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bookmarkStart w:id="0" w:name="_GoBack"/>
      <w:bookmarkEnd w:id="0"/>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交银施罗德天运宝货币市场基金</w:t>
      </w:r>
    </w:p>
    <w:p w:rsidR="00B60E27" w:rsidRPr="001E1B20" w:rsidRDefault="00B60E27" w:rsidP="00281564">
      <w:pPr>
        <w:spacing w:before="29" w:line="288" w:lineRule="auto"/>
        <w:jc w:val="center"/>
        <w:rPr>
          <w:b/>
          <w:sz w:val="36"/>
          <w:szCs w:val="36"/>
        </w:rPr>
      </w:pPr>
      <w:r w:rsidRPr="001E1B20">
        <w:rPr>
          <w:b/>
          <w:sz w:val="36"/>
          <w:szCs w:val="36"/>
        </w:rPr>
        <w:t>2018</w:t>
      </w:r>
      <w:r w:rsidRPr="001E1B20">
        <w:rPr>
          <w:b/>
          <w:sz w:val="36"/>
          <w:szCs w:val="36"/>
        </w:rPr>
        <w:t>年第</w:t>
      </w:r>
      <w:r w:rsidRPr="001E1B20">
        <w:rPr>
          <w:b/>
          <w:sz w:val="36"/>
          <w:szCs w:val="36"/>
        </w:rPr>
        <w:t>1</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2018</w:t>
      </w:r>
      <w:r w:rsidRPr="001E1B20">
        <w:rPr>
          <w:b/>
          <w:sz w:val="36"/>
          <w:szCs w:val="36"/>
        </w:rPr>
        <w:t>年</w:t>
      </w:r>
      <w:r w:rsidRPr="001E1B20">
        <w:rPr>
          <w:b/>
          <w:sz w:val="36"/>
          <w:szCs w:val="36"/>
        </w:rPr>
        <w:t>3</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兴业银行股份有限公司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二〇一八年四月二十一日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2F6DDD" w:rsidRDefault="001105AF">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2F6DDD" w:rsidRDefault="001105AF">
      <w:pPr>
        <w:adjustRightInd w:val="0"/>
        <w:spacing w:before="29" w:line="288" w:lineRule="auto"/>
        <w:ind w:firstLineChars="200" w:firstLine="480"/>
        <w:rPr>
          <w:color w:val="000000"/>
          <w:sz w:val="24"/>
        </w:rPr>
      </w:pPr>
      <w:r>
        <w:rPr>
          <w:color w:val="000000"/>
          <w:sz w:val="24"/>
        </w:rPr>
        <w:t>基金托管人兴业银行股份有限公司根据本基金合同规定，于</w:t>
      </w:r>
      <w:r>
        <w:rPr>
          <w:color w:val="000000"/>
          <w:sz w:val="24"/>
        </w:rPr>
        <w:t>2018</w:t>
      </w:r>
      <w:r>
        <w:rPr>
          <w:color w:val="000000"/>
          <w:sz w:val="24"/>
        </w:rPr>
        <w:t>年</w:t>
      </w:r>
      <w:r>
        <w:rPr>
          <w:color w:val="000000"/>
          <w:sz w:val="24"/>
        </w:rPr>
        <w:t>4</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2F6DDD" w:rsidRDefault="001105AF">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F6DDD" w:rsidRDefault="001105AF">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2F6DDD" w:rsidRDefault="001105AF">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2018</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交银天运宝货币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005002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2017</w:t>
            </w:r>
            <w:r w:rsidRPr="000E4C40">
              <w:rPr>
                <w:color w:val="000000"/>
                <w:kern w:val="0"/>
                <w:sz w:val="24"/>
              </w:rPr>
              <w:t>年</w:t>
            </w:r>
            <w:r w:rsidRPr="000E4C40">
              <w:rPr>
                <w:color w:val="000000"/>
                <w:kern w:val="0"/>
                <w:sz w:val="24"/>
              </w:rPr>
              <w:t>12</w:t>
            </w:r>
            <w:r w:rsidRPr="000E4C40">
              <w:rPr>
                <w:color w:val="000000"/>
                <w:kern w:val="0"/>
                <w:sz w:val="24"/>
              </w:rPr>
              <w:t>月</w:t>
            </w:r>
            <w:r w:rsidRPr="000E4C40">
              <w:rPr>
                <w:color w:val="000000"/>
                <w:kern w:val="0"/>
                <w:sz w:val="24"/>
              </w:rPr>
              <w:t>29</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101,132,462.36</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兴业银行股份有限公司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交银天运宝货币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交银天运宝货币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005002</w:t>
            </w:r>
          </w:p>
        </w:tc>
        <w:tc>
          <w:tcPr>
            <w:tcW w:w="2923" w:type="dxa"/>
            <w:vAlign w:val="center"/>
          </w:tcPr>
          <w:p w:rsidR="00A805BC" w:rsidRPr="000E4C40" w:rsidRDefault="00A805BC" w:rsidP="00281564">
            <w:pPr>
              <w:spacing w:before="29" w:line="288" w:lineRule="auto"/>
              <w:jc w:val="left"/>
              <w:rPr>
                <w:sz w:val="24"/>
              </w:rPr>
            </w:pPr>
            <w:r w:rsidRPr="000E4C40">
              <w:rPr>
                <w:sz w:val="24"/>
              </w:rPr>
              <w:t>005003</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158,419.85</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100,974,042.51</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(2018</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-2018</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交银天运宝货币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交银天运宝货币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469.50</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1,050,331.61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469.50</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1,050,331.61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158,419.85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100,974,042.51</w:t>
            </w:r>
          </w:p>
        </w:tc>
      </w:tr>
    </w:tbl>
    <w:p w:rsidR="002F6DDD" w:rsidRDefault="001105A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交银天运宝货币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2F6DDD">
        <w:trPr>
          <w:jc w:val="center"/>
        </w:trPr>
        <w:tc>
          <w:tcPr>
            <w:tcW w:w="1266" w:type="dxa"/>
            <w:vAlign w:val="center"/>
          </w:tcPr>
          <w:p w:rsidR="002F6DDD" w:rsidRDefault="001105AF">
            <w:pPr>
              <w:jc w:val="left"/>
            </w:pPr>
            <w:r>
              <w:rPr>
                <w:color w:val="000000"/>
              </w:rPr>
              <w:lastRenderedPageBreak/>
              <w:t>过去三个月</w:t>
            </w:r>
          </w:p>
        </w:tc>
        <w:tc>
          <w:tcPr>
            <w:tcW w:w="1267" w:type="dxa"/>
            <w:vAlign w:val="center"/>
          </w:tcPr>
          <w:p w:rsidR="002F6DDD" w:rsidRDefault="001105AF">
            <w:pPr>
              <w:jc w:val="center"/>
            </w:pPr>
            <w:r>
              <w:rPr>
                <w:color w:val="000000"/>
              </w:rPr>
              <w:t>0.8094%</w:t>
            </w:r>
          </w:p>
        </w:tc>
        <w:tc>
          <w:tcPr>
            <w:tcW w:w="1267" w:type="dxa"/>
            <w:vAlign w:val="center"/>
          </w:tcPr>
          <w:p w:rsidR="002F6DDD" w:rsidRDefault="001105AF">
            <w:pPr>
              <w:jc w:val="center"/>
            </w:pPr>
            <w:r>
              <w:rPr>
                <w:color w:val="000000"/>
              </w:rPr>
              <w:t>0.0049%</w:t>
            </w:r>
          </w:p>
        </w:tc>
        <w:tc>
          <w:tcPr>
            <w:tcW w:w="1267" w:type="dxa"/>
            <w:vAlign w:val="center"/>
          </w:tcPr>
          <w:p w:rsidR="002F6DDD" w:rsidRDefault="001105AF">
            <w:pPr>
              <w:jc w:val="center"/>
            </w:pPr>
            <w:r>
              <w:rPr>
                <w:color w:val="000000"/>
              </w:rPr>
              <w:t>0.0863%</w:t>
            </w:r>
          </w:p>
        </w:tc>
        <w:tc>
          <w:tcPr>
            <w:tcW w:w="1267" w:type="dxa"/>
            <w:vAlign w:val="center"/>
          </w:tcPr>
          <w:p w:rsidR="002F6DDD" w:rsidRDefault="001105AF">
            <w:pPr>
              <w:jc w:val="center"/>
            </w:pPr>
            <w:r>
              <w:rPr>
                <w:color w:val="000000"/>
              </w:rPr>
              <w:t>0.0000%</w:t>
            </w:r>
          </w:p>
        </w:tc>
        <w:tc>
          <w:tcPr>
            <w:tcW w:w="1267" w:type="dxa"/>
            <w:vAlign w:val="center"/>
          </w:tcPr>
          <w:p w:rsidR="002F6DDD" w:rsidRDefault="001105AF">
            <w:pPr>
              <w:jc w:val="center"/>
            </w:pPr>
            <w:r>
              <w:rPr>
                <w:color w:val="000000"/>
              </w:rPr>
              <w:t>0.7231%</w:t>
            </w:r>
          </w:p>
        </w:tc>
        <w:tc>
          <w:tcPr>
            <w:tcW w:w="1267" w:type="dxa"/>
            <w:vAlign w:val="center"/>
          </w:tcPr>
          <w:p w:rsidR="002F6DDD" w:rsidRDefault="001105AF">
            <w:pPr>
              <w:jc w:val="center"/>
            </w:pPr>
            <w:r>
              <w:rPr>
                <w:color w:val="000000"/>
              </w:rPr>
              <w:t>0.0049%</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交银天运宝货币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2F6DDD">
        <w:trPr>
          <w:jc w:val="center"/>
        </w:trPr>
        <w:tc>
          <w:tcPr>
            <w:tcW w:w="1266" w:type="dxa"/>
            <w:vAlign w:val="center"/>
          </w:tcPr>
          <w:p w:rsidR="002F6DDD" w:rsidRDefault="001105AF">
            <w:pPr>
              <w:jc w:val="left"/>
            </w:pPr>
            <w:r>
              <w:rPr>
                <w:color w:val="000000"/>
              </w:rPr>
              <w:t>过去三个月</w:t>
            </w:r>
          </w:p>
        </w:tc>
        <w:tc>
          <w:tcPr>
            <w:tcW w:w="1267" w:type="dxa"/>
            <w:vAlign w:val="center"/>
          </w:tcPr>
          <w:p w:rsidR="002F6DDD" w:rsidRDefault="001105AF">
            <w:pPr>
              <w:jc w:val="center"/>
            </w:pPr>
            <w:r>
              <w:rPr>
                <w:color w:val="000000"/>
              </w:rPr>
              <w:t>0.8701%</w:t>
            </w:r>
          </w:p>
        </w:tc>
        <w:tc>
          <w:tcPr>
            <w:tcW w:w="1267" w:type="dxa"/>
            <w:vAlign w:val="center"/>
          </w:tcPr>
          <w:p w:rsidR="002F6DDD" w:rsidRDefault="001105AF">
            <w:pPr>
              <w:jc w:val="center"/>
            </w:pPr>
            <w:r>
              <w:rPr>
                <w:color w:val="000000"/>
              </w:rPr>
              <w:t>0.0049%</w:t>
            </w:r>
          </w:p>
        </w:tc>
        <w:tc>
          <w:tcPr>
            <w:tcW w:w="1267" w:type="dxa"/>
            <w:vAlign w:val="center"/>
          </w:tcPr>
          <w:p w:rsidR="002F6DDD" w:rsidRDefault="001105AF">
            <w:pPr>
              <w:jc w:val="center"/>
            </w:pPr>
            <w:r>
              <w:rPr>
                <w:color w:val="000000"/>
              </w:rPr>
              <w:t>0.0863%</w:t>
            </w:r>
          </w:p>
        </w:tc>
        <w:tc>
          <w:tcPr>
            <w:tcW w:w="1267" w:type="dxa"/>
            <w:vAlign w:val="center"/>
          </w:tcPr>
          <w:p w:rsidR="002F6DDD" w:rsidRDefault="001105AF">
            <w:pPr>
              <w:jc w:val="center"/>
            </w:pPr>
            <w:r>
              <w:rPr>
                <w:color w:val="000000"/>
              </w:rPr>
              <w:t>0.0000%</w:t>
            </w:r>
          </w:p>
        </w:tc>
        <w:tc>
          <w:tcPr>
            <w:tcW w:w="1267" w:type="dxa"/>
            <w:vAlign w:val="center"/>
          </w:tcPr>
          <w:p w:rsidR="002F6DDD" w:rsidRDefault="001105AF">
            <w:pPr>
              <w:jc w:val="center"/>
            </w:pPr>
            <w:r>
              <w:rPr>
                <w:color w:val="000000"/>
              </w:rPr>
              <w:t>0.7838%</w:t>
            </w:r>
          </w:p>
        </w:tc>
        <w:tc>
          <w:tcPr>
            <w:tcW w:w="1267" w:type="dxa"/>
            <w:vAlign w:val="center"/>
          </w:tcPr>
          <w:p w:rsidR="002F6DDD" w:rsidRDefault="001105AF">
            <w:pPr>
              <w:jc w:val="center"/>
            </w:pPr>
            <w:r>
              <w:rPr>
                <w:color w:val="000000"/>
              </w:rPr>
              <w:t>0.0049%</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交银施罗德天运宝货币市场基金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2017</w:t>
      </w:r>
      <w:r w:rsidR="00D87D00" w:rsidRPr="000E4C40">
        <w:rPr>
          <w:color w:val="000000"/>
          <w:kern w:val="0"/>
          <w:sz w:val="24"/>
        </w:rPr>
        <w:t>年</w:t>
      </w:r>
      <w:r w:rsidR="00D87D00" w:rsidRPr="000E4C40">
        <w:rPr>
          <w:color w:val="000000"/>
          <w:kern w:val="0"/>
          <w:sz w:val="24"/>
        </w:rPr>
        <w:t>12</w:t>
      </w:r>
      <w:r w:rsidR="00D87D00" w:rsidRPr="000E4C40">
        <w:rPr>
          <w:color w:val="000000"/>
          <w:kern w:val="0"/>
          <w:sz w:val="24"/>
        </w:rPr>
        <w:t>月</w:t>
      </w:r>
      <w:r w:rsidR="00D87D00" w:rsidRPr="000E4C40">
        <w:rPr>
          <w:color w:val="000000"/>
          <w:kern w:val="0"/>
          <w:sz w:val="24"/>
        </w:rPr>
        <w:t>29</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2018</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交银天运宝货币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2017</w:t>
      </w:r>
      <w:r w:rsidRPr="000E4C40">
        <w:rPr>
          <w:color w:val="000000"/>
          <w:sz w:val="24"/>
        </w:rPr>
        <w:t>年</w:t>
      </w:r>
      <w:r w:rsidRPr="000E4C40">
        <w:rPr>
          <w:color w:val="000000"/>
          <w:sz w:val="24"/>
        </w:rPr>
        <w:t>12</w:t>
      </w:r>
      <w:r w:rsidRPr="000E4C40">
        <w:rPr>
          <w:color w:val="000000"/>
          <w:sz w:val="24"/>
        </w:rPr>
        <w:t>月</w:t>
      </w:r>
      <w:r w:rsidRPr="000E4C40">
        <w:rPr>
          <w:color w:val="000000"/>
          <w:sz w:val="24"/>
        </w:rPr>
        <w:t>29</w:t>
      </w:r>
      <w:r w:rsidRPr="000E4C40">
        <w:rPr>
          <w:color w:val="000000"/>
          <w:sz w:val="24"/>
        </w:rPr>
        <w:t>日，基金合同生效日至报告期期末，本基金</w:t>
      </w:r>
      <w:r w:rsidRPr="000E4C40">
        <w:rPr>
          <w:color w:val="000000"/>
          <w:sz w:val="24"/>
        </w:rPr>
        <w:lastRenderedPageBreak/>
        <w:t>运作时间未满一年。本基金建仓期为自基金合同生效日起的</w:t>
      </w:r>
      <w:r w:rsidRPr="000E4C40">
        <w:rPr>
          <w:color w:val="000000"/>
          <w:sz w:val="24"/>
        </w:rPr>
        <w:t>6</w:t>
      </w:r>
      <w:r w:rsidRPr="000E4C40">
        <w:rPr>
          <w:color w:val="000000"/>
          <w:sz w:val="24"/>
        </w:rPr>
        <w:t>个月。截至</w:t>
      </w:r>
      <w:r w:rsidRPr="000E4C40">
        <w:rPr>
          <w:color w:val="000000"/>
          <w:sz w:val="24"/>
        </w:rPr>
        <w:t>2018</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日，本基金尚处于建仓期。</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交银天运宝货币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2017</w:t>
      </w:r>
      <w:r w:rsidRPr="000E4C40">
        <w:rPr>
          <w:color w:val="000000"/>
          <w:sz w:val="24"/>
        </w:rPr>
        <w:t>年</w:t>
      </w:r>
      <w:r w:rsidRPr="000E4C40">
        <w:rPr>
          <w:color w:val="000000"/>
          <w:sz w:val="24"/>
        </w:rPr>
        <w:t>12</w:t>
      </w:r>
      <w:r w:rsidRPr="000E4C40">
        <w:rPr>
          <w:color w:val="000000"/>
          <w:sz w:val="24"/>
        </w:rPr>
        <w:t>月</w:t>
      </w:r>
      <w:r w:rsidRPr="000E4C40">
        <w:rPr>
          <w:color w:val="000000"/>
          <w:sz w:val="24"/>
        </w:rPr>
        <w:t>29</w:t>
      </w:r>
      <w:r w:rsidRPr="000E4C40">
        <w:rPr>
          <w:color w:val="000000"/>
          <w:sz w:val="24"/>
        </w:rPr>
        <w:t>日，基金合同生效日至报告期期末，本基金运作时间未满一年。本基金建仓期为自基金合同生效日起的</w:t>
      </w:r>
      <w:r w:rsidRPr="000E4C40">
        <w:rPr>
          <w:color w:val="000000"/>
          <w:sz w:val="24"/>
        </w:rPr>
        <w:t>6</w:t>
      </w:r>
      <w:r w:rsidRPr="000E4C40">
        <w:rPr>
          <w:color w:val="000000"/>
          <w:sz w:val="24"/>
        </w:rPr>
        <w:t>个月。截至</w:t>
      </w:r>
      <w:r w:rsidRPr="000E4C40">
        <w:rPr>
          <w:color w:val="000000"/>
          <w:sz w:val="24"/>
        </w:rPr>
        <w:t>2018</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日，本基金尚处于建仓期。</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2F6DDD">
        <w:trPr>
          <w:jc w:val="center"/>
        </w:trPr>
        <w:tc>
          <w:tcPr>
            <w:tcW w:w="945" w:type="dxa"/>
            <w:vAlign w:val="center"/>
          </w:tcPr>
          <w:p w:rsidR="002F6DDD" w:rsidRDefault="001105AF">
            <w:pPr>
              <w:jc w:val="center"/>
            </w:pPr>
            <w:r>
              <w:rPr>
                <w:color w:val="000000"/>
                <w:sz w:val="24"/>
              </w:rPr>
              <w:t>连端清</w:t>
            </w:r>
          </w:p>
        </w:tc>
        <w:tc>
          <w:tcPr>
            <w:tcW w:w="1589" w:type="dxa"/>
            <w:vAlign w:val="center"/>
          </w:tcPr>
          <w:p w:rsidR="002F6DDD" w:rsidRDefault="001105AF">
            <w:pPr>
              <w:jc w:val="center"/>
            </w:pPr>
            <w:r>
              <w:rPr>
                <w:color w:val="000000"/>
                <w:sz w:val="24"/>
              </w:rPr>
              <w:t>交银货币、交银理财</w:t>
            </w:r>
            <w:r>
              <w:rPr>
                <w:color w:val="000000"/>
                <w:sz w:val="24"/>
              </w:rPr>
              <w:t>60</w:t>
            </w:r>
            <w:r>
              <w:rPr>
                <w:color w:val="000000"/>
                <w:sz w:val="24"/>
              </w:rPr>
              <w:t>天债券、交银丰盈收益债券、交银现金宝货币、交银丰</w:t>
            </w:r>
            <w:r>
              <w:rPr>
                <w:color w:val="000000"/>
                <w:sz w:val="24"/>
              </w:rPr>
              <w:lastRenderedPageBreak/>
              <w:t>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478" w:type="dxa"/>
            <w:vAlign w:val="center"/>
          </w:tcPr>
          <w:p w:rsidR="002F6DDD" w:rsidRDefault="001105AF" w:rsidP="0080227E">
            <w:pPr>
              <w:jc w:val="center"/>
            </w:pPr>
            <w:r>
              <w:rPr>
                <w:color w:val="000000"/>
                <w:sz w:val="24"/>
              </w:rPr>
              <w:lastRenderedPageBreak/>
              <w:t>201</w:t>
            </w:r>
            <w:r w:rsidR="0080227E">
              <w:rPr>
                <w:color w:val="000000"/>
                <w:sz w:val="24"/>
              </w:rPr>
              <w:t>7</w:t>
            </w:r>
            <w:r>
              <w:rPr>
                <w:color w:val="000000"/>
                <w:sz w:val="24"/>
              </w:rPr>
              <w:t>-12-2</w:t>
            </w:r>
            <w:r w:rsidR="00691BBB">
              <w:rPr>
                <w:color w:val="000000"/>
                <w:sz w:val="24"/>
              </w:rPr>
              <w:t>9</w:t>
            </w:r>
          </w:p>
        </w:tc>
        <w:tc>
          <w:tcPr>
            <w:tcW w:w="1478" w:type="dxa"/>
            <w:vAlign w:val="center"/>
          </w:tcPr>
          <w:p w:rsidR="002F6DDD" w:rsidRDefault="001105AF">
            <w:pPr>
              <w:jc w:val="center"/>
            </w:pPr>
            <w:r>
              <w:rPr>
                <w:color w:val="000000"/>
                <w:sz w:val="24"/>
              </w:rPr>
              <w:t>-</w:t>
            </w:r>
          </w:p>
        </w:tc>
        <w:tc>
          <w:tcPr>
            <w:tcW w:w="986" w:type="dxa"/>
            <w:vAlign w:val="center"/>
          </w:tcPr>
          <w:p w:rsidR="002F6DDD" w:rsidRDefault="001105AF">
            <w:pPr>
              <w:jc w:val="center"/>
            </w:pPr>
            <w:r>
              <w:rPr>
                <w:color w:val="000000"/>
                <w:sz w:val="24"/>
              </w:rPr>
              <w:t>5</w:t>
            </w:r>
            <w:r>
              <w:rPr>
                <w:color w:val="000000"/>
                <w:sz w:val="24"/>
              </w:rPr>
              <w:t>年</w:t>
            </w:r>
          </w:p>
        </w:tc>
        <w:tc>
          <w:tcPr>
            <w:tcW w:w="2392" w:type="dxa"/>
            <w:vAlign w:val="center"/>
          </w:tcPr>
          <w:p w:rsidR="002F6DDD" w:rsidRDefault="001105AF">
            <w:r>
              <w:rPr>
                <w:color w:val="000000"/>
                <w:sz w:val="24"/>
              </w:rPr>
              <w:t>连端清先生，复旦大学经济学博士。历任交通银行总行金融市场部、湘财证券研究所研究员、中航信托资产管理部投资经</w:t>
            </w:r>
            <w:r>
              <w:rPr>
                <w:color w:val="000000"/>
                <w:sz w:val="24"/>
              </w:rPr>
              <w:lastRenderedPageBreak/>
              <w:t>理。</w:t>
            </w:r>
            <w:r>
              <w:rPr>
                <w:color w:val="000000"/>
                <w:sz w:val="24"/>
              </w:rPr>
              <w:t>2015</w:t>
            </w:r>
            <w:r>
              <w:rPr>
                <w:color w:val="000000"/>
                <w:sz w:val="24"/>
              </w:rPr>
              <w:t>年加入交银施罗德基金管理有限公司。</w:t>
            </w:r>
          </w:p>
        </w:tc>
      </w:tr>
    </w:tbl>
    <w:p w:rsidR="002F6DDD" w:rsidRDefault="001105AF">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2F6DDD" w:rsidRDefault="001105AF">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2F6DDD" w:rsidRDefault="001105A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F6DDD" w:rsidRDefault="001105A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w:t>
      </w:r>
      <w:r>
        <w:rPr>
          <w:color w:val="000000"/>
          <w:sz w:val="24"/>
        </w:rPr>
        <w:lastRenderedPageBreak/>
        <w:t>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F6DDD" w:rsidRDefault="001105A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2F6DDD" w:rsidRDefault="001105AF">
      <w:pPr>
        <w:spacing w:before="29" w:line="288" w:lineRule="auto"/>
        <w:ind w:firstLineChars="200" w:firstLine="480"/>
        <w:rPr>
          <w:color w:val="000000"/>
          <w:sz w:val="24"/>
        </w:rPr>
      </w:pPr>
      <w:r>
        <w:rPr>
          <w:color w:val="000000"/>
          <w:sz w:val="24"/>
        </w:rPr>
        <w:t>2018</w:t>
      </w:r>
      <w:r>
        <w:rPr>
          <w:color w:val="000000"/>
          <w:sz w:val="24"/>
        </w:rPr>
        <w:t>年一季度，国内经济整体上延续平稳态势。一至二月份固定资产投资与工业增加值出现反弹，且出口保持较快增长，但是持续性尚待进一步观察，制造业景气度维持在较高的扩张区间。</w:t>
      </w:r>
      <w:r>
        <w:rPr>
          <w:color w:val="000000"/>
          <w:sz w:val="24"/>
        </w:rPr>
        <w:t>2018</w:t>
      </w:r>
      <w:r>
        <w:rPr>
          <w:color w:val="000000"/>
          <w:sz w:val="24"/>
        </w:rPr>
        <w:t>年一至二月，</w:t>
      </w:r>
      <w:r>
        <w:rPr>
          <w:color w:val="000000"/>
          <w:sz w:val="24"/>
        </w:rPr>
        <w:t>FAI</w:t>
      </w:r>
      <w:r>
        <w:rPr>
          <w:color w:val="000000"/>
          <w:sz w:val="24"/>
        </w:rPr>
        <w:t>累计同比增速为</w:t>
      </w:r>
      <w:r>
        <w:rPr>
          <w:color w:val="000000"/>
          <w:sz w:val="24"/>
        </w:rPr>
        <w:t>7.9%</w:t>
      </w:r>
      <w:r>
        <w:rPr>
          <w:color w:val="000000"/>
          <w:sz w:val="24"/>
        </w:rPr>
        <w:t>，工业增加值同比增速为</w:t>
      </w:r>
      <w:r>
        <w:rPr>
          <w:color w:val="000000"/>
          <w:sz w:val="24"/>
        </w:rPr>
        <w:t>7.2%</w:t>
      </w:r>
      <w:r>
        <w:rPr>
          <w:color w:val="000000"/>
          <w:sz w:val="24"/>
        </w:rPr>
        <w:t>，一月与二月出口季调后同比增速分别为</w:t>
      </w:r>
      <w:r>
        <w:rPr>
          <w:color w:val="000000"/>
          <w:sz w:val="24"/>
        </w:rPr>
        <w:t>5.6%</w:t>
      </w:r>
      <w:r>
        <w:rPr>
          <w:color w:val="000000"/>
          <w:sz w:val="24"/>
        </w:rPr>
        <w:t>与</w:t>
      </w:r>
      <w:r>
        <w:rPr>
          <w:color w:val="000000"/>
          <w:sz w:val="24"/>
        </w:rPr>
        <w:t>15.4%</w:t>
      </w:r>
      <w:r>
        <w:rPr>
          <w:color w:val="000000"/>
          <w:sz w:val="24"/>
        </w:rPr>
        <w:t>，中采</w:t>
      </w:r>
      <w:r>
        <w:rPr>
          <w:color w:val="000000"/>
          <w:sz w:val="24"/>
        </w:rPr>
        <w:t>PMI</w:t>
      </w:r>
      <w:r>
        <w:rPr>
          <w:color w:val="000000"/>
          <w:sz w:val="24"/>
        </w:rPr>
        <w:t>尽管二月份受春节等因素影响出现回落，但三月份反弹至</w:t>
      </w:r>
      <w:r>
        <w:rPr>
          <w:color w:val="000000"/>
          <w:sz w:val="24"/>
        </w:rPr>
        <w:t>51.5%</w:t>
      </w:r>
      <w:r>
        <w:rPr>
          <w:color w:val="000000"/>
          <w:sz w:val="24"/>
        </w:rPr>
        <w:t>。一季度央行货币政策操作上中性偏松，尽管央行通过公开市场及</w:t>
      </w:r>
      <w:r>
        <w:rPr>
          <w:color w:val="000000"/>
          <w:sz w:val="24"/>
        </w:rPr>
        <w:t>MLF</w:t>
      </w:r>
      <w:r>
        <w:rPr>
          <w:color w:val="000000"/>
          <w:sz w:val="24"/>
        </w:rPr>
        <w:t>在一季度实现净回笼</w:t>
      </w:r>
      <w:r>
        <w:rPr>
          <w:color w:val="000000"/>
          <w:sz w:val="24"/>
        </w:rPr>
        <w:t>5645</w:t>
      </w:r>
      <w:r>
        <w:rPr>
          <w:color w:val="000000"/>
          <w:sz w:val="24"/>
        </w:rPr>
        <w:t>亿元，但是定向降准落地以及</w:t>
      </w:r>
      <w:r>
        <w:rPr>
          <w:color w:val="000000"/>
          <w:sz w:val="24"/>
        </w:rPr>
        <w:t>“</w:t>
      </w:r>
      <w:r>
        <w:rPr>
          <w:color w:val="000000"/>
          <w:sz w:val="24"/>
        </w:rPr>
        <w:t>临时准备金动用安排</w:t>
      </w:r>
      <w:r>
        <w:rPr>
          <w:color w:val="000000"/>
          <w:sz w:val="24"/>
        </w:rPr>
        <w:t>”</w:t>
      </w:r>
      <w:r>
        <w:rPr>
          <w:color w:val="000000"/>
          <w:sz w:val="24"/>
        </w:rPr>
        <w:t>释放了大量流动性，为二月份跨春节及三月份跨季提供了充沛的流动性。</w:t>
      </w:r>
    </w:p>
    <w:p w:rsidR="002F6DDD" w:rsidRDefault="001105AF">
      <w:pPr>
        <w:spacing w:before="29" w:line="288" w:lineRule="auto"/>
        <w:ind w:firstLineChars="200" w:firstLine="480"/>
        <w:rPr>
          <w:color w:val="000000"/>
          <w:sz w:val="24"/>
        </w:rPr>
      </w:pPr>
      <w:r>
        <w:rPr>
          <w:color w:val="000000"/>
          <w:sz w:val="24"/>
        </w:rPr>
        <w:t>资金面上，一季度市场资金面非常宽松，一季度</w:t>
      </w:r>
      <w:r>
        <w:rPr>
          <w:color w:val="000000"/>
          <w:sz w:val="24"/>
        </w:rPr>
        <w:t>R001</w:t>
      </w:r>
      <w:r>
        <w:rPr>
          <w:color w:val="000000"/>
          <w:sz w:val="24"/>
        </w:rPr>
        <w:t>均值较</w:t>
      </w:r>
      <w:r>
        <w:rPr>
          <w:color w:val="000000"/>
          <w:sz w:val="24"/>
        </w:rPr>
        <w:t>2017</w:t>
      </w:r>
      <w:r>
        <w:rPr>
          <w:color w:val="000000"/>
          <w:sz w:val="24"/>
        </w:rPr>
        <w:t>年第四季度下降</w:t>
      </w:r>
      <w:r>
        <w:rPr>
          <w:color w:val="000000"/>
          <w:sz w:val="24"/>
        </w:rPr>
        <w:t>11</w:t>
      </w:r>
      <w:r>
        <w:rPr>
          <w:color w:val="000000"/>
          <w:sz w:val="24"/>
        </w:rPr>
        <w:t>个</w:t>
      </w:r>
      <w:r>
        <w:rPr>
          <w:color w:val="000000"/>
          <w:sz w:val="24"/>
        </w:rPr>
        <w:t>BP</w:t>
      </w:r>
      <w:r>
        <w:rPr>
          <w:color w:val="000000"/>
          <w:sz w:val="24"/>
        </w:rPr>
        <w:t>以上。受资金持续宽松等因素影响，三月下旬同业存款及存单一级发行利率大幅下行。受资金面宽松及中美贸易战等影响，一季度债市大幅上涨，三月底</w:t>
      </w:r>
      <w:r>
        <w:rPr>
          <w:color w:val="000000"/>
          <w:sz w:val="24"/>
        </w:rPr>
        <w:t>10</w:t>
      </w:r>
      <w:r>
        <w:rPr>
          <w:color w:val="000000"/>
          <w:sz w:val="24"/>
        </w:rPr>
        <w:t>年期国开债</w:t>
      </w:r>
      <w:r>
        <w:rPr>
          <w:color w:val="000000"/>
          <w:sz w:val="24"/>
        </w:rPr>
        <w:t>YTM</w:t>
      </w:r>
      <w:r>
        <w:rPr>
          <w:color w:val="000000"/>
          <w:sz w:val="24"/>
        </w:rPr>
        <w:t>较</w:t>
      </w:r>
      <w:r>
        <w:rPr>
          <w:color w:val="000000"/>
          <w:sz w:val="24"/>
        </w:rPr>
        <w:t>2017</w:t>
      </w:r>
      <w:r>
        <w:rPr>
          <w:color w:val="000000"/>
          <w:sz w:val="24"/>
        </w:rPr>
        <w:t>年年底回落</w:t>
      </w:r>
      <w:r>
        <w:rPr>
          <w:color w:val="000000"/>
          <w:sz w:val="24"/>
        </w:rPr>
        <w:t>17</w:t>
      </w:r>
      <w:r>
        <w:rPr>
          <w:color w:val="000000"/>
          <w:sz w:val="24"/>
        </w:rPr>
        <w:t>个</w:t>
      </w:r>
      <w:r>
        <w:rPr>
          <w:color w:val="000000"/>
          <w:sz w:val="24"/>
        </w:rPr>
        <w:t>BP</w:t>
      </w:r>
      <w:r>
        <w:rPr>
          <w:color w:val="000000"/>
          <w:sz w:val="24"/>
        </w:rPr>
        <w:t>以上。</w:t>
      </w:r>
    </w:p>
    <w:p w:rsidR="002F6DDD" w:rsidRDefault="001105AF">
      <w:pPr>
        <w:spacing w:before="29" w:line="288" w:lineRule="auto"/>
        <w:ind w:firstLineChars="200" w:firstLine="480"/>
        <w:rPr>
          <w:color w:val="000000"/>
          <w:sz w:val="24"/>
        </w:rPr>
      </w:pPr>
      <w:r>
        <w:rPr>
          <w:color w:val="000000"/>
          <w:sz w:val="24"/>
        </w:rPr>
        <w:t>基金操作方面，报告期内本基金保持适度的流动性满足客户赎回需求，控制信用风险，择机提升组合杠杆与久期。在资产配置上，我们择机加大存款、高评级存单与短融等投资品种的配置力度，根据市场趋势灵活调整以存款、存单及债券配置比例，为持有人创造了稳健的回报。</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2018</w:t>
      </w:r>
      <w:r w:rsidRPr="000E4C40">
        <w:rPr>
          <w:color w:val="000000"/>
          <w:sz w:val="24"/>
        </w:rPr>
        <w:t>年二季度，我们将继续关注收益率显著下行的银行同业存单发行情况，</w:t>
      </w:r>
      <w:r w:rsidRPr="000E4C40">
        <w:rPr>
          <w:color w:val="000000"/>
          <w:sz w:val="24"/>
        </w:rPr>
        <w:lastRenderedPageBreak/>
        <w:t>持续观察监管政策的落地实施以及实际影响，我们预计去杠杆政策仍将延续，货币政策可能将会保持不紧不松的状态，流动性压力或将回归。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本报告期内，交银天运宝</w:t>
      </w:r>
      <w:r w:rsidRPr="000E4C40">
        <w:rPr>
          <w:color w:val="000000"/>
          <w:sz w:val="24"/>
        </w:rPr>
        <w:t>A</w:t>
      </w:r>
      <w:r w:rsidRPr="000E4C40">
        <w:rPr>
          <w:color w:val="000000"/>
          <w:sz w:val="24"/>
        </w:rPr>
        <w:t>净值收益率为</w:t>
      </w:r>
      <w:r w:rsidRPr="000E4C40">
        <w:rPr>
          <w:color w:val="000000"/>
          <w:sz w:val="24"/>
        </w:rPr>
        <w:t>0.8094%</w:t>
      </w:r>
      <w:r w:rsidRPr="000E4C40">
        <w:rPr>
          <w:color w:val="000000"/>
          <w:sz w:val="24"/>
        </w:rPr>
        <w:t>，同期业绩比较基准收益率为</w:t>
      </w:r>
      <w:r w:rsidRPr="000E4C40">
        <w:rPr>
          <w:color w:val="000000"/>
          <w:sz w:val="24"/>
        </w:rPr>
        <w:t>0.0863%</w:t>
      </w:r>
      <w:r w:rsidRPr="000E4C40">
        <w:rPr>
          <w:color w:val="000000"/>
          <w:sz w:val="24"/>
        </w:rPr>
        <w:t>；交银天运宝</w:t>
      </w:r>
      <w:r w:rsidRPr="000E4C40">
        <w:rPr>
          <w:color w:val="000000"/>
          <w:sz w:val="24"/>
        </w:rPr>
        <w:t>E</w:t>
      </w:r>
      <w:r w:rsidRPr="000E4C40">
        <w:rPr>
          <w:color w:val="000000"/>
          <w:sz w:val="24"/>
        </w:rPr>
        <w:t>净值收益率为</w:t>
      </w:r>
      <w:r w:rsidRPr="000E4C40">
        <w:rPr>
          <w:color w:val="000000"/>
          <w:sz w:val="24"/>
        </w:rPr>
        <w:t>0.8701%</w:t>
      </w:r>
      <w:r w:rsidRPr="000E4C40">
        <w:rPr>
          <w:color w:val="000000"/>
          <w:sz w:val="24"/>
        </w:rPr>
        <w:t>，同期业绩比较基准收益率为</w:t>
      </w:r>
      <w:r w:rsidRPr="000E4C40">
        <w:rPr>
          <w:color w:val="000000"/>
          <w:sz w:val="24"/>
        </w:rPr>
        <w:t>0.0863%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本基金本报告期内连续二十个工作日以上出现基金份额持有人数量不满</w:t>
      </w:r>
      <w:r w:rsidRPr="002070B4">
        <w:rPr>
          <w:color w:val="000000"/>
          <w:sz w:val="24"/>
        </w:rPr>
        <w:t>200</w:t>
      </w:r>
      <w:r w:rsidRPr="002070B4">
        <w:rPr>
          <w:color w:val="000000"/>
          <w:sz w:val="24"/>
        </w:rPr>
        <w:t>人的情形，截至本报告期末，本基金基金份额持有人数量仍不满</w:t>
      </w:r>
      <w:r w:rsidRPr="002070B4">
        <w:rPr>
          <w:color w:val="000000"/>
          <w:sz w:val="24"/>
        </w:rPr>
        <w:t>200</w:t>
      </w:r>
      <w:r w:rsidRPr="002070B4">
        <w:rPr>
          <w:color w:val="000000"/>
          <w:sz w:val="24"/>
        </w:rPr>
        <w:t>人。</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24,902,673.62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22.59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24,902,673.62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22.59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28,500,000.00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25.85</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56,262,699.39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51.03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591,508.10</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0.54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110,256,881.11</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2.00</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9,023,866.46</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8.92</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38</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55</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0</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34.47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8.92</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54.38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lastRenderedPageBreak/>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19.58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108.44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8.92</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5,100,464.87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5.04</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5,100,464.87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5.04</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19,802,208.75</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19.58</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24,902,673.62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24.62</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85"/>
        <w:gridCol w:w="1279"/>
        <w:gridCol w:w="1857"/>
        <w:gridCol w:w="1168"/>
        <w:gridCol w:w="2110"/>
        <w:gridCol w:w="1469"/>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lastRenderedPageBreak/>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2F6DDD">
        <w:trPr>
          <w:jc w:val="center"/>
        </w:trPr>
        <w:tc>
          <w:tcPr>
            <w:tcW w:w="0" w:type="auto"/>
            <w:vAlign w:val="center"/>
          </w:tcPr>
          <w:p w:rsidR="002F6DDD" w:rsidRDefault="001105AF">
            <w:pPr>
              <w:jc w:val="center"/>
            </w:pPr>
            <w:r>
              <w:rPr>
                <w:color w:val="000000"/>
                <w:sz w:val="24"/>
              </w:rPr>
              <w:t>1</w:t>
            </w:r>
          </w:p>
        </w:tc>
        <w:tc>
          <w:tcPr>
            <w:tcW w:w="0" w:type="auto"/>
            <w:vAlign w:val="center"/>
          </w:tcPr>
          <w:p w:rsidR="002F6DDD" w:rsidRDefault="001105AF">
            <w:pPr>
              <w:jc w:val="center"/>
            </w:pPr>
            <w:r>
              <w:rPr>
                <w:color w:val="000000"/>
                <w:sz w:val="24"/>
              </w:rPr>
              <w:t>111719296</w:t>
            </w:r>
          </w:p>
        </w:tc>
        <w:tc>
          <w:tcPr>
            <w:tcW w:w="0" w:type="auto"/>
            <w:vAlign w:val="center"/>
          </w:tcPr>
          <w:p w:rsidR="002F6DDD" w:rsidRDefault="001105AF">
            <w:pPr>
              <w:jc w:val="center"/>
            </w:pPr>
            <w:r>
              <w:rPr>
                <w:color w:val="000000"/>
                <w:sz w:val="24"/>
              </w:rPr>
              <w:t>17</w:t>
            </w:r>
            <w:r>
              <w:rPr>
                <w:color w:val="000000"/>
                <w:sz w:val="24"/>
              </w:rPr>
              <w:t>恒丰银行</w:t>
            </w:r>
            <w:r>
              <w:rPr>
                <w:color w:val="000000"/>
                <w:sz w:val="24"/>
              </w:rPr>
              <w:t>CD296</w:t>
            </w:r>
          </w:p>
        </w:tc>
        <w:tc>
          <w:tcPr>
            <w:tcW w:w="0" w:type="auto"/>
            <w:vAlign w:val="center"/>
          </w:tcPr>
          <w:p w:rsidR="002F6DDD" w:rsidRDefault="001105AF">
            <w:pPr>
              <w:jc w:val="right"/>
            </w:pPr>
            <w:r>
              <w:rPr>
                <w:color w:val="000000"/>
                <w:sz w:val="24"/>
              </w:rPr>
              <w:t>100,000</w:t>
            </w:r>
          </w:p>
        </w:tc>
        <w:tc>
          <w:tcPr>
            <w:tcW w:w="0" w:type="auto"/>
            <w:vAlign w:val="center"/>
          </w:tcPr>
          <w:p w:rsidR="002F6DDD" w:rsidRDefault="001105AF">
            <w:pPr>
              <w:jc w:val="right"/>
            </w:pPr>
            <w:r>
              <w:rPr>
                <w:color w:val="000000"/>
                <w:sz w:val="24"/>
              </w:rPr>
              <w:t>9,906,243.93</w:t>
            </w:r>
          </w:p>
        </w:tc>
        <w:tc>
          <w:tcPr>
            <w:tcW w:w="0" w:type="auto"/>
            <w:vAlign w:val="center"/>
          </w:tcPr>
          <w:p w:rsidR="002F6DDD" w:rsidRDefault="001105AF">
            <w:pPr>
              <w:jc w:val="right"/>
            </w:pPr>
            <w:r>
              <w:rPr>
                <w:color w:val="000000"/>
                <w:sz w:val="24"/>
              </w:rPr>
              <w:t>9.80</w:t>
            </w:r>
          </w:p>
        </w:tc>
      </w:tr>
      <w:tr w:rsidR="002F6DDD">
        <w:trPr>
          <w:jc w:val="center"/>
        </w:trPr>
        <w:tc>
          <w:tcPr>
            <w:tcW w:w="0" w:type="auto"/>
            <w:vAlign w:val="center"/>
          </w:tcPr>
          <w:p w:rsidR="002F6DDD" w:rsidRDefault="001105AF">
            <w:pPr>
              <w:jc w:val="center"/>
            </w:pPr>
            <w:r>
              <w:rPr>
                <w:color w:val="000000"/>
                <w:sz w:val="24"/>
              </w:rPr>
              <w:t>2</w:t>
            </w:r>
          </w:p>
        </w:tc>
        <w:tc>
          <w:tcPr>
            <w:tcW w:w="0" w:type="auto"/>
            <w:vAlign w:val="center"/>
          </w:tcPr>
          <w:p w:rsidR="002F6DDD" w:rsidRDefault="001105AF">
            <w:pPr>
              <w:jc w:val="center"/>
            </w:pPr>
            <w:r>
              <w:rPr>
                <w:color w:val="000000"/>
                <w:sz w:val="24"/>
              </w:rPr>
              <w:t>111717304</w:t>
            </w:r>
          </w:p>
        </w:tc>
        <w:tc>
          <w:tcPr>
            <w:tcW w:w="0" w:type="auto"/>
            <w:vAlign w:val="center"/>
          </w:tcPr>
          <w:p w:rsidR="002F6DDD" w:rsidRDefault="001105AF">
            <w:pPr>
              <w:jc w:val="center"/>
            </w:pPr>
            <w:r>
              <w:rPr>
                <w:color w:val="000000"/>
                <w:sz w:val="24"/>
              </w:rPr>
              <w:t>17</w:t>
            </w:r>
            <w:r>
              <w:rPr>
                <w:color w:val="000000"/>
                <w:sz w:val="24"/>
              </w:rPr>
              <w:t>光大银行</w:t>
            </w:r>
            <w:r>
              <w:rPr>
                <w:color w:val="000000"/>
                <w:sz w:val="24"/>
              </w:rPr>
              <w:t>CD304</w:t>
            </w:r>
          </w:p>
        </w:tc>
        <w:tc>
          <w:tcPr>
            <w:tcW w:w="0" w:type="auto"/>
            <w:vAlign w:val="center"/>
          </w:tcPr>
          <w:p w:rsidR="002F6DDD" w:rsidRDefault="001105AF">
            <w:pPr>
              <w:jc w:val="right"/>
            </w:pPr>
            <w:r>
              <w:rPr>
                <w:color w:val="000000"/>
                <w:sz w:val="24"/>
              </w:rPr>
              <w:t>100,000</w:t>
            </w:r>
          </w:p>
        </w:tc>
        <w:tc>
          <w:tcPr>
            <w:tcW w:w="0" w:type="auto"/>
            <w:vAlign w:val="center"/>
          </w:tcPr>
          <w:p w:rsidR="002F6DDD" w:rsidRDefault="001105AF">
            <w:pPr>
              <w:jc w:val="right"/>
            </w:pPr>
            <w:r>
              <w:rPr>
                <w:color w:val="000000"/>
                <w:sz w:val="24"/>
              </w:rPr>
              <w:t>9,895,964.82</w:t>
            </w:r>
          </w:p>
        </w:tc>
        <w:tc>
          <w:tcPr>
            <w:tcW w:w="0" w:type="auto"/>
            <w:vAlign w:val="center"/>
          </w:tcPr>
          <w:p w:rsidR="002F6DDD" w:rsidRDefault="001105AF">
            <w:pPr>
              <w:jc w:val="right"/>
            </w:pPr>
            <w:r>
              <w:rPr>
                <w:color w:val="000000"/>
                <w:sz w:val="24"/>
              </w:rPr>
              <w:t>9.79</w:t>
            </w:r>
          </w:p>
        </w:tc>
      </w:tr>
      <w:tr w:rsidR="002F6DDD">
        <w:trPr>
          <w:jc w:val="center"/>
        </w:trPr>
        <w:tc>
          <w:tcPr>
            <w:tcW w:w="0" w:type="auto"/>
            <w:vAlign w:val="center"/>
          </w:tcPr>
          <w:p w:rsidR="002F6DDD" w:rsidRDefault="001105AF">
            <w:pPr>
              <w:jc w:val="center"/>
            </w:pPr>
            <w:r>
              <w:rPr>
                <w:color w:val="000000"/>
                <w:sz w:val="24"/>
              </w:rPr>
              <w:t>3</w:t>
            </w:r>
          </w:p>
        </w:tc>
        <w:tc>
          <w:tcPr>
            <w:tcW w:w="0" w:type="auto"/>
            <w:vAlign w:val="center"/>
          </w:tcPr>
          <w:p w:rsidR="002F6DDD" w:rsidRDefault="001105AF">
            <w:pPr>
              <w:jc w:val="center"/>
            </w:pPr>
            <w:r>
              <w:rPr>
                <w:color w:val="000000"/>
                <w:sz w:val="24"/>
              </w:rPr>
              <w:t>108601</w:t>
            </w:r>
          </w:p>
        </w:tc>
        <w:tc>
          <w:tcPr>
            <w:tcW w:w="0" w:type="auto"/>
            <w:vAlign w:val="center"/>
          </w:tcPr>
          <w:p w:rsidR="002F6DDD" w:rsidRDefault="001105AF">
            <w:pPr>
              <w:jc w:val="center"/>
            </w:pPr>
            <w:r>
              <w:rPr>
                <w:color w:val="000000"/>
                <w:sz w:val="24"/>
              </w:rPr>
              <w:t>国开</w:t>
            </w:r>
            <w:r>
              <w:rPr>
                <w:color w:val="000000"/>
                <w:sz w:val="24"/>
              </w:rPr>
              <w:t>1703</w:t>
            </w:r>
          </w:p>
        </w:tc>
        <w:tc>
          <w:tcPr>
            <w:tcW w:w="0" w:type="auto"/>
            <w:vAlign w:val="center"/>
          </w:tcPr>
          <w:p w:rsidR="002F6DDD" w:rsidRDefault="001105AF">
            <w:pPr>
              <w:jc w:val="right"/>
            </w:pPr>
            <w:r>
              <w:rPr>
                <w:color w:val="000000"/>
                <w:sz w:val="24"/>
              </w:rPr>
              <w:t>51,000</w:t>
            </w:r>
          </w:p>
        </w:tc>
        <w:tc>
          <w:tcPr>
            <w:tcW w:w="0" w:type="auto"/>
            <w:vAlign w:val="center"/>
          </w:tcPr>
          <w:p w:rsidR="002F6DDD" w:rsidRDefault="001105AF">
            <w:pPr>
              <w:jc w:val="right"/>
            </w:pPr>
            <w:r>
              <w:rPr>
                <w:color w:val="000000"/>
                <w:sz w:val="24"/>
              </w:rPr>
              <w:t>5,100,464.87</w:t>
            </w:r>
          </w:p>
        </w:tc>
        <w:tc>
          <w:tcPr>
            <w:tcW w:w="0" w:type="auto"/>
            <w:vAlign w:val="center"/>
          </w:tcPr>
          <w:p w:rsidR="002F6DDD" w:rsidRDefault="001105AF">
            <w:pPr>
              <w:jc w:val="right"/>
            </w:pPr>
            <w:r>
              <w:rPr>
                <w:color w:val="000000"/>
                <w:sz w:val="24"/>
              </w:rPr>
              <w:t>5.04</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0.0365%</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-0.0036%</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1105AF">
            <w:pPr>
              <w:spacing w:before="29" w:line="288" w:lineRule="auto"/>
              <w:jc w:val="right"/>
              <w:rPr>
                <w:sz w:val="24"/>
              </w:rPr>
            </w:pPr>
            <w:r w:rsidRPr="000E4C40">
              <w:rPr>
                <w:color w:val="000000"/>
                <w:sz w:val="24"/>
              </w:rPr>
              <w:t>0.00</w:t>
            </w:r>
            <w:r w:rsidR="00046F9D">
              <w:rPr>
                <w:color w:val="000000"/>
                <w:sz w:val="24"/>
              </w:rPr>
              <w:t>3</w:t>
            </w:r>
            <w:r w:rsidR="001105AF">
              <w:rPr>
                <w:color w:val="000000"/>
                <w:sz w:val="24"/>
              </w:rPr>
              <w:t>9</w:t>
            </w:r>
            <w:r w:rsidRPr="000E4C40">
              <w:rPr>
                <w:color w:val="000000"/>
                <w:sz w:val="24"/>
              </w:rPr>
              <w:t>%</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222.95</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591,285.15</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591,508.10</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交银天运宝货币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交银天运宝货币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18,592.20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220,236,037.83</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518,932.56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1,045,948.98</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379,104.91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120,307,944.30</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158,419.85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100,974,042.51</w:t>
            </w:r>
          </w:p>
        </w:tc>
      </w:tr>
    </w:tbl>
    <w:p w:rsidR="002F6DDD" w:rsidRDefault="001105A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w:t>
      </w:r>
      <w:r w:rsidR="00AB7AB4">
        <w:rPr>
          <w:color w:val="000000"/>
          <w:sz w:val="24"/>
        </w:rPr>
        <w:t xml:space="preserve">   </w:t>
      </w:r>
      <w:r w:rsidRPr="000E4C40">
        <w:rPr>
          <w:color w:val="000000"/>
          <w:sz w:val="24"/>
        </w:rPr>
        <w:t>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2F6DDD">
        <w:tc>
          <w:tcPr>
            <w:tcW w:w="992" w:type="dxa"/>
            <w:vMerge w:val="restart"/>
          </w:tcPr>
          <w:p w:rsidR="002F6DDD" w:rsidRDefault="002F6DDD"/>
          <w:p w:rsidR="002F6DDD" w:rsidRDefault="001105AF">
            <w:r>
              <w:rPr>
                <w:rFonts w:ascii="宋体" w:hAnsi="宋体" w:hint="eastAsia"/>
                <w:bCs/>
                <w:color w:val="000000"/>
                <w:kern w:val="0"/>
                <w:szCs w:val="21"/>
              </w:rPr>
              <w:t>机构</w:t>
            </w:r>
          </w:p>
        </w:tc>
        <w:tc>
          <w:tcPr>
            <w:tcW w:w="991" w:type="dxa"/>
            <w:vAlign w:val="center"/>
          </w:tcPr>
          <w:p w:rsidR="002F6DDD" w:rsidRDefault="001105AF">
            <w:pPr>
              <w:jc w:val="center"/>
            </w:pPr>
            <w:r>
              <w:rPr>
                <w:rFonts w:ascii="宋体" w:hAnsi="宋体" w:hint="eastAsia"/>
                <w:color w:val="000000"/>
                <w:kern w:val="0"/>
                <w:szCs w:val="21"/>
              </w:rPr>
              <w:t>1</w:t>
            </w:r>
          </w:p>
        </w:tc>
        <w:tc>
          <w:tcPr>
            <w:tcW w:w="1843" w:type="dxa"/>
            <w:vAlign w:val="center"/>
          </w:tcPr>
          <w:p w:rsidR="002F6DDD" w:rsidRDefault="001105AF">
            <w:pPr>
              <w:jc w:val="center"/>
            </w:pPr>
            <w:r>
              <w:rPr>
                <w:rFonts w:ascii="宋体" w:hAnsi="宋体" w:hint="eastAsia"/>
                <w:color w:val="000000"/>
                <w:kern w:val="0"/>
                <w:szCs w:val="21"/>
              </w:rPr>
              <w:t>2018/1/1-2018/3/31</w:t>
            </w:r>
          </w:p>
        </w:tc>
        <w:tc>
          <w:tcPr>
            <w:tcW w:w="851" w:type="dxa"/>
            <w:vAlign w:val="center"/>
          </w:tcPr>
          <w:p w:rsidR="002F6DDD" w:rsidRDefault="001105AF">
            <w:pPr>
              <w:jc w:val="center"/>
            </w:pPr>
            <w:r>
              <w:rPr>
                <w:rFonts w:ascii="宋体" w:hAnsi="宋体" w:hint="eastAsia"/>
                <w:color w:val="000000"/>
                <w:kern w:val="0"/>
                <w:szCs w:val="21"/>
              </w:rPr>
              <w:t>110,004,950.00</w:t>
            </w:r>
          </w:p>
        </w:tc>
        <w:tc>
          <w:tcPr>
            <w:tcW w:w="850" w:type="dxa"/>
            <w:vAlign w:val="center"/>
          </w:tcPr>
          <w:p w:rsidR="002F6DDD" w:rsidRDefault="001105AF">
            <w:pPr>
              <w:jc w:val="center"/>
            </w:pPr>
            <w:r>
              <w:rPr>
                <w:rFonts w:ascii="宋体" w:hAnsi="宋体" w:hint="eastAsia"/>
                <w:color w:val="000000"/>
                <w:kern w:val="0"/>
                <w:szCs w:val="21"/>
              </w:rPr>
              <w:t>615,865.91</w:t>
            </w:r>
          </w:p>
        </w:tc>
        <w:tc>
          <w:tcPr>
            <w:tcW w:w="1134" w:type="dxa"/>
            <w:vAlign w:val="center"/>
          </w:tcPr>
          <w:p w:rsidR="002F6DDD" w:rsidRDefault="001105AF">
            <w:pPr>
              <w:jc w:val="center"/>
            </w:pPr>
            <w:r>
              <w:rPr>
                <w:rFonts w:ascii="宋体" w:hAnsi="宋体" w:hint="eastAsia"/>
                <w:color w:val="000000"/>
                <w:kern w:val="0"/>
                <w:szCs w:val="21"/>
              </w:rPr>
              <w:t>60,140,210.32</w:t>
            </w:r>
          </w:p>
        </w:tc>
        <w:tc>
          <w:tcPr>
            <w:tcW w:w="1419" w:type="dxa"/>
            <w:vAlign w:val="center"/>
          </w:tcPr>
          <w:p w:rsidR="002F6DDD" w:rsidRDefault="001105AF">
            <w:pPr>
              <w:jc w:val="center"/>
            </w:pPr>
            <w:r>
              <w:rPr>
                <w:rFonts w:ascii="宋体" w:hAnsi="宋体" w:hint="eastAsia"/>
                <w:color w:val="000000"/>
                <w:kern w:val="0"/>
                <w:szCs w:val="21"/>
              </w:rPr>
              <w:t>50,480,605.59</w:t>
            </w:r>
          </w:p>
        </w:tc>
        <w:tc>
          <w:tcPr>
            <w:tcW w:w="1130" w:type="dxa"/>
            <w:vAlign w:val="center"/>
          </w:tcPr>
          <w:p w:rsidR="002F6DDD" w:rsidRDefault="001105AF">
            <w:pPr>
              <w:jc w:val="center"/>
            </w:pPr>
            <w:r>
              <w:rPr>
                <w:rFonts w:ascii="宋体" w:hAnsi="宋体" w:hint="eastAsia"/>
                <w:color w:val="000000"/>
                <w:kern w:val="0"/>
                <w:szCs w:val="21"/>
              </w:rPr>
              <w:t>49.92%</w:t>
            </w:r>
          </w:p>
        </w:tc>
      </w:tr>
      <w:tr w:rsidR="002F6DDD">
        <w:tc>
          <w:tcPr>
            <w:tcW w:w="992" w:type="dxa"/>
            <w:vMerge/>
          </w:tcPr>
          <w:p w:rsidR="002F6DDD" w:rsidRDefault="002F6DDD"/>
        </w:tc>
        <w:tc>
          <w:tcPr>
            <w:tcW w:w="991" w:type="dxa"/>
            <w:vAlign w:val="center"/>
          </w:tcPr>
          <w:p w:rsidR="002F6DDD" w:rsidRDefault="001105AF">
            <w:pPr>
              <w:jc w:val="center"/>
            </w:pPr>
            <w:r>
              <w:rPr>
                <w:rFonts w:ascii="宋体" w:hAnsi="宋体" w:hint="eastAsia"/>
                <w:color w:val="000000"/>
                <w:kern w:val="0"/>
                <w:szCs w:val="21"/>
              </w:rPr>
              <w:t>2</w:t>
            </w:r>
          </w:p>
        </w:tc>
        <w:tc>
          <w:tcPr>
            <w:tcW w:w="1843" w:type="dxa"/>
            <w:vAlign w:val="center"/>
          </w:tcPr>
          <w:p w:rsidR="002F6DDD" w:rsidRDefault="001105AF">
            <w:pPr>
              <w:jc w:val="center"/>
            </w:pPr>
            <w:r>
              <w:rPr>
                <w:rFonts w:ascii="宋体" w:hAnsi="宋体" w:hint="eastAsia"/>
                <w:color w:val="000000"/>
                <w:kern w:val="0"/>
                <w:szCs w:val="21"/>
              </w:rPr>
              <w:t>2018/1/1-2018/3/31</w:t>
            </w:r>
          </w:p>
        </w:tc>
        <w:tc>
          <w:tcPr>
            <w:tcW w:w="851" w:type="dxa"/>
            <w:vAlign w:val="center"/>
          </w:tcPr>
          <w:p w:rsidR="002F6DDD" w:rsidRDefault="001105AF">
            <w:pPr>
              <w:jc w:val="center"/>
            </w:pPr>
            <w:r>
              <w:rPr>
                <w:rFonts w:ascii="宋体" w:hAnsi="宋体" w:hint="eastAsia"/>
                <w:color w:val="000000"/>
                <w:kern w:val="0"/>
                <w:szCs w:val="21"/>
              </w:rPr>
              <w:t>50,002,250.00</w:t>
            </w:r>
          </w:p>
        </w:tc>
        <w:tc>
          <w:tcPr>
            <w:tcW w:w="850" w:type="dxa"/>
            <w:vAlign w:val="center"/>
          </w:tcPr>
          <w:p w:rsidR="002F6DDD" w:rsidRDefault="001105AF">
            <w:pPr>
              <w:jc w:val="center"/>
            </w:pPr>
            <w:r>
              <w:rPr>
                <w:rFonts w:ascii="宋体" w:hAnsi="宋体" w:hint="eastAsia"/>
                <w:color w:val="000000"/>
                <w:kern w:val="0"/>
                <w:szCs w:val="21"/>
              </w:rPr>
              <w:t>478,354.95</w:t>
            </w:r>
          </w:p>
        </w:tc>
        <w:tc>
          <w:tcPr>
            <w:tcW w:w="1134" w:type="dxa"/>
            <w:vAlign w:val="center"/>
          </w:tcPr>
          <w:p w:rsidR="002F6DDD" w:rsidRDefault="001105AF">
            <w:pPr>
              <w:jc w:val="center"/>
            </w:pPr>
            <w:r>
              <w:rPr>
                <w:rFonts w:ascii="宋体" w:hAnsi="宋体" w:hint="eastAsia"/>
                <w:color w:val="000000"/>
                <w:kern w:val="0"/>
                <w:szCs w:val="21"/>
              </w:rPr>
              <w:t>-</w:t>
            </w:r>
          </w:p>
        </w:tc>
        <w:tc>
          <w:tcPr>
            <w:tcW w:w="1419" w:type="dxa"/>
            <w:vAlign w:val="center"/>
          </w:tcPr>
          <w:p w:rsidR="002F6DDD" w:rsidRDefault="001105AF">
            <w:pPr>
              <w:jc w:val="center"/>
            </w:pPr>
            <w:r>
              <w:rPr>
                <w:rFonts w:ascii="宋体" w:hAnsi="宋体" w:hint="eastAsia"/>
                <w:color w:val="000000"/>
                <w:kern w:val="0"/>
                <w:szCs w:val="21"/>
              </w:rPr>
              <w:t>50,480,604.95</w:t>
            </w:r>
          </w:p>
        </w:tc>
        <w:tc>
          <w:tcPr>
            <w:tcW w:w="1130" w:type="dxa"/>
            <w:vAlign w:val="center"/>
          </w:tcPr>
          <w:p w:rsidR="002F6DDD" w:rsidRDefault="001105AF">
            <w:pPr>
              <w:jc w:val="center"/>
            </w:pPr>
            <w:r>
              <w:rPr>
                <w:rFonts w:ascii="宋体" w:hAnsi="宋体" w:hint="eastAsia"/>
                <w:color w:val="000000"/>
                <w:kern w:val="0"/>
                <w:szCs w:val="21"/>
              </w:rPr>
              <w:t>49.92%</w:t>
            </w:r>
          </w:p>
        </w:tc>
      </w:tr>
      <w:tr w:rsidR="003D1E1A" w:rsidRPr="001A5CDF"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Pr="001A5CDF" w:rsidRDefault="003D1E1A">
            <w:pPr>
              <w:autoSpaceDE w:val="0"/>
              <w:autoSpaceDN w:val="0"/>
              <w:adjustRightInd w:val="0"/>
              <w:jc w:val="center"/>
              <w:rPr>
                <w:rFonts w:ascii="宋体" w:hAnsi="宋体"/>
                <w:kern w:val="0"/>
                <w:sz w:val="24"/>
              </w:rPr>
            </w:pPr>
            <w:r w:rsidRPr="001A5CDF">
              <w:rPr>
                <w:rFonts w:ascii="宋体" w:hAnsi="宋体" w:hint="eastAsia"/>
                <w:color w:val="000000"/>
                <w:kern w:val="0"/>
                <w:sz w:val="24"/>
              </w:rPr>
              <w:t>产品特有风险</w:t>
            </w:r>
          </w:p>
        </w:tc>
      </w:tr>
      <w:tr w:rsidR="003D1E1A" w:rsidRPr="001A5CDF"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Pr="001A5CDF" w:rsidRDefault="003D1E1A">
            <w:pPr>
              <w:autoSpaceDE w:val="0"/>
              <w:autoSpaceDN w:val="0"/>
              <w:adjustRightInd w:val="0"/>
              <w:jc w:val="left"/>
              <w:rPr>
                <w:rFonts w:ascii="宋体" w:hAnsi="宋体"/>
                <w:kern w:val="0"/>
                <w:sz w:val="24"/>
              </w:rPr>
            </w:pPr>
            <w:r w:rsidRPr="001A5CDF">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CDF" w:rsidRPr="001A5CDF" w:rsidRDefault="001A5CDF" w:rsidP="003D1E1A">
      <w:pPr>
        <w:autoSpaceDE w:val="0"/>
        <w:autoSpaceDN w:val="0"/>
        <w:adjustRightInd w:val="0"/>
        <w:spacing w:line="360" w:lineRule="auto"/>
        <w:jc w:val="left"/>
        <w:rPr>
          <w:rFonts w:ascii="宋体" w:hAnsi="宋体"/>
          <w:b/>
          <w:bCs/>
          <w:color w:val="000000"/>
          <w:kern w:val="0"/>
          <w:sz w:val="24"/>
        </w:rPr>
      </w:pPr>
    </w:p>
    <w:p w:rsidR="003D1E1A" w:rsidRPr="001A5CDF" w:rsidRDefault="003D1E1A" w:rsidP="003D1E1A">
      <w:pPr>
        <w:autoSpaceDE w:val="0"/>
        <w:autoSpaceDN w:val="0"/>
        <w:adjustRightInd w:val="0"/>
        <w:spacing w:line="360" w:lineRule="auto"/>
        <w:jc w:val="left"/>
        <w:rPr>
          <w:rFonts w:ascii="宋体" w:hAnsi="宋体"/>
          <w:b/>
          <w:bCs/>
          <w:color w:val="000000"/>
          <w:kern w:val="0"/>
          <w:sz w:val="24"/>
        </w:rPr>
      </w:pPr>
      <w:r w:rsidRPr="001A5CDF">
        <w:rPr>
          <w:rFonts w:ascii="宋体" w:hAnsi="宋体" w:hint="eastAsia"/>
          <w:b/>
          <w:bCs/>
          <w:color w:val="000000"/>
          <w:kern w:val="0"/>
          <w:sz w:val="24"/>
        </w:rPr>
        <w:t>8.2 影响投资者决策的其他重要信息</w:t>
      </w:r>
    </w:p>
    <w:p w:rsidR="003D1E1A" w:rsidRPr="001A5CDF" w:rsidRDefault="003D1E1A" w:rsidP="003D1E1A">
      <w:pPr>
        <w:spacing w:line="360" w:lineRule="auto"/>
        <w:ind w:firstLineChars="200" w:firstLine="480"/>
        <w:rPr>
          <w:rFonts w:ascii="宋体" w:hAnsi="宋体"/>
          <w:color w:val="000000"/>
          <w:sz w:val="24"/>
        </w:rPr>
      </w:pPr>
      <w:r w:rsidRPr="001A5CDF">
        <w:rPr>
          <w:rFonts w:ascii="宋体" w:hAnsi="宋体" w:hint="eastAsia"/>
          <w:color w:val="000000"/>
          <w:sz w:val="24"/>
        </w:rPr>
        <w:t>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1B3FBF" w:rsidRPr="000E4C40" w:rsidRDefault="001B3FBF" w:rsidP="00281564">
      <w:pPr>
        <w:spacing w:before="29" w:line="288" w:lineRule="auto"/>
        <w:ind w:firstLineChars="200" w:firstLine="480"/>
        <w:rPr>
          <w:color w:val="000000"/>
          <w:sz w:val="24"/>
        </w:rPr>
      </w:pPr>
    </w:p>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2F6DDD" w:rsidRDefault="001105AF">
      <w:pPr>
        <w:spacing w:before="29" w:line="288" w:lineRule="auto"/>
        <w:ind w:firstLineChars="200" w:firstLine="480"/>
        <w:rPr>
          <w:color w:val="000000"/>
          <w:sz w:val="24"/>
        </w:rPr>
      </w:pPr>
      <w:r>
        <w:rPr>
          <w:color w:val="000000"/>
          <w:sz w:val="24"/>
        </w:rPr>
        <w:t>1</w:t>
      </w:r>
      <w:r>
        <w:rPr>
          <w:color w:val="000000"/>
          <w:sz w:val="24"/>
        </w:rPr>
        <w:t>、中国证监会准予交银施罗德天运宝货币市场基金募集注册的文件；</w:t>
      </w:r>
      <w:r>
        <w:rPr>
          <w:color w:val="000000"/>
          <w:sz w:val="24"/>
        </w:rPr>
        <w:t xml:space="preserve"> </w:t>
      </w:r>
    </w:p>
    <w:p w:rsidR="002F6DDD" w:rsidRDefault="001105AF">
      <w:pPr>
        <w:spacing w:before="29" w:line="288" w:lineRule="auto"/>
        <w:ind w:firstLineChars="200" w:firstLine="480"/>
        <w:rPr>
          <w:color w:val="000000"/>
          <w:sz w:val="24"/>
        </w:rPr>
      </w:pPr>
      <w:r>
        <w:rPr>
          <w:color w:val="000000"/>
          <w:sz w:val="24"/>
        </w:rPr>
        <w:t>2</w:t>
      </w:r>
      <w:r>
        <w:rPr>
          <w:color w:val="000000"/>
          <w:sz w:val="24"/>
        </w:rPr>
        <w:t>、《交银施罗德天运宝货币市场基金基金合同》；</w:t>
      </w:r>
      <w:r>
        <w:rPr>
          <w:color w:val="000000"/>
          <w:sz w:val="24"/>
        </w:rPr>
        <w:t xml:space="preserve"> </w:t>
      </w:r>
    </w:p>
    <w:p w:rsidR="002F6DDD" w:rsidRDefault="001105AF">
      <w:pPr>
        <w:spacing w:before="29" w:line="288" w:lineRule="auto"/>
        <w:ind w:firstLineChars="200" w:firstLine="480"/>
        <w:rPr>
          <w:color w:val="000000"/>
          <w:sz w:val="24"/>
        </w:rPr>
      </w:pPr>
      <w:r>
        <w:rPr>
          <w:color w:val="000000"/>
          <w:sz w:val="24"/>
        </w:rPr>
        <w:t>3</w:t>
      </w:r>
      <w:r>
        <w:rPr>
          <w:color w:val="000000"/>
          <w:sz w:val="24"/>
        </w:rPr>
        <w:t>、《交银施罗德天运宝货币市场基金招募说明书》；</w:t>
      </w:r>
      <w:r>
        <w:rPr>
          <w:color w:val="000000"/>
          <w:sz w:val="24"/>
        </w:rPr>
        <w:t xml:space="preserve"> </w:t>
      </w:r>
    </w:p>
    <w:p w:rsidR="002F6DDD" w:rsidRDefault="001105AF">
      <w:pPr>
        <w:spacing w:before="29" w:line="288" w:lineRule="auto"/>
        <w:ind w:firstLineChars="200" w:firstLine="480"/>
        <w:rPr>
          <w:color w:val="000000"/>
          <w:sz w:val="24"/>
        </w:rPr>
      </w:pPr>
      <w:r>
        <w:rPr>
          <w:color w:val="000000"/>
          <w:sz w:val="24"/>
        </w:rPr>
        <w:t>4</w:t>
      </w:r>
      <w:r>
        <w:rPr>
          <w:color w:val="000000"/>
          <w:sz w:val="24"/>
        </w:rPr>
        <w:t>、《交银施罗德天运宝货币市场基金托管协议》；</w:t>
      </w:r>
      <w:r>
        <w:rPr>
          <w:color w:val="000000"/>
          <w:sz w:val="24"/>
        </w:rPr>
        <w:t xml:space="preserve"> </w:t>
      </w:r>
    </w:p>
    <w:p w:rsidR="002F6DDD" w:rsidRDefault="001105AF">
      <w:pPr>
        <w:spacing w:before="29" w:line="288" w:lineRule="auto"/>
        <w:ind w:firstLineChars="200" w:firstLine="480"/>
        <w:rPr>
          <w:color w:val="000000"/>
          <w:sz w:val="24"/>
        </w:rPr>
      </w:pPr>
      <w:r>
        <w:rPr>
          <w:color w:val="000000"/>
          <w:sz w:val="24"/>
        </w:rPr>
        <w:t>5</w:t>
      </w:r>
      <w:r>
        <w:rPr>
          <w:color w:val="000000"/>
          <w:sz w:val="24"/>
        </w:rPr>
        <w:t>、关于申请募集注册交银施罗德天运宝货币市场基金的法律意见书；</w:t>
      </w:r>
      <w:r>
        <w:rPr>
          <w:color w:val="000000"/>
          <w:sz w:val="24"/>
        </w:rPr>
        <w:t xml:space="preserve"> </w:t>
      </w:r>
    </w:p>
    <w:p w:rsidR="002F6DDD" w:rsidRDefault="001105AF">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2F6DDD" w:rsidRDefault="001105AF">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、报告期内交银施罗德天运宝货币市场基金在指定报刊上各项公告的原稿。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2F6DDD" w:rsidRDefault="001105AF">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2F6DDD" w:rsidRDefault="001105AF">
      <w:pPr>
        <w:spacing w:before="29" w:line="288" w:lineRule="auto"/>
        <w:ind w:firstLineChars="200" w:firstLine="480"/>
        <w:rPr>
          <w:color w:val="000000"/>
          <w:sz w:val="24"/>
        </w:rPr>
      </w:pPr>
      <w:r>
        <w:rPr>
          <w:color w:val="000000"/>
          <w:sz w:val="24"/>
        </w:rPr>
        <w:t>投资者对本报告书如有疑问，可咨询本基金管理人交银施罗德基金管理有限公司。本公司客户服务中心电话：</w:t>
      </w:r>
      <w:r>
        <w:rPr>
          <w:color w:val="000000"/>
          <w:sz w:val="24"/>
        </w:rPr>
        <w:t>400-700-5000</w:t>
      </w:r>
      <w:r>
        <w:rPr>
          <w:color w:val="000000"/>
          <w:sz w:val="24"/>
        </w:rPr>
        <w:t>（免长途话费），</w:t>
      </w:r>
      <w:r>
        <w:rPr>
          <w:color w:val="000000"/>
          <w:sz w:val="24"/>
        </w:rPr>
        <w:t>021-61055000</w:t>
      </w:r>
      <w:r>
        <w:rPr>
          <w:color w:val="000000"/>
          <w:sz w:val="24"/>
        </w:rPr>
        <w:t>，电子邮件：</w:t>
      </w:r>
      <w:r>
        <w:rPr>
          <w:color w:val="000000"/>
          <w:sz w:val="24"/>
        </w:rPr>
        <w:t>services@jysld.com</w:t>
      </w:r>
      <w:r>
        <w:rPr>
          <w:color w:val="000000"/>
          <w:sz w:val="24"/>
        </w:rPr>
        <w:t>。</w:t>
      </w:r>
    </w:p>
    <w:p w:rsidR="009D74FC" w:rsidRPr="000E4C40" w:rsidRDefault="00AB373C" w:rsidP="00281564">
      <w:pPr>
        <w:spacing w:before="29" w:line="288" w:lineRule="auto"/>
        <w:ind w:firstLineChars="200" w:firstLine="480"/>
        <w:rPr>
          <w:color w:val="000000"/>
          <w:sz w:val="24"/>
        </w:rPr>
      </w:pPr>
      <w:r w:rsidRPr="000E4C40">
        <w:rPr>
          <w:color w:val="000000"/>
          <w:sz w:val="24"/>
        </w:rPr>
        <w:t xml:space="preserve"> </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627" w:rsidRDefault="000A1627">
      <w:r>
        <w:separator/>
      </w:r>
    </w:p>
  </w:endnote>
  <w:endnote w:type="continuationSeparator" w:id="0">
    <w:p w:rsidR="000A1627" w:rsidRDefault="000A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365804">
      <w:rPr>
        <w:noProof/>
        <w:kern w:val="0"/>
        <w:szCs w:val="21"/>
      </w:rPr>
      <w:t>3</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365804">
      <w:rPr>
        <w:noProof/>
        <w:kern w:val="0"/>
        <w:szCs w:val="21"/>
      </w:rPr>
      <w:t>14</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627" w:rsidRDefault="000A1627">
      <w:r>
        <w:separator/>
      </w:r>
    </w:p>
  </w:footnote>
  <w:footnote w:type="continuationSeparator" w:id="0">
    <w:p w:rsidR="000A1627" w:rsidRDefault="000A16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841EB4" w:rsidRDefault="00841EB4" w:rsidP="008379E2">
    <w:pPr>
      <w:pStyle w:val="a4"/>
      <w:pBdr>
        <w:bottom w:val="single" w:sz="6" w:space="0" w:color="auto"/>
      </w:pBdr>
      <w:jc w:val="right"/>
      <w:rPr>
        <w:sz w:val="24"/>
        <w:szCs w:val="24"/>
      </w:rPr>
    </w:pPr>
    <w:r w:rsidRPr="003E676C">
      <w:rPr>
        <w:sz w:val="24"/>
        <w:szCs w:val="24"/>
      </w:rPr>
      <w:t>交银施罗德天运宝货币市场基金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46F9D"/>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627"/>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05AF"/>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A5CDF"/>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089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2F6DDD"/>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65804"/>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1BBB"/>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227E"/>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6623E"/>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B7AB4"/>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3129E29F-15E9-4E7D-A9B0-020133C7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5EC9A09-D41C-4185-B69E-D95B4C651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546</TotalTime>
  <Pages>14</Pages>
  <Words>1218</Words>
  <Characters>6943</Characters>
  <Application>Microsoft Office Word</Application>
  <DocSecurity>0</DocSecurity>
  <Lines>57</Lines>
  <Paragraphs>16</Paragraphs>
  <ScaleCrop>false</ScaleCrop>
  <Company>jysld</Company>
  <LinksUpToDate>false</LinksUpToDate>
  <CharactersWithSpaces>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321</cp:revision>
  <cp:lastPrinted>2009-01-22T10:11:00Z</cp:lastPrinted>
  <dcterms:created xsi:type="dcterms:W3CDTF">2012-11-21T05:49:00Z</dcterms:created>
  <dcterms:modified xsi:type="dcterms:W3CDTF">2018-04-19T01:41:00Z</dcterms:modified>
</cp:coreProperties>
</file>