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D161F" w:rsidRDefault="00A12FE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200,452,032.14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21043" w:rsidRPr="00414345" w:rsidTr="00C2104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21043" w:rsidRPr="00414345" w:rsidTr="00C210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4,424,795.45</w:t>
            </w:r>
          </w:p>
        </w:tc>
      </w:tr>
      <w:tr w:rsidR="00C21043" w:rsidRPr="00414345" w:rsidTr="00C210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8,813,527.52</w:t>
            </w:r>
          </w:p>
        </w:tc>
      </w:tr>
      <w:tr w:rsidR="00C21043" w:rsidRPr="00414345" w:rsidTr="00C210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0.0357</w:t>
            </w:r>
          </w:p>
        </w:tc>
      </w:tr>
      <w:tr w:rsidR="00C21043" w:rsidRPr="00414345" w:rsidTr="00C210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209,130,893.94</w:t>
            </w:r>
          </w:p>
        </w:tc>
      </w:tr>
      <w:tr w:rsidR="00C21043" w:rsidRPr="00414345" w:rsidTr="00C2104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1.0433</w:t>
            </w:r>
          </w:p>
        </w:tc>
      </w:tr>
    </w:tbl>
    <w:p w:rsidR="002D161F" w:rsidRDefault="00A12F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D161F">
        <w:trPr>
          <w:jc w:val="center"/>
        </w:trPr>
        <w:tc>
          <w:tcPr>
            <w:tcW w:w="1701" w:type="dxa"/>
            <w:vAlign w:val="center"/>
          </w:tcPr>
          <w:p w:rsidR="002D161F" w:rsidRDefault="00A12FEA">
            <w:pPr>
              <w:jc w:val="left"/>
            </w:pPr>
            <w:r>
              <w:rPr>
                <w:color w:val="000000"/>
                <w:sz w:val="24"/>
                <w:szCs w:val="24"/>
              </w:rPr>
              <w:t>过去三个月</w:t>
            </w:r>
          </w:p>
        </w:tc>
        <w:tc>
          <w:tcPr>
            <w:tcW w:w="1045" w:type="dxa"/>
            <w:vAlign w:val="center"/>
          </w:tcPr>
          <w:p w:rsidR="002D161F" w:rsidRDefault="00A12FEA">
            <w:pPr>
              <w:jc w:val="center"/>
            </w:pPr>
            <w:r>
              <w:rPr>
                <w:color w:val="000000"/>
                <w:sz w:val="24"/>
                <w:szCs w:val="24"/>
              </w:rPr>
              <w:t>3.15%</w:t>
            </w:r>
          </w:p>
        </w:tc>
        <w:tc>
          <w:tcPr>
            <w:tcW w:w="1344" w:type="dxa"/>
            <w:vAlign w:val="center"/>
          </w:tcPr>
          <w:p w:rsidR="002D161F" w:rsidRDefault="00A12FEA">
            <w:pPr>
              <w:jc w:val="center"/>
            </w:pPr>
            <w:r>
              <w:rPr>
                <w:color w:val="000000"/>
                <w:sz w:val="24"/>
                <w:szCs w:val="24"/>
              </w:rPr>
              <w:t>0.60%</w:t>
            </w:r>
          </w:p>
        </w:tc>
        <w:tc>
          <w:tcPr>
            <w:tcW w:w="1194" w:type="dxa"/>
            <w:vAlign w:val="center"/>
          </w:tcPr>
          <w:p w:rsidR="002D161F" w:rsidRDefault="00A12FEA">
            <w:pPr>
              <w:jc w:val="center"/>
            </w:pPr>
            <w:r>
              <w:rPr>
                <w:color w:val="000000"/>
                <w:sz w:val="24"/>
                <w:szCs w:val="24"/>
              </w:rPr>
              <w:t>-0.03%</w:t>
            </w:r>
          </w:p>
        </w:tc>
        <w:tc>
          <w:tcPr>
            <w:tcW w:w="1492" w:type="dxa"/>
            <w:vAlign w:val="center"/>
          </w:tcPr>
          <w:p w:rsidR="002D161F" w:rsidRDefault="00A12FEA">
            <w:pPr>
              <w:jc w:val="center"/>
            </w:pPr>
            <w:r>
              <w:rPr>
                <w:color w:val="000000"/>
                <w:sz w:val="24"/>
                <w:szCs w:val="24"/>
              </w:rPr>
              <w:t>0.47%</w:t>
            </w:r>
          </w:p>
        </w:tc>
        <w:tc>
          <w:tcPr>
            <w:tcW w:w="1194" w:type="dxa"/>
            <w:vAlign w:val="center"/>
          </w:tcPr>
          <w:p w:rsidR="002D161F" w:rsidRDefault="00A12FEA">
            <w:pPr>
              <w:jc w:val="center"/>
            </w:pPr>
            <w:r>
              <w:rPr>
                <w:color w:val="000000"/>
                <w:sz w:val="24"/>
                <w:szCs w:val="24"/>
              </w:rPr>
              <w:t>3.18%</w:t>
            </w:r>
          </w:p>
        </w:tc>
        <w:tc>
          <w:tcPr>
            <w:tcW w:w="898" w:type="dxa"/>
            <w:vAlign w:val="center"/>
          </w:tcPr>
          <w:p w:rsidR="002D161F" w:rsidRDefault="00A12FEA">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D161F">
        <w:trPr>
          <w:jc w:val="center"/>
        </w:trPr>
        <w:tc>
          <w:tcPr>
            <w:tcW w:w="846" w:type="dxa"/>
            <w:vAlign w:val="center"/>
          </w:tcPr>
          <w:p w:rsidR="002D161F" w:rsidRDefault="00A12FEA">
            <w:pPr>
              <w:jc w:val="center"/>
            </w:pPr>
            <w:r>
              <w:rPr>
                <w:color w:val="000000"/>
                <w:sz w:val="24"/>
                <w:szCs w:val="24"/>
              </w:rPr>
              <w:t>盖婷婷</w:t>
            </w:r>
          </w:p>
        </w:tc>
        <w:tc>
          <w:tcPr>
            <w:tcW w:w="845" w:type="dxa"/>
            <w:vAlign w:val="center"/>
          </w:tcPr>
          <w:p w:rsidR="002D161F" w:rsidRDefault="00A12FEA">
            <w:pPr>
              <w:jc w:val="center"/>
            </w:pPr>
            <w:r>
              <w:rPr>
                <w:color w:val="000000"/>
                <w:sz w:val="24"/>
                <w:szCs w:val="24"/>
              </w:rPr>
              <w:t>交银消费新驱动股票、交银医药创新股票、交银恒益灵活配</w:t>
            </w:r>
            <w:r>
              <w:rPr>
                <w:color w:val="000000"/>
                <w:sz w:val="24"/>
                <w:szCs w:val="24"/>
              </w:rPr>
              <w:lastRenderedPageBreak/>
              <w:t>置混合的基金经理</w:t>
            </w:r>
          </w:p>
        </w:tc>
        <w:tc>
          <w:tcPr>
            <w:tcW w:w="1549" w:type="dxa"/>
            <w:vAlign w:val="center"/>
          </w:tcPr>
          <w:p w:rsidR="002D161F" w:rsidRDefault="00A12FEA">
            <w:pPr>
              <w:jc w:val="center"/>
            </w:pPr>
            <w:r>
              <w:rPr>
                <w:color w:val="000000"/>
                <w:sz w:val="24"/>
                <w:szCs w:val="24"/>
              </w:rPr>
              <w:lastRenderedPageBreak/>
              <w:t>2017-09-15</w:t>
            </w:r>
          </w:p>
        </w:tc>
        <w:tc>
          <w:tcPr>
            <w:tcW w:w="1548" w:type="dxa"/>
            <w:vAlign w:val="center"/>
          </w:tcPr>
          <w:p w:rsidR="002D161F" w:rsidRDefault="00A12FEA">
            <w:pPr>
              <w:jc w:val="center"/>
            </w:pPr>
            <w:r>
              <w:rPr>
                <w:color w:val="000000"/>
                <w:sz w:val="24"/>
                <w:szCs w:val="24"/>
              </w:rPr>
              <w:t>-</w:t>
            </w:r>
          </w:p>
        </w:tc>
        <w:tc>
          <w:tcPr>
            <w:tcW w:w="1407" w:type="dxa"/>
            <w:vAlign w:val="center"/>
          </w:tcPr>
          <w:p w:rsidR="002D161F" w:rsidRDefault="00A12FEA">
            <w:pPr>
              <w:jc w:val="center"/>
            </w:pPr>
            <w:r>
              <w:rPr>
                <w:color w:val="000000"/>
                <w:sz w:val="24"/>
                <w:szCs w:val="24"/>
              </w:rPr>
              <w:t>12</w:t>
            </w:r>
            <w:r>
              <w:rPr>
                <w:color w:val="000000"/>
                <w:sz w:val="24"/>
                <w:szCs w:val="24"/>
              </w:rPr>
              <w:t>年</w:t>
            </w:r>
          </w:p>
        </w:tc>
        <w:tc>
          <w:tcPr>
            <w:tcW w:w="2673" w:type="dxa"/>
            <w:vAlign w:val="center"/>
          </w:tcPr>
          <w:p w:rsidR="002D161F" w:rsidRDefault="00A12FEA">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D161F" w:rsidRDefault="00A12FE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D161F" w:rsidRDefault="00A12FE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D161F" w:rsidRDefault="00A12FE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D161F" w:rsidRDefault="00A12FEA">
      <w:pPr>
        <w:spacing w:before="29" w:line="288" w:lineRule="auto"/>
        <w:ind w:firstLineChars="200" w:firstLine="480"/>
        <w:rPr>
          <w:color w:val="000000"/>
          <w:sz w:val="24"/>
          <w:szCs w:val="24"/>
        </w:rPr>
      </w:pPr>
      <w:r>
        <w:rPr>
          <w:color w:val="000000"/>
          <w:sz w:val="24"/>
          <w:szCs w:val="24"/>
        </w:rPr>
        <w:lastRenderedPageBreak/>
        <w:t>2018</w:t>
      </w:r>
      <w:r>
        <w:rPr>
          <w:color w:val="000000"/>
          <w:sz w:val="24"/>
          <w:szCs w:val="24"/>
        </w:rPr>
        <w:t>年一季度市场波动较大，上证综指在一月份反弹之后，在二、三月份出现了明显的下跌。与此同时，创业板指在二月份调整结束后走出了独立行情，大盘股和小盘股完成了一次风格切换。以计算机和医药为代表的成长性行业，经过两年多时间的估值溢价消化，股价更加有吸引力，获得了资金的追捧，取得非常显著的超额收益。</w:t>
      </w:r>
    </w:p>
    <w:p w:rsidR="002D161F" w:rsidRDefault="00A12FEA">
      <w:pPr>
        <w:spacing w:before="29" w:line="288" w:lineRule="auto"/>
        <w:ind w:firstLineChars="200" w:firstLine="480"/>
        <w:rPr>
          <w:color w:val="000000"/>
          <w:sz w:val="24"/>
          <w:szCs w:val="24"/>
        </w:rPr>
      </w:pPr>
      <w:r>
        <w:rPr>
          <w:color w:val="000000"/>
          <w:sz w:val="24"/>
          <w:szCs w:val="24"/>
        </w:rPr>
        <w:t>本基金自</w:t>
      </w:r>
      <w:r>
        <w:rPr>
          <w:color w:val="000000"/>
          <w:sz w:val="24"/>
          <w:szCs w:val="24"/>
        </w:rPr>
        <w:t>2017</w:t>
      </w:r>
      <w:r>
        <w:rPr>
          <w:color w:val="000000"/>
          <w:sz w:val="24"/>
          <w:szCs w:val="24"/>
        </w:rPr>
        <w:t>年下半年开始逐渐增加成长股持仓，组合中医药等成长股持仓表现较好，整个一季度取得了一定的正收益。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预计成长股的风格仍然会延续，本基金将继续寻找医药、计算机等新兴成长股票择机配置，同时考虑到近期市场风格偏离度较大，一些基本面较好的大盘股调整较多，本基金也会逢低增加一些优质大盘股的配置力求保持组合的稳定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1.0433</w:t>
      </w:r>
      <w:r w:rsidRPr="00414345">
        <w:rPr>
          <w:color w:val="000000"/>
          <w:sz w:val="24"/>
          <w:szCs w:val="24"/>
        </w:rPr>
        <w:t>元，本报告期份额净值增长率为</w:t>
      </w:r>
      <w:r w:rsidRPr="00414345">
        <w:rPr>
          <w:color w:val="000000"/>
          <w:sz w:val="24"/>
          <w:szCs w:val="24"/>
        </w:rPr>
        <w:t>3.15%</w:t>
      </w:r>
      <w:r w:rsidRPr="00414345">
        <w:rPr>
          <w:color w:val="000000"/>
          <w:sz w:val="24"/>
          <w:szCs w:val="24"/>
        </w:rPr>
        <w:t>，同期业绩比较基准增长率为</w:t>
      </w:r>
      <w:r w:rsidRPr="00414345">
        <w:rPr>
          <w:color w:val="000000"/>
          <w:sz w:val="24"/>
          <w:szCs w:val="24"/>
        </w:rPr>
        <w:t>-0.03%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76,296,953.25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76,296,953.25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102,728,955.64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102,728,955.64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32,573,468.43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889,511.45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212,488,888.77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11,641,378.00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25,364,916.00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3,508,736.64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14,939,086.00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10,634,262.89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10,208,573.72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76,296,953.25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D161F">
        <w:trPr>
          <w:jc w:val="center"/>
        </w:trPr>
        <w:tc>
          <w:tcPr>
            <w:tcW w:w="855" w:type="dxa"/>
            <w:vAlign w:val="center"/>
          </w:tcPr>
          <w:p w:rsidR="002D161F" w:rsidRDefault="00A12FEA">
            <w:pPr>
              <w:jc w:val="center"/>
            </w:pPr>
            <w:r>
              <w:rPr>
                <w:color w:val="000000"/>
                <w:sz w:val="24"/>
                <w:szCs w:val="24"/>
              </w:rPr>
              <w:t>1</w:t>
            </w:r>
          </w:p>
        </w:tc>
        <w:tc>
          <w:tcPr>
            <w:tcW w:w="1334" w:type="dxa"/>
            <w:vAlign w:val="center"/>
          </w:tcPr>
          <w:p w:rsidR="002D161F" w:rsidRDefault="00A12FEA">
            <w:pPr>
              <w:jc w:val="center"/>
            </w:pPr>
            <w:r>
              <w:rPr>
                <w:color w:val="000000"/>
                <w:sz w:val="24"/>
                <w:szCs w:val="24"/>
              </w:rPr>
              <w:t>601939</w:t>
            </w:r>
          </w:p>
        </w:tc>
        <w:tc>
          <w:tcPr>
            <w:tcW w:w="1777" w:type="dxa"/>
            <w:vAlign w:val="center"/>
          </w:tcPr>
          <w:p w:rsidR="002D161F" w:rsidRDefault="00A12FEA">
            <w:pPr>
              <w:jc w:val="center"/>
            </w:pPr>
            <w:r>
              <w:rPr>
                <w:color w:val="000000"/>
                <w:sz w:val="24"/>
                <w:szCs w:val="24"/>
              </w:rPr>
              <w:t>建设银行</w:t>
            </w:r>
          </w:p>
        </w:tc>
        <w:tc>
          <w:tcPr>
            <w:tcW w:w="1334" w:type="dxa"/>
            <w:vAlign w:val="center"/>
          </w:tcPr>
          <w:p w:rsidR="002D161F" w:rsidRDefault="00A12FEA">
            <w:pPr>
              <w:jc w:val="right"/>
            </w:pPr>
            <w:r>
              <w:rPr>
                <w:color w:val="000000"/>
                <w:sz w:val="24"/>
                <w:szCs w:val="24"/>
              </w:rPr>
              <w:t>1,927,624</w:t>
            </w:r>
          </w:p>
        </w:tc>
        <w:tc>
          <w:tcPr>
            <w:tcW w:w="1924" w:type="dxa"/>
            <w:vAlign w:val="center"/>
          </w:tcPr>
          <w:p w:rsidR="002D161F" w:rsidRDefault="00A12FEA">
            <w:pPr>
              <w:jc w:val="right"/>
            </w:pPr>
            <w:r>
              <w:rPr>
                <w:color w:val="000000"/>
                <w:sz w:val="24"/>
                <w:szCs w:val="24"/>
              </w:rPr>
              <w:t>14,939,086.00</w:t>
            </w:r>
          </w:p>
        </w:tc>
        <w:tc>
          <w:tcPr>
            <w:tcW w:w="1644" w:type="dxa"/>
            <w:vAlign w:val="center"/>
          </w:tcPr>
          <w:p w:rsidR="002D161F" w:rsidRDefault="00A12FEA">
            <w:pPr>
              <w:jc w:val="right"/>
            </w:pPr>
            <w:r>
              <w:rPr>
                <w:color w:val="000000"/>
                <w:sz w:val="24"/>
                <w:szCs w:val="24"/>
              </w:rPr>
              <w:t>7.14</w:t>
            </w:r>
          </w:p>
        </w:tc>
      </w:tr>
      <w:tr w:rsidR="002D161F">
        <w:trPr>
          <w:jc w:val="center"/>
        </w:trPr>
        <w:tc>
          <w:tcPr>
            <w:tcW w:w="855" w:type="dxa"/>
            <w:vAlign w:val="center"/>
          </w:tcPr>
          <w:p w:rsidR="002D161F" w:rsidRDefault="00A12FEA">
            <w:pPr>
              <w:jc w:val="center"/>
            </w:pPr>
            <w:r>
              <w:rPr>
                <w:color w:val="000000"/>
                <w:sz w:val="24"/>
                <w:szCs w:val="24"/>
              </w:rPr>
              <w:t>2</w:t>
            </w:r>
          </w:p>
        </w:tc>
        <w:tc>
          <w:tcPr>
            <w:tcW w:w="1334" w:type="dxa"/>
            <w:vAlign w:val="center"/>
          </w:tcPr>
          <w:p w:rsidR="002D161F" w:rsidRDefault="00A12FEA">
            <w:pPr>
              <w:jc w:val="center"/>
            </w:pPr>
            <w:r>
              <w:rPr>
                <w:color w:val="000000"/>
                <w:sz w:val="24"/>
                <w:szCs w:val="24"/>
              </w:rPr>
              <w:t>603108</w:t>
            </w:r>
          </w:p>
        </w:tc>
        <w:tc>
          <w:tcPr>
            <w:tcW w:w="1777" w:type="dxa"/>
            <w:vAlign w:val="center"/>
          </w:tcPr>
          <w:p w:rsidR="002D161F" w:rsidRDefault="00A12FEA">
            <w:pPr>
              <w:jc w:val="center"/>
            </w:pPr>
            <w:r>
              <w:rPr>
                <w:color w:val="000000"/>
                <w:sz w:val="24"/>
                <w:szCs w:val="24"/>
              </w:rPr>
              <w:t>润达医疗</w:t>
            </w:r>
          </w:p>
        </w:tc>
        <w:tc>
          <w:tcPr>
            <w:tcW w:w="1334" w:type="dxa"/>
            <w:vAlign w:val="center"/>
          </w:tcPr>
          <w:p w:rsidR="002D161F" w:rsidRDefault="00A12FEA">
            <w:pPr>
              <w:jc w:val="right"/>
            </w:pPr>
            <w:r>
              <w:rPr>
                <w:color w:val="000000"/>
                <w:sz w:val="24"/>
                <w:szCs w:val="24"/>
              </w:rPr>
              <w:t>866,700</w:t>
            </w:r>
          </w:p>
        </w:tc>
        <w:tc>
          <w:tcPr>
            <w:tcW w:w="1924" w:type="dxa"/>
            <w:vAlign w:val="center"/>
          </w:tcPr>
          <w:p w:rsidR="002D161F" w:rsidRDefault="00A12FEA">
            <w:pPr>
              <w:jc w:val="right"/>
            </w:pPr>
            <w:r>
              <w:rPr>
                <w:color w:val="000000"/>
                <w:sz w:val="24"/>
                <w:szCs w:val="24"/>
              </w:rPr>
              <w:t>14,161,878.00</w:t>
            </w:r>
          </w:p>
        </w:tc>
        <w:tc>
          <w:tcPr>
            <w:tcW w:w="1644" w:type="dxa"/>
            <w:vAlign w:val="center"/>
          </w:tcPr>
          <w:p w:rsidR="002D161F" w:rsidRDefault="00A12FEA">
            <w:pPr>
              <w:jc w:val="right"/>
            </w:pPr>
            <w:r>
              <w:rPr>
                <w:color w:val="000000"/>
                <w:sz w:val="24"/>
                <w:szCs w:val="24"/>
              </w:rPr>
              <w:t>6.77</w:t>
            </w:r>
          </w:p>
        </w:tc>
      </w:tr>
      <w:tr w:rsidR="002D161F">
        <w:trPr>
          <w:jc w:val="center"/>
        </w:trPr>
        <w:tc>
          <w:tcPr>
            <w:tcW w:w="855" w:type="dxa"/>
            <w:vAlign w:val="center"/>
          </w:tcPr>
          <w:p w:rsidR="002D161F" w:rsidRDefault="00A12FEA">
            <w:pPr>
              <w:jc w:val="center"/>
            </w:pPr>
            <w:r>
              <w:rPr>
                <w:color w:val="000000"/>
                <w:sz w:val="24"/>
                <w:szCs w:val="24"/>
              </w:rPr>
              <w:t>3</w:t>
            </w:r>
          </w:p>
        </w:tc>
        <w:tc>
          <w:tcPr>
            <w:tcW w:w="1334" w:type="dxa"/>
            <w:vAlign w:val="center"/>
          </w:tcPr>
          <w:p w:rsidR="002D161F" w:rsidRDefault="00A12FEA">
            <w:pPr>
              <w:jc w:val="center"/>
            </w:pPr>
            <w:r>
              <w:rPr>
                <w:color w:val="000000"/>
                <w:sz w:val="24"/>
                <w:szCs w:val="24"/>
              </w:rPr>
              <w:t>601607</w:t>
            </w:r>
          </w:p>
        </w:tc>
        <w:tc>
          <w:tcPr>
            <w:tcW w:w="1777" w:type="dxa"/>
            <w:vAlign w:val="center"/>
          </w:tcPr>
          <w:p w:rsidR="002D161F" w:rsidRDefault="00A12FEA">
            <w:pPr>
              <w:jc w:val="center"/>
            </w:pPr>
            <w:r>
              <w:rPr>
                <w:color w:val="000000"/>
                <w:sz w:val="24"/>
                <w:szCs w:val="24"/>
              </w:rPr>
              <w:t>上海医药</w:t>
            </w:r>
          </w:p>
        </w:tc>
        <w:tc>
          <w:tcPr>
            <w:tcW w:w="1334" w:type="dxa"/>
            <w:vAlign w:val="center"/>
          </w:tcPr>
          <w:p w:rsidR="002D161F" w:rsidRDefault="00A12FEA">
            <w:pPr>
              <w:jc w:val="right"/>
            </w:pPr>
            <w:r>
              <w:rPr>
                <w:color w:val="000000"/>
                <w:sz w:val="24"/>
                <w:szCs w:val="24"/>
              </w:rPr>
              <w:t>454,300</w:t>
            </w:r>
          </w:p>
        </w:tc>
        <w:tc>
          <w:tcPr>
            <w:tcW w:w="1924" w:type="dxa"/>
            <w:vAlign w:val="center"/>
          </w:tcPr>
          <w:p w:rsidR="002D161F" w:rsidRDefault="00A12FEA">
            <w:pPr>
              <w:jc w:val="right"/>
            </w:pPr>
            <w:r>
              <w:rPr>
                <w:color w:val="000000"/>
                <w:sz w:val="24"/>
                <w:szCs w:val="24"/>
              </w:rPr>
              <w:t>11,203,038.00</w:t>
            </w:r>
          </w:p>
        </w:tc>
        <w:tc>
          <w:tcPr>
            <w:tcW w:w="1644" w:type="dxa"/>
            <w:vAlign w:val="center"/>
          </w:tcPr>
          <w:p w:rsidR="002D161F" w:rsidRDefault="00A12FEA">
            <w:pPr>
              <w:jc w:val="right"/>
            </w:pPr>
            <w:r>
              <w:rPr>
                <w:color w:val="000000"/>
                <w:sz w:val="24"/>
                <w:szCs w:val="24"/>
              </w:rPr>
              <w:t>5.36</w:t>
            </w:r>
          </w:p>
        </w:tc>
      </w:tr>
      <w:tr w:rsidR="002D161F">
        <w:trPr>
          <w:jc w:val="center"/>
        </w:trPr>
        <w:tc>
          <w:tcPr>
            <w:tcW w:w="855" w:type="dxa"/>
            <w:vAlign w:val="center"/>
          </w:tcPr>
          <w:p w:rsidR="002D161F" w:rsidRDefault="00A12FEA">
            <w:pPr>
              <w:jc w:val="center"/>
            </w:pPr>
            <w:r>
              <w:rPr>
                <w:color w:val="000000"/>
                <w:sz w:val="24"/>
                <w:szCs w:val="24"/>
              </w:rPr>
              <w:t>4</w:t>
            </w:r>
          </w:p>
        </w:tc>
        <w:tc>
          <w:tcPr>
            <w:tcW w:w="1334" w:type="dxa"/>
            <w:vAlign w:val="center"/>
          </w:tcPr>
          <w:p w:rsidR="002D161F" w:rsidRDefault="00A12FEA">
            <w:pPr>
              <w:jc w:val="center"/>
            </w:pPr>
            <w:r>
              <w:rPr>
                <w:color w:val="000000"/>
                <w:sz w:val="24"/>
                <w:szCs w:val="24"/>
              </w:rPr>
              <w:t>002027</w:t>
            </w:r>
          </w:p>
        </w:tc>
        <w:tc>
          <w:tcPr>
            <w:tcW w:w="1777" w:type="dxa"/>
            <w:vAlign w:val="center"/>
          </w:tcPr>
          <w:p w:rsidR="002D161F" w:rsidRDefault="00A12FEA">
            <w:pPr>
              <w:jc w:val="center"/>
            </w:pPr>
            <w:r>
              <w:rPr>
                <w:color w:val="000000"/>
                <w:sz w:val="24"/>
                <w:szCs w:val="24"/>
              </w:rPr>
              <w:t>分众传媒</w:t>
            </w:r>
          </w:p>
        </w:tc>
        <w:tc>
          <w:tcPr>
            <w:tcW w:w="1334" w:type="dxa"/>
            <w:vAlign w:val="center"/>
          </w:tcPr>
          <w:p w:rsidR="002D161F" w:rsidRDefault="00A12FEA">
            <w:pPr>
              <w:jc w:val="right"/>
            </w:pPr>
            <w:r>
              <w:rPr>
                <w:color w:val="000000"/>
                <w:sz w:val="24"/>
                <w:szCs w:val="24"/>
              </w:rPr>
              <w:t>825,001</w:t>
            </w:r>
          </w:p>
        </w:tc>
        <w:tc>
          <w:tcPr>
            <w:tcW w:w="1924" w:type="dxa"/>
            <w:vAlign w:val="center"/>
          </w:tcPr>
          <w:p w:rsidR="002D161F" w:rsidRDefault="00A12FEA">
            <w:pPr>
              <w:jc w:val="right"/>
            </w:pPr>
            <w:r>
              <w:rPr>
                <w:color w:val="000000"/>
                <w:sz w:val="24"/>
                <w:szCs w:val="24"/>
              </w:rPr>
              <w:t>10,634,262.89</w:t>
            </w:r>
          </w:p>
        </w:tc>
        <w:tc>
          <w:tcPr>
            <w:tcW w:w="1644" w:type="dxa"/>
            <w:vAlign w:val="center"/>
          </w:tcPr>
          <w:p w:rsidR="002D161F" w:rsidRDefault="00A12FEA">
            <w:pPr>
              <w:jc w:val="right"/>
            </w:pPr>
            <w:r>
              <w:rPr>
                <w:color w:val="000000"/>
                <w:sz w:val="24"/>
                <w:szCs w:val="24"/>
              </w:rPr>
              <w:t>5.08</w:t>
            </w:r>
          </w:p>
        </w:tc>
      </w:tr>
      <w:tr w:rsidR="002D161F">
        <w:trPr>
          <w:jc w:val="center"/>
        </w:trPr>
        <w:tc>
          <w:tcPr>
            <w:tcW w:w="855" w:type="dxa"/>
            <w:vAlign w:val="center"/>
          </w:tcPr>
          <w:p w:rsidR="002D161F" w:rsidRDefault="00A12FEA">
            <w:pPr>
              <w:jc w:val="center"/>
            </w:pPr>
            <w:r>
              <w:rPr>
                <w:color w:val="000000"/>
                <w:sz w:val="24"/>
                <w:szCs w:val="24"/>
              </w:rPr>
              <w:t>5</w:t>
            </w:r>
          </w:p>
        </w:tc>
        <w:tc>
          <w:tcPr>
            <w:tcW w:w="1334" w:type="dxa"/>
            <w:vAlign w:val="center"/>
          </w:tcPr>
          <w:p w:rsidR="002D161F" w:rsidRDefault="00A12FEA">
            <w:pPr>
              <w:jc w:val="center"/>
            </w:pPr>
            <w:r>
              <w:rPr>
                <w:color w:val="000000"/>
                <w:sz w:val="24"/>
                <w:szCs w:val="24"/>
              </w:rPr>
              <w:t>300347</w:t>
            </w:r>
          </w:p>
        </w:tc>
        <w:tc>
          <w:tcPr>
            <w:tcW w:w="1777" w:type="dxa"/>
            <w:vAlign w:val="center"/>
          </w:tcPr>
          <w:p w:rsidR="002D161F" w:rsidRDefault="00A12FEA">
            <w:pPr>
              <w:jc w:val="center"/>
            </w:pPr>
            <w:r>
              <w:rPr>
                <w:color w:val="000000"/>
                <w:sz w:val="24"/>
                <w:szCs w:val="24"/>
              </w:rPr>
              <w:t>泰格医药</w:t>
            </w:r>
          </w:p>
        </w:tc>
        <w:tc>
          <w:tcPr>
            <w:tcW w:w="1334" w:type="dxa"/>
            <w:vAlign w:val="center"/>
          </w:tcPr>
          <w:p w:rsidR="002D161F" w:rsidRDefault="00A12FEA">
            <w:pPr>
              <w:jc w:val="right"/>
            </w:pPr>
            <w:r>
              <w:rPr>
                <w:color w:val="000000"/>
                <w:sz w:val="24"/>
                <w:szCs w:val="24"/>
              </w:rPr>
              <w:t>200,532</w:t>
            </w:r>
          </w:p>
        </w:tc>
        <w:tc>
          <w:tcPr>
            <w:tcW w:w="1924" w:type="dxa"/>
            <w:vAlign w:val="center"/>
          </w:tcPr>
          <w:p w:rsidR="002D161F" w:rsidRDefault="00A12FEA">
            <w:pPr>
              <w:jc w:val="right"/>
            </w:pPr>
            <w:r>
              <w:rPr>
                <w:color w:val="000000"/>
                <w:sz w:val="24"/>
                <w:szCs w:val="24"/>
              </w:rPr>
              <w:t>10,208,573.72</w:t>
            </w:r>
          </w:p>
        </w:tc>
        <w:tc>
          <w:tcPr>
            <w:tcW w:w="1644" w:type="dxa"/>
            <w:vAlign w:val="center"/>
          </w:tcPr>
          <w:p w:rsidR="002D161F" w:rsidRDefault="00A12FEA">
            <w:pPr>
              <w:jc w:val="right"/>
            </w:pPr>
            <w:r>
              <w:rPr>
                <w:color w:val="000000"/>
                <w:sz w:val="24"/>
                <w:szCs w:val="24"/>
              </w:rPr>
              <w:t>4.88</w:t>
            </w:r>
          </w:p>
        </w:tc>
      </w:tr>
      <w:tr w:rsidR="002D161F">
        <w:trPr>
          <w:jc w:val="center"/>
        </w:trPr>
        <w:tc>
          <w:tcPr>
            <w:tcW w:w="855" w:type="dxa"/>
            <w:vAlign w:val="center"/>
          </w:tcPr>
          <w:p w:rsidR="002D161F" w:rsidRDefault="00A12FEA">
            <w:pPr>
              <w:jc w:val="center"/>
            </w:pPr>
            <w:r>
              <w:rPr>
                <w:color w:val="000000"/>
                <w:sz w:val="24"/>
                <w:szCs w:val="24"/>
              </w:rPr>
              <w:t>6</w:t>
            </w:r>
          </w:p>
        </w:tc>
        <w:tc>
          <w:tcPr>
            <w:tcW w:w="1334" w:type="dxa"/>
            <w:vAlign w:val="center"/>
          </w:tcPr>
          <w:p w:rsidR="002D161F" w:rsidRDefault="00A12FEA">
            <w:pPr>
              <w:jc w:val="center"/>
            </w:pPr>
            <w:r>
              <w:rPr>
                <w:color w:val="000000"/>
                <w:sz w:val="24"/>
                <w:szCs w:val="24"/>
              </w:rPr>
              <w:t>000538</w:t>
            </w:r>
          </w:p>
        </w:tc>
        <w:tc>
          <w:tcPr>
            <w:tcW w:w="1777" w:type="dxa"/>
            <w:vAlign w:val="center"/>
          </w:tcPr>
          <w:p w:rsidR="002D161F" w:rsidRDefault="00A12FEA">
            <w:pPr>
              <w:jc w:val="center"/>
            </w:pPr>
            <w:r>
              <w:rPr>
                <w:color w:val="000000"/>
                <w:sz w:val="24"/>
                <w:szCs w:val="24"/>
              </w:rPr>
              <w:t>云南白药</w:t>
            </w:r>
          </w:p>
        </w:tc>
        <w:tc>
          <w:tcPr>
            <w:tcW w:w="1334" w:type="dxa"/>
            <w:vAlign w:val="center"/>
          </w:tcPr>
          <w:p w:rsidR="002D161F" w:rsidRDefault="00A12FEA">
            <w:pPr>
              <w:jc w:val="right"/>
            </w:pPr>
            <w:r>
              <w:rPr>
                <w:color w:val="000000"/>
                <w:sz w:val="24"/>
                <w:szCs w:val="24"/>
              </w:rPr>
              <w:t>72,900</w:t>
            </w:r>
          </w:p>
        </w:tc>
        <w:tc>
          <w:tcPr>
            <w:tcW w:w="1924" w:type="dxa"/>
            <w:vAlign w:val="center"/>
          </w:tcPr>
          <w:p w:rsidR="002D161F" w:rsidRDefault="00A12FEA">
            <w:pPr>
              <w:jc w:val="right"/>
            </w:pPr>
            <w:r>
              <w:rPr>
                <w:color w:val="000000"/>
                <w:sz w:val="24"/>
                <w:szCs w:val="24"/>
              </w:rPr>
              <w:t>7,217,100.00</w:t>
            </w:r>
          </w:p>
        </w:tc>
        <w:tc>
          <w:tcPr>
            <w:tcW w:w="1644" w:type="dxa"/>
            <w:vAlign w:val="center"/>
          </w:tcPr>
          <w:p w:rsidR="002D161F" w:rsidRDefault="00A12FEA">
            <w:pPr>
              <w:jc w:val="right"/>
            </w:pPr>
            <w:r>
              <w:rPr>
                <w:color w:val="000000"/>
                <w:sz w:val="24"/>
                <w:szCs w:val="24"/>
              </w:rPr>
              <w:t>3.45</w:t>
            </w:r>
          </w:p>
        </w:tc>
      </w:tr>
      <w:tr w:rsidR="002D161F">
        <w:trPr>
          <w:jc w:val="center"/>
        </w:trPr>
        <w:tc>
          <w:tcPr>
            <w:tcW w:w="855" w:type="dxa"/>
            <w:vAlign w:val="center"/>
          </w:tcPr>
          <w:p w:rsidR="002D161F" w:rsidRDefault="00A12FEA">
            <w:pPr>
              <w:jc w:val="center"/>
            </w:pPr>
            <w:r>
              <w:rPr>
                <w:color w:val="000000"/>
                <w:sz w:val="24"/>
                <w:szCs w:val="24"/>
              </w:rPr>
              <w:t>7</w:t>
            </w:r>
          </w:p>
        </w:tc>
        <w:tc>
          <w:tcPr>
            <w:tcW w:w="1334" w:type="dxa"/>
            <w:vAlign w:val="center"/>
          </w:tcPr>
          <w:p w:rsidR="002D161F" w:rsidRDefault="00A12FEA">
            <w:pPr>
              <w:jc w:val="center"/>
            </w:pPr>
            <w:r>
              <w:rPr>
                <w:color w:val="000000"/>
                <w:sz w:val="24"/>
                <w:szCs w:val="24"/>
              </w:rPr>
              <w:t>000661</w:t>
            </w:r>
          </w:p>
        </w:tc>
        <w:tc>
          <w:tcPr>
            <w:tcW w:w="1777" w:type="dxa"/>
            <w:vAlign w:val="center"/>
          </w:tcPr>
          <w:p w:rsidR="002D161F" w:rsidRDefault="00A12FEA">
            <w:pPr>
              <w:jc w:val="center"/>
            </w:pPr>
            <w:r>
              <w:rPr>
                <w:color w:val="000000"/>
                <w:sz w:val="24"/>
                <w:szCs w:val="24"/>
              </w:rPr>
              <w:t>长春高新</w:t>
            </w:r>
          </w:p>
        </w:tc>
        <w:tc>
          <w:tcPr>
            <w:tcW w:w="1334" w:type="dxa"/>
            <w:vAlign w:val="center"/>
          </w:tcPr>
          <w:p w:rsidR="002D161F" w:rsidRDefault="00A12FEA">
            <w:pPr>
              <w:jc w:val="right"/>
            </w:pPr>
            <w:r>
              <w:rPr>
                <w:color w:val="000000"/>
                <w:sz w:val="24"/>
                <w:szCs w:val="24"/>
              </w:rPr>
              <w:t>24,100</w:t>
            </w:r>
          </w:p>
        </w:tc>
        <w:tc>
          <w:tcPr>
            <w:tcW w:w="1924" w:type="dxa"/>
            <w:vAlign w:val="center"/>
          </w:tcPr>
          <w:p w:rsidR="002D161F" w:rsidRDefault="00A12FEA">
            <w:pPr>
              <w:jc w:val="right"/>
            </w:pPr>
            <w:r>
              <w:rPr>
                <w:color w:val="000000"/>
                <w:sz w:val="24"/>
                <w:szCs w:val="24"/>
              </w:rPr>
              <w:t>4,424,278.00</w:t>
            </w:r>
          </w:p>
        </w:tc>
        <w:tc>
          <w:tcPr>
            <w:tcW w:w="1644" w:type="dxa"/>
            <w:vAlign w:val="center"/>
          </w:tcPr>
          <w:p w:rsidR="002D161F" w:rsidRDefault="00A12FEA">
            <w:pPr>
              <w:jc w:val="right"/>
            </w:pPr>
            <w:r>
              <w:rPr>
                <w:color w:val="000000"/>
                <w:sz w:val="24"/>
                <w:szCs w:val="24"/>
              </w:rPr>
              <w:t>2.12</w:t>
            </w:r>
          </w:p>
        </w:tc>
      </w:tr>
      <w:tr w:rsidR="002D161F">
        <w:trPr>
          <w:jc w:val="center"/>
        </w:trPr>
        <w:tc>
          <w:tcPr>
            <w:tcW w:w="855" w:type="dxa"/>
            <w:vAlign w:val="center"/>
          </w:tcPr>
          <w:p w:rsidR="002D161F" w:rsidRDefault="00A12FEA">
            <w:pPr>
              <w:jc w:val="center"/>
            </w:pPr>
            <w:r>
              <w:rPr>
                <w:color w:val="000000"/>
                <w:sz w:val="24"/>
                <w:szCs w:val="24"/>
              </w:rPr>
              <w:t>8</w:t>
            </w:r>
          </w:p>
        </w:tc>
        <w:tc>
          <w:tcPr>
            <w:tcW w:w="1334" w:type="dxa"/>
            <w:vAlign w:val="center"/>
          </w:tcPr>
          <w:p w:rsidR="002D161F" w:rsidRDefault="00A12FEA">
            <w:pPr>
              <w:jc w:val="center"/>
            </w:pPr>
            <w:r>
              <w:rPr>
                <w:color w:val="000000"/>
                <w:sz w:val="24"/>
                <w:szCs w:val="24"/>
              </w:rPr>
              <w:t>300170</w:t>
            </w:r>
          </w:p>
        </w:tc>
        <w:tc>
          <w:tcPr>
            <w:tcW w:w="1777" w:type="dxa"/>
            <w:vAlign w:val="center"/>
          </w:tcPr>
          <w:p w:rsidR="002D161F" w:rsidRDefault="00A12FEA">
            <w:pPr>
              <w:jc w:val="center"/>
            </w:pPr>
            <w:r>
              <w:rPr>
                <w:color w:val="000000"/>
                <w:sz w:val="24"/>
                <w:szCs w:val="24"/>
              </w:rPr>
              <w:t>汉得信息</w:t>
            </w:r>
          </w:p>
        </w:tc>
        <w:tc>
          <w:tcPr>
            <w:tcW w:w="1334" w:type="dxa"/>
            <w:vAlign w:val="center"/>
          </w:tcPr>
          <w:p w:rsidR="002D161F" w:rsidRDefault="00A12FEA">
            <w:pPr>
              <w:jc w:val="right"/>
            </w:pPr>
            <w:r>
              <w:rPr>
                <w:color w:val="000000"/>
                <w:sz w:val="24"/>
                <w:szCs w:val="24"/>
              </w:rPr>
              <w:t>197,564</w:t>
            </w:r>
          </w:p>
        </w:tc>
        <w:tc>
          <w:tcPr>
            <w:tcW w:w="1924" w:type="dxa"/>
            <w:vAlign w:val="center"/>
          </w:tcPr>
          <w:p w:rsidR="002D161F" w:rsidRDefault="00A12FEA">
            <w:pPr>
              <w:jc w:val="right"/>
            </w:pPr>
            <w:r>
              <w:rPr>
                <w:color w:val="000000"/>
                <w:sz w:val="24"/>
                <w:szCs w:val="24"/>
              </w:rPr>
              <w:t>3,508,736.64</w:t>
            </w:r>
          </w:p>
        </w:tc>
        <w:tc>
          <w:tcPr>
            <w:tcW w:w="1644" w:type="dxa"/>
            <w:vAlign w:val="center"/>
          </w:tcPr>
          <w:p w:rsidR="002D161F" w:rsidRDefault="00A12FEA">
            <w:pPr>
              <w:jc w:val="right"/>
            </w:pPr>
            <w:r>
              <w:rPr>
                <w:color w:val="000000"/>
                <w:sz w:val="24"/>
                <w:szCs w:val="24"/>
              </w:rPr>
              <w:t>1.68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13,748,955.64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88,980,000.00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42.55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102,728,955.64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rsidR="002D161F">
        <w:trPr>
          <w:jc w:val="center"/>
        </w:trPr>
        <w:tc>
          <w:tcPr>
            <w:tcW w:w="850" w:type="dxa"/>
            <w:vAlign w:val="center"/>
          </w:tcPr>
          <w:p w:rsidR="002D161F" w:rsidRDefault="00A12FEA">
            <w:pPr>
              <w:jc w:val="center"/>
            </w:pPr>
            <w:r>
              <w:rPr>
                <w:color w:val="000000"/>
                <w:sz w:val="24"/>
                <w:szCs w:val="24"/>
              </w:rPr>
              <w:lastRenderedPageBreak/>
              <w:t>1</w:t>
            </w:r>
          </w:p>
        </w:tc>
        <w:tc>
          <w:tcPr>
            <w:tcW w:w="1475" w:type="dxa"/>
            <w:vAlign w:val="center"/>
          </w:tcPr>
          <w:p w:rsidR="002D161F" w:rsidRDefault="00A12FEA">
            <w:pPr>
              <w:jc w:val="center"/>
            </w:pPr>
            <w:r>
              <w:rPr>
                <w:color w:val="000000"/>
                <w:sz w:val="24"/>
                <w:szCs w:val="24"/>
              </w:rPr>
              <w:t>111810055</w:t>
            </w:r>
          </w:p>
        </w:tc>
        <w:tc>
          <w:tcPr>
            <w:tcW w:w="1769" w:type="dxa"/>
            <w:vAlign w:val="center"/>
          </w:tcPr>
          <w:p w:rsidR="002D161F" w:rsidRDefault="00A12FEA">
            <w:pPr>
              <w:jc w:val="center"/>
            </w:pPr>
            <w:r>
              <w:rPr>
                <w:color w:val="000000"/>
                <w:sz w:val="24"/>
                <w:szCs w:val="24"/>
              </w:rPr>
              <w:t>18</w:t>
            </w:r>
            <w:r>
              <w:rPr>
                <w:color w:val="000000"/>
                <w:sz w:val="24"/>
                <w:szCs w:val="24"/>
              </w:rPr>
              <w:t>兴业银行</w:t>
            </w:r>
            <w:r>
              <w:rPr>
                <w:color w:val="000000"/>
                <w:sz w:val="24"/>
                <w:szCs w:val="24"/>
              </w:rPr>
              <w:t>CD055</w:t>
            </w:r>
          </w:p>
        </w:tc>
        <w:tc>
          <w:tcPr>
            <w:tcW w:w="1387" w:type="dxa"/>
            <w:vAlign w:val="center"/>
          </w:tcPr>
          <w:p w:rsidR="002D161F" w:rsidRDefault="00A12FEA">
            <w:pPr>
              <w:jc w:val="right"/>
            </w:pPr>
            <w:r>
              <w:rPr>
                <w:color w:val="000000"/>
                <w:sz w:val="24"/>
                <w:szCs w:val="24"/>
              </w:rPr>
              <w:t>300,000</w:t>
            </w:r>
          </w:p>
        </w:tc>
        <w:tc>
          <w:tcPr>
            <w:tcW w:w="2150" w:type="dxa"/>
            <w:vAlign w:val="center"/>
          </w:tcPr>
          <w:p w:rsidR="002D161F" w:rsidRDefault="00A12FEA">
            <w:pPr>
              <w:jc w:val="right"/>
            </w:pPr>
            <w:r>
              <w:rPr>
                <w:color w:val="000000"/>
                <w:sz w:val="24"/>
                <w:szCs w:val="24"/>
              </w:rPr>
              <w:t>29,664,000.00</w:t>
            </w:r>
          </w:p>
        </w:tc>
        <w:tc>
          <w:tcPr>
            <w:tcW w:w="1237" w:type="dxa"/>
            <w:vAlign w:val="center"/>
          </w:tcPr>
          <w:p w:rsidR="002D161F" w:rsidRDefault="00A12FEA">
            <w:pPr>
              <w:jc w:val="right"/>
            </w:pPr>
            <w:r>
              <w:rPr>
                <w:color w:val="000000"/>
                <w:sz w:val="24"/>
                <w:szCs w:val="24"/>
              </w:rPr>
              <w:t>14.18</w:t>
            </w:r>
          </w:p>
        </w:tc>
      </w:tr>
      <w:tr w:rsidR="002D161F">
        <w:trPr>
          <w:jc w:val="center"/>
        </w:trPr>
        <w:tc>
          <w:tcPr>
            <w:tcW w:w="850" w:type="dxa"/>
            <w:vAlign w:val="center"/>
          </w:tcPr>
          <w:p w:rsidR="002D161F" w:rsidRDefault="00A12FEA">
            <w:pPr>
              <w:jc w:val="center"/>
            </w:pPr>
            <w:r>
              <w:rPr>
                <w:color w:val="000000"/>
                <w:sz w:val="24"/>
                <w:szCs w:val="24"/>
              </w:rPr>
              <w:t>2</w:t>
            </w:r>
          </w:p>
        </w:tc>
        <w:tc>
          <w:tcPr>
            <w:tcW w:w="1475" w:type="dxa"/>
            <w:vAlign w:val="center"/>
          </w:tcPr>
          <w:p w:rsidR="002D161F" w:rsidRDefault="00A12FEA">
            <w:pPr>
              <w:jc w:val="center"/>
            </w:pPr>
            <w:r>
              <w:rPr>
                <w:color w:val="000000"/>
                <w:sz w:val="24"/>
                <w:szCs w:val="24"/>
              </w:rPr>
              <w:t>111819050</w:t>
            </w:r>
          </w:p>
        </w:tc>
        <w:tc>
          <w:tcPr>
            <w:tcW w:w="1769" w:type="dxa"/>
            <w:vAlign w:val="center"/>
          </w:tcPr>
          <w:p w:rsidR="002D161F" w:rsidRDefault="00A12FEA">
            <w:pPr>
              <w:jc w:val="center"/>
            </w:pPr>
            <w:r>
              <w:rPr>
                <w:color w:val="000000"/>
                <w:sz w:val="24"/>
                <w:szCs w:val="24"/>
              </w:rPr>
              <w:t>18</w:t>
            </w:r>
            <w:r>
              <w:rPr>
                <w:color w:val="000000"/>
                <w:sz w:val="24"/>
                <w:szCs w:val="24"/>
              </w:rPr>
              <w:t>恒丰银行</w:t>
            </w:r>
            <w:r>
              <w:rPr>
                <w:color w:val="000000"/>
                <w:sz w:val="24"/>
                <w:szCs w:val="24"/>
              </w:rPr>
              <w:t>CD050</w:t>
            </w:r>
          </w:p>
        </w:tc>
        <w:tc>
          <w:tcPr>
            <w:tcW w:w="1387" w:type="dxa"/>
            <w:vAlign w:val="center"/>
          </w:tcPr>
          <w:p w:rsidR="002D161F" w:rsidRDefault="00A12FEA">
            <w:pPr>
              <w:jc w:val="right"/>
            </w:pPr>
            <w:r>
              <w:rPr>
                <w:color w:val="000000"/>
                <w:sz w:val="24"/>
                <w:szCs w:val="24"/>
              </w:rPr>
              <w:t>300,000</w:t>
            </w:r>
          </w:p>
        </w:tc>
        <w:tc>
          <w:tcPr>
            <w:tcW w:w="2150" w:type="dxa"/>
            <w:vAlign w:val="center"/>
          </w:tcPr>
          <w:p w:rsidR="002D161F" w:rsidRDefault="00A12FEA">
            <w:pPr>
              <w:jc w:val="right"/>
            </w:pPr>
            <w:r>
              <w:rPr>
                <w:color w:val="000000"/>
                <w:sz w:val="24"/>
                <w:szCs w:val="24"/>
              </w:rPr>
              <w:t>29,664,000.00</w:t>
            </w:r>
          </w:p>
        </w:tc>
        <w:tc>
          <w:tcPr>
            <w:tcW w:w="1237" w:type="dxa"/>
            <w:vAlign w:val="center"/>
          </w:tcPr>
          <w:p w:rsidR="002D161F" w:rsidRDefault="00A12FEA">
            <w:pPr>
              <w:jc w:val="right"/>
            </w:pPr>
            <w:r>
              <w:rPr>
                <w:color w:val="000000"/>
                <w:sz w:val="24"/>
                <w:szCs w:val="24"/>
              </w:rPr>
              <w:t>14.18</w:t>
            </w:r>
          </w:p>
        </w:tc>
      </w:tr>
      <w:tr w:rsidR="002D161F">
        <w:trPr>
          <w:jc w:val="center"/>
        </w:trPr>
        <w:tc>
          <w:tcPr>
            <w:tcW w:w="850" w:type="dxa"/>
            <w:vAlign w:val="center"/>
          </w:tcPr>
          <w:p w:rsidR="002D161F" w:rsidRDefault="00A12FEA">
            <w:pPr>
              <w:jc w:val="center"/>
            </w:pPr>
            <w:r>
              <w:rPr>
                <w:color w:val="000000"/>
                <w:sz w:val="24"/>
                <w:szCs w:val="24"/>
              </w:rPr>
              <w:t>3</w:t>
            </w:r>
          </w:p>
        </w:tc>
        <w:tc>
          <w:tcPr>
            <w:tcW w:w="1475" w:type="dxa"/>
            <w:vAlign w:val="center"/>
          </w:tcPr>
          <w:p w:rsidR="002D161F" w:rsidRDefault="00A12FEA">
            <w:pPr>
              <w:jc w:val="center"/>
            </w:pPr>
            <w:r>
              <w:rPr>
                <w:color w:val="000000"/>
                <w:sz w:val="24"/>
                <w:szCs w:val="24"/>
              </w:rPr>
              <w:t>111808011</w:t>
            </w:r>
          </w:p>
        </w:tc>
        <w:tc>
          <w:tcPr>
            <w:tcW w:w="1769" w:type="dxa"/>
            <w:vAlign w:val="center"/>
          </w:tcPr>
          <w:p w:rsidR="002D161F" w:rsidRDefault="00A12FEA">
            <w:pPr>
              <w:jc w:val="center"/>
            </w:pPr>
            <w:r>
              <w:rPr>
                <w:color w:val="000000"/>
                <w:sz w:val="24"/>
                <w:szCs w:val="24"/>
              </w:rPr>
              <w:t>18</w:t>
            </w:r>
            <w:r>
              <w:rPr>
                <w:color w:val="000000"/>
                <w:sz w:val="24"/>
                <w:szCs w:val="24"/>
              </w:rPr>
              <w:t>中信银行</w:t>
            </w:r>
            <w:r>
              <w:rPr>
                <w:color w:val="000000"/>
                <w:sz w:val="24"/>
                <w:szCs w:val="24"/>
              </w:rPr>
              <w:t>CD011</w:t>
            </w:r>
          </w:p>
        </w:tc>
        <w:tc>
          <w:tcPr>
            <w:tcW w:w="1387" w:type="dxa"/>
            <w:vAlign w:val="center"/>
          </w:tcPr>
          <w:p w:rsidR="002D161F" w:rsidRDefault="00A12FEA">
            <w:pPr>
              <w:jc w:val="right"/>
            </w:pPr>
            <w:r>
              <w:rPr>
                <w:color w:val="000000"/>
                <w:sz w:val="24"/>
                <w:szCs w:val="24"/>
              </w:rPr>
              <w:t>300,000</w:t>
            </w:r>
          </w:p>
        </w:tc>
        <w:tc>
          <w:tcPr>
            <w:tcW w:w="2150" w:type="dxa"/>
            <w:vAlign w:val="center"/>
          </w:tcPr>
          <w:p w:rsidR="002D161F" w:rsidRDefault="00A12FEA">
            <w:pPr>
              <w:jc w:val="right"/>
            </w:pPr>
            <w:r>
              <w:rPr>
                <w:color w:val="000000"/>
                <w:sz w:val="24"/>
                <w:szCs w:val="24"/>
              </w:rPr>
              <w:t>29,652,000.00</w:t>
            </w:r>
          </w:p>
        </w:tc>
        <w:tc>
          <w:tcPr>
            <w:tcW w:w="1237" w:type="dxa"/>
            <w:vAlign w:val="center"/>
          </w:tcPr>
          <w:p w:rsidR="002D161F" w:rsidRDefault="00A12FEA">
            <w:pPr>
              <w:jc w:val="right"/>
            </w:pPr>
            <w:r>
              <w:rPr>
                <w:color w:val="000000"/>
                <w:sz w:val="24"/>
                <w:szCs w:val="24"/>
              </w:rPr>
              <w:t>14.18</w:t>
            </w:r>
          </w:p>
        </w:tc>
      </w:tr>
      <w:tr w:rsidR="002D161F">
        <w:trPr>
          <w:jc w:val="center"/>
        </w:trPr>
        <w:tc>
          <w:tcPr>
            <w:tcW w:w="850" w:type="dxa"/>
            <w:vAlign w:val="center"/>
          </w:tcPr>
          <w:p w:rsidR="002D161F" w:rsidRDefault="00A12FEA">
            <w:pPr>
              <w:jc w:val="center"/>
            </w:pPr>
            <w:r>
              <w:rPr>
                <w:color w:val="000000"/>
                <w:sz w:val="24"/>
                <w:szCs w:val="24"/>
              </w:rPr>
              <w:t>4</w:t>
            </w:r>
          </w:p>
        </w:tc>
        <w:tc>
          <w:tcPr>
            <w:tcW w:w="1475" w:type="dxa"/>
            <w:vAlign w:val="center"/>
          </w:tcPr>
          <w:p w:rsidR="002D161F" w:rsidRDefault="00A12FEA">
            <w:pPr>
              <w:jc w:val="center"/>
            </w:pPr>
            <w:r>
              <w:rPr>
                <w:color w:val="000000"/>
                <w:sz w:val="24"/>
                <w:szCs w:val="24"/>
              </w:rPr>
              <w:t>128024</w:t>
            </w:r>
          </w:p>
        </w:tc>
        <w:tc>
          <w:tcPr>
            <w:tcW w:w="1769" w:type="dxa"/>
            <w:vAlign w:val="center"/>
          </w:tcPr>
          <w:p w:rsidR="002D161F" w:rsidRDefault="00A12FEA">
            <w:pPr>
              <w:jc w:val="center"/>
            </w:pPr>
            <w:r>
              <w:rPr>
                <w:color w:val="000000"/>
                <w:sz w:val="24"/>
                <w:szCs w:val="24"/>
              </w:rPr>
              <w:t>宁行转债</w:t>
            </w:r>
          </w:p>
        </w:tc>
        <w:tc>
          <w:tcPr>
            <w:tcW w:w="1387" w:type="dxa"/>
            <w:vAlign w:val="center"/>
          </w:tcPr>
          <w:p w:rsidR="002D161F" w:rsidRDefault="00A12FEA">
            <w:pPr>
              <w:jc w:val="right"/>
            </w:pPr>
            <w:r>
              <w:rPr>
                <w:color w:val="000000"/>
                <w:sz w:val="24"/>
                <w:szCs w:val="24"/>
              </w:rPr>
              <w:t>81,512</w:t>
            </w:r>
          </w:p>
        </w:tc>
        <w:tc>
          <w:tcPr>
            <w:tcW w:w="2150" w:type="dxa"/>
            <w:vAlign w:val="center"/>
          </w:tcPr>
          <w:p w:rsidR="002D161F" w:rsidRDefault="00A12FEA">
            <w:pPr>
              <w:jc w:val="right"/>
            </w:pPr>
            <w:r>
              <w:rPr>
                <w:color w:val="000000"/>
                <w:sz w:val="24"/>
                <w:szCs w:val="24"/>
              </w:rPr>
              <w:t>9,367,359.04</w:t>
            </w:r>
          </w:p>
        </w:tc>
        <w:tc>
          <w:tcPr>
            <w:tcW w:w="1237" w:type="dxa"/>
            <w:vAlign w:val="center"/>
          </w:tcPr>
          <w:p w:rsidR="002D161F" w:rsidRDefault="00A12FEA">
            <w:pPr>
              <w:jc w:val="right"/>
            </w:pPr>
            <w:r>
              <w:rPr>
                <w:color w:val="000000"/>
                <w:sz w:val="24"/>
                <w:szCs w:val="24"/>
              </w:rPr>
              <w:t>4.48</w:t>
            </w:r>
          </w:p>
        </w:tc>
      </w:tr>
      <w:tr w:rsidR="002D161F">
        <w:trPr>
          <w:jc w:val="center"/>
        </w:trPr>
        <w:tc>
          <w:tcPr>
            <w:tcW w:w="850" w:type="dxa"/>
            <w:vAlign w:val="center"/>
          </w:tcPr>
          <w:p w:rsidR="002D161F" w:rsidRDefault="00A12FEA">
            <w:pPr>
              <w:jc w:val="center"/>
            </w:pPr>
            <w:r>
              <w:rPr>
                <w:color w:val="000000"/>
                <w:sz w:val="24"/>
                <w:szCs w:val="24"/>
              </w:rPr>
              <w:t>5</w:t>
            </w:r>
          </w:p>
        </w:tc>
        <w:tc>
          <w:tcPr>
            <w:tcW w:w="1475" w:type="dxa"/>
            <w:vAlign w:val="center"/>
          </w:tcPr>
          <w:p w:rsidR="002D161F" w:rsidRDefault="00A12FEA">
            <w:pPr>
              <w:jc w:val="center"/>
            </w:pPr>
            <w:r>
              <w:rPr>
                <w:color w:val="000000"/>
                <w:sz w:val="24"/>
                <w:szCs w:val="24"/>
              </w:rPr>
              <w:t>123001</w:t>
            </w:r>
          </w:p>
        </w:tc>
        <w:tc>
          <w:tcPr>
            <w:tcW w:w="1769" w:type="dxa"/>
            <w:vAlign w:val="center"/>
          </w:tcPr>
          <w:p w:rsidR="002D161F" w:rsidRDefault="00A12FEA">
            <w:pPr>
              <w:jc w:val="center"/>
            </w:pPr>
            <w:r>
              <w:rPr>
                <w:color w:val="000000"/>
                <w:sz w:val="24"/>
                <w:szCs w:val="24"/>
              </w:rPr>
              <w:t>蓝标转债</w:t>
            </w:r>
          </w:p>
        </w:tc>
        <w:tc>
          <w:tcPr>
            <w:tcW w:w="1387" w:type="dxa"/>
            <w:vAlign w:val="center"/>
          </w:tcPr>
          <w:p w:rsidR="002D161F" w:rsidRDefault="00A12FEA">
            <w:pPr>
              <w:jc w:val="right"/>
            </w:pPr>
            <w:r>
              <w:rPr>
                <w:color w:val="000000"/>
                <w:sz w:val="24"/>
                <w:szCs w:val="24"/>
              </w:rPr>
              <w:t>22,980</w:t>
            </w:r>
          </w:p>
        </w:tc>
        <w:tc>
          <w:tcPr>
            <w:tcW w:w="2150" w:type="dxa"/>
            <w:vAlign w:val="center"/>
          </w:tcPr>
          <w:p w:rsidR="002D161F" w:rsidRDefault="00A12FEA">
            <w:pPr>
              <w:jc w:val="right"/>
            </w:pPr>
            <w:r>
              <w:rPr>
                <w:color w:val="000000"/>
                <w:sz w:val="24"/>
                <w:szCs w:val="24"/>
              </w:rPr>
              <w:t>2,304,204.60</w:t>
            </w:r>
          </w:p>
        </w:tc>
        <w:tc>
          <w:tcPr>
            <w:tcW w:w="1237" w:type="dxa"/>
            <w:vAlign w:val="center"/>
          </w:tcPr>
          <w:p w:rsidR="002D161F" w:rsidRDefault="00A12FEA">
            <w:pPr>
              <w:jc w:val="right"/>
            </w:pPr>
            <w:r>
              <w:rPr>
                <w:color w:val="000000"/>
                <w:sz w:val="24"/>
                <w:szCs w:val="24"/>
              </w:rPr>
              <w:t>1.10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130,021.54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737,111.68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22,378.23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889,511.45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D161F">
        <w:trPr>
          <w:jc w:val="center"/>
        </w:trPr>
        <w:tc>
          <w:tcPr>
            <w:tcW w:w="1883" w:type="dxa"/>
            <w:vAlign w:val="center"/>
          </w:tcPr>
          <w:p w:rsidR="002D161F" w:rsidRDefault="00A12FEA">
            <w:pPr>
              <w:jc w:val="center"/>
            </w:pPr>
            <w:r>
              <w:rPr>
                <w:color w:val="000000"/>
                <w:sz w:val="24"/>
                <w:szCs w:val="24"/>
              </w:rPr>
              <w:t>1</w:t>
            </w:r>
          </w:p>
        </w:tc>
        <w:tc>
          <w:tcPr>
            <w:tcW w:w="1801" w:type="dxa"/>
            <w:vAlign w:val="center"/>
          </w:tcPr>
          <w:p w:rsidR="002D161F" w:rsidRDefault="00A12FEA">
            <w:pPr>
              <w:jc w:val="center"/>
            </w:pPr>
            <w:r>
              <w:rPr>
                <w:color w:val="000000"/>
                <w:sz w:val="24"/>
                <w:szCs w:val="24"/>
              </w:rPr>
              <w:t>123001</w:t>
            </w:r>
          </w:p>
        </w:tc>
        <w:tc>
          <w:tcPr>
            <w:tcW w:w="1727" w:type="dxa"/>
            <w:vAlign w:val="center"/>
          </w:tcPr>
          <w:p w:rsidR="002D161F" w:rsidRDefault="00A12FEA">
            <w:pPr>
              <w:jc w:val="center"/>
            </w:pPr>
            <w:r>
              <w:rPr>
                <w:color w:val="000000"/>
                <w:sz w:val="24"/>
                <w:szCs w:val="24"/>
              </w:rPr>
              <w:t>蓝标转债</w:t>
            </w:r>
          </w:p>
        </w:tc>
        <w:tc>
          <w:tcPr>
            <w:tcW w:w="1768" w:type="dxa"/>
            <w:vAlign w:val="center"/>
          </w:tcPr>
          <w:p w:rsidR="002D161F" w:rsidRDefault="00A12FEA">
            <w:pPr>
              <w:jc w:val="right"/>
            </w:pPr>
            <w:r>
              <w:rPr>
                <w:color w:val="000000"/>
                <w:sz w:val="24"/>
                <w:szCs w:val="24"/>
              </w:rPr>
              <w:t>2,304,204.60</w:t>
            </w:r>
          </w:p>
        </w:tc>
        <w:tc>
          <w:tcPr>
            <w:tcW w:w="1689" w:type="dxa"/>
            <w:vAlign w:val="center"/>
          </w:tcPr>
          <w:p w:rsidR="002D161F" w:rsidRDefault="00A12FEA">
            <w:pPr>
              <w:jc w:val="right"/>
            </w:pPr>
            <w:r>
              <w:rPr>
                <w:color w:val="000000"/>
                <w:sz w:val="24"/>
                <w:szCs w:val="24"/>
              </w:rPr>
              <w:t>1.10</w:t>
            </w:r>
          </w:p>
        </w:tc>
      </w:tr>
      <w:tr w:rsidR="002D161F">
        <w:trPr>
          <w:jc w:val="center"/>
        </w:trPr>
        <w:tc>
          <w:tcPr>
            <w:tcW w:w="1883" w:type="dxa"/>
            <w:vAlign w:val="center"/>
          </w:tcPr>
          <w:p w:rsidR="002D161F" w:rsidRDefault="00A12FEA">
            <w:pPr>
              <w:jc w:val="center"/>
            </w:pPr>
            <w:r>
              <w:rPr>
                <w:color w:val="000000"/>
                <w:sz w:val="24"/>
                <w:szCs w:val="24"/>
              </w:rPr>
              <w:t>2</w:t>
            </w:r>
          </w:p>
        </w:tc>
        <w:tc>
          <w:tcPr>
            <w:tcW w:w="1801" w:type="dxa"/>
            <w:vAlign w:val="center"/>
          </w:tcPr>
          <w:p w:rsidR="002D161F" w:rsidRDefault="00A12FEA">
            <w:pPr>
              <w:jc w:val="center"/>
            </w:pPr>
            <w:r>
              <w:rPr>
                <w:color w:val="000000"/>
                <w:sz w:val="24"/>
                <w:szCs w:val="24"/>
              </w:rPr>
              <w:t>113011</w:t>
            </w:r>
          </w:p>
        </w:tc>
        <w:tc>
          <w:tcPr>
            <w:tcW w:w="1727" w:type="dxa"/>
            <w:vAlign w:val="center"/>
          </w:tcPr>
          <w:p w:rsidR="002D161F" w:rsidRDefault="00A12FEA">
            <w:pPr>
              <w:jc w:val="center"/>
            </w:pPr>
            <w:r>
              <w:rPr>
                <w:color w:val="000000"/>
                <w:sz w:val="24"/>
                <w:szCs w:val="24"/>
              </w:rPr>
              <w:t>光大转债</w:t>
            </w:r>
          </w:p>
        </w:tc>
        <w:tc>
          <w:tcPr>
            <w:tcW w:w="1768" w:type="dxa"/>
            <w:vAlign w:val="center"/>
          </w:tcPr>
          <w:p w:rsidR="002D161F" w:rsidRDefault="00A12FEA">
            <w:pPr>
              <w:jc w:val="right"/>
            </w:pPr>
            <w:r>
              <w:rPr>
                <w:color w:val="000000"/>
                <w:sz w:val="24"/>
                <w:szCs w:val="24"/>
              </w:rPr>
              <w:t>2,077,392.00</w:t>
            </w:r>
          </w:p>
        </w:tc>
        <w:tc>
          <w:tcPr>
            <w:tcW w:w="1689" w:type="dxa"/>
            <w:vAlign w:val="center"/>
          </w:tcPr>
          <w:p w:rsidR="002D161F" w:rsidRDefault="00A12FEA">
            <w:pPr>
              <w:jc w:val="right"/>
            </w:pPr>
            <w:r>
              <w:rPr>
                <w:color w:val="000000"/>
                <w:sz w:val="24"/>
                <w:szCs w:val="24"/>
              </w:rPr>
              <w:t>0.99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D161F">
        <w:trPr>
          <w:jc w:val="center"/>
        </w:trPr>
        <w:tc>
          <w:tcPr>
            <w:tcW w:w="1129" w:type="dxa"/>
            <w:vAlign w:val="center"/>
          </w:tcPr>
          <w:p w:rsidR="002D161F" w:rsidRDefault="00A12FEA">
            <w:pPr>
              <w:jc w:val="center"/>
            </w:pPr>
            <w:r>
              <w:rPr>
                <w:color w:val="000000"/>
                <w:sz w:val="24"/>
                <w:szCs w:val="24"/>
              </w:rPr>
              <w:t>1</w:t>
            </w:r>
          </w:p>
        </w:tc>
        <w:tc>
          <w:tcPr>
            <w:tcW w:w="1356" w:type="dxa"/>
            <w:vAlign w:val="center"/>
          </w:tcPr>
          <w:p w:rsidR="002D161F" w:rsidRDefault="00A12FEA">
            <w:pPr>
              <w:jc w:val="center"/>
            </w:pPr>
            <w:r>
              <w:rPr>
                <w:color w:val="000000"/>
                <w:sz w:val="24"/>
                <w:szCs w:val="24"/>
              </w:rPr>
              <w:t>300347</w:t>
            </w:r>
          </w:p>
        </w:tc>
        <w:tc>
          <w:tcPr>
            <w:tcW w:w="1355" w:type="dxa"/>
            <w:vAlign w:val="center"/>
          </w:tcPr>
          <w:p w:rsidR="002D161F" w:rsidRDefault="00A12FEA">
            <w:pPr>
              <w:jc w:val="center"/>
            </w:pPr>
            <w:r>
              <w:rPr>
                <w:color w:val="000000"/>
                <w:sz w:val="24"/>
                <w:szCs w:val="24"/>
              </w:rPr>
              <w:t>泰格医药</w:t>
            </w:r>
          </w:p>
        </w:tc>
        <w:tc>
          <w:tcPr>
            <w:tcW w:w="1880" w:type="dxa"/>
            <w:vAlign w:val="center"/>
          </w:tcPr>
          <w:p w:rsidR="002D161F" w:rsidRDefault="00A12FEA">
            <w:pPr>
              <w:jc w:val="right"/>
            </w:pPr>
            <w:r>
              <w:rPr>
                <w:color w:val="000000"/>
                <w:sz w:val="24"/>
                <w:szCs w:val="24"/>
              </w:rPr>
              <w:t>10,180,000.00</w:t>
            </w:r>
          </w:p>
        </w:tc>
        <w:tc>
          <w:tcPr>
            <w:tcW w:w="1724" w:type="dxa"/>
            <w:vAlign w:val="center"/>
          </w:tcPr>
          <w:p w:rsidR="002D161F" w:rsidRDefault="00A12FEA">
            <w:pPr>
              <w:jc w:val="right"/>
            </w:pPr>
            <w:r>
              <w:rPr>
                <w:color w:val="000000"/>
                <w:sz w:val="24"/>
                <w:szCs w:val="24"/>
              </w:rPr>
              <w:t>4.87</w:t>
            </w:r>
          </w:p>
        </w:tc>
        <w:tc>
          <w:tcPr>
            <w:tcW w:w="1424" w:type="dxa"/>
            <w:vAlign w:val="center"/>
          </w:tcPr>
          <w:p w:rsidR="002D161F" w:rsidRDefault="00A12FEA">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C21043" w:rsidRPr="00C21043" w:rsidRDefault="00C21043" w:rsidP="00C21043">
      <w:pPr>
        <w:adjustRightInd w:val="0"/>
        <w:snapToGrid w:val="0"/>
        <w:spacing w:beforeLines="50" w:before="156" w:line="360" w:lineRule="auto"/>
        <w:rPr>
          <w:rFonts w:eastAsiaTheme="minorEastAsia" w:hint="eastAsia"/>
          <w:b/>
          <w:color w:val="000000" w:themeColor="text1"/>
          <w:kern w:val="0"/>
          <w:sz w:val="24"/>
          <w:szCs w:val="24"/>
        </w:rPr>
      </w:pPr>
      <w:r w:rsidRPr="00C21043">
        <w:rPr>
          <w:rFonts w:eastAsiaTheme="minorEastAsia" w:hint="eastAsia"/>
          <w:b/>
          <w:color w:val="000000" w:themeColor="text1"/>
          <w:kern w:val="0"/>
          <w:sz w:val="24"/>
          <w:szCs w:val="24"/>
        </w:rPr>
        <w:t xml:space="preserve">6.3 </w:t>
      </w:r>
      <w:r w:rsidRPr="00C21043">
        <w:rPr>
          <w:rFonts w:eastAsiaTheme="minorEastAsia" w:hint="eastAsia"/>
          <w:b/>
          <w:color w:val="000000" w:themeColor="text1"/>
          <w:kern w:val="0"/>
          <w:sz w:val="24"/>
          <w:szCs w:val="24"/>
        </w:rPr>
        <w:t>本报告期持有的基金发生的重大影响事件</w:t>
      </w:r>
    </w:p>
    <w:p w:rsidR="00C21043" w:rsidRPr="00C21043" w:rsidRDefault="00C21043" w:rsidP="00C21043">
      <w:pPr>
        <w:autoSpaceDE w:val="0"/>
        <w:autoSpaceDN w:val="0"/>
        <w:adjustRightInd w:val="0"/>
        <w:spacing w:line="360" w:lineRule="auto"/>
        <w:ind w:firstLineChars="200" w:firstLine="480"/>
        <w:jc w:val="left"/>
        <w:rPr>
          <w:rFonts w:eastAsiaTheme="minorEastAsia" w:hint="eastAsia"/>
          <w:color w:val="000000" w:themeColor="text1"/>
          <w:sz w:val="24"/>
          <w:szCs w:val="24"/>
        </w:rPr>
      </w:pPr>
      <w:r w:rsidRPr="00C21043">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322,057,015.26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1,635,331.79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123,240,314.91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200,452,032.14</w:t>
            </w:r>
          </w:p>
        </w:tc>
      </w:tr>
    </w:tbl>
    <w:p w:rsidR="002D161F" w:rsidRDefault="00A12F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2D161F" w:rsidRPr="00731E38" w:rsidRDefault="00A12FEA" w:rsidP="00731E38">
      <w:pPr>
        <w:spacing w:before="29" w:line="288" w:lineRule="auto"/>
        <w:ind w:firstLineChars="200" w:firstLine="480"/>
        <w:rPr>
          <w:color w:val="000000"/>
          <w:sz w:val="24"/>
          <w:szCs w:val="24"/>
        </w:rPr>
      </w:pPr>
      <w:r w:rsidRPr="00731E38">
        <w:rPr>
          <w:color w:val="000000"/>
          <w:sz w:val="24"/>
          <w:szCs w:val="24"/>
        </w:rPr>
        <w:t>1</w:t>
      </w:r>
      <w:r w:rsidRPr="00731E38">
        <w:rPr>
          <w:color w:val="000000"/>
          <w:sz w:val="24"/>
          <w:szCs w:val="24"/>
        </w:rPr>
        <w:t>、根据财政部和国家税务总局于</w:t>
      </w:r>
      <w:r w:rsidRPr="00731E38">
        <w:rPr>
          <w:color w:val="000000"/>
          <w:sz w:val="24"/>
          <w:szCs w:val="24"/>
        </w:rPr>
        <w:t>2016</w:t>
      </w:r>
      <w:r w:rsidRPr="00731E38">
        <w:rPr>
          <w:color w:val="000000"/>
          <w:sz w:val="24"/>
          <w:szCs w:val="24"/>
        </w:rPr>
        <w:t>年</w:t>
      </w:r>
      <w:r w:rsidRPr="00731E38">
        <w:rPr>
          <w:color w:val="000000"/>
          <w:sz w:val="24"/>
          <w:szCs w:val="24"/>
        </w:rPr>
        <w:t>12</w:t>
      </w:r>
      <w:r w:rsidRPr="00731E38">
        <w:rPr>
          <w:color w:val="000000"/>
          <w:sz w:val="24"/>
          <w:szCs w:val="24"/>
        </w:rPr>
        <w:t>月</w:t>
      </w:r>
      <w:r w:rsidRPr="00731E38">
        <w:rPr>
          <w:color w:val="000000"/>
          <w:sz w:val="24"/>
          <w:szCs w:val="24"/>
        </w:rPr>
        <w:t>21</w:t>
      </w:r>
      <w:r w:rsidRPr="00731E38">
        <w:rPr>
          <w:color w:val="000000"/>
          <w:sz w:val="24"/>
          <w:szCs w:val="24"/>
        </w:rPr>
        <w:t>日联合发布的《关于明确金融、房地产开发、教育辅助服务等增值税政策的通知》（财税</w:t>
      </w:r>
      <w:r w:rsidRPr="00731E38">
        <w:rPr>
          <w:color w:val="000000"/>
          <w:sz w:val="24"/>
          <w:szCs w:val="24"/>
        </w:rPr>
        <w:t>[2016]140</w:t>
      </w:r>
      <w:r w:rsidRPr="00731E38">
        <w:rPr>
          <w:color w:val="000000"/>
          <w:sz w:val="24"/>
          <w:szCs w:val="24"/>
        </w:rPr>
        <w:t>号）以及于</w:t>
      </w:r>
      <w:r w:rsidRPr="00731E38">
        <w:rPr>
          <w:color w:val="000000"/>
          <w:sz w:val="24"/>
          <w:szCs w:val="24"/>
        </w:rPr>
        <w:t>2017</w:t>
      </w:r>
      <w:r w:rsidRPr="00731E38">
        <w:rPr>
          <w:color w:val="000000"/>
          <w:sz w:val="24"/>
          <w:szCs w:val="24"/>
        </w:rPr>
        <w:t>年</w:t>
      </w:r>
      <w:r w:rsidRPr="00731E38">
        <w:rPr>
          <w:color w:val="000000"/>
          <w:sz w:val="24"/>
          <w:szCs w:val="24"/>
        </w:rPr>
        <w:t>6</w:t>
      </w:r>
      <w:r w:rsidRPr="00731E38">
        <w:rPr>
          <w:color w:val="000000"/>
          <w:sz w:val="24"/>
          <w:szCs w:val="24"/>
        </w:rPr>
        <w:t>月</w:t>
      </w:r>
      <w:r w:rsidRPr="00731E38">
        <w:rPr>
          <w:color w:val="000000"/>
          <w:sz w:val="24"/>
          <w:szCs w:val="24"/>
        </w:rPr>
        <w:t>30</w:t>
      </w:r>
      <w:r w:rsidRPr="00731E38">
        <w:rPr>
          <w:color w:val="000000"/>
          <w:sz w:val="24"/>
          <w:szCs w:val="24"/>
        </w:rPr>
        <w:t>日联合发布的《财政部、税务总局关于资管产品增值税有关问题的通知》（财税</w:t>
      </w:r>
      <w:r w:rsidRPr="00731E38">
        <w:rPr>
          <w:color w:val="000000"/>
          <w:sz w:val="24"/>
          <w:szCs w:val="24"/>
        </w:rPr>
        <w:t>[2017]56</w:t>
      </w:r>
      <w:r w:rsidRPr="00731E38">
        <w:rPr>
          <w:color w:val="000000"/>
          <w:sz w:val="24"/>
          <w:szCs w:val="24"/>
        </w:rPr>
        <w:t>号）等规定，自</w:t>
      </w:r>
      <w:r w:rsidRPr="00731E38">
        <w:rPr>
          <w:color w:val="000000"/>
          <w:sz w:val="24"/>
          <w:szCs w:val="24"/>
        </w:rPr>
        <w:t>2018</w:t>
      </w:r>
      <w:r w:rsidRPr="00731E38">
        <w:rPr>
          <w:color w:val="000000"/>
          <w:sz w:val="24"/>
          <w:szCs w:val="24"/>
        </w:rPr>
        <w:t>年</w:t>
      </w:r>
      <w:r w:rsidRPr="00731E38">
        <w:rPr>
          <w:color w:val="000000"/>
          <w:sz w:val="24"/>
          <w:szCs w:val="24"/>
        </w:rPr>
        <w:t>1</w:t>
      </w:r>
      <w:r w:rsidRPr="00731E38">
        <w:rPr>
          <w:color w:val="000000"/>
          <w:sz w:val="24"/>
          <w:szCs w:val="24"/>
        </w:rPr>
        <w:t>月</w:t>
      </w:r>
      <w:r w:rsidRPr="00731E38">
        <w:rPr>
          <w:color w:val="000000"/>
          <w:sz w:val="24"/>
          <w:szCs w:val="24"/>
        </w:rPr>
        <w:t>1</w:t>
      </w:r>
      <w:r w:rsidRPr="00731E38">
        <w:rPr>
          <w:color w:val="000000"/>
          <w:sz w:val="24"/>
          <w:szCs w:val="24"/>
        </w:rPr>
        <w:t>日（含）起，基金管理人运营公开募集证券投资基金（以下简称</w:t>
      </w:r>
      <w:r w:rsidRPr="00731E38">
        <w:rPr>
          <w:color w:val="000000"/>
          <w:sz w:val="24"/>
          <w:szCs w:val="24"/>
        </w:rPr>
        <w:t>“</w:t>
      </w:r>
      <w:r w:rsidRPr="00731E38">
        <w:rPr>
          <w:color w:val="000000"/>
          <w:sz w:val="24"/>
          <w:szCs w:val="24"/>
        </w:rPr>
        <w:t>基金</w:t>
      </w:r>
      <w:r w:rsidRPr="00731E38">
        <w:rPr>
          <w:color w:val="000000"/>
          <w:sz w:val="24"/>
          <w:szCs w:val="24"/>
        </w:rPr>
        <w:t>”</w:t>
      </w:r>
      <w:r w:rsidRPr="00731E38">
        <w:rPr>
          <w:color w:val="000000"/>
          <w:sz w:val="24"/>
          <w:szCs w:val="24"/>
        </w:rPr>
        <w:t>）过程中发生的增值税应税行为，应按照现行规定缴纳增值税。本基金管理人将依据国</w:t>
      </w:r>
      <w:bookmarkStart w:id="0" w:name="_GoBack"/>
      <w:bookmarkEnd w:id="0"/>
      <w:r w:rsidRPr="00731E38">
        <w:rPr>
          <w:color w:val="000000"/>
          <w:sz w:val="24"/>
          <w:szCs w:val="24"/>
        </w:rPr>
        <w:t>家税收法律、法规、规章及税收规范性文件的规定，对管理的基金产品运营过程中产生的应税</w:t>
      </w:r>
      <w:r w:rsidRPr="00731E38">
        <w:rPr>
          <w:color w:val="000000"/>
          <w:sz w:val="24"/>
          <w:szCs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731E38" w:rsidRDefault="003C50AD" w:rsidP="00731E38">
      <w:pPr>
        <w:spacing w:before="29" w:line="288" w:lineRule="auto"/>
        <w:ind w:firstLineChars="200" w:firstLine="480"/>
        <w:rPr>
          <w:color w:val="000000"/>
          <w:sz w:val="24"/>
          <w:szCs w:val="24"/>
        </w:rPr>
      </w:pPr>
      <w:r w:rsidRPr="00731E38">
        <w:rPr>
          <w:color w:val="000000"/>
          <w:sz w:val="24"/>
          <w:szCs w:val="24"/>
        </w:rPr>
        <w:t>2</w:t>
      </w:r>
      <w:r w:rsidRPr="00731E38">
        <w:rPr>
          <w:color w:val="000000"/>
          <w:sz w:val="24"/>
          <w:szCs w:val="24"/>
        </w:rPr>
        <w:t>、根据《公开募集开放式证券投资基金流动性风险管理规定》的有关规定及相关</w:t>
      </w:r>
      <w:r w:rsidRPr="00731E38">
        <w:rPr>
          <w:color w:val="000000"/>
          <w:sz w:val="24"/>
          <w:szCs w:val="24"/>
        </w:rPr>
        <w:lastRenderedPageBreak/>
        <w:t>监管要求，经与基金托管人协商一致并报监管机构备案，基金管理人对本基金基金合同等法律文件作相应修改。请投资者关注基金合同中</w:t>
      </w:r>
      <w:r w:rsidRPr="00731E38">
        <w:rPr>
          <w:color w:val="000000"/>
          <w:sz w:val="24"/>
          <w:szCs w:val="24"/>
        </w:rPr>
        <w:t>“</w:t>
      </w:r>
      <w:r w:rsidRPr="00731E38">
        <w:rPr>
          <w:color w:val="000000"/>
          <w:sz w:val="24"/>
          <w:szCs w:val="24"/>
        </w:rPr>
        <w:t>对持续持有期少于</w:t>
      </w:r>
      <w:r w:rsidRPr="00731E38">
        <w:rPr>
          <w:color w:val="000000"/>
          <w:sz w:val="24"/>
          <w:szCs w:val="24"/>
        </w:rPr>
        <w:t>7</w:t>
      </w:r>
      <w:r w:rsidRPr="00731E38">
        <w:rPr>
          <w:color w:val="000000"/>
          <w:sz w:val="24"/>
          <w:szCs w:val="24"/>
        </w:rPr>
        <w:t>日的基金份额持有人收取不低于</w:t>
      </w:r>
      <w:r w:rsidRPr="00731E38">
        <w:rPr>
          <w:color w:val="000000"/>
          <w:sz w:val="24"/>
          <w:szCs w:val="24"/>
        </w:rPr>
        <w:t>1.5%</w:t>
      </w:r>
      <w:r w:rsidRPr="00731E38">
        <w:rPr>
          <w:color w:val="000000"/>
          <w:sz w:val="24"/>
          <w:szCs w:val="24"/>
        </w:rPr>
        <w:t>的赎回费并全额计入基金财产</w:t>
      </w:r>
      <w:r w:rsidRPr="00731E38">
        <w:rPr>
          <w:color w:val="000000"/>
          <w:sz w:val="24"/>
          <w:szCs w:val="24"/>
        </w:rPr>
        <w:t>”</w:t>
      </w:r>
      <w:r w:rsidRPr="00731E38">
        <w:rPr>
          <w:color w:val="000000"/>
          <w:sz w:val="24"/>
          <w:szCs w:val="24"/>
        </w:rPr>
        <w:t>的条款已于</w:t>
      </w:r>
      <w:r w:rsidRPr="00731E38">
        <w:rPr>
          <w:color w:val="000000"/>
          <w:sz w:val="24"/>
          <w:szCs w:val="24"/>
        </w:rPr>
        <w:t>2018</w:t>
      </w:r>
      <w:r w:rsidRPr="00731E38">
        <w:rPr>
          <w:color w:val="000000"/>
          <w:sz w:val="24"/>
          <w:szCs w:val="24"/>
        </w:rPr>
        <w:t>年</w:t>
      </w:r>
      <w:r w:rsidRPr="00731E38">
        <w:rPr>
          <w:color w:val="000000"/>
          <w:sz w:val="24"/>
          <w:szCs w:val="24"/>
        </w:rPr>
        <w:t>3</w:t>
      </w:r>
      <w:r w:rsidRPr="00731E38">
        <w:rPr>
          <w:color w:val="000000"/>
          <w:sz w:val="24"/>
          <w:szCs w:val="24"/>
        </w:rPr>
        <w:t>月</w:t>
      </w:r>
      <w:r w:rsidRPr="00731E38">
        <w:rPr>
          <w:color w:val="000000"/>
          <w:sz w:val="24"/>
          <w:szCs w:val="24"/>
        </w:rPr>
        <w:t>31</w:t>
      </w:r>
      <w:r w:rsidRPr="00731E38">
        <w:rPr>
          <w:color w:val="000000"/>
          <w:sz w:val="24"/>
          <w:szCs w:val="24"/>
        </w:rPr>
        <w:t>日起正式实施。欲知详情请查阅本基金管理人于</w:t>
      </w:r>
      <w:r w:rsidRPr="00731E38">
        <w:rPr>
          <w:color w:val="000000"/>
          <w:sz w:val="24"/>
          <w:szCs w:val="24"/>
        </w:rPr>
        <w:t>2018</w:t>
      </w:r>
      <w:r w:rsidRPr="00731E38">
        <w:rPr>
          <w:color w:val="000000"/>
          <w:sz w:val="24"/>
          <w:szCs w:val="24"/>
        </w:rPr>
        <w:t>年</w:t>
      </w:r>
      <w:r w:rsidRPr="00731E38">
        <w:rPr>
          <w:color w:val="000000"/>
          <w:sz w:val="24"/>
          <w:szCs w:val="24"/>
        </w:rPr>
        <w:t>3</w:t>
      </w:r>
      <w:r w:rsidRPr="00731E38">
        <w:rPr>
          <w:color w:val="000000"/>
          <w:sz w:val="24"/>
          <w:szCs w:val="24"/>
        </w:rPr>
        <w:t>月</w:t>
      </w:r>
      <w:r w:rsidRPr="00731E38">
        <w:rPr>
          <w:color w:val="000000"/>
          <w:sz w:val="24"/>
          <w:szCs w:val="24"/>
        </w:rPr>
        <w:t>22</w:t>
      </w:r>
      <w:r w:rsidRPr="00731E38">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D161F" w:rsidRDefault="00A12FE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D161F" w:rsidRDefault="00A12FE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D161F" w:rsidRDefault="00A12FE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 xml:space="preserve">services@jysld.com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EA" w:rsidRDefault="00A12FEA" w:rsidP="00876D65">
      <w:r>
        <w:separator/>
      </w:r>
    </w:p>
  </w:endnote>
  <w:endnote w:type="continuationSeparator" w:id="0">
    <w:p w:rsidR="00A12FEA" w:rsidRDefault="00A12FE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731E38">
      <w:rPr>
        <w:noProof/>
        <w:kern w:val="0"/>
        <w:szCs w:val="21"/>
      </w:rPr>
      <w:t>12</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731E38">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EA" w:rsidRDefault="00A12FEA" w:rsidP="00876D65">
      <w:r>
        <w:separator/>
      </w:r>
    </w:p>
  </w:footnote>
  <w:footnote w:type="continuationSeparator" w:id="0">
    <w:p w:rsidR="00A12FEA" w:rsidRDefault="00A12FE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161F"/>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1E38"/>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2FEA"/>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043"/>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A392-B5D2-4432-BBA0-705C59E3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578</cp:revision>
  <dcterms:created xsi:type="dcterms:W3CDTF">2012-10-16T06:07:00Z</dcterms:created>
  <dcterms:modified xsi:type="dcterms:W3CDTF">2018-04-18T10:32:00Z</dcterms:modified>
</cp:coreProperties>
</file>