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B6874" w:rsidRDefault="009B72E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171,209,590.21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D04CA" w:rsidRPr="00414345" w:rsidTr="00ED04C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D04CA" w:rsidRPr="00414345" w:rsidTr="00ED04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10,498,116.28</w:t>
            </w:r>
          </w:p>
        </w:tc>
      </w:tr>
      <w:tr w:rsidR="00ED04CA" w:rsidRPr="00414345" w:rsidTr="00ED04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-9,387,825.91</w:t>
            </w:r>
          </w:p>
        </w:tc>
      </w:tr>
      <w:tr w:rsidR="00ED04CA" w:rsidRPr="00414345" w:rsidTr="00ED04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-0.0461</w:t>
            </w:r>
          </w:p>
        </w:tc>
      </w:tr>
      <w:tr w:rsidR="00ED04CA" w:rsidRPr="00414345" w:rsidTr="00ED04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177,084,371.61</w:t>
            </w:r>
          </w:p>
        </w:tc>
      </w:tr>
      <w:tr w:rsidR="00ED04CA" w:rsidRPr="00414345" w:rsidTr="00ED04C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1.0343</w:t>
            </w:r>
          </w:p>
        </w:tc>
      </w:tr>
    </w:tbl>
    <w:p w:rsidR="00BB6874" w:rsidRDefault="009B72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B6874">
        <w:trPr>
          <w:jc w:val="center"/>
        </w:trPr>
        <w:tc>
          <w:tcPr>
            <w:tcW w:w="1701" w:type="dxa"/>
            <w:vAlign w:val="center"/>
          </w:tcPr>
          <w:p w:rsidR="00BB6874" w:rsidRDefault="009B72EC">
            <w:pPr>
              <w:jc w:val="left"/>
            </w:pPr>
            <w:r>
              <w:rPr>
                <w:color w:val="000000"/>
                <w:sz w:val="24"/>
                <w:szCs w:val="24"/>
              </w:rPr>
              <w:t>过去三个月</w:t>
            </w:r>
          </w:p>
        </w:tc>
        <w:tc>
          <w:tcPr>
            <w:tcW w:w="1045" w:type="dxa"/>
            <w:vAlign w:val="center"/>
          </w:tcPr>
          <w:p w:rsidR="00BB6874" w:rsidRDefault="009B72EC">
            <w:pPr>
              <w:jc w:val="center"/>
            </w:pPr>
            <w:r>
              <w:rPr>
                <w:color w:val="000000"/>
                <w:sz w:val="24"/>
                <w:szCs w:val="24"/>
              </w:rPr>
              <w:t>-6.80%</w:t>
            </w:r>
          </w:p>
        </w:tc>
        <w:tc>
          <w:tcPr>
            <w:tcW w:w="1344" w:type="dxa"/>
            <w:vAlign w:val="center"/>
          </w:tcPr>
          <w:p w:rsidR="00BB6874" w:rsidRDefault="009B72EC">
            <w:pPr>
              <w:jc w:val="center"/>
            </w:pPr>
            <w:r>
              <w:rPr>
                <w:color w:val="000000"/>
                <w:sz w:val="24"/>
                <w:szCs w:val="24"/>
              </w:rPr>
              <w:t>1.39%</w:t>
            </w:r>
          </w:p>
        </w:tc>
        <w:tc>
          <w:tcPr>
            <w:tcW w:w="1194" w:type="dxa"/>
            <w:vAlign w:val="center"/>
          </w:tcPr>
          <w:p w:rsidR="00BB6874" w:rsidRDefault="009B72EC">
            <w:pPr>
              <w:jc w:val="center"/>
            </w:pPr>
            <w:r>
              <w:rPr>
                <w:color w:val="000000"/>
                <w:sz w:val="24"/>
                <w:szCs w:val="24"/>
              </w:rPr>
              <w:t>-1.09%</w:t>
            </w:r>
          </w:p>
        </w:tc>
        <w:tc>
          <w:tcPr>
            <w:tcW w:w="1492" w:type="dxa"/>
            <w:vAlign w:val="center"/>
          </w:tcPr>
          <w:p w:rsidR="00BB6874" w:rsidRDefault="009B72EC">
            <w:pPr>
              <w:jc w:val="center"/>
            </w:pPr>
            <w:r>
              <w:rPr>
                <w:color w:val="000000"/>
                <w:sz w:val="24"/>
                <w:szCs w:val="24"/>
              </w:rPr>
              <w:t>0.71%</w:t>
            </w:r>
          </w:p>
        </w:tc>
        <w:tc>
          <w:tcPr>
            <w:tcW w:w="1194" w:type="dxa"/>
            <w:vAlign w:val="center"/>
          </w:tcPr>
          <w:p w:rsidR="00BB6874" w:rsidRDefault="009B72EC">
            <w:pPr>
              <w:jc w:val="center"/>
            </w:pPr>
            <w:r>
              <w:rPr>
                <w:color w:val="000000"/>
                <w:sz w:val="24"/>
                <w:szCs w:val="24"/>
              </w:rPr>
              <w:t>-5.71%</w:t>
            </w:r>
          </w:p>
        </w:tc>
        <w:tc>
          <w:tcPr>
            <w:tcW w:w="898" w:type="dxa"/>
            <w:vAlign w:val="center"/>
          </w:tcPr>
          <w:p w:rsidR="00BB6874" w:rsidRDefault="009B72EC">
            <w:pPr>
              <w:jc w:val="center"/>
            </w:pPr>
            <w:r>
              <w:rPr>
                <w:color w:val="000000"/>
                <w:sz w:val="24"/>
                <w:szCs w:val="24"/>
              </w:rPr>
              <w:t>0.68%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B6874">
        <w:trPr>
          <w:jc w:val="center"/>
        </w:trPr>
        <w:tc>
          <w:tcPr>
            <w:tcW w:w="846" w:type="dxa"/>
            <w:vAlign w:val="center"/>
          </w:tcPr>
          <w:p w:rsidR="00BB6874" w:rsidRDefault="009B72EC">
            <w:pPr>
              <w:jc w:val="center"/>
            </w:pPr>
            <w:r>
              <w:rPr>
                <w:color w:val="000000"/>
                <w:sz w:val="24"/>
                <w:szCs w:val="24"/>
              </w:rPr>
              <w:t>韩威俊</w:t>
            </w:r>
          </w:p>
        </w:tc>
        <w:tc>
          <w:tcPr>
            <w:tcW w:w="845" w:type="dxa"/>
            <w:vAlign w:val="center"/>
          </w:tcPr>
          <w:p w:rsidR="00BB6874" w:rsidRDefault="009B72EC">
            <w:pPr>
              <w:jc w:val="center"/>
            </w:pPr>
            <w:r>
              <w:rPr>
                <w:color w:val="000000"/>
                <w:sz w:val="24"/>
                <w:szCs w:val="24"/>
              </w:rPr>
              <w:t>交银趋势混合、交银策略回报灵活配置混合、交银</w:t>
            </w:r>
            <w:r>
              <w:rPr>
                <w:color w:val="000000"/>
                <w:sz w:val="24"/>
                <w:szCs w:val="24"/>
              </w:rPr>
              <w:lastRenderedPageBreak/>
              <w:t>股息优化混合、交银品质升级混合的基金经理</w:t>
            </w:r>
          </w:p>
        </w:tc>
        <w:tc>
          <w:tcPr>
            <w:tcW w:w="1549" w:type="dxa"/>
            <w:vAlign w:val="center"/>
          </w:tcPr>
          <w:p w:rsidR="00BB6874" w:rsidRDefault="009B72EC">
            <w:pPr>
              <w:jc w:val="center"/>
            </w:pPr>
            <w:r>
              <w:rPr>
                <w:color w:val="000000"/>
                <w:sz w:val="24"/>
                <w:szCs w:val="24"/>
              </w:rPr>
              <w:lastRenderedPageBreak/>
              <w:t>2017-08-25</w:t>
            </w:r>
          </w:p>
        </w:tc>
        <w:tc>
          <w:tcPr>
            <w:tcW w:w="1548" w:type="dxa"/>
            <w:vAlign w:val="center"/>
          </w:tcPr>
          <w:p w:rsidR="00BB6874" w:rsidRDefault="009B72EC">
            <w:pPr>
              <w:jc w:val="center"/>
            </w:pPr>
            <w:r>
              <w:rPr>
                <w:color w:val="000000"/>
                <w:sz w:val="24"/>
                <w:szCs w:val="24"/>
              </w:rPr>
              <w:t>-</w:t>
            </w:r>
          </w:p>
        </w:tc>
        <w:tc>
          <w:tcPr>
            <w:tcW w:w="1407" w:type="dxa"/>
            <w:vAlign w:val="center"/>
          </w:tcPr>
          <w:p w:rsidR="00BB6874" w:rsidRDefault="009B72EC">
            <w:pPr>
              <w:jc w:val="center"/>
            </w:pPr>
            <w:r>
              <w:rPr>
                <w:color w:val="000000"/>
                <w:sz w:val="24"/>
                <w:szCs w:val="24"/>
              </w:rPr>
              <w:t>12</w:t>
            </w:r>
            <w:r>
              <w:rPr>
                <w:color w:val="000000"/>
                <w:sz w:val="24"/>
                <w:szCs w:val="24"/>
              </w:rPr>
              <w:t>年</w:t>
            </w:r>
          </w:p>
        </w:tc>
        <w:tc>
          <w:tcPr>
            <w:tcW w:w="2673" w:type="dxa"/>
            <w:vAlign w:val="center"/>
          </w:tcPr>
          <w:p w:rsidR="00BB6874" w:rsidRDefault="009B72EC">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w:t>
            </w:r>
            <w:r>
              <w:rPr>
                <w:color w:val="000000"/>
                <w:sz w:val="24"/>
                <w:szCs w:val="24"/>
              </w:rPr>
              <w:lastRenderedPageBreak/>
              <w:t>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B6874" w:rsidRDefault="009B72E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B6874" w:rsidRDefault="009B72E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B6874" w:rsidRDefault="009B72E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B6874" w:rsidRDefault="009B72EC">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年一季度，利率维持在高位，整体市场流动性仍然较弱，整个市场仍然处于存量博弈阶段。白马股一月份表现较好，但是由于过去两年涨幅较大，二、三月份整体回落比较大，资金流出相对比较明显。</w:t>
      </w:r>
    </w:p>
    <w:p w:rsidR="00BB6874" w:rsidRDefault="009B72EC">
      <w:pPr>
        <w:spacing w:before="29" w:line="288" w:lineRule="auto"/>
        <w:ind w:firstLineChars="200" w:firstLine="480"/>
        <w:rPr>
          <w:color w:val="000000"/>
          <w:sz w:val="24"/>
          <w:szCs w:val="24"/>
        </w:rPr>
      </w:pPr>
      <w:r>
        <w:rPr>
          <w:color w:val="000000"/>
          <w:sz w:val="24"/>
          <w:szCs w:val="24"/>
        </w:rPr>
        <w:t>本基金在一月份末整体降低了仓位，继续维持配置现金流趋势性向上的价值成长白马股，适当减持了部分流动性较差的重仓股，继续持有流动性较好的价值白马股。由于二、三月份整体回撤较大，一季度绝对收益和相对收益整体表现不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年二季度，整体风险偏好很难出现系统性上升，流动性压力将有所改善，贸易战、</w:t>
      </w:r>
      <w:r w:rsidRPr="00414345">
        <w:rPr>
          <w:color w:val="000000"/>
          <w:sz w:val="24"/>
          <w:szCs w:val="24"/>
        </w:rPr>
        <w:t>CDR</w:t>
      </w:r>
      <w:r w:rsidRPr="00414345">
        <w:rPr>
          <w:color w:val="000000"/>
          <w:sz w:val="24"/>
          <w:szCs w:val="24"/>
        </w:rPr>
        <w:t>等因素将继续对整个资本市场的波动率施加影响，但整体波动会有所收敛，市场仍然维持在一定区间内震荡。价值白马年内将出现明显分化，包括板块的分化和个股的分化，本基金希望通过自下而上的分析，选择继续持有业绩和现金流持续好转的个股。此外，部分小市值成长股确实在经过两年估值消化以后，具备了一定的吸引力，我们后续会考虑适当进行一些成长股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1.0343</w:t>
      </w:r>
      <w:r w:rsidRPr="00414345">
        <w:rPr>
          <w:color w:val="000000"/>
          <w:sz w:val="24"/>
          <w:szCs w:val="24"/>
        </w:rPr>
        <w:t>元，本报告期份额净值增长率为</w:t>
      </w:r>
      <w:r w:rsidRPr="00414345">
        <w:rPr>
          <w:color w:val="000000"/>
          <w:sz w:val="24"/>
          <w:szCs w:val="24"/>
        </w:rPr>
        <w:t>-6.8%</w:t>
      </w:r>
      <w:r w:rsidRPr="00414345">
        <w:rPr>
          <w:color w:val="000000"/>
          <w:sz w:val="24"/>
          <w:szCs w:val="24"/>
        </w:rPr>
        <w:t>，同期业绩比较基准增长率为</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155,286,954.50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86.61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155,286,954.50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86.61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21,771,760.49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2,231,246.48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179,289,961.47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118,157,229.70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1,145,692.87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6,391,203.96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15,810,711.44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11,761,534.51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1,112,820.00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871,102.40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155,286,954.50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87.69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B6874">
        <w:trPr>
          <w:jc w:val="center"/>
        </w:trPr>
        <w:tc>
          <w:tcPr>
            <w:tcW w:w="855" w:type="dxa"/>
            <w:vAlign w:val="center"/>
          </w:tcPr>
          <w:p w:rsidR="00BB6874" w:rsidRDefault="009B72EC">
            <w:pPr>
              <w:jc w:val="center"/>
            </w:pPr>
            <w:r>
              <w:rPr>
                <w:color w:val="000000"/>
                <w:sz w:val="24"/>
                <w:szCs w:val="24"/>
              </w:rPr>
              <w:t>1</w:t>
            </w:r>
          </w:p>
        </w:tc>
        <w:tc>
          <w:tcPr>
            <w:tcW w:w="1334" w:type="dxa"/>
            <w:vAlign w:val="center"/>
          </w:tcPr>
          <w:p w:rsidR="00BB6874" w:rsidRDefault="009B72EC">
            <w:pPr>
              <w:jc w:val="center"/>
            </w:pPr>
            <w:r>
              <w:rPr>
                <w:color w:val="000000"/>
                <w:sz w:val="24"/>
                <w:szCs w:val="24"/>
              </w:rPr>
              <w:t>002304</w:t>
            </w:r>
          </w:p>
        </w:tc>
        <w:tc>
          <w:tcPr>
            <w:tcW w:w="1777" w:type="dxa"/>
            <w:vAlign w:val="center"/>
          </w:tcPr>
          <w:p w:rsidR="00BB6874" w:rsidRDefault="009B72EC">
            <w:pPr>
              <w:jc w:val="center"/>
            </w:pPr>
            <w:r>
              <w:rPr>
                <w:color w:val="000000"/>
                <w:sz w:val="24"/>
                <w:szCs w:val="24"/>
              </w:rPr>
              <w:t>洋河股份</w:t>
            </w:r>
          </w:p>
        </w:tc>
        <w:tc>
          <w:tcPr>
            <w:tcW w:w="1334" w:type="dxa"/>
            <w:vAlign w:val="center"/>
          </w:tcPr>
          <w:p w:rsidR="00BB6874" w:rsidRDefault="009B72EC">
            <w:pPr>
              <w:jc w:val="right"/>
            </w:pPr>
            <w:r>
              <w:rPr>
                <w:color w:val="000000"/>
                <w:sz w:val="24"/>
                <w:szCs w:val="24"/>
              </w:rPr>
              <w:t>156,284</w:t>
            </w:r>
          </w:p>
        </w:tc>
        <w:tc>
          <w:tcPr>
            <w:tcW w:w="1924" w:type="dxa"/>
            <w:vAlign w:val="center"/>
          </w:tcPr>
          <w:p w:rsidR="00BB6874" w:rsidRDefault="009B72EC">
            <w:pPr>
              <w:jc w:val="right"/>
            </w:pPr>
            <w:r>
              <w:rPr>
                <w:color w:val="000000"/>
                <w:sz w:val="24"/>
                <w:szCs w:val="24"/>
              </w:rPr>
              <w:t>16,877,109.16</w:t>
            </w:r>
          </w:p>
        </w:tc>
        <w:tc>
          <w:tcPr>
            <w:tcW w:w="1644" w:type="dxa"/>
            <w:vAlign w:val="center"/>
          </w:tcPr>
          <w:p w:rsidR="00BB6874" w:rsidRDefault="009B72EC">
            <w:pPr>
              <w:jc w:val="right"/>
            </w:pPr>
            <w:r>
              <w:rPr>
                <w:color w:val="000000"/>
                <w:sz w:val="24"/>
                <w:szCs w:val="24"/>
              </w:rPr>
              <w:t>9.53</w:t>
            </w:r>
          </w:p>
        </w:tc>
      </w:tr>
      <w:tr w:rsidR="00BB6874">
        <w:trPr>
          <w:jc w:val="center"/>
        </w:trPr>
        <w:tc>
          <w:tcPr>
            <w:tcW w:w="855" w:type="dxa"/>
            <w:vAlign w:val="center"/>
          </w:tcPr>
          <w:p w:rsidR="00BB6874" w:rsidRDefault="009B72EC">
            <w:pPr>
              <w:jc w:val="center"/>
            </w:pPr>
            <w:r>
              <w:rPr>
                <w:color w:val="000000"/>
                <w:sz w:val="24"/>
                <w:szCs w:val="24"/>
              </w:rPr>
              <w:t>2</w:t>
            </w:r>
          </w:p>
        </w:tc>
        <w:tc>
          <w:tcPr>
            <w:tcW w:w="1334" w:type="dxa"/>
            <w:vAlign w:val="center"/>
          </w:tcPr>
          <w:p w:rsidR="00BB6874" w:rsidRDefault="009B72EC">
            <w:pPr>
              <w:jc w:val="center"/>
            </w:pPr>
            <w:r>
              <w:rPr>
                <w:color w:val="000000"/>
                <w:sz w:val="24"/>
                <w:szCs w:val="24"/>
              </w:rPr>
              <w:t>600887</w:t>
            </w:r>
          </w:p>
        </w:tc>
        <w:tc>
          <w:tcPr>
            <w:tcW w:w="1777" w:type="dxa"/>
            <w:vAlign w:val="center"/>
          </w:tcPr>
          <w:p w:rsidR="00BB6874" w:rsidRDefault="009B72EC">
            <w:pPr>
              <w:jc w:val="center"/>
            </w:pPr>
            <w:r>
              <w:rPr>
                <w:color w:val="000000"/>
                <w:sz w:val="24"/>
                <w:szCs w:val="24"/>
              </w:rPr>
              <w:t>伊利股份</w:t>
            </w:r>
          </w:p>
        </w:tc>
        <w:tc>
          <w:tcPr>
            <w:tcW w:w="1334" w:type="dxa"/>
            <w:vAlign w:val="center"/>
          </w:tcPr>
          <w:p w:rsidR="00BB6874" w:rsidRDefault="009B72EC">
            <w:pPr>
              <w:jc w:val="right"/>
            </w:pPr>
            <w:r>
              <w:rPr>
                <w:color w:val="000000"/>
                <w:sz w:val="24"/>
                <w:szCs w:val="24"/>
              </w:rPr>
              <w:t>589,921</w:t>
            </w:r>
          </w:p>
        </w:tc>
        <w:tc>
          <w:tcPr>
            <w:tcW w:w="1924" w:type="dxa"/>
            <w:vAlign w:val="center"/>
          </w:tcPr>
          <w:p w:rsidR="00BB6874" w:rsidRDefault="009B72EC">
            <w:pPr>
              <w:jc w:val="right"/>
            </w:pPr>
            <w:r>
              <w:rPr>
                <w:color w:val="000000"/>
                <w:sz w:val="24"/>
                <w:szCs w:val="24"/>
              </w:rPr>
              <w:t>16,806,849.29</w:t>
            </w:r>
          </w:p>
        </w:tc>
        <w:tc>
          <w:tcPr>
            <w:tcW w:w="1644" w:type="dxa"/>
            <w:vAlign w:val="center"/>
          </w:tcPr>
          <w:p w:rsidR="00BB6874" w:rsidRDefault="009B72EC">
            <w:pPr>
              <w:jc w:val="right"/>
            </w:pPr>
            <w:r>
              <w:rPr>
                <w:color w:val="000000"/>
                <w:sz w:val="24"/>
                <w:szCs w:val="24"/>
              </w:rPr>
              <w:t>9.49</w:t>
            </w:r>
          </w:p>
        </w:tc>
      </w:tr>
      <w:tr w:rsidR="00BB6874">
        <w:trPr>
          <w:jc w:val="center"/>
        </w:trPr>
        <w:tc>
          <w:tcPr>
            <w:tcW w:w="855" w:type="dxa"/>
            <w:vAlign w:val="center"/>
          </w:tcPr>
          <w:p w:rsidR="00BB6874" w:rsidRDefault="009B72EC">
            <w:pPr>
              <w:jc w:val="center"/>
            </w:pPr>
            <w:r>
              <w:rPr>
                <w:color w:val="000000"/>
                <w:sz w:val="24"/>
                <w:szCs w:val="24"/>
              </w:rPr>
              <w:t>3</w:t>
            </w:r>
          </w:p>
        </w:tc>
        <w:tc>
          <w:tcPr>
            <w:tcW w:w="1334" w:type="dxa"/>
            <w:vAlign w:val="center"/>
          </w:tcPr>
          <w:p w:rsidR="00BB6874" w:rsidRDefault="009B72EC">
            <w:pPr>
              <w:jc w:val="center"/>
            </w:pPr>
            <w:r>
              <w:rPr>
                <w:color w:val="000000"/>
                <w:sz w:val="24"/>
                <w:szCs w:val="24"/>
              </w:rPr>
              <w:t>600519</w:t>
            </w:r>
          </w:p>
        </w:tc>
        <w:tc>
          <w:tcPr>
            <w:tcW w:w="1777" w:type="dxa"/>
            <w:vAlign w:val="center"/>
          </w:tcPr>
          <w:p w:rsidR="00BB6874" w:rsidRDefault="009B72EC">
            <w:pPr>
              <w:jc w:val="center"/>
            </w:pPr>
            <w:r>
              <w:rPr>
                <w:color w:val="000000"/>
                <w:sz w:val="24"/>
                <w:szCs w:val="24"/>
              </w:rPr>
              <w:t>贵州茅台</w:t>
            </w:r>
          </w:p>
        </w:tc>
        <w:tc>
          <w:tcPr>
            <w:tcW w:w="1334" w:type="dxa"/>
            <w:vAlign w:val="center"/>
          </w:tcPr>
          <w:p w:rsidR="00BB6874" w:rsidRDefault="009B72EC">
            <w:pPr>
              <w:jc w:val="right"/>
            </w:pPr>
            <w:r>
              <w:rPr>
                <w:color w:val="000000"/>
                <w:sz w:val="24"/>
                <w:szCs w:val="24"/>
              </w:rPr>
              <w:t>24,541</w:t>
            </w:r>
          </w:p>
        </w:tc>
        <w:tc>
          <w:tcPr>
            <w:tcW w:w="1924" w:type="dxa"/>
            <w:vAlign w:val="center"/>
          </w:tcPr>
          <w:p w:rsidR="00BB6874" w:rsidRDefault="009B72EC">
            <w:pPr>
              <w:jc w:val="right"/>
            </w:pPr>
            <w:r>
              <w:rPr>
                <w:color w:val="000000"/>
                <w:sz w:val="24"/>
                <w:szCs w:val="24"/>
              </w:rPr>
              <w:t>16,776,718.42</w:t>
            </w:r>
          </w:p>
        </w:tc>
        <w:tc>
          <w:tcPr>
            <w:tcW w:w="1644" w:type="dxa"/>
            <w:vAlign w:val="center"/>
          </w:tcPr>
          <w:p w:rsidR="00BB6874" w:rsidRDefault="009B72EC">
            <w:pPr>
              <w:jc w:val="right"/>
            </w:pPr>
            <w:r>
              <w:rPr>
                <w:color w:val="000000"/>
                <w:sz w:val="24"/>
                <w:szCs w:val="24"/>
              </w:rPr>
              <w:t>9.47</w:t>
            </w:r>
          </w:p>
        </w:tc>
      </w:tr>
      <w:tr w:rsidR="00BB6874">
        <w:trPr>
          <w:jc w:val="center"/>
        </w:trPr>
        <w:tc>
          <w:tcPr>
            <w:tcW w:w="855" w:type="dxa"/>
            <w:vAlign w:val="center"/>
          </w:tcPr>
          <w:p w:rsidR="00BB6874" w:rsidRDefault="009B72EC">
            <w:pPr>
              <w:jc w:val="center"/>
            </w:pPr>
            <w:r>
              <w:rPr>
                <w:color w:val="000000"/>
                <w:sz w:val="24"/>
                <w:szCs w:val="24"/>
              </w:rPr>
              <w:t>4</w:t>
            </w:r>
          </w:p>
        </w:tc>
        <w:tc>
          <w:tcPr>
            <w:tcW w:w="1334" w:type="dxa"/>
            <w:vAlign w:val="center"/>
          </w:tcPr>
          <w:p w:rsidR="00BB6874" w:rsidRDefault="009B72EC">
            <w:pPr>
              <w:jc w:val="center"/>
            </w:pPr>
            <w:r>
              <w:rPr>
                <w:color w:val="000000"/>
                <w:sz w:val="24"/>
                <w:szCs w:val="24"/>
              </w:rPr>
              <w:t>000858</w:t>
            </w:r>
          </w:p>
        </w:tc>
        <w:tc>
          <w:tcPr>
            <w:tcW w:w="1777" w:type="dxa"/>
            <w:vAlign w:val="center"/>
          </w:tcPr>
          <w:p w:rsidR="00BB6874" w:rsidRDefault="009B72EC">
            <w:pPr>
              <w:jc w:val="center"/>
            </w:pPr>
            <w:r>
              <w:rPr>
                <w:color w:val="000000"/>
                <w:sz w:val="24"/>
                <w:szCs w:val="24"/>
              </w:rPr>
              <w:t>五粮液</w:t>
            </w:r>
          </w:p>
        </w:tc>
        <w:tc>
          <w:tcPr>
            <w:tcW w:w="1334" w:type="dxa"/>
            <w:vAlign w:val="center"/>
          </w:tcPr>
          <w:p w:rsidR="00BB6874" w:rsidRDefault="009B72EC">
            <w:pPr>
              <w:jc w:val="right"/>
            </w:pPr>
            <w:r>
              <w:rPr>
                <w:color w:val="000000"/>
                <w:sz w:val="24"/>
                <w:szCs w:val="24"/>
              </w:rPr>
              <w:t>249,647</w:t>
            </w:r>
          </w:p>
        </w:tc>
        <w:tc>
          <w:tcPr>
            <w:tcW w:w="1924" w:type="dxa"/>
            <w:vAlign w:val="center"/>
          </w:tcPr>
          <w:p w:rsidR="00BB6874" w:rsidRDefault="009B72EC">
            <w:pPr>
              <w:jc w:val="right"/>
            </w:pPr>
            <w:r>
              <w:rPr>
                <w:color w:val="000000"/>
                <w:sz w:val="24"/>
                <w:szCs w:val="24"/>
              </w:rPr>
              <w:t>16,566,574.92</w:t>
            </w:r>
          </w:p>
        </w:tc>
        <w:tc>
          <w:tcPr>
            <w:tcW w:w="1644" w:type="dxa"/>
            <w:vAlign w:val="center"/>
          </w:tcPr>
          <w:p w:rsidR="00BB6874" w:rsidRDefault="009B72EC">
            <w:pPr>
              <w:jc w:val="right"/>
            </w:pPr>
            <w:r>
              <w:rPr>
                <w:color w:val="000000"/>
                <w:sz w:val="24"/>
                <w:szCs w:val="24"/>
              </w:rPr>
              <w:t>9.36</w:t>
            </w:r>
          </w:p>
        </w:tc>
      </w:tr>
      <w:tr w:rsidR="00BB6874">
        <w:trPr>
          <w:jc w:val="center"/>
        </w:trPr>
        <w:tc>
          <w:tcPr>
            <w:tcW w:w="855" w:type="dxa"/>
            <w:vAlign w:val="center"/>
          </w:tcPr>
          <w:p w:rsidR="00BB6874" w:rsidRDefault="009B72EC">
            <w:pPr>
              <w:jc w:val="center"/>
            </w:pPr>
            <w:r>
              <w:rPr>
                <w:color w:val="000000"/>
                <w:sz w:val="24"/>
                <w:szCs w:val="24"/>
              </w:rPr>
              <w:t>5</w:t>
            </w:r>
          </w:p>
        </w:tc>
        <w:tc>
          <w:tcPr>
            <w:tcW w:w="1334" w:type="dxa"/>
            <w:vAlign w:val="center"/>
          </w:tcPr>
          <w:p w:rsidR="00BB6874" w:rsidRDefault="009B72EC">
            <w:pPr>
              <w:jc w:val="center"/>
            </w:pPr>
            <w:r>
              <w:rPr>
                <w:color w:val="000000"/>
                <w:sz w:val="24"/>
                <w:szCs w:val="24"/>
              </w:rPr>
              <w:t>002027</w:t>
            </w:r>
          </w:p>
        </w:tc>
        <w:tc>
          <w:tcPr>
            <w:tcW w:w="1777" w:type="dxa"/>
            <w:vAlign w:val="center"/>
          </w:tcPr>
          <w:p w:rsidR="00BB6874" w:rsidRDefault="009B72EC">
            <w:pPr>
              <w:jc w:val="center"/>
            </w:pPr>
            <w:r>
              <w:rPr>
                <w:color w:val="000000"/>
                <w:sz w:val="24"/>
                <w:szCs w:val="24"/>
              </w:rPr>
              <w:t>分众传媒</w:t>
            </w:r>
          </w:p>
        </w:tc>
        <w:tc>
          <w:tcPr>
            <w:tcW w:w="1334" w:type="dxa"/>
            <w:vAlign w:val="center"/>
          </w:tcPr>
          <w:p w:rsidR="00BB6874" w:rsidRDefault="009B72EC">
            <w:pPr>
              <w:jc w:val="right"/>
            </w:pPr>
            <w:r>
              <w:rPr>
                <w:color w:val="000000"/>
                <w:sz w:val="24"/>
                <w:szCs w:val="24"/>
              </w:rPr>
              <w:t>936,659</w:t>
            </w:r>
          </w:p>
        </w:tc>
        <w:tc>
          <w:tcPr>
            <w:tcW w:w="1924" w:type="dxa"/>
            <w:vAlign w:val="center"/>
          </w:tcPr>
          <w:p w:rsidR="00BB6874" w:rsidRDefault="009B72EC">
            <w:pPr>
              <w:jc w:val="right"/>
            </w:pPr>
            <w:r>
              <w:rPr>
                <w:color w:val="000000"/>
                <w:sz w:val="24"/>
                <w:szCs w:val="24"/>
              </w:rPr>
              <w:t>11,761,534.51</w:t>
            </w:r>
          </w:p>
        </w:tc>
        <w:tc>
          <w:tcPr>
            <w:tcW w:w="1644" w:type="dxa"/>
            <w:vAlign w:val="center"/>
          </w:tcPr>
          <w:p w:rsidR="00BB6874" w:rsidRDefault="009B72EC">
            <w:pPr>
              <w:jc w:val="right"/>
            </w:pPr>
            <w:r>
              <w:rPr>
                <w:color w:val="000000"/>
                <w:sz w:val="24"/>
                <w:szCs w:val="24"/>
              </w:rPr>
              <w:t>6.64</w:t>
            </w:r>
          </w:p>
        </w:tc>
      </w:tr>
      <w:tr w:rsidR="00BB6874">
        <w:trPr>
          <w:jc w:val="center"/>
        </w:trPr>
        <w:tc>
          <w:tcPr>
            <w:tcW w:w="855" w:type="dxa"/>
            <w:vAlign w:val="center"/>
          </w:tcPr>
          <w:p w:rsidR="00BB6874" w:rsidRDefault="009B72EC">
            <w:pPr>
              <w:jc w:val="center"/>
            </w:pPr>
            <w:r>
              <w:rPr>
                <w:color w:val="000000"/>
                <w:sz w:val="24"/>
                <w:szCs w:val="24"/>
              </w:rPr>
              <w:t>6</w:t>
            </w:r>
          </w:p>
        </w:tc>
        <w:tc>
          <w:tcPr>
            <w:tcW w:w="1334" w:type="dxa"/>
            <w:vAlign w:val="center"/>
          </w:tcPr>
          <w:p w:rsidR="00BB6874" w:rsidRDefault="009B72EC">
            <w:pPr>
              <w:jc w:val="center"/>
            </w:pPr>
            <w:r>
              <w:rPr>
                <w:color w:val="000000"/>
                <w:sz w:val="24"/>
                <w:szCs w:val="24"/>
              </w:rPr>
              <w:t>600036</w:t>
            </w:r>
          </w:p>
        </w:tc>
        <w:tc>
          <w:tcPr>
            <w:tcW w:w="1777" w:type="dxa"/>
            <w:vAlign w:val="center"/>
          </w:tcPr>
          <w:p w:rsidR="00BB6874" w:rsidRDefault="009B72EC">
            <w:pPr>
              <w:jc w:val="center"/>
            </w:pPr>
            <w:r>
              <w:rPr>
                <w:color w:val="000000"/>
                <w:sz w:val="24"/>
                <w:szCs w:val="24"/>
              </w:rPr>
              <w:t>招商银行</w:t>
            </w:r>
          </w:p>
        </w:tc>
        <w:tc>
          <w:tcPr>
            <w:tcW w:w="1334" w:type="dxa"/>
            <w:vAlign w:val="center"/>
          </w:tcPr>
          <w:p w:rsidR="00BB6874" w:rsidRDefault="009B72EC">
            <w:pPr>
              <w:jc w:val="right"/>
            </w:pPr>
            <w:r>
              <w:rPr>
                <w:color w:val="000000"/>
                <w:sz w:val="24"/>
                <w:szCs w:val="24"/>
              </w:rPr>
              <w:t>337,243</w:t>
            </w:r>
          </w:p>
        </w:tc>
        <w:tc>
          <w:tcPr>
            <w:tcW w:w="1924" w:type="dxa"/>
            <w:vAlign w:val="center"/>
          </w:tcPr>
          <w:p w:rsidR="00BB6874" w:rsidRDefault="009B72EC">
            <w:pPr>
              <w:jc w:val="right"/>
            </w:pPr>
            <w:r>
              <w:rPr>
                <w:color w:val="000000"/>
                <w:sz w:val="24"/>
                <w:szCs w:val="24"/>
              </w:rPr>
              <w:t>9,810,398.87</w:t>
            </w:r>
          </w:p>
        </w:tc>
        <w:tc>
          <w:tcPr>
            <w:tcW w:w="1644" w:type="dxa"/>
            <w:vAlign w:val="center"/>
          </w:tcPr>
          <w:p w:rsidR="00BB6874" w:rsidRDefault="009B72EC">
            <w:pPr>
              <w:jc w:val="right"/>
            </w:pPr>
            <w:r>
              <w:rPr>
                <w:color w:val="000000"/>
                <w:sz w:val="24"/>
                <w:szCs w:val="24"/>
              </w:rPr>
              <w:t>5.54</w:t>
            </w:r>
          </w:p>
        </w:tc>
      </w:tr>
      <w:tr w:rsidR="00BB6874">
        <w:trPr>
          <w:jc w:val="center"/>
        </w:trPr>
        <w:tc>
          <w:tcPr>
            <w:tcW w:w="855" w:type="dxa"/>
            <w:vAlign w:val="center"/>
          </w:tcPr>
          <w:p w:rsidR="00BB6874" w:rsidRDefault="009B72EC">
            <w:pPr>
              <w:jc w:val="center"/>
            </w:pPr>
            <w:r>
              <w:rPr>
                <w:color w:val="000000"/>
                <w:sz w:val="24"/>
                <w:szCs w:val="24"/>
              </w:rPr>
              <w:t>7</w:t>
            </w:r>
          </w:p>
        </w:tc>
        <w:tc>
          <w:tcPr>
            <w:tcW w:w="1334" w:type="dxa"/>
            <w:vAlign w:val="center"/>
          </w:tcPr>
          <w:p w:rsidR="00BB6874" w:rsidRDefault="009B72EC">
            <w:pPr>
              <w:jc w:val="center"/>
            </w:pPr>
            <w:r>
              <w:rPr>
                <w:color w:val="000000"/>
                <w:sz w:val="24"/>
                <w:szCs w:val="24"/>
              </w:rPr>
              <w:t>000651</w:t>
            </w:r>
          </w:p>
        </w:tc>
        <w:tc>
          <w:tcPr>
            <w:tcW w:w="1777" w:type="dxa"/>
            <w:vAlign w:val="center"/>
          </w:tcPr>
          <w:p w:rsidR="00BB6874" w:rsidRDefault="009B72EC">
            <w:pPr>
              <w:jc w:val="center"/>
            </w:pPr>
            <w:r>
              <w:rPr>
                <w:color w:val="000000"/>
                <w:sz w:val="24"/>
                <w:szCs w:val="24"/>
              </w:rPr>
              <w:t>格力电器</w:t>
            </w:r>
          </w:p>
        </w:tc>
        <w:tc>
          <w:tcPr>
            <w:tcW w:w="1334" w:type="dxa"/>
            <w:vAlign w:val="center"/>
          </w:tcPr>
          <w:p w:rsidR="00BB6874" w:rsidRDefault="009B72EC">
            <w:pPr>
              <w:jc w:val="right"/>
            </w:pPr>
            <w:r>
              <w:rPr>
                <w:color w:val="000000"/>
                <w:sz w:val="24"/>
                <w:szCs w:val="24"/>
              </w:rPr>
              <w:t>207,003</w:t>
            </w:r>
          </w:p>
        </w:tc>
        <w:tc>
          <w:tcPr>
            <w:tcW w:w="1924" w:type="dxa"/>
            <w:vAlign w:val="center"/>
          </w:tcPr>
          <w:p w:rsidR="00BB6874" w:rsidRDefault="009B72EC">
            <w:pPr>
              <w:jc w:val="right"/>
            </w:pPr>
            <w:r>
              <w:rPr>
                <w:color w:val="000000"/>
                <w:sz w:val="24"/>
                <w:szCs w:val="24"/>
              </w:rPr>
              <w:t>9,708,440.70</w:t>
            </w:r>
          </w:p>
        </w:tc>
        <w:tc>
          <w:tcPr>
            <w:tcW w:w="1644" w:type="dxa"/>
            <w:vAlign w:val="center"/>
          </w:tcPr>
          <w:p w:rsidR="00BB6874" w:rsidRDefault="009B72EC">
            <w:pPr>
              <w:jc w:val="right"/>
            </w:pPr>
            <w:r>
              <w:rPr>
                <w:color w:val="000000"/>
                <w:sz w:val="24"/>
                <w:szCs w:val="24"/>
              </w:rPr>
              <w:t>5.48</w:t>
            </w:r>
          </w:p>
        </w:tc>
      </w:tr>
      <w:tr w:rsidR="00BB6874">
        <w:trPr>
          <w:jc w:val="center"/>
        </w:trPr>
        <w:tc>
          <w:tcPr>
            <w:tcW w:w="855" w:type="dxa"/>
            <w:vAlign w:val="center"/>
          </w:tcPr>
          <w:p w:rsidR="00BB6874" w:rsidRDefault="009B72EC">
            <w:pPr>
              <w:jc w:val="center"/>
            </w:pPr>
            <w:r>
              <w:rPr>
                <w:color w:val="000000"/>
                <w:sz w:val="24"/>
                <w:szCs w:val="24"/>
              </w:rPr>
              <w:t>8</w:t>
            </w:r>
          </w:p>
        </w:tc>
        <w:tc>
          <w:tcPr>
            <w:tcW w:w="1334" w:type="dxa"/>
            <w:vAlign w:val="center"/>
          </w:tcPr>
          <w:p w:rsidR="00BB6874" w:rsidRDefault="009B72EC">
            <w:pPr>
              <w:jc w:val="center"/>
            </w:pPr>
            <w:r>
              <w:rPr>
                <w:color w:val="000000"/>
                <w:sz w:val="24"/>
                <w:szCs w:val="24"/>
              </w:rPr>
              <w:t>603808</w:t>
            </w:r>
          </w:p>
        </w:tc>
        <w:tc>
          <w:tcPr>
            <w:tcW w:w="1777" w:type="dxa"/>
            <w:vAlign w:val="center"/>
          </w:tcPr>
          <w:p w:rsidR="00BB6874" w:rsidRDefault="009B72EC">
            <w:pPr>
              <w:jc w:val="center"/>
            </w:pPr>
            <w:r>
              <w:rPr>
                <w:color w:val="000000"/>
                <w:sz w:val="24"/>
                <w:szCs w:val="24"/>
              </w:rPr>
              <w:t>歌力思</w:t>
            </w:r>
          </w:p>
        </w:tc>
        <w:tc>
          <w:tcPr>
            <w:tcW w:w="1334" w:type="dxa"/>
            <w:vAlign w:val="center"/>
          </w:tcPr>
          <w:p w:rsidR="00BB6874" w:rsidRDefault="009B72EC">
            <w:pPr>
              <w:jc w:val="right"/>
            </w:pPr>
            <w:r>
              <w:rPr>
                <w:color w:val="000000"/>
                <w:sz w:val="24"/>
                <w:szCs w:val="24"/>
              </w:rPr>
              <w:t>437,330</w:t>
            </w:r>
          </w:p>
        </w:tc>
        <w:tc>
          <w:tcPr>
            <w:tcW w:w="1924" w:type="dxa"/>
            <w:vAlign w:val="center"/>
          </w:tcPr>
          <w:p w:rsidR="00BB6874" w:rsidRDefault="009B72EC">
            <w:pPr>
              <w:jc w:val="right"/>
            </w:pPr>
            <w:r>
              <w:rPr>
                <w:color w:val="000000"/>
                <w:sz w:val="24"/>
                <w:szCs w:val="24"/>
              </w:rPr>
              <w:t>8,978,384.90</w:t>
            </w:r>
          </w:p>
        </w:tc>
        <w:tc>
          <w:tcPr>
            <w:tcW w:w="1644" w:type="dxa"/>
            <w:vAlign w:val="center"/>
          </w:tcPr>
          <w:p w:rsidR="00BB6874" w:rsidRDefault="009B72EC">
            <w:pPr>
              <w:jc w:val="right"/>
            </w:pPr>
            <w:r>
              <w:rPr>
                <w:color w:val="000000"/>
                <w:sz w:val="24"/>
                <w:szCs w:val="24"/>
              </w:rPr>
              <w:t>5.07</w:t>
            </w:r>
          </w:p>
        </w:tc>
      </w:tr>
      <w:tr w:rsidR="00BB6874">
        <w:trPr>
          <w:jc w:val="center"/>
        </w:trPr>
        <w:tc>
          <w:tcPr>
            <w:tcW w:w="855" w:type="dxa"/>
            <w:vAlign w:val="center"/>
          </w:tcPr>
          <w:p w:rsidR="00BB6874" w:rsidRDefault="009B72EC">
            <w:pPr>
              <w:jc w:val="center"/>
            </w:pPr>
            <w:r>
              <w:rPr>
                <w:color w:val="000000"/>
                <w:sz w:val="24"/>
                <w:szCs w:val="24"/>
              </w:rPr>
              <w:t>9</w:t>
            </w:r>
          </w:p>
        </w:tc>
        <w:tc>
          <w:tcPr>
            <w:tcW w:w="1334" w:type="dxa"/>
            <w:vAlign w:val="center"/>
          </w:tcPr>
          <w:p w:rsidR="00BB6874" w:rsidRDefault="009B72EC">
            <w:pPr>
              <w:jc w:val="center"/>
            </w:pPr>
            <w:r>
              <w:rPr>
                <w:color w:val="000000"/>
                <w:sz w:val="24"/>
                <w:szCs w:val="24"/>
              </w:rPr>
              <w:t>600559</w:t>
            </w:r>
          </w:p>
        </w:tc>
        <w:tc>
          <w:tcPr>
            <w:tcW w:w="1777" w:type="dxa"/>
            <w:vAlign w:val="center"/>
          </w:tcPr>
          <w:p w:rsidR="00BB6874" w:rsidRDefault="009B72EC">
            <w:pPr>
              <w:jc w:val="center"/>
            </w:pPr>
            <w:r>
              <w:rPr>
                <w:color w:val="000000"/>
                <w:sz w:val="24"/>
                <w:szCs w:val="24"/>
              </w:rPr>
              <w:t>老白干酒</w:t>
            </w:r>
          </w:p>
        </w:tc>
        <w:tc>
          <w:tcPr>
            <w:tcW w:w="1334" w:type="dxa"/>
            <w:vAlign w:val="center"/>
          </w:tcPr>
          <w:p w:rsidR="00BB6874" w:rsidRDefault="009B72EC">
            <w:pPr>
              <w:jc w:val="right"/>
            </w:pPr>
            <w:r>
              <w:rPr>
                <w:color w:val="000000"/>
                <w:sz w:val="24"/>
                <w:szCs w:val="24"/>
              </w:rPr>
              <w:t>267,814</w:t>
            </w:r>
          </w:p>
        </w:tc>
        <w:tc>
          <w:tcPr>
            <w:tcW w:w="1924" w:type="dxa"/>
            <w:vAlign w:val="center"/>
          </w:tcPr>
          <w:p w:rsidR="00BB6874" w:rsidRDefault="009B72EC">
            <w:pPr>
              <w:jc w:val="right"/>
            </w:pPr>
            <w:r>
              <w:rPr>
                <w:color w:val="000000"/>
                <w:sz w:val="24"/>
                <w:szCs w:val="24"/>
              </w:rPr>
              <w:t>6,515,914.62</w:t>
            </w:r>
          </w:p>
        </w:tc>
        <w:tc>
          <w:tcPr>
            <w:tcW w:w="1644" w:type="dxa"/>
            <w:vAlign w:val="center"/>
          </w:tcPr>
          <w:p w:rsidR="00BB6874" w:rsidRDefault="009B72EC">
            <w:pPr>
              <w:jc w:val="right"/>
            </w:pPr>
            <w:r>
              <w:rPr>
                <w:color w:val="000000"/>
                <w:sz w:val="24"/>
                <w:szCs w:val="24"/>
              </w:rPr>
              <w:t>3.68</w:t>
            </w:r>
          </w:p>
        </w:tc>
      </w:tr>
      <w:tr w:rsidR="00BB6874">
        <w:trPr>
          <w:jc w:val="center"/>
        </w:trPr>
        <w:tc>
          <w:tcPr>
            <w:tcW w:w="855" w:type="dxa"/>
            <w:vAlign w:val="center"/>
          </w:tcPr>
          <w:p w:rsidR="00BB6874" w:rsidRDefault="009B72EC">
            <w:pPr>
              <w:jc w:val="center"/>
            </w:pPr>
            <w:r>
              <w:rPr>
                <w:color w:val="000000"/>
                <w:sz w:val="24"/>
                <w:szCs w:val="24"/>
              </w:rPr>
              <w:t>10</w:t>
            </w:r>
          </w:p>
        </w:tc>
        <w:tc>
          <w:tcPr>
            <w:tcW w:w="1334" w:type="dxa"/>
            <w:vAlign w:val="center"/>
          </w:tcPr>
          <w:p w:rsidR="00BB6874" w:rsidRDefault="009B72EC">
            <w:pPr>
              <w:jc w:val="center"/>
            </w:pPr>
            <w:r>
              <w:rPr>
                <w:color w:val="000000"/>
                <w:sz w:val="24"/>
                <w:szCs w:val="24"/>
              </w:rPr>
              <w:t>002410</w:t>
            </w:r>
          </w:p>
        </w:tc>
        <w:tc>
          <w:tcPr>
            <w:tcW w:w="1777" w:type="dxa"/>
            <w:vAlign w:val="center"/>
          </w:tcPr>
          <w:p w:rsidR="00BB6874" w:rsidRDefault="009B72EC">
            <w:pPr>
              <w:jc w:val="center"/>
            </w:pPr>
            <w:r>
              <w:rPr>
                <w:color w:val="000000"/>
                <w:sz w:val="24"/>
                <w:szCs w:val="24"/>
              </w:rPr>
              <w:t>广联达</w:t>
            </w:r>
          </w:p>
        </w:tc>
        <w:tc>
          <w:tcPr>
            <w:tcW w:w="1334" w:type="dxa"/>
            <w:vAlign w:val="center"/>
          </w:tcPr>
          <w:p w:rsidR="00BB6874" w:rsidRDefault="009B72EC">
            <w:pPr>
              <w:jc w:val="right"/>
            </w:pPr>
            <w:r>
              <w:rPr>
                <w:color w:val="000000"/>
                <w:sz w:val="24"/>
                <w:szCs w:val="24"/>
              </w:rPr>
              <w:t>260,000</w:t>
            </w:r>
          </w:p>
        </w:tc>
        <w:tc>
          <w:tcPr>
            <w:tcW w:w="1924" w:type="dxa"/>
            <w:vAlign w:val="center"/>
          </w:tcPr>
          <w:p w:rsidR="00BB6874" w:rsidRDefault="009B72EC">
            <w:pPr>
              <w:jc w:val="right"/>
            </w:pPr>
            <w:r>
              <w:rPr>
                <w:color w:val="000000"/>
                <w:sz w:val="24"/>
                <w:szCs w:val="24"/>
              </w:rPr>
              <w:t>6,357,000.00</w:t>
            </w:r>
          </w:p>
        </w:tc>
        <w:tc>
          <w:tcPr>
            <w:tcW w:w="1644" w:type="dxa"/>
            <w:vAlign w:val="center"/>
          </w:tcPr>
          <w:p w:rsidR="00BB6874" w:rsidRDefault="009B72EC">
            <w:pPr>
              <w:jc w:val="right"/>
            </w:pPr>
            <w:r>
              <w:rPr>
                <w:color w:val="000000"/>
                <w:sz w:val="24"/>
                <w:szCs w:val="24"/>
              </w:rPr>
              <w:t>3.59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350,634.45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1,745,253.89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6,144.22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129,213.92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2,231,246.48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3511F1">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511F1">
        <w:trPr>
          <w:jc w:val="center"/>
        </w:trPr>
        <w:tc>
          <w:tcPr>
            <w:tcW w:w="1129" w:type="dxa"/>
            <w:vAlign w:val="center"/>
          </w:tcPr>
          <w:p w:rsidR="003511F1" w:rsidRDefault="003511F1" w:rsidP="003511F1">
            <w:pPr>
              <w:jc w:val="center"/>
            </w:pPr>
            <w:r>
              <w:rPr>
                <w:color w:val="000000"/>
                <w:sz w:val="24"/>
                <w:szCs w:val="24"/>
              </w:rPr>
              <w:t>1</w:t>
            </w:r>
          </w:p>
        </w:tc>
        <w:tc>
          <w:tcPr>
            <w:tcW w:w="1356" w:type="dxa"/>
            <w:vAlign w:val="center"/>
          </w:tcPr>
          <w:p w:rsidR="003511F1" w:rsidRDefault="003511F1" w:rsidP="003511F1">
            <w:pPr>
              <w:jc w:val="center"/>
            </w:pPr>
            <w:r>
              <w:rPr>
                <w:color w:val="000000"/>
                <w:sz w:val="24"/>
                <w:szCs w:val="24"/>
              </w:rPr>
              <w:t>002027</w:t>
            </w:r>
          </w:p>
        </w:tc>
        <w:tc>
          <w:tcPr>
            <w:tcW w:w="1355" w:type="dxa"/>
            <w:vAlign w:val="center"/>
          </w:tcPr>
          <w:p w:rsidR="003511F1" w:rsidRDefault="003511F1" w:rsidP="003511F1">
            <w:pPr>
              <w:jc w:val="center"/>
            </w:pPr>
            <w:r>
              <w:rPr>
                <w:color w:val="000000"/>
                <w:sz w:val="24"/>
                <w:szCs w:val="24"/>
              </w:rPr>
              <w:t>分众传媒</w:t>
            </w:r>
          </w:p>
        </w:tc>
        <w:tc>
          <w:tcPr>
            <w:tcW w:w="1880" w:type="dxa"/>
            <w:vAlign w:val="center"/>
          </w:tcPr>
          <w:p w:rsidR="003511F1" w:rsidRDefault="003511F1" w:rsidP="003511F1">
            <w:pPr>
              <w:jc w:val="right"/>
            </w:pPr>
            <w:r>
              <w:rPr>
                <w:color w:val="000000"/>
                <w:sz w:val="24"/>
                <w:szCs w:val="24"/>
              </w:rPr>
              <w:t>8,066,500.00</w:t>
            </w:r>
          </w:p>
        </w:tc>
        <w:tc>
          <w:tcPr>
            <w:tcW w:w="1724" w:type="dxa"/>
            <w:vAlign w:val="center"/>
          </w:tcPr>
          <w:p w:rsidR="003511F1" w:rsidRDefault="003511F1" w:rsidP="003511F1">
            <w:pPr>
              <w:jc w:val="right"/>
            </w:pPr>
            <w:r>
              <w:rPr>
                <w:color w:val="000000"/>
                <w:sz w:val="24"/>
                <w:szCs w:val="24"/>
              </w:rPr>
              <w:t>4.56</w:t>
            </w:r>
          </w:p>
        </w:tc>
        <w:tc>
          <w:tcPr>
            <w:tcW w:w="1424" w:type="dxa"/>
            <w:vAlign w:val="center"/>
          </w:tcPr>
          <w:p w:rsidR="003511F1" w:rsidRDefault="003511F1" w:rsidP="003511F1">
            <w:pPr>
              <w:jc w:val="right"/>
            </w:pPr>
            <w:r>
              <w:rPr>
                <w:color w:val="000000"/>
                <w:sz w:val="24"/>
                <w:szCs w:val="24"/>
              </w:rPr>
              <w:t>限售股</w:t>
            </w:r>
          </w:p>
        </w:tc>
      </w:tr>
      <w:tr w:rsidR="00BB6874">
        <w:trPr>
          <w:jc w:val="center"/>
        </w:trPr>
        <w:tc>
          <w:tcPr>
            <w:tcW w:w="1129" w:type="dxa"/>
            <w:vAlign w:val="center"/>
          </w:tcPr>
          <w:p w:rsidR="00BB6874" w:rsidRDefault="003511F1">
            <w:pPr>
              <w:jc w:val="center"/>
            </w:pPr>
            <w:r>
              <w:rPr>
                <w:color w:val="000000"/>
                <w:sz w:val="24"/>
                <w:szCs w:val="24"/>
              </w:rPr>
              <w:t>2</w:t>
            </w:r>
          </w:p>
        </w:tc>
        <w:tc>
          <w:tcPr>
            <w:tcW w:w="1356" w:type="dxa"/>
            <w:vAlign w:val="center"/>
          </w:tcPr>
          <w:p w:rsidR="00BB6874" w:rsidRDefault="009B72EC">
            <w:pPr>
              <w:jc w:val="center"/>
            </w:pPr>
            <w:r>
              <w:rPr>
                <w:color w:val="000000"/>
                <w:sz w:val="24"/>
                <w:szCs w:val="24"/>
              </w:rPr>
              <w:t>002410</w:t>
            </w:r>
          </w:p>
        </w:tc>
        <w:tc>
          <w:tcPr>
            <w:tcW w:w="1355" w:type="dxa"/>
            <w:vAlign w:val="center"/>
          </w:tcPr>
          <w:p w:rsidR="00BB6874" w:rsidRDefault="009B72EC">
            <w:pPr>
              <w:jc w:val="center"/>
            </w:pPr>
            <w:r>
              <w:rPr>
                <w:color w:val="000000"/>
                <w:sz w:val="24"/>
                <w:szCs w:val="24"/>
              </w:rPr>
              <w:t>广联达</w:t>
            </w:r>
          </w:p>
        </w:tc>
        <w:tc>
          <w:tcPr>
            <w:tcW w:w="1880" w:type="dxa"/>
            <w:vAlign w:val="center"/>
          </w:tcPr>
          <w:p w:rsidR="00BB6874" w:rsidRDefault="009B72EC">
            <w:pPr>
              <w:jc w:val="right"/>
            </w:pPr>
            <w:r>
              <w:rPr>
                <w:color w:val="000000"/>
                <w:sz w:val="24"/>
                <w:szCs w:val="24"/>
              </w:rPr>
              <w:t>6,357,000.00</w:t>
            </w:r>
          </w:p>
        </w:tc>
        <w:tc>
          <w:tcPr>
            <w:tcW w:w="1724" w:type="dxa"/>
            <w:vAlign w:val="center"/>
          </w:tcPr>
          <w:p w:rsidR="00BB6874" w:rsidRDefault="009B72EC">
            <w:pPr>
              <w:jc w:val="right"/>
            </w:pPr>
            <w:r>
              <w:rPr>
                <w:color w:val="000000"/>
                <w:sz w:val="24"/>
                <w:szCs w:val="24"/>
              </w:rPr>
              <w:t>3.59</w:t>
            </w:r>
          </w:p>
        </w:tc>
        <w:tc>
          <w:tcPr>
            <w:tcW w:w="1424" w:type="dxa"/>
            <w:vAlign w:val="center"/>
          </w:tcPr>
          <w:p w:rsidR="00BB6874" w:rsidRDefault="009B72EC">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ED04CA" w:rsidRDefault="00ED04CA" w:rsidP="00ED04CA">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ED04CA" w:rsidRDefault="00ED04CA" w:rsidP="00ED04CA">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ED04CA" w:rsidRPr="00575270" w:rsidRDefault="00ED04CA"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298,674,513.66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32,921,815.38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160,386,738.83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171,209,590.21</w:t>
            </w:r>
          </w:p>
        </w:tc>
      </w:tr>
    </w:tbl>
    <w:p w:rsidR="00BB6874" w:rsidRDefault="009B72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91155D"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91155D">
        <w:rPr>
          <w:rFonts w:asciiTheme="minorEastAsia" w:eastAsiaTheme="minorEastAsia" w:hAnsiTheme="minorEastAsia" w:hint="eastAsia"/>
          <w:color w:val="000000" w:themeColor="text1"/>
          <w:kern w:val="0"/>
          <w:sz w:val="24"/>
          <w:szCs w:val="24"/>
        </w:rPr>
        <w:t>§9</w:t>
      </w:r>
      <w:r w:rsidRPr="0091155D">
        <w:rPr>
          <w:rFonts w:asciiTheme="minorEastAsia" w:eastAsiaTheme="minorEastAsia" w:hAnsiTheme="minorEastAsia"/>
          <w:color w:val="000000" w:themeColor="text1"/>
          <w:kern w:val="0"/>
          <w:sz w:val="24"/>
          <w:szCs w:val="24"/>
        </w:rPr>
        <w:t xml:space="preserve">  </w:t>
      </w:r>
      <w:r w:rsidRPr="0091155D">
        <w:rPr>
          <w:rFonts w:asciiTheme="minorEastAsia" w:eastAsiaTheme="minorEastAsia" w:hAnsiTheme="minorEastAsia" w:hint="eastAsia"/>
          <w:color w:val="000000" w:themeColor="text1"/>
          <w:kern w:val="0"/>
          <w:sz w:val="24"/>
          <w:szCs w:val="24"/>
        </w:rPr>
        <w:t>影响投资者决策的其他重要信息</w:t>
      </w:r>
    </w:p>
    <w:p w:rsidR="003C50AD" w:rsidRPr="0091155D" w:rsidRDefault="003C50AD" w:rsidP="003C50AD">
      <w:pPr>
        <w:autoSpaceDE w:val="0"/>
        <w:autoSpaceDN w:val="0"/>
        <w:adjustRightInd w:val="0"/>
        <w:spacing w:line="360" w:lineRule="auto"/>
        <w:jc w:val="left"/>
        <w:rPr>
          <w:rFonts w:ascii="宋体" w:hAnsi="宋体"/>
          <w:b/>
          <w:bCs/>
          <w:color w:val="000000"/>
          <w:kern w:val="0"/>
          <w:sz w:val="24"/>
          <w:szCs w:val="24"/>
        </w:rPr>
      </w:pPr>
      <w:r w:rsidRPr="0091155D">
        <w:rPr>
          <w:rFonts w:ascii="宋体" w:hAnsi="宋体" w:hint="eastAsia"/>
          <w:b/>
          <w:bCs/>
          <w:color w:val="000000"/>
          <w:kern w:val="0"/>
          <w:sz w:val="24"/>
          <w:szCs w:val="24"/>
        </w:rPr>
        <w:t>9.1 影响投资者决策的其他重要信息</w:t>
      </w:r>
    </w:p>
    <w:p w:rsidR="00BB6874" w:rsidRPr="0091155D" w:rsidRDefault="009B72EC">
      <w:pPr>
        <w:spacing w:line="360" w:lineRule="auto"/>
        <w:ind w:firstLineChars="200" w:firstLine="480"/>
        <w:rPr>
          <w:rFonts w:ascii="宋体" w:hAnsi="宋体"/>
          <w:color w:val="000000"/>
          <w:sz w:val="24"/>
          <w:szCs w:val="24"/>
        </w:rPr>
      </w:pPr>
      <w:r w:rsidRPr="0091155D">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91155D" w:rsidRDefault="003C50AD" w:rsidP="003C50AD">
      <w:pPr>
        <w:spacing w:line="360" w:lineRule="auto"/>
        <w:ind w:firstLineChars="200" w:firstLine="480"/>
        <w:rPr>
          <w:rFonts w:ascii="宋体" w:hAnsi="宋体"/>
          <w:color w:val="000000"/>
          <w:sz w:val="24"/>
          <w:szCs w:val="24"/>
        </w:rPr>
      </w:pPr>
      <w:r w:rsidRPr="0091155D">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w:t>
      </w:r>
      <w:bookmarkStart w:id="0" w:name="_GoBack"/>
      <w:bookmarkEnd w:id="0"/>
      <w:r w:rsidRPr="0091155D">
        <w:rPr>
          <w:rFonts w:ascii="宋体" w:hAnsi="宋体"/>
          <w:color w:val="000000"/>
          <w:sz w:val="24"/>
          <w:szCs w:val="24"/>
        </w:rPr>
        <w:t>有关公告及法律文件。</w:t>
      </w:r>
    </w:p>
    <w:p w:rsidR="00ED6E80" w:rsidRPr="0091155D"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B6874" w:rsidRDefault="009B72EC">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、中国证监会准予交银施罗德股息优化混合型证券投资基金募集注册的文件；</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、《交银施罗德股息优化混合型证券投资基金托管协议》；</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B6874" w:rsidRDefault="009B72E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B6874" w:rsidRDefault="009B72E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A8" w:rsidRDefault="00807DA8" w:rsidP="00876D65">
      <w:r>
        <w:separator/>
      </w:r>
    </w:p>
  </w:endnote>
  <w:endnote w:type="continuationSeparator" w:id="0">
    <w:p w:rsidR="00807DA8" w:rsidRDefault="00807DA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91155D">
      <w:rPr>
        <w:noProof/>
        <w:kern w:val="0"/>
        <w:szCs w:val="21"/>
      </w:rPr>
      <w:t>10</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91155D">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A8" w:rsidRDefault="00807DA8" w:rsidP="00876D65">
      <w:r>
        <w:separator/>
      </w:r>
    </w:p>
  </w:footnote>
  <w:footnote w:type="continuationSeparator" w:id="0">
    <w:p w:rsidR="00807DA8" w:rsidRDefault="00807DA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交银施罗德股息优化混合型证券投资基金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11F1"/>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5EED"/>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07DA8"/>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155D"/>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B72EC"/>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B6874"/>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04CA"/>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96546">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298C-F74B-412F-A5DF-5952A415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12</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2018-04-19T01:29:00Z</dcterms:modified>
</cp:coreProperties>
</file>