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交银施罗德增利增强债券型证券投资基金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723E6" w:rsidRDefault="00D4786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723E6" w:rsidRDefault="00D47869">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723E6" w:rsidRDefault="00D4786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723E6" w:rsidRDefault="00D4786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723E6" w:rsidRDefault="00D4786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交银增利增强债券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004427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48,220,928.31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本基金以债券投资为主，通过自上而下进行宏观分析，自下而上精选个券，在严格控制风险的前提下，力争实现基金资产的长期稳定增值。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w:t>
            </w:r>
            <w:r w:rsidRPr="007F52FA">
              <w:rPr>
                <w:color w:val="000000"/>
                <w:kern w:val="0"/>
                <w:sz w:val="24"/>
              </w:rPr>
              <w:lastRenderedPageBreak/>
              <w:t>格控制基金资产运作风险的前提下，有效把握投资机会，适时增强组合收益。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004427</w:t>
            </w:r>
          </w:p>
        </w:tc>
        <w:tc>
          <w:tcPr>
            <w:tcW w:w="3048" w:type="dxa"/>
            <w:vAlign w:val="center"/>
          </w:tcPr>
          <w:p w:rsidR="00C23B30" w:rsidRPr="000E4C40" w:rsidRDefault="00C23B30" w:rsidP="00A52A9E">
            <w:pPr>
              <w:spacing w:before="29" w:line="288" w:lineRule="auto"/>
              <w:jc w:val="left"/>
              <w:rPr>
                <w:sz w:val="24"/>
              </w:rPr>
            </w:pPr>
            <w:r w:rsidRPr="000E4C40">
              <w:rPr>
                <w:sz w:val="24"/>
              </w:rPr>
              <w:t>004428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47,774,901.29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446,027.02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交银增利增强债券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交银增利增强债券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995,859.28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11,598.92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624,023.19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5,129.20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0.0068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49,583,594.70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461,501.44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1.035</w:t>
            </w:r>
          </w:p>
        </w:tc>
      </w:tr>
    </w:tbl>
    <w:p w:rsidR="00E723E6" w:rsidRDefault="00D4786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交银增利增强债券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723E6">
        <w:trPr>
          <w:jc w:val="center"/>
        </w:trPr>
        <w:tc>
          <w:tcPr>
            <w:tcW w:w="1266" w:type="dxa"/>
            <w:vAlign w:val="center"/>
          </w:tcPr>
          <w:p w:rsidR="00E723E6" w:rsidRDefault="00D47869">
            <w:pPr>
              <w:jc w:val="left"/>
            </w:pPr>
            <w:r>
              <w:rPr>
                <w:color w:val="000000"/>
                <w:sz w:val="24"/>
              </w:rPr>
              <w:t>过去三个月</w:t>
            </w:r>
          </w:p>
        </w:tc>
        <w:tc>
          <w:tcPr>
            <w:tcW w:w="1267" w:type="dxa"/>
            <w:vAlign w:val="center"/>
          </w:tcPr>
          <w:p w:rsidR="00E723E6" w:rsidRDefault="00D47869">
            <w:pPr>
              <w:jc w:val="center"/>
            </w:pPr>
            <w:r>
              <w:rPr>
                <w:color w:val="000000"/>
                <w:sz w:val="24"/>
              </w:rPr>
              <w:t>0.87%</w:t>
            </w:r>
          </w:p>
        </w:tc>
        <w:tc>
          <w:tcPr>
            <w:tcW w:w="1267" w:type="dxa"/>
            <w:vAlign w:val="center"/>
          </w:tcPr>
          <w:p w:rsidR="00E723E6" w:rsidRDefault="00D47869">
            <w:pPr>
              <w:jc w:val="center"/>
            </w:pPr>
            <w:r>
              <w:rPr>
                <w:color w:val="000000"/>
                <w:sz w:val="24"/>
              </w:rPr>
              <w:t>0.20%</w:t>
            </w:r>
          </w:p>
        </w:tc>
        <w:tc>
          <w:tcPr>
            <w:tcW w:w="1267" w:type="dxa"/>
            <w:vAlign w:val="center"/>
          </w:tcPr>
          <w:p w:rsidR="00E723E6" w:rsidRDefault="00D47869">
            <w:pPr>
              <w:jc w:val="center"/>
            </w:pPr>
            <w:r>
              <w:rPr>
                <w:color w:val="000000"/>
                <w:sz w:val="24"/>
              </w:rPr>
              <w:t>1.13%</w:t>
            </w:r>
          </w:p>
        </w:tc>
        <w:tc>
          <w:tcPr>
            <w:tcW w:w="1267" w:type="dxa"/>
            <w:vAlign w:val="center"/>
          </w:tcPr>
          <w:p w:rsidR="00E723E6" w:rsidRDefault="00D47869">
            <w:pPr>
              <w:jc w:val="center"/>
            </w:pPr>
            <w:r>
              <w:rPr>
                <w:color w:val="000000"/>
                <w:sz w:val="24"/>
              </w:rPr>
              <w:t>0.04%</w:t>
            </w:r>
          </w:p>
        </w:tc>
        <w:tc>
          <w:tcPr>
            <w:tcW w:w="1267" w:type="dxa"/>
            <w:vAlign w:val="center"/>
          </w:tcPr>
          <w:p w:rsidR="00E723E6" w:rsidRDefault="00D47869">
            <w:pPr>
              <w:jc w:val="center"/>
            </w:pPr>
            <w:r>
              <w:rPr>
                <w:color w:val="000000"/>
                <w:sz w:val="24"/>
              </w:rPr>
              <w:t>-0.26%</w:t>
            </w:r>
          </w:p>
        </w:tc>
        <w:tc>
          <w:tcPr>
            <w:tcW w:w="1267" w:type="dxa"/>
            <w:vAlign w:val="center"/>
          </w:tcPr>
          <w:p w:rsidR="00E723E6" w:rsidRDefault="00D47869">
            <w:pPr>
              <w:jc w:val="center"/>
            </w:pPr>
            <w:r>
              <w:rPr>
                <w:color w:val="000000"/>
                <w:sz w:val="24"/>
              </w:rPr>
              <w:t>0.16%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交银增利增强债券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723E6">
        <w:trPr>
          <w:jc w:val="center"/>
        </w:trPr>
        <w:tc>
          <w:tcPr>
            <w:tcW w:w="1266" w:type="dxa"/>
            <w:vAlign w:val="center"/>
          </w:tcPr>
          <w:p w:rsidR="00E723E6" w:rsidRDefault="00D47869">
            <w:pPr>
              <w:jc w:val="left"/>
            </w:pPr>
            <w:r>
              <w:rPr>
                <w:color w:val="000000"/>
                <w:sz w:val="24"/>
              </w:rPr>
              <w:t>过去三个月</w:t>
            </w:r>
          </w:p>
        </w:tc>
        <w:tc>
          <w:tcPr>
            <w:tcW w:w="1267" w:type="dxa"/>
            <w:vAlign w:val="center"/>
          </w:tcPr>
          <w:p w:rsidR="00E723E6" w:rsidRDefault="00D47869">
            <w:pPr>
              <w:jc w:val="center"/>
            </w:pPr>
            <w:r>
              <w:rPr>
                <w:color w:val="000000"/>
                <w:sz w:val="24"/>
              </w:rPr>
              <w:t>0.78%</w:t>
            </w:r>
          </w:p>
        </w:tc>
        <w:tc>
          <w:tcPr>
            <w:tcW w:w="1267" w:type="dxa"/>
            <w:vAlign w:val="center"/>
          </w:tcPr>
          <w:p w:rsidR="00E723E6" w:rsidRDefault="00D47869">
            <w:pPr>
              <w:jc w:val="center"/>
            </w:pPr>
            <w:r>
              <w:rPr>
                <w:color w:val="000000"/>
                <w:sz w:val="24"/>
              </w:rPr>
              <w:t>0.20%</w:t>
            </w:r>
          </w:p>
        </w:tc>
        <w:tc>
          <w:tcPr>
            <w:tcW w:w="1267" w:type="dxa"/>
            <w:vAlign w:val="center"/>
          </w:tcPr>
          <w:p w:rsidR="00E723E6" w:rsidRDefault="00D47869">
            <w:pPr>
              <w:jc w:val="center"/>
            </w:pPr>
            <w:r>
              <w:rPr>
                <w:color w:val="000000"/>
                <w:sz w:val="24"/>
              </w:rPr>
              <w:t>1.13%</w:t>
            </w:r>
          </w:p>
        </w:tc>
        <w:tc>
          <w:tcPr>
            <w:tcW w:w="1267" w:type="dxa"/>
            <w:vAlign w:val="center"/>
          </w:tcPr>
          <w:p w:rsidR="00E723E6" w:rsidRDefault="00D47869">
            <w:pPr>
              <w:jc w:val="center"/>
            </w:pPr>
            <w:r>
              <w:rPr>
                <w:color w:val="000000"/>
                <w:sz w:val="24"/>
              </w:rPr>
              <w:t>0.04%</w:t>
            </w:r>
          </w:p>
        </w:tc>
        <w:tc>
          <w:tcPr>
            <w:tcW w:w="1267" w:type="dxa"/>
            <w:vAlign w:val="center"/>
          </w:tcPr>
          <w:p w:rsidR="00E723E6" w:rsidRDefault="00D47869">
            <w:pPr>
              <w:jc w:val="center"/>
            </w:pPr>
            <w:r>
              <w:rPr>
                <w:color w:val="000000"/>
                <w:sz w:val="24"/>
              </w:rPr>
              <w:t>-0.35%</w:t>
            </w:r>
          </w:p>
        </w:tc>
        <w:tc>
          <w:tcPr>
            <w:tcW w:w="1267" w:type="dxa"/>
            <w:vAlign w:val="center"/>
          </w:tcPr>
          <w:p w:rsidR="00E723E6" w:rsidRDefault="00D47869">
            <w:pPr>
              <w:jc w:val="center"/>
            </w:pPr>
            <w:r>
              <w:rPr>
                <w:color w:val="000000"/>
                <w:sz w:val="24"/>
              </w:rPr>
              <w:t>0.16%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交银施罗德增利增强债券型证券投资基金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交银增利增强债券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lastRenderedPageBreak/>
        <w:t>注：本基金基金合同生效日为</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交银增利增强债券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723E6">
        <w:trPr>
          <w:jc w:val="center"/>
        </w:trPr>
        <w:tc>
          <w:tcPr>
            <w:tcW w:w="946" w:type="dxa"/>
            <w:vAlign w:val="center"/>
          </w:tcPr>
          <w:p w:rsidR="00E723E6" w:rsidRDefault="00D47869">
            <w:pPr>
              <w:jc w:val="center"/>
            </w:pPr>
            <w:r>
              <w:rPr>
                <w:color w:val="000000"/>
                <w:sz w:val="24"/>
              </w:rPr>
              <w:t>于海颖</w:t>
            </w:r>
          </w:p>
        </w:tc>
        <w:tc>
          <w:tcPr>
            <w:tcW w:w="924" w:type="dxa"/>
            <w:vAlign w:val="center"/>
          </w:tcPr>
          <w:p w:rsidR="00E723E6" w:rsidRDefault="00D47869">
            <w:pPr>
              <w:jc w:val="center"/>
            </w:pPr>
            <w:r>
              <w:rPr>
                <w:color w:val="000000"/>
                <w:sz w:val="24"/>
              </w:rPr>
              <w:t>交银增利债券、交银</w:t>
            </w:r>
            <w:r>
              <w:rPr>
                <w:color w:val="000000"/>
                <w:sz w:val="24"/>
              </w:rPr>
              <w:lastRenderedPageBreak/>
              <w:t>纯债债券发起、交银荣祥保本混合、交银定期支付月月丰债券、交银增强收益债券、交银强化回报债券、交银丰盈收益债券、交银丰硕收益债券、交银荣鑫保本混合、交银增利增强债券的基金经理，公司固定收益（公募）投</w:t>
            </w:r>
            <w:r>
              <w:rPr>
                <w:color w:val="000000"/>
                <w:sz w:val="24"/>
              </w:rPr>
              <w:lastRenderedPageBreak/>
              <w:t>资总监</w:t>
            </w:r>
          </w:p>
        </w:tc>
        <w:tc>
          <w:tcPr>
            <w:tcW w:w="1202" w:type="dxa"/>
            <w:vAlign w:val="center"/>
          </w:tcPr>
          <w:p w:rsidR="00E723E6" w:rsidRDefault="00D47869">
            <w:pPr>
              <w:jc w:val="center"/>
            </w:pPr>
            <w:r>
              <w:rPr>
                <w:color w:val="000000"/>
                <w:sz w:val="24"/>
              </w:rPr>
              <w:lastRenderedPageBreak/>
              <w:t>2017-06-10</w:t>
            </w:r>
          </w:p>
        </w:tc>
        <w:tc>
          <w:tcPr>
            <w:tcW w:w="1300" w:type="dxa"/>
            <w:vAlign w:val="center"/>
          </w:tcPr>
          <w:p w:rsidR="00E723E6" w:rsidRDefault="00D47869">
            <w:pPr>
              <w:jc w:val="center"/>
            </w:pPr>
            <w:r>
              <w:rPr>
                <w:color w:val="000000"/>
                <w:sz w:val="24"/>
              </w:rPr>
              <w:t>-</w:t>
            </w:r>
          </w:p>
        </w:tc>
        <w:tc>
          <w:tcPr>
            <w:tcW w:w="1245" w:type="dxa"/>
            <w:vAlign w:val="center"/>
          </w:tcPr>
          <w:p w:rsidR="00E723E6" w:rsidRDefault="00D47869">
            <w:pPr>
              <w:jc w:val="center"/>
            </w:pPr>
            <w:r>
              <w:rPr>
                <w:color w:val="000000"/>
                <w:sz w:val="24"/>
              </w:rPr>
              <w:t>12</w:t>
            </w:r>
            <w:r>
              <w:rPr>
                <w:color w:val="000000"/>
                <w:sz w:val="24"/>
              </w:rPr>
              <w:t>年</w:t>
            </w:r>
          </w:p>
        </w:tc>
        <w:tc>
          <w:tcPr>
            <w:tcW w:w="3251" w:type="dxa"/>
            <w:vAlign w:val="center"/>
          </w:tcPr>
          <w:p w:rsidR="00E723E6" w:rsidRDefault="00D47869">
            <w:r>
              <w:rPr>
                <w:color w:val="000000"/>
                <w:sz w:val="24"/>
              </w:rPr>
              <w:t>于海颖女士，天津大学数量经济学硕士、经济学学士。历任北方国际信托投资股份有限公司固定收益研究员，光大保</w:t>
            </w:r>
            <w:r>
              <w:rPr>
                <w:color w:val="000000"/>
                <w:sz w:val="24"/>
              </w:rPr>
              <w:lastRenderedPageBreak/>
              <w:t>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E723E6">
        <w:trPr>
          <w:jc w:val="center"/>
        </w:trPr>
        <w:tc>
          <w:tcPr>
            <w:tcW w:w="946" w:type="dxa"/>
            <w:vAlign w:val="center"/>
          </w:tcPr>
          <w:p w:rsidR="00E723E6" w:rsidRDefault="00D47869">
            <w:pPr>
              <w:jc w:val="center"/>
            </w:pPr>
            <w:r>
              <w:rPr>
                <w:color w:val="000000"/>
                <w:sz w:val="24"/>
              </w:rPr>
              <w:lastRenderedPageBreak/>
              <w:t>凌超</w:t>
            </w:r>
          </w:p>
        </w:tc>
        <w:tc>
          <w:tcPr>
            <w:tcW w:w="924" w:type="dxa"/>
            <w:vAlign w:val="center"/>
          </w:tcPr>
          <w:p w:rsidR="00E723E6" w:rsidRDefault="00D47869">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E723E6" w:rsidRDefault="00D47869">
            <w:pPr>
              <w:jc w:val="center"/>
            </w:pPr>
            <w:r>
              <w:rPr>
                <w:color w:val="000000"/>
                <w:sz w:val="24"/>
              </w:rPr>
              <w:t>2018-02-13</w:t>
            </w:r>
          </w:p>
        </w:tc>
        <w:tc>
          <w:tcPr>
            <w:tcW w:w="1300" w:type="dxa"/>
            <w:vAlign w:val="center"/>
          </w:tcPr>
          <w:p w:rsidR="00E723E6" w:rsidRDefault="00D47869">
            <w:pPr>
              <w:jc w:val="center"/>
            </w:pPr>
            <w:r>
              <w:rPr>
                <w:color w:val="000000"/>
                <w:sz w:val="24"/>
              </w:rPr>
              <w:t>-</w:t>
            </w:r>
          </w:p>
        </w:tc>
        <w:tc>
          <w:tcPr>
            <w:tcW w:w="1245" w:type="dxa"/>
            <w:vAlign w:val="center"/>
          </w:tcPr>
          <w:p w:rsidR="00E723E6" w:rsidRDefault="00D47869">
            <w:pPr>
              <w:jc w:val="center"/>
            </w:pPr>
            <w:r>
              <w:rPr>
                <w:color w:val="000000"/>
                <w:sz w:val="24"/>
              </w:rPr>
              <w:t>12</w:t>
            </w:r>
            <w:r>
              <w:rPr>
                <w:color w:val="000000"/>
                <w:sz w:val="24"/>
              </w:rPr>
              <w:t>年</w:t>
            </w:r>
          </w:p>
        </w:tc>
        <w:tc>
          <w:tcPr>
            <w:tcW w:w="3251" w:type="dxa"/>
            <w:vAlign w:val="center"/>
          </w:tcPr>
          <w:p w:rsidR="00E723E6" w:rsidRDefault="00D47869">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E723E6" w:rsidRDefault="00D4786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723E6" w:rsidRDefault="00D4786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723E6" w:rsidRDefault="00D4786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723E6" w:rsidRDefault="00D47869">
      <w:pPr>
        <w:spacing w:before="29" w:line="288" w:lineRule="auto"/>
        <w:ind w:firstLineChars="200" w:firstLine="480"/>
        <w:rPr>
          <w:color w:val="000000"/>
          <w:sz w:val="24"/>
        </w:rPr>
      </w:pPr>
      <w:r>
        <w:rPr>
          <w:color w:val="000000"/>
          <w:sz w:val="24"/>
        </w:rPr>
        <w:t>今年以来，债券市场经历了一波收益率先上后下的行情。年初在流动性紧张等因素的综合影响下，关键年期</w:t>
      </w:r>
      <w:r>
        <w:rPr>
          <w:color w:val="000000"/>
          <w:sz w:val="24"/>
        </w:rPr>
        <w:t>10</w:t>
      </w:r>
      <w:r>
        <w:rPr>
          <w:color w:val="000000"/>
          <w:sz w:val="24"/>
        </w:rPr>
        <w:t>年期国开债收益率上行约</w:t>
      </w:r>
      <w:r>
        <w:rPr>
          <w:color w:val="000000"/>
          <w:sz w:val="24"/>
        </w:rPr>
        <w:t>30BP</w:t>
      </w:r>
      <w:r>
        <w:rPr>
          <w:color w:val="000000"/>
          <w:sz w:val="24"/>
        </w:rPr>
        <w:t>至年内</w:t>
      </w:r>
      <w:r>
        <w:rPr>
          <w:color w:val="000000"/>
          <w:sz w:val="24"/>
        </w:rPr>
        <w:t>5.12%</w:t>
      </w:r>
      <w:r>
        <w:rPr>
          <w:color w:val="000000"/>
          <w:sz w:val="24"/>
        </w:rPr>
        <w:t>的高点，随着基本面和资金面预期的修复，收益率出现较大幅度的下行，截至一季末，</w:t>
      </w:r>
      <w:r>
        <w:rPr>
          <w:color w:val="000000"/>
          <w:sz w:val="24"/>
        </w:rPr>
        <w:t>10</w:t>
      </w:r>
      <w:r>
        <w:rPr>
          <w:color w:val="000000"/>
          <w:sz w:val="24"/>
        </w:rPr>
        <w:t>年期国开债的收益率下行至</w:t>
      </w:r>
      <w:r>
        <w:rPr>
          <w:color w:val="000000"/>
          <w:sz w:val="24"/>
        </w:rPr>
        <w:t>4.7%</w:t>
      </w:r>
      <w:r>
        <w:rPr>
          <w:color w:val="000000"/>
          <w:sz w:val="24"/>
        </w:rPr>
        <w:t>左右，较去年年末下行了约</w:t>
      </w:r>
      <w:r>
        <w:rPr>
          <w:color w:val="000000"/>
          <w:sz w:val="24"/>
        </w:rPr>
        <w:t>18BP</w:t>
      </w:r>
      <w:r>
        <w:rPr>
          <w:color w:val="000000"/>
          <w:sz w:val="24"/>
        </w:rPr>
        <w:t>。多方面因素共同推动了债券收益率明显下行。经济增长方面，春节之后复工弱于往年，大宗商品库存高企，大宗商品价格回落，经济增长预期出现分歧，物价虽然在二月由于春节错位因素抬升，但猪肉价格大幅下挫，生产资料价格下行明显，整体通胀环境不构成担忧。资金面方面，年初以来流动性超预期宽松，货币政策没有边际上收紧，三月份美联储加息，中国央行跟随</w:t>
      </w:r>
      <w:r>
        <w:rPr>
          <w:color w:val="000000"/>
          <w:sz w:val="24"/>
        </w:rPr>
        <w:lastRenderedPageBreak/>
        <w:t>上调公开市场</w:t>
      </w:r>
      <w:r>
        <w:rPr>
          <w:color w:val="000000"/>
          <w:sz w:val="24"/>
        </w:rPr>
        <w:t>5BP</w:t>
      </w:r>
      <w:r>
        <w:rPr>
          <w:color w:val="000000"/>
          <w:sz w:val="24"/>
        </w:rPr>
        <w:t>，上调幅度符合市场预期。在以上因素的综合影响下，整体债券市场情绪明显恢复。</w:t>
      </w:r>
    </w:p>
    <w:p w:rsidR="00E723E6" w:rsidRDefault="00D47869">
      <w:pPr>
        <w:spacing w:before="29" w:line="288" w:lineRule="auto"/>
        <w:ind w:firstLineChars="200" w:firstLine="480"/>
        <w:rPr>
          <w:color w:val="000000"/>
          <w:sz w:val="24"/>
        </w:rPr>
      </w:pPr>
      <w:r>
        <w:rPr>
          <w:color w:val="000000"/>
          <w:sz w:val="24"/>
        </w:rPr>
        <w:t>权益市场方面，地产产业链及油气产业链等大盘蓝筹引领市场近一个月左右的上涨行情，随着美股调整以及市场对地产政策的担忧，蓝筹板块回调，以计算机软件、集成电路板块为代表的成长板块接棒蓝筹成为市场上行的新动力。</w:t>
      </w:r>
    </w:p>
    <w:p w:rsidR="00E723E6" w:rsidRDefault="00D47869">
      <w:pPr>
        <w:spacing w:before="29" w:line="288" w:lineRule="auto"/>
        <w:ind w:firstLineChars="200" w:firstLine="480"/>
        <w:rPr>
          <w:color w:val="000000"/>
          <w:sz w:val="24"/>
        </w:rPr>
      </w:pPr>
      <w:r>
        <w:rPr>
          <w:color w:val="000000"/>
          <w:sz w:val="24"/>
        </w:rPr>
        <w:t>本报告期内，由于组合权益仓位的特殊性，组合在一季度通过增配转债的方式以弥补权益仓位的不足，在股票方面，组合配置主要集中在高景气周期股以及科技股。考虑到组合规模，我们在债券方面的操作主要为中短久期的流动性较好的品种。</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我们对债市呈谨慎乐观看法。表外融资的收紧及环保力度加强将继续令经济基本面缓步承压，流动性总体较去年改善，但监管政策的落地及海外利率上行可能会对债市构成阶段性扰动，债券供给逐步放量也对债市收益率下行形成压力。权益方面，由于担心监管政策的执行可能带来资金面短期的扰动，组合仓位维持中性，未来将择机加配估值合理的高景气个股。</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日，交银增利增强债券</w:t>
      </w:r>
      <w:r w:rsidRPr="007F52FA">
        <w:rPr>
          <w:color w:val="000000"/>
          <w:sz w:val="24"/>
        </w:rPr>
        <w:t>A</w:t>
      </w:r>
      <w:r w:rsidRPr="007F52FA">
        <w:rPr>
          <w:color w:val="000000"/>
          <w:sz w:val="24"/>
        </w:rPr>
        <w:t>份额净值为</w:t>
      </w:r>
      <w:r w:rsidRPr="007F52FA">
        <w:rPr>
          <w:color w:val="000000"/>
          <w:sz w:val="24"/>
        </w:rPr>
        <w:t>1.038</w:t>
      </w:r>
      <w:r w:rsidRPr="007F52FA">
        <w:rPr>
          <w:color w:val="000000"/>
          <w:sz w:val="24"/>
        </w:rPr>
        <w:t>元，本报告期份额净值增长率为</w:t>
      </w:r>
      <w:r w:rsidRPr="007F52FA">
        <w:rPr>
          <w:color w:val="000000"/>
          <w:sz w:val="24"/>
        </w:rPr>
        <w:t>0.87%</w:t>
      </w:r>
      <w:r w:rsidRPr="007F52FA">
        <w:rPr>
          <w:color w:val="000000"/>
          <w:sz w:val="24"/>
        </w:rPr>
        <w:t>，同期业绩比较基准增长率为</w:t>
      </w:r>
      <w:r w:rsidRPr="007F52FA">
        <w:rPr>
          <w:color w:val="000000"/>
          <w:sz w:val="24"/>
        </w:rPr>
        <w:t>1.13%</w:t>
      </w:r>
      <w:r w:rsidRPr="007F52FA">
        <w:rPr>
          <w:color w:val="000000"/>
          <w:sz w:val="24"/>
        </w:rPr>
        <w:t>；交银增利增强债券</w:t>
      </w:r>
      <w:r w:rsidRPr="007F52FA">
        <w:rPr>
          <w:color w:val="000000"/>
          <w:sz w:val="24"/>
        </w:rPr>
        <w:t>C</w:t>
      </w:r>
      <w:r w:rsidRPr="007F52FA">
        <w:rPr>
          <w:color w:val="000000"/>
          <w:sz w:val="24"/>
        </w:rPr>
        <w:t>份额净值为</w:t>
      </w:r>
      <w:r w:rsidRPr="007F52FA">
        <w:rPr>
          <w:color w:val="000000"/>
          <w:sz w:val="24"/>
        </w:rPr>
        <w:t>1.035</w:t>
      </w:r>
      <w:r w:rsidRPr="007F52FA">
        <w:rPr>
          <w:color w:val="000000"/>
          <w:sz w:val="24"/>
        </w:rPr>
        <w:t>元，本报告期份额净值增长率为</w:t>
      </w:r>
      <w:r w:rsidRPr="007F52FA">
        <w:rPr>
          <w:color w:val="000000"/>
          <w:sz w:val="24"/>
        </w:rPr>
        <w:t>0.78%</w:t>
      </w:r>
      <w:r w:rsidRPr="007F52FA">
        <w:rPr>
          <w:color w:val="000000"/>
          <w:sz w:val="24"/>
        </w:rPr>
        <w:t>，同期业绩比较基准增长率为</w:t>
      </w:r>
      <w:r w:rsidRPr="007F52FA">
        <w:rPr>
          <w:color w:val="000000"/>
          <w:sz w:val="24"/>
        </w:rPr>
        <w:t>1.13%</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2,357,264.84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4.68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2,357,264.84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4.68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44,653,130.89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88.59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44,653,130.89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88.59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722,858.81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1,171,534.78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2.32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50,404,789.32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1,288,978.00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2.58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151,986.00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916,300.84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2,357,264.84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4.71</w:t>
            </w:r>
          </w:p>
        </w:tc>
      </w:tr>
    </w:tbl>
    <w:p w:rsidR="009A7390" w:rsidRDefault="009A7390"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E723E6">
        <w:trPr>
          <w:jc w:val="center"/>
        </w:trPr>
        <w:tc>
          <w:tcPr>
            <w:tcW w:w="850" w:type="dxa"/>
            <w:vAlign w:val="center"/>
          </w:tcPr>
          <w:p w:rsidR="00E723E6" w:rsidRDefault="00D47869">
            <w:pPr>
              <w:jc w:val="center"/>
            </w:pPr>
            <w:r>
              <w:rPr>
                <w:color w:val="000000"/>
                <w:sz w:val="24"/>
              </w:rPr>
              <w:t>1</w:t>
            </w:r>
          </w:p>
        </w:tc>
        <w:tc>
          <w:tcPr>
            <w:tcW w:w="1327" w:type="dxa"/>
            <w:vAlign w:val="center"/>
          </w:tcPr>
          <w:p w:rsidR="00E723E6" w:rsidRDefault="00D47869">
            <w:pPr>
              <w:jc w:val="center"/>
            </w:pPr>
            <w:r>
              <w:rPr>
                <w:color w:val="000000"/>
                <w:sz w:val="24"/>
              </w:rPr>
              <w:t>601336</w:t>
            </w:r>
          </w:p>
        </w:tc>
        <w:tc>
          <w:tcPr>
            <w:tcW w:w="1769" w:type="dxa"/>
            <w:vAlign w:val="center"/>
          </w:tcPr>
          <w:p w:rsidR="00E723E6" w:rsidRDefault="00D47869">
            <w:pPr>
              <w:jc w:val="center"/>
            </w:pPr>
            <w:r>
              <w:rPr>
                <w:color w:val="000000"/>
                <w:sz w:val="24"/>
              </w:rPr>
              <w:t>新华保险</w:t>
            </w:r>
          </w:p>
        </w:tc>
        <w:tc>
          <w:tcPr>
            <w:tcW w:w="1327" w:type="dxa"/>
            <w:vAlign w:val="center"/>
          </w:tcPr>
          <w:p w:rsidR="00E723E6" w:rsidRDefault="00D47869">
            <w:pPr>
              <w:jc w:val="right"/>
            </w:pPr>
            <w:r>
              <w:rPr>
                <w:color w:val="000000"/>
                <w:sz w:val="24"/>
              </w:rPr>
              <w:t>12,842</w:t>
            </w:r>
          </w:p>
        </w:tc>
        <w:tc>
          <w:tcPr>
            <w:tcW w:w="1915" w:type="dxa"/>
            <w:vAlign w:val="center"/>
          </w:tcPr>
          <w:p w:rsidR="00E723E6" w:rsidRDefault="00D47869">
            <w:pPr>
              <w:jc w:val="right"/>
            </w:pPr>
            <w:r>
              <w:rPr>
                <w:color w:val="000000"/>
                <w:sz w:val="24"/>
              </w:rPr>
              <w:t>590,988.84</w:t>
            </w:r>
          </w:p>
        </w:tc>
        <w:tc>
          <w:tcPr>
            <w:tcW w:w="1680" w:type="dxa"/>
            <w:vAlign w:val="center"/>
          </w:tcPr>
          <w:p w:rsidR="00E723E6" w:rsidRDefault="00D47869">
            <w:pPr>
              <w:jc w:val="right"/>
            </w:pPr>
            <w:r>
              <w:rPr>
                <w:color w:val="000000"/>
                <w:sz w:val="24"/>
              </w:rPr>
              <w:t>1.18</w:t>
            </w:r>
          </w:p>
        </w:tc>
      </w:tr>
      <w:tr w:rsidR="00E723E6">
        <w:trPr>
          <w:jc w:val="center"/>
        </w:trPr>
        <w:tc>
          <w:tcPr>
            <w:tcW w:w="850" w:type="dxa"/>
            <w:vAlign w:val="center"/>
          </w:tcPr>
          <w:p w:rsidR="00E723E6" w:rsidRDefault="00D47869">
            <w:pPr>
              <w:jc w:val="center"/>
            </w:pPr>
            <w:r>
              <w:rPr>
                <w:color w:val="000000"/>
                <w:sz w:val="24"/>
              </w:rPr>
              <w:t>2</w:t>
            </w:r>
          </w:p>
        </w:tc>
        <w:tc>
          <w:tcPr>
            <w:tcW w:w="1327" w:type="dxa"/>
            <w:vAlign w:val="center"/>
          </w:tcPr>
          <w:p w:rsidR="00E723E6" w:rsidRDefault="00D47869">
            <w:pPr>
              <w:jc w:val="center"/>
            </w:pPr>
            <w:r>
              <w:rPr>
                <w:color w:val="000000"/>
                <w:sz w:val="24"/>
              </w:rPr>
              <w:t>600612</w:t>
            </w:r>
          </w:p>
        </w:tc>
        <w:tc>
          <w:tcPr>
            <w:tcW w:w="1769" w:type="dxa"/>
            <w:vAlign w:val="center"/>
          </w:tcPr>
          <w:p w:rsidR="00E723E6" w:rsidRDefault="00D47869">
            <w:pPr>
              <w:jc w:val="center"/>
            </w:pPr>
            <w:r>
              <w:rPr>
                <w:color w:val="000000"/>
                <w:sz w:val="24"/>
              </w:rPr>
              <w:t>老凤祥</w:t>
            </w:r>
          </w:p>
        </w:tc>
        <w:tc>
          <w:tcPr>
            <w:tcW w:w="1327" w:type="dxa"/>
            <w:vAlign w:val="center"/>
          </w:tcPr>
          <w:p w:rsidR="00E723E6" w:rsidRDefault="00D47869">
            <w:pPr>
              <w:jc w:val="right"/>
            </w:pPr>
            <w:r>
              <w:rPr>
                <w:color w:val="000000"/>
                <w:sz w:val="24"/>
              </w:rPr>
              <w:t>8,400</w:t>
            </w:r>
          </w:p>
        </w:tc>
        <w:tc>
          <w:tcPr>
            <w:tcW w:w="1915" w:type="dxa"/>
            <w:vAlign w:val="center"/>
          </w:tcPr>
          <w:p w:rsidR="00E723E6" w:rsidRDefault="00D47869">
            <w:pPr>
              <w:jc w:val="right"/>
            </w:pPr>
            <w:r>
              <w:rPr>
                <w:color w:val="000000"/>
                <w:sz w:val="24"/>
              </w:rPr>
              <w:t>343,644.00</w:t>
            </w:r>
          </w:p>
        </w:tc>
        <w:tc>
          <w:tcPr>
            <w:tcW w:w="1680" w:type="dxa"/>
            <w:vAlign w:val="center"/>
          </w:tcPr>
          <w:p w:rsidR="00E723E6" w:rsidRDefault="00D47869">
            <w:pPr>
              <w:jc w:val="right"/>
            </w:pPr>
            <w:r>
              <w:rPr>
                <w:color w:val="000000"/>
                <w:sz w:val="24"/>
              </w:rPr>
              <w:t>0.69</w:t>
            </w:r>
          </w:p>
        </w:tc>
      </w:tr>
      <w:tr w:rsidR="00E723E6">
        <w:trPr>
          <w:jc w:val="center"/>
        </w:trPr>
        <w:tc>
          <w:tcPr>
            <w:tcW w:w="850" w:type="dxa"/>
            <w:vAlign w:val="center"/>
          </w:tcPr>
          <w:p w:rsidR="00E723E6" w:rsidRDefault="00D47869">
            <w:pPr>
              <w:jc w:val="center"/>
            </w:pPr>
            <w:r>
              <w:rPr>
                <w:color w:val="000000"/>
                <w:sz w:val="24"/>
              </w:rPr>
              <w:t>3</w:t>
            </w:r>
          </w:p>
        </w:tc>
        <w:tc>
          <w:tcPr>
            <w:tcW w:w="1327" w:type="dxa"/>
            <w:vAlign w:val="center"/>
          </w:tcPr>
          <w:p w:rsidR="00E723E6" w:rsidRDefault="00D47869">
            <w:pPr>
              <w:jc w:val="center"/>
            </w:pPr>
            <w:r>
              <w:rPr>
                <w:color w:val="000000"/>
                <w:sz w:val="24"/>
              </w:rPr>
              <w:t>601288</w:t>
            </w:r>
          </w:p>
        </w:tc>
        <w:tc>
          <w:tcPr>
            <w:tcW w:w="1769" w:type="dxa"/>
            <w:vAlign w:val="center"/>
          </w:tcPr>
          <w:p w:rsidR="00E723E6" w:rsidRDefault="00D47869">
            <w:pPr>
              <w:jc w:val="center"/>
            </w:pPr>
            <w:r>
              <w:rPr>
                <w:color w:val="000000"/>
                <w:sz w:val="24"/>
              </w:rPr>
              <w:t>农业银行</w:t>
            </w:r>
          </w:p>
        </w:tc>
        <w:tc>
          <w:tcPr>
            <w:tcW w:w="1327" w:type="dxa"/>
            <w:vAlign w:val="center"/>
          </w:tcPr>
          <w:p w:rsidR="00E723E6" w:rsidRDefault="00D47869">
            <w:pPr>
              <w:jc w:val="right"/>
            </w:pPr>
            <w:r>
              <w:rPr>
                <w:color w:val="000000"/>
                <w:sz w:val="24"/>
              </w:rPr>
              <w:t>83,200</w:t>
            </w:r>
          </w:p>
        </w:tc>
        <w:tc>
          <w:tcPr>
            <w:tcW w:w="1915" w:type="dxa"/>
            <w:vAlign w:val="center"/>
          </w:tcPr>
          <w:p w:rsidR="00E723E6" w:rsidRDefault="00D47869">
            <w:pPr>
              <w:jc w:val="right"/>
            </w:pPr>
            <w:r>
              <w:rPr>
                <w:color w:val="000000"/>
                <w:sz w:val="24"/>
              </w:rPr>
              <w:t>325,312.00</w:t>
            </w:r>
          </w:p>
        </w:tc>
        <w:tc>
          <w:tcPr>
            <w:tcW w:w="1680" w:type="dxa"/>
            <w:vAlign w:val="center"/>
          </w:tcPr>
          <w:p w:rsidR="00E723E6" w:rsidRDefault="00D47869">
            <w:pPr>
              <w:jc w:val="right"/>
            </w:pPr>
            <w:r>
              <w:rPr>
                <w:color w:val="000000"/>
                <w:sz w:val="24"/>
              </w:rPr>
              <w:t>0.65</w:t>
            </w:r>
          </w:p>
        </w:tc>
      </w:tr>
      <w:tr w:rsidR="00E723E6">
        <w:trPr>
          <w:jc w:val="center"/>
        </w:trPr>
        <w:tc>
          <w:tcPr>
            <w:tcW w:w="850" w:type="dxa"/>
            <w:vAlign w:val="center"/>
          </w:tcPr>
          <w:p w:rsidR="00E723E6" w:rsidRDefault="00D47869">
            <w:pPr>
              <w:jc w:val="center"/>
            </w:pPr>
            <w:r>
              <w:rPr>
                <w:color w:val="000000"/>
                <w:sz w:val="24"/>
              </w:rPr>
              <w:t>4</w:t>
            </w:r>
          </w:p>
        </w:tc>
        <w:tc>
          <w:tcPr>
            <w:tcW w:w="1327" w:type="dxa"/>
            <w:vAlign w:val="center"/>
          </w:tcPr>
          <w:p w:rsidR="00E723E6" w:rsidRDefault="00D47869">
            <w:pPr>
              <w:jc w:val="center"/>
            </w:pPr>
            <w:r>
              <w:rPr>
                <w:color w:val="000000"/>
                <w:sz w:val="24"/>
              </w:rPr>
              <w:t>603986</w:t>
            </w:r>
          </w:p>
        </w:tc>
        <w:tc>
          <w:tcPr>
            <w:tcW w:w="1769" w:type="dxa"/>
            <w:vAlign w:val="center"/>
          </w:tcPr>
          <w:p w:rsidR="00E723E6" w:rsidRDefault="00D47869">
            <w:pPr>
              <w:jc w:val="center"/>
            </w:pPr>
            <w:r>
              <w:rPr>
                <w:color w:val="000000"/>
                <w:sz w:val="24"/>
              </w:rPr>
              <w:t>兆易创新</w:t>
            </w:r>
          </w:p>
        </w:tc>
        <w:tc>
          <w:tcPr>
            <w:tcW w:w="1327" w:type="dxa"/>
            <w:vAlign w:val="center"/>
          </w:tcPr>
          <w:p w:rsidR="00E723E6" w:rsidRDefault="00D47869">
            <w:pPr>
              <w:jc w:val="right"/>
            </w:pPr>
            <w:r>
              <w:rPr>
                <w:color w:val="000000"/>
                <w:sz w:val="24"/>
              </w:rPr>
              <w:t>1,500</w:t>
            </w:r>
          </w:p>
        </w:tc>
        <w:tc>
          <w:tcPr>
            <w:tcW w:w="1915" w:type="dxa"/>
            <w:vAlign w:val="center"/>
          </w:tcPr>
          <w:p w:rsidR="00E723E6" w:rsidRDefault="00D47869">
            <w:pPr>
              <w:jc w:val="right"/>
            </w:pPr>
            <w:r>
              <w:rPr>
                <w:color w:val="000000"/>
                <w:sz w:val="24"/>
              </w:rPr>
              <w:t>295,200.00</w:t>
            </w:r>
          </w:p>
        </w:tc>
        <w:tc>
          <w:tcPr>
            <w:tcW w:w="1680" w:type="dxa"/>
            <w:vAlign w:val="center"/>
          </w:tcPr>
          <w:p w:rsidR="00E723E6" w:rsidRDefault="00D47869">
            <w:pPr>
              <w:jc w:val="right"/>
            </w:pPr>
            <w:r>
              <w:rPr>
                <w:color w:val="000000"/>
                <w:sz w:val="24"/>
              </w:rPr>
              <w:t>0.59</w:t>
            </w:r>
          </w:p>
        </w:tc>
      </w:tr>
      <w:tr w:rsidR="00E723E6">
        <w:trPr>
          <w:jc w:val="center"/>
        </w:trPr>
        <w:tc>
          <w:tcPr>
            <w:tcW w:w="850" w:type="dxa"/>
            <w:vAlign w:val="center"/>
          </w:tcPr>
          <w:p w:rsidR="00E723E6" w:rsidRDefault="00D47869">
            <w:pPr>
              <w:jc w:val="center"/>
            </w:pPr>
            <w:r>
              <w:rPr>
                <w:color w:val="000000"/>
                <w:sz w:val="24"/>
              </w:rPr>
              <w:t>5</w:t>
            </w:r>
          </w:p>
        </w:tc>
        <w:tc>
          <w:tcPr>
            <w:tcW w:w="1327" w:type="dxa"/>
            <w:vAlign w:val="center"/>
          </w:tcPr>
          <w:p w:rsidR="00E723E6" w:rsidRDefault="00D47869">
            <w:pPr>
              <w:jc w:val="center"/>
            </w:pPr>
            <w:r>
              <w:rPr>
                <w:color w:val="000000"/>
                <w:sz w:val="24"/>
              </w:rPr>
              <w:t>000725</w:t>
            </w:r>
          </w:p>
        </w:tc>
        <w:tc>
          <w:tcPr>
            <w:tcW w:w="1769" w:type="dxa"/>
            <w:vAlign w:val="center"/>
          </w:tcPr>
          <w:p w:rsidR="00E723E6" w:rsidRDefault="00D47869">
            <w:pPr>
              <w:jc w:val="center"/>
            </w:pPr>
            <w:r>
              <w:rPr>
                <w:color w:val="000000"/>
                <w:sz w:val="24"/>
              </w:rPr>
              <w:t>京东方</w:t>
            </w:r>
            <w:r>
              <w:rPr>
                <w:color w:val="000000"/>
                <w:sz w:val="24"/>
              </w:rPr>
              <w:t>A</w:t>
            </w:r>
          </w:p>
        </w:tc>
        <w:tc>
          <w:tcPr>
            <w:tcW w:w="1327" w:type="dxa"/>
            <w:vAlign w:val="center"/>
          </w:tcPr>
          <w:p w:rsidR="00E723E6" w:rsidRDefault="00D47869">
            <w:pPr>
              <w:jc w:val="right"/>
            </w:pPr>
            <w:r>
              <w:rPr>
                <w:color w:val="000000"/>
                <w:sz w:val="24"/>
              </w:rPr>
              <w:t>37,100</w:t>
            </w:r>
          </w:p>
        </w:tc>
        <w:tc>
          <w:tcPr>
            <w:tcW w:w="1915" w:type="dxa"/>
            <w:vAlign w:val="center"/>
          </w:tcPr>
          <w:p w:rsidR="00E723E6" w:rsidRDefault="00D47869">
            <w:pPr>
              <w:jc w:val="right"/>
            </w:pPr>
            <w:r>
              <w:rPr>
                <w:color w:val="000000"/>
                <w:sz w:val="24"/>
              </w:rPr>
              <w:t>197,372.00</w:t>
            </w:r>
          </w:p>
        </w:tc>
        <w:tc>
          <w:tcPr>
            <w:tcW w:w="1680" w:type="dxa"/>
            <w:vAlign w:val="center"/>
          </w:tcPr>
          <w:p w:rsidR="00E723E6" w:rsidRDefault="00D47869">
            <w:pPr>
              <w:jc w:val="right"/>
            </w:pPr>
            <w:r>
              <w:rPr>
                <w:color w:val="000000"/>
                <w:sz w:val="24"/>
              </w:rPr>
              <w:t>0.39</w:t>
            </w:r>
          </w:p>
        </w:tc>
      </w:tr>
      <w:tr w:rsidR="00E723E6">
        <w:trPr>
          <w:jc w:val="center"/>
        </w:trPr>
        <w:tc>
          <w:tcPr>
            <w:tcW w:w="850" w:type="dxa"/>
            <w:vAlign w:val="center"/>
          </w:tcPr>
          <w:p w:rsidR="00E723E6" w:rsidRDefault="00D47869">
            <w:pPr>
              <w:jc w:val="center"/>
            </w:pPr>
            <w:r>
              <w:rPr>
                <w:color w:val="000000"/>
                <w:sz w:val="24"/>
              </w:rPr>
              <w:t>6</w:t>
            </w:r>
          </w:p>
        </w:tc>
        <w:tc>
          <w:tcPr>
            <w:tcW w:w="1327" w:type="dxa"/>
            <w:vAlign w:val="center"/>
          </w:tcPr>
          <w:p w:rsidR="00E723E6" w:rsidRDefault="00D47869">
            <w:pPr>
              <w:jc w:val="center"/>
            </w:pPr>
            <w:r>
              <w:rPr>
                <w:color w:val="000000"/>
                <w:sz w:val="24"/>
              </w:rPr>
              <w:t>600585</w:t>
            </w:r>
          </w:p>
        </w:tc>
        <w:tc>
          <w:tcPr>
            <w:tcW w:w="1769" w:type="dxa"/>
            <w:vAlign w:val="center"/>
          </w:tcPr>
          <w:p w:rsidR="00E723E6" w:rsidRDefault="00D47869">
            <w:pPr>
              <w:jc w:val="center"/>
            </w:pPr>
            <w:r>
              <w:rPr>
                <w:color w:val="000000"/>
                <w:sz w:val="24"/>
              </w:rPr>
              <w:t>海螺水泥</w:t>
            </w:r>
          </w:p>
        </w:tc>
        <w:tc>
          <w:tcPr>
            <w:tcW w:w="1327" w:type="dxa"/>
            <w:vAlign w:val="center"/>
          </w:tcPr>
          <w:p w:rsidR="00E723E6" w:rsidRDefault="00D47869">
            <w:pPr>
              <w:jc w:val="right"/>
            </w:pPr>
            <w:r>
              <w:rPr>
                <w:color w:val="000000"/>
                <w:sz w:val="24"/>
              </w:rPr>
              <w:t>5,000</w:t>
            </w:r>
          </w:p>
        </w:tc>
        <w:tc>
          <w:tcPr>
            <w:tcW w:w="1915" w:type="dxa"/>
            <w:vAlign w:val="center"/>
          </w:tcPr>
          <w:p w:rsidR="00E723E6" w:rsidRDefault="00D47869">
            <w:pPr>
              <w:jc w:val="right"/>
            </w:pPr>
            <w:r>
              <w:rPr>
                <w:color w:val="000000"/>
                <w:sz w:val="24"/>
              </w:rPr>
              <w:t>160,850.00</w:t>
            </w:r>
          </w:p>
        </w:tc>
        <w:tc>
          <w:tcPr>
            <w:tcW w:w="1680" w:type="dxa"/>
            <w:vAlign w:val="center"/>
          </w:tcPr>
          <w:p w:rsidR="00E723E6" w:rsidRDefault="00D47869">
            <w:pPr>
              <w:jc w:val="right"/>
            </w:pPr>
            <w:r>
              <w:rPr>
                <w:color w:val="000000"/>
                <w:sz w:val="24"/>
              </w:rPr>
              <w:t>0.32</w:t>
            </w:r>
          </w:p>
        </w:tc>
      </w:tr>
      <w:tr w:rsidR="00E723E6">
        <w:trPr>
          <w:jc w:val="center"/>
        </w:trPr>
        <w:tc>
          <w:tcPr>
            <w:tcW w:w="850" w:type="dxa"/>
            <w:vAlign w:val="center"/>
          </w:tcPr>
          <w:p w:rsidR="00E723E6" w:rsidRDefault="00D47869">
            <w:pPr>
              <w:jc w:val="center"/>
            </w:pPr>
            <w:r>
              <w:rPr>
                <w:color w:val="000000"/>
                <w:sz w:val="24"/>
              </w:rPr>
              <w:t>7</w:t>
            </w:r>
          </w:p>
        </w:tc>
        <w:tc>
          <w:tcPr>
            <w:tcW w:w="1327" w:type="dxa"/>
            <w:vAlign w:val="center"/>
          </w:tcPr>
          <w:p w:rsidR="00E723E6" w:rsidRDefault="00D47869">
            <w:pPr>
              <w:jc w:val="center"/>
            </w:pPr>
            <w:r>
              <w:rPr>
                <w:color w:val="000000"/>
                <w:sz w:val="24"/>
              </w:rPr>
              <w:t>601877</w:t>
            </w:r>
          </w:p>
        </w:tc>
        <w:tc>
          <w:tcPr>
            <w:tcW w:w="1769" w:type="dxa"/>
            <w:vAlign w:val="center"/>
          </w:tcPr>
          <w:p w:rsidR="00E723E6" w:rsidRDefault="00D47869">
            <w:pPr>
              <w:jc w:val="center"/>
            </w:pPr>
            <w:r>
              <w:rPr>
                <w:color w:val="000000"/>
                <w:sz w:val="24"/>
              </w:rPr>
              <w:t>正泰电器</w:t>
            </w:r>
          </w:p>
        </w:tc>
        <w:tc>
          <w:tcPr>
            <w:tcW w:w="1327" w:type="dxa"/>
            <w:vAlign w:val="center"/>
          </w:tcPr>
          <w:p w:rsidR="00E723E6" w:rsidRDefault="00D47869">
            <w:pPr>
              <w:jc w:val="right"/>
            </w:pPr>
            <w:r>
              <w:rPr>
                <w:color w:val="000000"/>
                <w:sz w:val="24"/>
              </w:rPr>
              <w:t>5,800</w:t>
            </w:r>
          </w:p>
        </w:tc>
        <w:tc>
          <w:tcPr>
            <w:tcW w:w="1915" w:type="dxa"/>
            <w:vAlign w:val="center"/>
          </w:tcPr>
          <w:p w:rsidR="00E723E6" w:rsidRDefault="00D47869">
            <w:pPr>
              <w:jc w:val="right"/>
            </w:pPr>
            <w:r>
              <w:rPr>
                <w:color w:val="000000"/>
                <w:sz w:val="24"/>
              </w:rPr>
              <w:t>152,714.00</w:t>
            </w:r>
          </w:p>
        </w:tc>
        <w:tc>
          <w:tcPr>
            <w:tcW w:w="1680" w:type="dxa"/>
            <w:vAlign w:val="center"/>
          </w:tcPr>
          <w:p w:rsidR="00E723E6" w:rsidRDefault="00D47869">
            <w:pPr>
              <w:jc w:val="right"/>
            </w:pPr>
            <w:r>
              <w:rPr>
                <w:color w:val="000000"/>
                <w:sz w:val="24"/>
              </w:rPr>
              <w:t>0.31</w:t>
            </w:r>
          </w:p>
        </w:tc>
      </w:tr>
      <w:tr w:rsidR="00E723E6">
        <w:trPr>
          <w:jc w:val="center"/>
        </w:trPr>
        <w:tc>
          <w:tcPr>
            <w:tcW w:w="850" w:type="dxa"/>
            <w:vAlign w:val="center"/>
          </w:tcPr>
          <w:p w:rsidR="00E723E6" w:rsidRDefault="00D47869">
            <w:pPr>
              <w:jc w:val="center"/>
            </w:pPr>
            <w:r>
              <w:rPr>
                <w:color w:val="000000"/>
                <w:sz w:val="24"/>
              </w:rPr>
              <w:t>8</w:t>
            </w:r>
          </w:p>
        </w:tc>
        <w:tc>
          <w:tcPr>
            <w:tcW w:w="1327" w:type="dxa"/>
            <w:vAlign w:val="center"/>
          </w:tcPr>
          <w:p w:rsidR="00E723E6" w:rsidRDefault="00D47869">
            <w:pPr>
              <w:jc w:val="center"/>
            </w:pPr>
            <w:r>
              <w:rPr>
                <w:color w:val="000000"/>
                <w:sz w:val="24"/>
              </w:rPr>
              <w:t>600029</w:t>
            </w:r>
          </w:p>
        </w:tc>
        <w:tc>
          <w:tcPr>
            <w:tcW w:w="1769" w:type="dxa"/>
            <w:vAlign w:val="center"/>
          </w:tcPr>
          <w:p w:rsidR="00E723E6" w:rsidRDefault="00D47869">
            <w:pPr>
              <w:jc w:val="center"/>
            </w:pPr>
            <w:r>
              <w:rPr>
                <w:color w:val="000000"/>
                <w:sz w:val="24"/>
              </w:rPr>
              <w:t>南方航空</w:t>
            </w:r>
          </w:p>
        </w:tc>
        <w:tc>
          <w:tcPr>
            <w:tcW w:w="1327" w:type="dxa"/>
            <w:vAlign w:val="center"/>
          </w:tcPr>
          <w:p w:rsidR="00E723E6" w:rsidRDefault="00D47869">
            <w:pPr>
              <w:jc w:val="right"/>
            </w:pPr>
            <w:r>
              <w:rPr>
                <w:color w:val="000000"/>
                <w:sz w:val="24"/>
              </w:rPr>
              <w:t>14,600</w:t>
            </w:r>
          </w:p>
        </w:tc>
        <w:tc>
          <w:tcPr>
            <w:tcW w:w="1915" w:type="dxa"/>
            <w:vAlign w:val="center"/>
          </w:tcPr>
          <w:p w:rsidR="00E723E6" w:rsidRDefault="00D47869">
            <w:pPr>
              <w:jc w:val="right"/>
            </w:pPr>
            <w:r>
              <w:rPr>
                <w:color w:val="000000"/>
                <w:sz w:val="24"/>
              </w:rPr>
              <w:t>151,986.00</w:t>
            </w:r>
          </w:p>
        </w:tc>
        <w:tc>
          <w:tcPr>
            <w:tcW w:w="1680" w:type="dxa"/>
            <w:vAlign w:val="center"/>
          </w:tcPr>
          <w:p w:rsidR="00E723E6" w:rsidRDefault="00D47869">
            <w:pPr>
              <w:jc w:val="right"/>
            </w:pPr>
            <w:r>
              <w:rPr>
                <w:color w:val="000000"/>
                <w:sz w:val="24"/>
              </w:rPr>
              <w:t>0.30</w:t>
            </w:r>
          </w:p>
        </w:tc>
      </w:tr>
      <w:tr w:rsidR="00E723E6">
        <w:trPr>
          <w:jc w:val="center"/>
        </w:trPr>
        <w:tc>
          <w:tcPr>
            <w:tcW w:w="850" w:type="dxa"/>
            <w:vAlign w:val="center"/>
          </w:tcPr>
          <w:p w:rsidR="00E723E6" w:rsidRDefault="00D47869">
            <w:pPr>
              <w:jc w:val="center"/>
            </w:pPr>
            <w:r>
              <w:rPr>
                <w:color w:val="000000"/>
                <w:sz w:val="24"/>
              </w:rPr>
              <w:t>9</w:t>
            </w:r>
          </w:p>
        </w:tc>
        <w:tc>
          <w:tcPr>
            <w:tcW w:w="1327" w:type="dxa"/>
            <w:vAlign w:val="center"/>
          </w:tcPr>
          <w:p w:rsidR="00E723E6" w:rsidRDefault="00D47869">
            <w:pPr>
              <w:jc w:val="center"/>
            </w:pPr>
            <w:r>
              <w:rPr>
                <w:color w:val="000000"/>
                <w:sz w:val="24"/>
              </w:rPr>
              <w:t>600690</w:t>
            </w:r>
          </w:p>
        </w:tc>
        <w:tc>
          <w:tcPr>
            <w:tcW w:w="1769" w:type="dxa"/>
            <w:vAlign w:val="center"/>
          </w:tcPr>
          <w:p w:rsidR="00E723E6" w:rsidRDefault="00D47869">
            <w:pPr>
              <w:jc w:val="center"/>
            </w:pPr>
            <w:r>
              <w:rPr>
                <w:color w:val="000000"/>
                <w:sz w:val="24"/>
              </w:rPr>
              <w:t>青岛海尔</w:t>
            </w:r>
          </w:p>
        </w:tc>
        <w:tc>
          <w:tcPr>
            <w:tcW w:w="1327" w:type="dxa"/>
            <w:vAlign w:val="center"/>
          </w:tcPr>
          <w:p w:rsidR="00E723E6" w:rsidRDefault="00D47869">
            <w:pPr>
              <w:jc w:val="right"/>
            </w:pPr>
            <w:r>
              <w:rPr>
                <w:color w:val="000000"/>
                <w:sz w:val="24"/>
              </w:rPr>
              <w:t>7,900</w:t>
            </w:r>
          </w:p>
        </w:tc>
        <w:tc>
          <w:tcPr>
            <w:tcW w:w="1915" w:type="dxa"/>
            <w:vAlign w:val="center"/>
          </w:tcPr>
          <w:p w:rsidR="00E723E6" w:rsidRDefault="00D47869">
            <w:pPr>
              <w:jc w:val="right"/>
            </w:pPr>
            <w:r>
              <w:rPr>
                <w:color w:val="000000"/>
                <w:sz w:val="24"/>
              </w:rPr>
              <w:t>139,198.00</w:t>
            </w:r>
          </w:p>
        </w:tc>
        <w:tc>
          <w:tcPr>
            <w:tcW w:w="1680" w:type="dxa"/>
            <w:vAlign w:val="center"/>
          </w:tcPr>
          <w:p w:rsidR="00E723E6" w:rsidRDefault="00D47869">
            <w:pPr>
              <w:jc w:val="right"/>
            </w:pPr>
            <w:r>
              <w:rPr>
                <w:color w:val="000000"/>
                <w:sz w:val="24"/>
              </w:rPr>
              <w:t>0.28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37,459,296.60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74.85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32,576,296.60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65.09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7,193,834.29</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14.37</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lastRenderedPageBreak/>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44,653,130.89</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89.23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723E6">
        <w:trPr>
          <w:jc w:val="center"/>
        </w:trPr>
        <w:tc>
          <w:tcPr>
            <w:tcW w:w="1075" w:type="dxa"/>
            <w:vAlign w:val="center"/>
          </w:tcPr>
          <w:p w:rsidR="00E723E6" w:rsidRDefault="00D47869">
            <w:pPr>
              <w:jc w:val="center"/>
            </w:pPr>
            <w:r>
              <w:rPr>
                <w:color w:val="000000"/>
                <w:sz w:val="24"/>
              </w:rPr>
              <w:t>1</w:t>
            </w:r>
          </w:p>
        </w:tc>
        <w:tc>
          <w:tcPr>
            <w:tcW w:w="1533" w:type="dxa"/>
            <w:vAlign w:val="center"/>
          </w:tcPr>
          <w:p w:rsidR="00E723E6" w:rsidRDefault="00D47869">
            <w:pPr>
              <w:jc w:val="center"/>
            </w:pPr>
            <w:r>
              <w:rPr>
                <w:color w:val="000000"/>
                <w:sz w:val="24"/>
              </w:rPr>
              <w:t>018005</w:t>
            </w:r>
          </w:p>
        </w:tc>
        <w:tc>
          <w:tcPr>
            <w:tcW w:w="1533" w:type="dxa"/>
            <w:vAlign w:val="center"/>
          </w:tcPr>
          <w:p w:rsidR="00E723E6" w:rsidRDefault="00D47869">
            <w:pPr>
              <w:jc w:val="center"/>
            </w:pPr>
            <w:r>
              <w:rPr>
                <w:color w:val="000000"/>
                <w:sz w:val="24"/>
              </w:rPr>
              <w:t>国开</w:t>
            </w:r>
            <w:r>
              <w:rPr>
                <w:color w:val="000000"/>
                <w:sz w:val="24"/>
              </w:rPr>
              <w:t>1701</w:t>
            </w:r>
          </w:p>
        </w:tc>
        <w:tc>
          <w:tcPr>
            <w:tcW w:w="1394" w:type="dxa"/>
            <w:vAlign w:val="center"/>
          </w:tcPr>
          <w:p w:rsidR="00E723E6" w:rsidRDefault="00D47869">
            <w:pPr>
              <w:jc w:val="right"/>
            </w:pPr>
            <w:r>
              <w:rPr>
                <w:color w:val="000000"/>
                <w:sz w:val="24"/>
              </w:rPr>
              <w:t>226,130</w:t>
            </w:r>
          </w:p>
        </w:tc>
        <w:tc>
          <w:tcPr>
            <w:tcW w:w="1944" w:type="dxa"/>
            <w:vAlign w:val="center"/>
          </w:tcPr>
          <w:p w:rsidR="00E723E6" w:rsidRDefault="00D47869">
            <w:pPr>
              <w:jc w:val="right"/>
            </w:pPr>
            <w:r>
              <w:rPr>
                <w:color w:val="000000"/>
                <w:sz w:val="24"/>
              </w:rPr>
              <w:t>22,572,296.60</w:t>
            </w:r>
          </w:p>
        </w:tc>
        <w:tc>
          <w:tcPr>
            <w:tcW w:w="1389" w:type="dxa"/>
            <w:vAlign w:val="center"/>
          </w:tcPr>
          <w:p w:rsidR="00E723E6" w:rsidRDefault="00D47869">
            <w:pPr>
              <w:jc w:val="right"/>
            </w:pPr>
            <w:r>
              <w:rPr>
                <w:color w:val="000000"/>
                <w:sz w:val="24"/>
              </w:rPr>
              <w:t>45.10</w:t>
            </w:r>
          </w:p>
        </w:tc>
      </w:tr>
      <w:tr w:rsidR="00E723E6">
        <w:trPr>
          <w:jc w:val="center"/>
        </w:trPr>
        <w:tc>
          <w:tcPr>
            <w:tcW w:w="1075" w:type="dxa"/>
            <w:vAlign w:val="center"/>
          </w:tcPr>
          <w:p w:rsidR="00E723E6" w:rsidRDefault="00D47869">
            <w:pPr>
              <w:jc w:val="center"/>
            </w:pPr>
            <w:r>
              <w:rPr>
                <w:color w:val="000000"/>
                <w:sz w:val="24"/>
              </w:rPr>
              <w:t>2</w:t>
            </w:r>
          </w:p>
        </w:tc>
        <w:tc>
          <w:tcPr>
            <w:tcW w:w="1533" w:type="dxa"/>
            <w:vAlign w:val="center"/>
          </w:tcPr>
          <w:p w:rsidR="00E723E6" w:rsidRDefault="00D47869">
            <w:pPr>
              <w:jc w:val="center"/>
            </w:pPr>
            <w:r>
              <w:rPr>
                <w:color w:val="000000"/>
                <w:sz w:val="24"/>
              </w:rPr>
              <w:t>170410</w:t>
            </w:r>
          </w:p>
        </w:tc>
        <w:tc>
          <w:tcPr>
            <w:tcW w:w="1533" w:type="dxa"/>
            <w:vAlign w:val="center"/>
          </w:tcPr>
          <w:p w:rsidR="00E723E6" w:rsidRDefault="00D47869">
            <w:pPr>
              <w:jc w:val="center"/>
            </w:pPr>
            <w:r>
              <w:rPr>
                <w:color w:val="000000"/>
                <w:sz w:val="24"/>
              </w:rPr>
              <w:t>17</w:t>
            </w:r>
            <w:r>
              <w:rPr>
                <w:color w:val="000000"/>
                <w:sz w:val="24"/>
              </w:rPr>
              <w:t>农发</w:t>
            </w:r>
            <w:r>
              <w:rPr>
                <w:color w:val="000000"/>
                <w:sz w:val="24"/>
              </w:rPr>
              <w:t>10</w:t>
            </w:r>
          </w:p>
        </w:tc>
        <w:tc>
          <w:tcPr>
            <w:tcW w:w="1394" w:type="dxa"/>
            <w:vAlign w:val="center"/>
          </w:tcPr>
          <w:p w:rsidR="00E723E6" w:rsidRDefault="00D47869">
            <w:pPr>
              <w:jc w:val="right"/>
            </w:pPr>
            <w:r>
              <w:rPr>
                <w:color w:val="000000"/>
                <w:sz w:val="24"/>
              </w:rPr>
              <w:t>100,000</w:t>
            </w:r>
          </w:p>
        </w:tc>
        <w:tc>
          <w:tcPr>
            <w:tcW w:w="1944" w:type="dxa"/>
            <w:vAlign w:val="center"/>
          </w:tcPr>
          <w:p w:rsidR="00E723E6" w:rsidRDefault="00D47869">
            <w:pPr>
              <w:jc w:val="right"/>
            </w:pPr>
            <w:r>
              <w:rPr>
                <w:color w:val="000000"/>
                <w:sz w:val="24"/>
              </w:rPr>
              <w:t>10,004,000.00</w:t>
            </w:r>
          </w:p>
        </w:tc>
        <w:tc>
          <w:tcPr>
            <w:tcW w:w="1389" w:type="dxa"/>
            <w:vAlign w:val="center"/>
          </w:tcPr>
          <w:p w:rsidR="00E723E6" w:rsidRDefault="00D47869">
            <w:pPr>
              <w:jc w:val="right"/>
            </w:pPr>
            <w:r>
              <w:rPr>
                <w:color w:val="000000"/>
                <w:sz w:val="24"/>
              </w:rPr>
              <w:t>19.99</w:t>
            </w:r>
          </w:p>
        </w:tc>
      </w:tr>
      <w:tr w:rsidR="00E723E6">
        <w:trPr>
          <w:jc w:val="center"/>
        </w:trPr>
        <w:tc>
          <w:tcPr>
            <w:tcW w:w="1075" w:type="dxa"/>
            <w:vAlign w:val="center"/>
          </w:tcPr>
          <w:p w:rsidR="00E723E6" w:rsidRDefault="00D47869">
            <w:pPr>
              <w:jc w:val="center"/>
            </w:pPr>
            <w:r>
              <w:rPr>
                <w:color w:val="000000"/>
                <w:sz w:val="24"/>
              </w:rPr>
              <w:t>3</w:t>
            </w:r>
          </w:p>
        </w:tc>
        <w:tc>
          <w:tcPr>
            <w:tcW w:w="1533" w:type="dxa"/>
            <w:vAlign w:val="center"/>
          </w:tcPr>
          <w:p w:rsidR="00E723E6" w:rsidRDefault="00D47869">
            <w:pPr>
              <w:jc w:val="center"/>
            </w:pPr>
            <w:r>
              <w:rPr>
                <w:color w:val="000000"/>
                <w:sz w:val="24"/>
              </w:rPr>
              <w:t>136830</w:t>
            </w:r>
          </w:p>
        </w:tc>
        <w:tc>
          <w:tcPr>
            <w:tcW w:w="1533" w:type="dxa"/>
            <w:vAlign w:val="center"/>
          </w:tcPr>
          <w:p w:rsidR="00E723E6" w:rsidRDefault="00D47869">
            <w:pPr>
              <w:jc w:val="center"/>
            </w:pPr>
            <w:r>
              <w:rPr>
                <w:color w:val="000000"/>
                <w:sz w:val="24"/>
              </w:rPr>
              <w:t>16</w:t>
            </w:r>
            <w:r>
              <w:rPr>
                <w:color w:val="000000"/>
                <w:sz w:val="24"/>
              </w:rPr>
              <w:t>中信</w:t>
            </w:r>
            <w:r>
              <w:rPr>
                <w:color w:val="000000"/>
                <w:sz w:val="24"/>
              </w:rPr>
              <w:t>G1</w:t>
            </w:r>
          </w:p>
        </w:tc>
        <w:tc>
          <w:tcPr>
            <w:tcW w:w="1394" w:type="dxa"/>
            <w:vAlign w:val="center"/>
          </w:tcPr>
          <w:p w:rsidR="00E723E6" w:rsidRDefault="00D47869">
            <w:pPr>
              <w:jc w:val="right"/>
            </w:pPr>
            <w:r>
              <w:rPr>
                <w:color w:val="000000"/>
                <w:sz w:val="24"/>
              </w:rPr>
              <w:t>50,000</w:t>
            </w:r>
          </w:p>
        </w:tc>
        <w:tc>
          <w:tcPr>
            <w:tcW w:w="1944" w:type="dxa"/>
            <w:vAlign w:val="center"/>
          </w:tcPr>
          <w:p w:rsidR="00E723E6" w:rsidRDefault="00D47869">
            <w:pPr>
              <w:jc w:val="right"/>
            </w:pPr>
            <w:r>
              <w:rPr>
                <w:color w:val="000000"/>
                <w:sz w:val="24"/>
              </w:rPr>
              <w:t>4,883,000.00</w:t>
            </w:r>
          </w:p>
        </w:tc>
        <w:tc>
          <w:tcPr>
            <w:tcW w:w="1389" w:type="dxa"/>
            <w:vAlign w:val="center"/>
          </w:tcPr>
          <w:p w:rsidR="00E723E6" w:rsidRDefault="00D47869">
            <w:pPr>
              <w:jc w:val="right"/>
            </w:pPr>
            <w:r>
              <w:rPr>
                <w:color w:val="000000"/>
                <w:sz w:val="24"/>
              </w:rPr>
              <w:t>9.76</w:t>
            </w:r>
          </w:p>
        </w:tc>
      </w:tr>
      <w:tr w:rsidR="00E723E6">
        <w:trPr>
          <w:jc w:val="center"/>
        </w:trPr>
        <w:tc>
          <w:tcPr>
            <w:tcW w:w="1075" w:type="dxa"/>
            <w:vAlign w:val="center"/>
          </w:tcPr>
          <w:p w:rsidR="00E723E6" w:rsidRDefault="00D47869">
            <w:pPr>
              <w:jc w:val="center"/>
            </w:pPr>
            <w:r>
              <w:rPr>
                <w:color w:val="000000"/>
                <w:sz w:val="24"/>
              </w:rPr>
              <w:t>4</w:t>
            </w:r>
          </w:p>
        </w:tc>
        <w:tc>
          <w:tcPr>
            <w:tcW w:w="1533" w:type="dxa"/>
            <w:vAlign w:val="center"/>
          </w:tcPr>
          <w:p w:rsidR="00E723E6" w:rsidRDefault="00D47869">
            <w:pPr>
              <w:jc w:val="center"/>
            </w:pPr>
            <w:r>
              <w:rPr>
                <w:color w:val="000000"/>
                <w:sz w:val="24"/>
              </w:rPr>
              <w:t>132009</w:t>
            </w:r>
          </w:p>
        </w:tc>
        <w:tc>
          <w:tcPr>
            <w:tcW w:w="1533" w:type="dxa"/>
            <w:vAlign w:val="center"/>
          </w:tcPr>
          <w:p w:rsidR="00E723E6" w:rsidRDefault="00D47869">
            <w:pPr>
              <w:jc w:val="center"/>
            </w:pPr>
            <w:r>
              <w:rPr>
                <w:color w:val="000000"/>
                <w:sz w:val="24"/>
              </w:rPr>
              <w:t>17</w:t>
            </w:r>
            <w:r>
              <w:rPr>
                <w:color w:val="000000"/>
                <w:sz w:val="24"/>
              </w:rPr>
              <w:t>中油</w:t>
            </w:r>
            <w:r>
              <w:rPr>
                <w:color w:val="000000"/>
                <w:sz w:val="24"/>
              </w:rPr>
              <w:t>EB</w:t>
            </w:r>
          </w:p>
        </w:tc>
        <w:tc>
          <w:tcPr>
            <w:tcW w:w="1394" w:type="dxa"/>
            <w:vAlign w:val="center"/>
          </w:tcPr>
          <w:p w:rsidR="00E723E6" w:rsidRDefault="00D47869">
            <w:pPr>
              <w:jc w:val="right"/>
            </w:pPr>
            <w:r>
              <w:rPr>
                <w:color w:val="000000"/>
                <w:sz w:val="24"/>
              </w:rPr>
              <w:t>21,030</w:t>
            </w:r>
          </w:p>
        </w:tc>
        <w:tc>
          <w:tcPr>
            <w:tcW w:w="1944" w:type="dxa"/>
            <w:vAlign w:val="center"/>
          </w:tcPr>
          <w:p w:rsidR="00E723E6" w:rsidRDefault="00D47869">
            <w:pPr>
              <w:jc w:val="right"/>
            </w:pPr>
            <w:r>
              <w:rPr>
                <w:color w:val="000000"/>
                <w:sz w:val="24"/>
              </w:rPr>
              <w:t>2,082,811.20</w:t>
            </w:r>
          </w:p>
        </w:tc>
        <w:tc>
          <w:tcPr>
            <w:tcW w:w="1389" w:type="dxa"/>
            <w:vAlign w:val="center"/>
          </w:tcPr>
          <w:p w:rsidR="00E723E6" w:rsidRDefault="00D47869">
            <w:pPr>
              <w:jc w:val="right"/>
            </w:pPr>
            <w:r>
              <w:rPr>
                <w:color w:val="000000"/>
                <w:sz w:val="24"/>
              </w:rPr>
              <w:t>4.16</w:t>
            </w:r>
          </w:p>
        </w:tc>
      </w:tr>
      <w:tr w:rsidR="00E723E6">
        <w:trPr>
          <w:jc w:val="center"/>
        </w:trPr>
        <w:tc>
          <w:tcPr>
            <w:tcW w:w="1075" w:type="dxa"/>
            <w:vAlign w:val="center"/>
          </w:tcPr>
          <w:p w:rsidR="00E723E6" w:rsidRDefault="00D47869">
            <w:pPr>
              <w:jc w:val="center"/>
            </w:pPr>
            <w:r>
              <w:rPr>
                <w:color w:val="000000"/>
                <w:sz w:val="24"/>
              </w:rPr>
              <w:t>5</w:t>
            </w:r>
          </w:p>
        </w:tc>
        <w:tc>
          <w:tcPr>
            <w:tcW w:w="1533" w:type="dxa"/>
            <w:vAlign w:val="center"/>
          </w:tcPr>
          <w:p w:rsidR="00E723E6" w:rsidRDefault="00D47869">
            <w:pPr>
              <w:jc w:val="center"/>
            </w:pPr>
            <w:r>
              <w:rPr>
                <w:color w:val="000000"/>
                <w:sz w:val="24"/>
              </w:rPr>
              <w:t>132010</w:t>
            </w:r>
          </w:p>
        </w:tc>
        <w:tc>
          <w:tcPr>
            <w:tcW w:w="1533" w:type="dxa"/>
            <w:vAlign w:val="center"/>
          </w:tcPr>
          <w:p w:rsidR="00E723E6" w:rsidRDefault="00D47869">
            <w:pPr>
              <w:jc w:val="center"/>
            </w:pPr>
            <w:r>
              <w:rPr>
                <w:color w:val="000000"/>
                <w:sz w:val="24"/>
              </w:rPr>
              <w:t>17</w:t>
            </w:r>
            <w:r>
              <w:rPr>
                <w:color w:val="000000"/>
                <w:sz w:val="24"/>
              </w:rPr>
              <w:t>桐昆</w:t>
            </w:r>
            <w:r>
              <w:rPr>
                <w:color w:val="000000"/>
                <w:sz w:val="24"/>
              </w:rPr>
              <w:t>EB</w:t>
            </w:r>
          </w:p>
        </w:tc>
        <w:tc>
          <w:tcPr>
            <w:tcW w:w="1394" w:type="dxa"/>
            <w:vAlign w:val="center"/>
          </w:tcPr>
          <w:p w:rsidR="00E723E6" w:rsidRDefault="00D47869">
            <w:pPr>
              <w:jc w:val="right"/>
            </w:pPr>
            <w:r>
              <w:rPr>
                <w:color w:val="000000"/>
                <w:sz w:val="24"/>
              </w:rPr>
              <w:t>11,690</w:t>
            </w:r>
          </w:p>
        </w:tc>
        <w:tc>
          <w:tcPr>
            <w:tcW w:w="1944" w:type="dxa"/>
            <w:vAlign w:val="center"/>
          </w:tcPr>
          <w:p w:rsidR="00E723E6" w:rsidRDefault="00D47869">
            <w:pPr>
              <w:jc w:val="right"/>
            </w:pPr>
            <w:r>
              <w:rPr>
                <w:color w:val="000000"/>
                <w:sz w:val="24"/>
              </w:rPr>
              <w:t>1,560,615.00</w:t>
            </w:r>
          </w:p>
        </w:tc>
        <w:tc>
          <w:tcPr>
            <w:tcW w:w="1389" w:type="dxa"/>
            <w:vAlign w:val="center"/>
          </w:tcPr>
          <w:p w:rsidR="00E723E6" w:rsidRDefault="00D47869">
            <w:pPr>
              <w:jc w:val="right"/>
            </w:pPr>
            <w:r>
              <w:rPr>
                <w:color w:val="000000"/>
                <w:sz w:val="24"/>
              </w:rPr>
              <w:t>3.12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717660" w:rsidRPr="00A72717" w:rsidRDefault="00384E65" w:rsidP="00717660">
      <w:pPr>
        <w:autoSpaceDE w:val="0"/>
        <w:autoSpaceDN w:val="0"/>
        <w:adjustRightInd w:val="0"/>
        <w:spacing w:before="29" w:line="288" w:lineRule="auto"/>
        <w:rPr>
          <w:kern w:val="0"/>
          <w:sz w:val="24"/>
        </w:rPr>
      </w:pPr>
      <w:r w:rsidRPr="00384E65">
        <w:rPr>
          <w:kern w:val="0"/>
          <w:sz w:val="24"/>
        </w:rPr>
        <w:t>5.11.1</w:t>
      </w:r>
      <w:r w:rsidR="00717660" w:rsidRPr="00A72717">
        <w:rPr>
          <w:kern w:val="0"/>
          <w:sz w:val="24"/>
        </w:rPr>
        <w:t>报告期内本基金投资的前十名证券的发行主体除</w:t>
      </w:r>
      <w:r w:rsidR="00717660" w:rsidRPr="00A72717">
        <w:rPr>
          <w:kern w:val="0"/>
          <w:sz w:val="24"/>
        </w:rPr>
        <w:t>16</w:t>
      </w:r>
      <w:r w:rsidR="00717660" w:rsidRPr="00A72717">
        <w:rPr>
          <w:kern w:val="0"/>
          <w:sz w:val="24"/>
        </w:rPr>
        <w:t>中信</w:t>
      </w:r>
      <w:r w:rsidR="00717660" w:rsidRPr="00A72717">
        <w:rPr>
          <w:kern w:val="0"/>
          <w:sz w:val="24"/>
        </w:rPr>
        <w:t>G1</w:t>
      </w:r>
      <w:r w:rsidR="00717660" w:rsidRPr="00A72717">
        <w:rPr>
          <w:kern w:val="0"/>
          <w:sz w:val="24"/>
        </w:rPr>
        <w:t>（证券代码：</w:t>
      </w:r>
      <w:r w:rsidR="00717660" w:rsidRPr="00A72717">
        <w:rPr>
          <w:kern w:val="0"/>
          <w:sz w:val="24"/>
        </w:rPr>
        <w:t>136830</w:t>
      </w:r>
      <w:r w:rsidR="00717660" w:rsidRPr="00A72717">
        <w:rPr>
          <w:kern w:val="0"/>
          <w:sz w:val="24"/>
        </w:rPr>
        <w:t>）外，未出现被监管部门立案调查，或在报告编制日前一年内受到公开谴责、处罚的情形。</w:t>
      </w:r>
    </w:p>
    <w:p w:rsidR="00717660" w:rsidRPr="00A72717" w:rsidRDefault="00717660" w:rsidP="00717660">
      <w:pPr>
        <w:autoSpaceDE w:val="0"/>
        <w:autoSpaceDN w:val="0"/>
        <w:adjustRightInd w:val="0"/>
        <w:spacing w:before="29" w:line="288" w:lineRule="auto"/>
        <w:rPr>
          <w:kern w:val="0"/>
          <w:sz w:val="24"/>
        </w:rPr>
      </w:pPr>
      <w:r w:rsidRPr="00A72717">
        <w:rPr>
          <w:kern w:val="0"/>
          <w:sz w:val="24"/>
        </w:rPr>
        <w:t>报告期内本基金投资的前十名证券之一</w:t>
      </w:r>
      <w:r w:rsidRPr="00A72717">
        <w:rPr>
          <w:kern w:val="0"/>
          <w:sz w:val="24"/>
        </w:rPr>
        <w:t>16</w:t>
      </w:r>
      <w:r w:rsidRPr="00A72717">
        <w:rPr>
          <w:kern w:val="0"/>
          <w:sz w:val="24"/>
        </w:rPr>
        <w:t>中信</w:t>
      </w:r>
      <w:r w:rsidRPr="00A72717">
        <w:rPr>
          <w:kern w:val="0"/>
          <w:sz w:val="24"/>
        </w:rPr>
        <w:t>G1</w:t>
      </w:r>
      <w:r w:rsidRPr="00A72717">
        <w:rPr>
          <w:kern w:val="0"/>
          <w:sz w:val="24"/>
        </w:rPr>
        <w:t>（证券代码：</w:t>
      </w:r>
      <w:r w:rsidRPr="00A72717">
        <w:rPr>
          <w:kern w:val="0"/>
          <w:sz w:val="24"/>
        </w:rPr>
        <w:t>136830</w:t>
      </w:r>
      <w:r w:rsidRPr="00A72717">
        <w:rPr>
          <w:kern w:val="0"/>
          <w:sz w:val="24"/>
        </w:rPr>
        <w:t>）的发行主体中</w:t>
      </w:r>
      <w:r w:rsidRPr="00A72717">
        <w:rPr>
          <w:kern w:val="0"/>
          <w:sz w:val="24"/>
        </w:rPr>
        <w:lastRenderedPageBreak/>
        <w:t>信证券于</w:t>
      </w:r>
      <w:r w:rsidRPr="00A72717">
        <w:rPr>
          <w:kern w:val="0"/>
          <w:sz w:val="24"/>
        </w:rPr>
        <w:t>2017</w:t>
      </w:r>
      <w:r w:rsidRPr="00A72717">
        <w:rPr>
          <w:kern w:val="0"/>
          <w:sz w:val="24"/>
        </w:rPr>
        <w:t>年</w:t>
      </w:r>
      <w:r w:rsidRPr="00A72717">
        <w:rPr>
          <w:kern w:val="0"/>
          <w:sz w:val="24"/>
        </w:rPr>
        <w:t>5</w:t>
      </w:r>
      <w:r w:rsidRPr="00A72717">
        <w:rPr>
          <w:kern w:val="0"/>
          <w:sz w:val="24"/>
        </w:rPr>
        <w:t>月</w:t>
      </w:r>
      <w:r w:rsidRPr="00A72717">
        <w:rPr>
          <w:kern w:val="0"/>
          <w:sz w:val="24"/>
        </w:rPr>
        <w:t>24</w:t>
      </w:r>
      <w:r w:rsidRPr="00A72717">
        <w:rPr>
          <w:kern w:val="0"/>
          <w:sz w:val="24"/>
        </w:rPr>
        <w:t>日公告，公司因违反《证券公司监督管理条例》第八十四条相关规定于日前收到中国证监会《行政处罚事先告知书》（处罚字</w:t>
      </w:r>
      <w:r w:rsidRPr="00A72717">
        <w:rPr>
          <w:kern w:val="0"/>
          <w:sz w:val="24"/>
        </w:rPr>
        <w:t>[2017]57</w:t>
      </w:r>
      <w:r w:rsidRPr="00A72717">
        <w:rPr>
          <w:kern w:val="0"/>
          <w:sz w:val="24"/>
        </w:rPr>
        <w:t>号）。据此，中国证监会拟决定责令公司改正，给予警告，没收违法所得人民币</w:t>
      </w:r>
      <w:r w:rsidRPr="00A72717">
        <w:rPr>
          <w:kern w:val="0"/>
          <w:sz w:val="24"/>
        </w:rPr>
        <w:t>61,655,849.78</w:t>
      </w:r>
      <w:r w:rsidRPr="00A72717">
        <w:rPr>
          <w:kern w:val="0"/>
          <w:sz w:val="24"/>
        </w:rPr>
        <w:t>元，并处人民币</w:t>
      </w:r>
      <w:r w:rsidRPr="00A72717">
        <w:rPr>
          <w:kern w:val="0"/>
          <w:sz w:val="24"/>
        </w:rPr>
        <w:t>308,279,248.90</w:t>
      </w:r>
      <w:r w:rsidRPr="00A72717">
        <w:rPr>
          <w:kern w:val="0"/>
          <w:sz w:val="24"/>
        </w:rPr>
        <w:t>元罚款。</w:t>
      </w:r>
    </w:p>
    <w:p w:rsidR="00717660" w:rsidRPr="00A72717" w:rsidRDefault="00717660" w:rsidP="00717660">
      <w:pPr>
        <w:autoSpaceDE w:val="0"/>
        <w:autoSpaceDN w:val="0"/>
        <w:adjustRightInd w:val="0"/>
        <w:spacing w:before="29" w:line="288" w:lineRule="auto"/>
        <w:rPr>
          <w:kern w:val="0"/>
          <w:sz w:val="24"/>
        </w:rPr>
      </w:pPr>
      <w:r w:rsidRPr="00A72717">
        <w:rPr>
          <w:rFonts w:hint="eastAsia"/>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717660">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11,688.55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1,239.04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1,157,697.28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909.91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1,171,534.78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E723E6">
        <w:trPr>
          <w:jc w:val="center"/>
        </w:trPr>
        <w:tc>
          <w:tcPr>
            <w:tcW w:w="0" w:type="auto"/>
            <w:vAlign w:val="center"/>
          </w:tcPr>
          <w:p w:rsidR="00E723E6" w:rsidRDefault="00D47869">
            <w:pPr>
              <w:jc w:val="center"/>
            </w:pPr>
            <w:r>
              <w:rPr>
                <w:rFonts w:eastAsiaTheme="minorEastAsia"/>
                <w:color w:val="000000"/>
                <w:sz w:val="24"/>
              </w:rPr>
              <w:t>1</w:t>
            </w:r>
          </w:p>
        </w:tc>
        <w:tc>
          <w:tcPr>
            <w:tcW w:w="0" w:type="auto"/>
            <w:vAlign w:val="center"/>
          </w:tcPr>
          <w:p w:rsidR="00E723E6" w:rsidRDefault="00D47869">
            <w:pPr>
              <w:jc w:val="center"/>
            </w:pPr>
            <w:r>
              <w:rPr>
                <w:rFonts w:eastAsiaTheme="minorEastAsia"/>
                <w:color w:val="000000"/>
                <w:sz w:val="24"/>
              </w:rPr>
              <w:t>110032</w:t>
            </w:r>
          </w:p>
        </w:tc>
        <w:tc>
          <w:tcPr>
            <w:tcW w:w="0" w:type="auto"/>
            <w:vAlign w:val="center"/>
          </w:tcPr>
          <w:p w:rsidR="00E723E6" w:rsidRDefault="00D47869">
            <w:pPr>
              <w:jc w:val="center"/>
            </w:pPr>
            <w:r>
              <w:rPr>
                <w:rFonts w:eastAsiaTheme="minorEastAsia"/>
                <w:color w:val="000000"/>
                <w:sz w:val="24"/>
              </w:rPr>
              <w:t>三一转债</w:t>
            </w:r>
          </w:p>
        </w:tc>
        <w:tc>
          <w:tcPr>
            <w:tcW w:w="0" w:type="auto"/>
            <w:vAlign w:val="center"/>
          </w:tcPr>
          <w:p w:rsidR="00E723E6" w:rsidRDefault="00D47869">
            <w:pPr>
              <w:jc w:val="right"/>
            </w:pPr>
            <w:r>
              <w:rPr>
                <w:rFonts w:eastAsiaTheme="minorEastAsia"/>
                <w:color w:val="000000"/>
                <w:sz w:val="24"/>
              </w:rPr>
              <w:t>1,341,847.00</w:t>
            </w:r>
          </w:p>
        </w:tc>
        <w:tc>
          <w:tcPr>
            <w:tcW w:w="0" w:type="auto"/>
            <w:vAlign w:val="center"/>
          </w:tcPr>
          <w:p w:rsidR="00E723E6" w:rsidRDefault="00D47869">
            <w:pPr>
              <w:jc w:val="right"/>
            </w:pPr>
            <w:r>
              <w:rPr>
                <w:rFonts w:eastAsiaTheme="minorEastAsia"/>
                <w:color w:val="000000"/>
                <w:sz w:val="24"/>
              </w:rPr>
              <w:t>2.68</w:t>
            </w:r>
          </w:p>
        </w:tc>
      </w:tr>
      <w:tr w:rsidR="00E723E6">
        <w:trPr>
          <w:jc w:val="center"/>
        </w:trPr>
        <w:tc>
          <w:tcPr>
            <w:tcW w:w="0" w:type="auto"/>
            <w:vAlign w:val="center"/>
          </w:tcPr>
          <w:p w:rsidR="00E723E6" w:rsidRDefault="00D47869">
            <w:pPr>
              <w:jc w:val="center"/>
            </w:pPr>
            <w:r>
              <w:rPr>
                <w:rFonts w:eastAsiaTheme="minorEastAsia"/>
                <w:color w:val="000000"/>
                <w:sz w:val="24"/>
              </w:rPr>
              <w:t>2</w:t>
            </w:r>
          </w:p>
        </w:tc>
        <w:tc>
          <w:tcPr>
            <w:tcW w:w="0" w:type="auto"/>
            <w:vAlign w:val="center"/>
          </w:tcPr>
          <w:p w:rsidR="00E723E6" w:rsidRDefault="00D47869">
            <w:pPr>
              <w:jc w:val="center"/>
            </w:pPr>
            <w:r>
              <w:rPr>
                <w:rFonts w:eastAsiaTheme="minorEastAsia"/>
                <w:color w:val="000000"/>
                <w:sz w:val="24"/>
              </w:rPr>
              <w:t>128016</w:t>
            </w:r>
          </w:p>
        </w:tc>
        <w:tc>
          <w:tcPr>
            <w:tcW w:w="0" w:type="auto"/>
            <w:vAlign w:val="center"/>
          </w:tcPr>
          <w:p w:rsidR="00E723E6" w:rsidRDefault="00D47869">
            <w:pPr>
              <w:jc w:val="center"/>
            </w:pPr>
            <w:r>
              <w:rPr>
                <w:rFonts w:eastAsiaTheme="minorEastAsia"/>
                <w:color w:val="000000"/>
                <w:sz w:val="24"/>
              </w:rPr>
              <w:t>雨虹转债</w:t>
            </w:r>
          </w:p>
        </w:tc>
        <w:tc>
          <w:tcPr>
            <w:tcW w:w="0" w:type="auto"/>
            <w:vAlign w:val="center"/>
          </w:tcPr>
          <w:p w:rsidR="00E723E6" w:rsidRDefault="00D47869">
            <w:pPr>
              <w:jc w:val="right"/>
            </w:pPr>
            <w:r>
              <w:rPr>
                <w:rFonts w:eastAsiaTheme="minorEastAsia"/>
                <w:color w:val="000000"/>
                <w:sz w:val="24"/>
              </w:rPr>
              <w:t>871,426.50</w:t>
            </w:r>
          </w:p>
        </w:tc>
        <w:tc>
          <w:tcPr>
            <w:tcW w:w="0" w:type="auto"/>
            <w:vAlign w:val="center"/>
          </w:tcPr>
          <w:p w:rsidR="00E723E6" w:rsidRDefault="00D47869">
            <w:pPr>
              <w:jc w:val="right"/>
            </w:pPr>
            <w:r>
              <w:rPr>
                <w:rFonts w:eastAsiaTheme="minorEastAsia"/>
                <w:color w:val="000000"/>
                <w:sz w:val="24"/>
              </w:rPr>
              <w:t>1.74</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E723E6" w:rsidRDefault="00D47869">
      <w:pPr>
        <w:spacing w:before="29" w:line="288" w:lineRule="auto"/>
        <w:rPr>
          <w:rFonts w:eastAsiaTheme="minorEastAsia"/>
          <w:color w:val="000000"/>
          <w:sz w:val="24"/>
        </w:rPr>
      </w:pPr>
      <w:r>
        <w:rPr>
          <w:rFonts w:eastAsiaTheme="minorEastAsia"/>
          <w:color w:val="000000"/>
          <w:sz w:val="24"/>
        </w:rPr>
        <w:t>1</w:t>
      </w:r>
      <w:r>
        <w:rPr>
          <w:rFonts w:eastAsiaTheme="minorEastAsia"/>
          <w:color w:val="000000"/>
          <w:sz w:val="24"/>
        </w:rPr>
        <w:t>、本基金本报告期末未持有处于交换期的可交换债券。</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182F70"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182F70">
        <w:rPr>
          <w:rFonts w:eastAsiaTheme="minorEastAsia"/>
          <w:color w:val="000000" w:themeColor="text1"/>
          <w:kern w:val="0"/>
          <w:sz w:val="24"/>
          <w:szCs w:val="24"/>
        </w:rPr>
        <w:t xml:space="preserve">§6  </w:t>
      </w:r>
      <w:r w:rsidRPr="00182F70">
        <w:rPr>
          <w:rFonts w:eastAsiaTheme="minorEastAsia" w:hint="eastAsia"/>
          <w:color w:val="000000" w:themeColor="text1"/>
          <w:kern w:val="0"/>
          <w:sz w:val="24"/>
          <w:szCs w:val="24"/>
        </w:rPr>
        <w:t>基金中基金</w:t>
      </w:r>
    </w:p>
    <w:p w:rsidR="00C51B4E" w:rsidRPr="00182F70" w:rsidRDefault="00C51B4E" w:rsidP="00C51B4E">
      <w:pPr>
        <w:adjustRightInd w:val="0"/>
        <w:snapToGrid w:val="0"/>
        <w:spacing w:line="360" w:lineRule="auto"/>
        <w:rPr>
          <w:rFonts w:eastAsiaTheme="minorEastAsia"/>
          <w:b/>
          <w:color w:val="000000" w:themeColor="text1"/>
          <w:kern w:val="0"/>
          <w:sz w:val="24"/>
        </w:rPr>
      </w:pPr>
      <w:r w:rsidRPr="00182F70">
        <w:rPr>
          <w:rFonts w:eastAsiaTheme="minorEastAsia"/>
          <w:b/>
          <w:color w:val="000000" w:themeColor="text1"/>
          <w:kern w:val="0"/>
          <w:sz w:val="24"/>
        </w:rPr>
        <w:t xml:space="preserve">6.1 </w:t>
      </w:r>
      <w:r w:rsidRPr="00182F70">
        <w:rPr>
          <w:rFonts w:eastAsiaTheme="minorEastAsia" w:hint="eastAsia"/>
          <w:b/>
          <w:color w:val="000000" w:themeColor="text1"/>
          <w:kern w:val="0"/>
          <w:sz w:val="24"/>
        </w:rPr>
        <w:t>报告期末按公允价值占基金资产净值比例大小排序的前十名基金投资明细</w:t>
      </w:r>
    </w:p>
    <w:p w:rsidR="00C51B4E" w:rsidRPr="00182F70"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182F70">
        <w:rPr>
          <w:rFonts w:eastAsiaTheme="minorEastAsia" w:hint="eastAsia"/>
          <w:color w:val="000000" w:themeColor="text1"/>
          <w:sz w:val="24"/>
        </w:rPr>
        <w:t>本基金本报告期末未持有基金。</w:t>
      </w:r>
    </w:p>
    <w:p w:rsidR="00C51B4E" w:rsidRPr="00182F70" w:rsidRDefault="00C51B4E" w:rsidP="0028293E">
      <w:pPr>
        <w:adjustRightInd w:val="0"/>
        <w:snapToGrid w:val="0"/>
        <w:spacing w:beforeLines="50" w:before="156" w:line="360" w:lineRule="auto"/>
        <w:rPr>
          <w:rFonts w:eastAsiaTheme="minorEastAsia"/>
          <w:b/>
          <w:color w:val="000000" w:themeColor="text1"/>
          <w:kern w:val="0"/>
          <w:sz w:val="24"/>
        </w:rPr>
      </w:pPr>
      <w:r w:rsidRPr="00182F70">
        <w:rPr>
          <w:rFonts w:eastAsiaTheme="minorEastAsia"/>
          <w:b/>
          <w:color w:val="000000" w:themeColor="text1"/>
          <w:kern w:val="0"/>
          <w:sz w:val="24"/>
        </w:rPr>
        <w:t xml:space="preserve">6.2 </w:t>
      </w:r>
      <w:r w:rsidRPr="00182F70">
        <w:rPr>
          <w:rFonts w:eastAsiaTheme="minorEastAsia" w:hint="eastAsia"/>
          <w:b/>
          <w:color w:val="000000" w:themeColor="text1"/>
          <w:kern w:val="0"/>
          <w:sz w:val="24"/>
        </w:rPr>
        <w:t>当期交易及持有基金产生的费用</w:t>
      </w:r>
    </w:p>
    <w:p w:rsidR="00C51B4E" w:rsidRPr="00182F70"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182F70">
        <w:rPr>
          <w:rFonts w:eastAsiaTheme="minorEastAsia" w:hint="eastAsia"/>
          <w:color w:val="000000" w:themeColor="text1"/>
          <w:sz w:val="24"/>
        </w:rPr>
        <w:t>本基金本报告期内未交易或持有基金。</w:t>
      </w:r>
    </w:p>
    <w:p w:rsidR="001D732F" w:rsidRPr="001D732F" w:rsidRDefault="001D732F" w:rsidP="001D732F">
      <w:pPr>
        <w:adjustRightInd w:val="0"/>
        <w:snapToGrid w:val="0"/>
        <w:spacing w:beforeLines="50" w:before="156" w:line="360" w:lineRule="auto"/>
        <w:rPr>
          <w:rFonts w:eastAsiaTheme="minorEastAsia"/>
          <w:b/>
          <w:color w:val="000000" w:themeColor="text1"/>
          <w:kern w:val="0"/>
          <w:sz w:val="24"/>
        </w:rPr>
      </w:pPr>
      <w:r w:rsidRPr="001D732F">
        <w:rPr>
          <w:rFonts w:eastAsiaTheme="minorEastAsia"/>
          <w:b/>
          <w:color w:val="000000" w:themeColor="text1"/>
          <w:kern w:val="0"/>
          <w:sz w:val="24"/>
        </w:rPr>
        <w:t xml:space="preserve">6.3 </w:t>
      </w:r>
      <w:r w:rsidRPr="001D732F">
        <w:rPr>
          <w:rFonts w:eastAsiaTheme="minorEastAsia" w:hint="eastAsia"/>
          <w:b/>
          <w:color w:val="000000" w:themeColor="text1"/>
          <w:kern w:val="0"/>
          <w:sz w:val="24"/>
        </w:rPr>
        <w:t>本报告期持有的基金发生的重大影响事件</w:t>
      </w:r>
    </w:p>
    <w:p w:rsidR="001D732F" w:rsidRPr="001D732F" w:rsidRDefault="001D732F" w:rsidP="001D732F">
      <w:pPr>
        <w:autoSpaceDE w:val="0"/>
        <w:autoSpaceDN w:val="0"/>
        <w:adjustRightInd w:val="0"/>
        <w:spacing w:line="360" w:lineRule="auto"/>
        <w:ind w:firstLineChars="200" w:firstLine="480"/>
        <w:jc w:val="left"/>
        <w:rPr>
          <w:rFonts w:eastAsiaTheme="minorEastAsia"/>
          <w:color w:val="000000" w:themeColor="text1"/>
          <w:sz w:val="24"/>
        </w:rPr>
      </w:pPr>
      <w:r w:rsidRPr="001D732F">
        <w:rPr>
          <w:rFonts w:eastAsiaTheme="minorEastAsia" w:hint="eastAsia"/>
          <w:color w:val="000000" w:themeColor="text1"/>
          <w:sz w:val="24"/>
        </w:rPr>
        <w:t>无。</w:t>
      </w:r>
    </w:p>
    <w:p w:rsidR="001D732F" w:rsidRPr="001D732F" w:rsidRDefault="001D732F" w:rsidP="00C51B4E">
      <w:pPr>
        <w:autoSpaceDE w:val="0"/>
        <w:autoSpaceDN w:val="0"/>
        <w:adjustRightInd w:val="0"/>
        <w:spacing w:line="360" w:lineRule="auto"/>
        <w:ind w:firstLineChars="200" w:firstLine="420"/>
        <w:jc w:val="left"/>
        <w:rPr>
          <w:rFonts w:eastAsiaTheme="minorEastAsia"/>
          <w:color w:val="000000" w:themeColor="text1"/>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66,273,590.86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679,151.07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85,593.29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733,207.98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18,584,282.86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966,332.03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47,774,901.29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446,027.02</w:t>
            </w:r>
          </w:p>
        </w:tc>
      </w:tr>
    </w:tbl>
    <w:p w:rsidR="00E723E6" w:rsidRDefault="00D4786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182F70">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182F70" w:rsidRDefault="00ED0E09" w:rsidP="0028293E">
      <w:pPr>
        <w:pStyle w:val="1"/>
        <w:spacing w:beforeLines="100" w:before="312" w:afterLines="100" w:after="312" w:line="360" w:lineRule="auto"/>
        <w:jc w:val="center"/>
        <w:rPr>
          <w:rFonts w:eastAsiaTheme="minorEastAsia"/>
          <w:color w:val="000000" w:themeColor="text1"/>
          <w:kern w:val="0"/>
          <w:sz w:val="24"/>
          <w:szCs w:val="24"/>
        </w:rPr>
      </w:pPr>
      <w:r w:rsidRPr="00182F70">
        <w:rPr>
          <w:rFonts w:eastAsiaTheme="minorEastAsia"/>
          <w:color w:val="000000" w:themeColor="text1"/>
          <w:kern w:val="0"/>
          <w:sz w:val="24"/>
          <w:szCs w:val="24"/>
        </w:rPr>
        <w:t xml:space="preserve">§9 </w:t>
      </w:r>
      <w:r w:rsidR="00F139D5" w:rsidRPr="00182F70">
        <w:rPr>
          <w:rFonts w:eastAsiaTheme="minorEastAsia"/>
          <w:color w:val="000000" w:themeColor="text1"/>
          <w:kern w:val="0"/>
          <w:sz w:val="24"/>
          <w:szCs w:val="24"/>
        </w:rPr>
        <w:t xml:space="preserve"> </w:t>
      </w:r>
      <w:r w:rsidRPr="00182F70">
        <w:rPr>
          <w:rFonts w:eastAsiaTheme="minorEastAsia" w:hint="eastAsia"/>
          <w:color w:val="000000" w:themeColor="text1"/>
          <w:kern w:val="0"/>
          <w:sz w:val="24"/>
          <w:szCs w:val="24"/>
        </w:rPr>
        <w:t>影响投资者决策的其他重要信息</w:t>
      </w:r>
    </w:p>
    <w:p w:rsidR="00ED0E09" w:rsidRPr="00182F70" w:rsidRDefault="00ED0E09" w:rsidP="00ED0E09">
      <w:pPr>
        <w:autoSpaceDE w:val="0"/>
        <w:autoSpaceDN w:val="0"/>
        <w:adjustRightInd w:val="0"/>
        <w:spacing w:line="360" w:lineRule="auto"/>
        <w:jc w:val="left"/>
        <w:rPr>
          <w:rFonts w:ascii="宋体" w:hAnsi="宋体"/>
          <w:b/>
          <w:bCs/>
          <w:color w:val="000000"/>
          <w:kern w:val="0"/>
          <w:sz w:val="24"/>
        </w:rPr>
      </w:pPr>
      <w:r w:rsidRPr="00182F70">
        <w:rPr>
          <w:rFonts w:ascii="宋体" w:hAnsi="宋体"/>
          <w:b/>
          <w:bCs/>
          <w:color w:val="000000"/>
          <w:kern w:val="0"/>
          <w:sz w:val="24"/>
        </w:rPr>
        <w:t xml:space="preserve">9.1 </w:t>
      </w:r>
      <w:r w:rsidRPr="00182F70">
        <w:rPr>
          <w:rFonts w:ascii="宋体" w:hAnsi="宋体" w:hint="eastAsia"/>
          <w:b/>
          <w:bCs/>
          <w:color w:val="000000"/>
          <w:kern w:val="0"/>
          <w:sz w:val="24"/>
        </w:rPr>
        <w:t>影响投资者决策的其他重要信息</w:t>
      </w:r>
    </w:p>
    <w:p w:rsidR="00E723E6" w:rsidRPr="00182F70" w:rsidRDefault="00D47869">
      <w:pPr>
        <w:spacing w:line="360" w:lineRule="auto"/>
        <w:ind w:firstLineChars="200" w:firstLine="480"/>
        <w:rPr>
          <w:rFonts w:ascii="宋体" w:hAnsi="宋体"/>
          <w:color w:val="000000"/>
          <w:sz w:val="24"/>
        </w:rPr>
      </w:pPr>
      <w:r w:rsidRPr="00182F70">
        <w:rPr>
          <w:rFonts w:ascii="宋体" w:hAnsi="宋体"/>
          <w:color w:val="000000"/>
          <w:sz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Pr="00182F70" w:rsidRDefault="00ED0E09" w:rsidP="00ED0E09">
      <w:pPr>
        <w:spacing w:line="360" w:lineRule="auto"/>
        <w:ind w:firstLineChars="200" w:firstLine="480"/>
        <w:rPr>
          <w:rFonts w:ascii="宋体" w:hAnsi="宋体"/>
          <w:color w:val="000000"/>
          <w:sz w:val="24"/>
        </w:rPr>
      </w:pPr>
      <w:r w:rsidRPr="00182F70">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723E6" w:rsidRDefault="00D4786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、中国证监会准予交银施罗德增利增强债券型证券投资基金募集注册的文件；</w:t>
      </w:r>
      <w:r>
        <w:rPr>
          <w:rFonts w:eastAsiaTheme="minorEastAsia"/>
          <w:color w:val="000000"/>
          <w:sz w:val="24"/>
        </w:rPr>
        <w:t xml:space="preserve"> </w:t>
      </w:r>
    </w:p>
    <w:p w:rsidR="00E723E6" w:rsidRDefault="00D4786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、《交银施罗德增利增强债券型证券投资基金基金合同》；</w:t>
      </w:r>
      <w:r>
        <w:rPr>
          <w:rFonts w:eastAsiaTheme="minorEastAsia"/>
          <w:color w:val="000000"/>
          <w:sz w:val="24"/>
        </w:rPr>
        <w:t xml:space="preserve"> </w:t>
      </w:r>
    </w:p>
    <w:p w:rsidR="00E723E6" w:rsidRDefault="00D4786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、《交银施罗德增利增强债券型证券投资基金招募说明书》；</w:t>
      </w:r>
      <w:r>
        <w:rPr>
          <w:rFonts w:eastAsiaTheme="minorEastAsia"/>
          <w:color w:val="000000"/>
          <w:sz w:val="24"/>
        </w:rPr>
        <w:t xml:space="preserve"> </w:t>
      </w:r>
    </w:p>
    <w:p w:rsidR="00E723E6" w:rsidRDefault="00D47869">
      <w:pPr>
        <w:spacing w:before="29" w:line="288" w:lineRule="auto"/>
        <w:ind w:firstLineChars="200" w:firstLine="480"/>
        <w:rPr>
          <w:rFonts w:eastAsiaTheme="minorEastAsia"/>
          <w:color w:val="000000"/>
          <w:sz w:val="24"/>
        </w:rPr>
      </w:pPr>
      <w:r>
        <w:rPr>
          <w:rFonts w:eastAsiaTheme="minorEastAsia"/>
          <w:color w:val="000000"/>
          <w:sz w:val="24"/>
        </w:rPr>
        <w:lastRenderedPageBreak/>
        <w:t>4</w:t>
      </w:r>
      <w:r>
        <w:rPr>
          <w:rFonts w:eastAsiaTheme="minorEastAsia"/>
          <w:color w:val="000000"/>
          <w:sz w:val="24"/>
        </w:rPr>
        <w:t>、《交银施罗德增利增强债券型证券投资基金托管协议》；</w:t>
      </w:r>
      <w:r>
        <w:rPr>
          <w:rFonts w:eastAsiaTheme="minorEastAsia"/>
          <w:color w:val="000000"/>
          <w:sz w:val="24"/>
        </w:rPr>
        <w:t xml:space="preserve"> </w:t>
      </w:r>
    </w:p>
    <w:p w:rsidR="00E723E6" w:rsidRDefault="00D4786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、关于申请募集注册交银施罗德增利增强债券型证券投资基金的法律意见书；</w:t>
      </w:r>
      <w:r>
        <w:rPr>
          <w:rFonts w:eastAsiaTheme="minorEastAsia"/>
          <w:color w:val="000000"/>
          <w:sz w:val="24"/>
        </w:rPr>
        <w:t xml:space="preserve"> </w:t>
      </w:r>
    </w:p>
    <w:p w:rsidR="00E723E6" w:rsidRDefault="00D4786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723E6" w:rsidRDefault="00D4786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、报告期内交银施罗德增利增强债券型证券投资基金在指定报刊上各项公告的原稿。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E723E6" w:rsidRDefault="00D4786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E3C" w:rsidRDefault="006A2E3C">
      <w:r>
        <w:separator/>
      </w:r>
    </w:p>
  </w:endnote>
  <w:endnote w:type="continuationSeparator" w:id="0">
    <w:p w:rsidR="006A2E3C" w:rsidRDefault="006A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182F70">
      <w:rPr>
        <w:noProof/>
        <w:kern w:val="0"/>
        <w:szCs w:val="21"/>
      </w:rPr>
      <w:t>3</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182F70">
      <w:rPr>
        <w:noProof/>
        <w:kern w:val="0"/>
        <w:szCs w:val="21"/>
      </w:rPr>
      <w:t>16</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E3C" w:rsidRDefault="006A2E3C">
      <w:r>
        <w:separator/>
      </w:r>
    </w:p>
  </w:footnote>
  <w:footnote w:type="continuationSeparator" w:id="0">
    <w:p w:rsidR="006A2E3C" w:rsidRDefault="006A2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交银施罗德增利增强债券型证券投资基金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2F70"/>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D732F"/>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5AC2"/>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2E3C"/>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660"/>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A7390"/>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64604"/>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69"/>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23E6"/>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1942177820">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0A76-8FA0-4CB1-B2F4-96FE2427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207</TotalTime>
  <Pages>16</Pages>
  <Words>1480</Words>
  <Characters>8437</Characters>
  <Application>Microsoft Office Word</Application>
  <DocSecurity>0</DocSecurity>
  <Lines>70</Lines>
  <Paragraphs>19</Paragraphs>
  <ScaleCrop>false</ScaleCrop>
  <Company>TRT. Ltd. Co.</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379</cp:revision>
  <cp:lastPrinted>2007-07-19T00:46:00Z</cp:lastPrinted>
  <dcterms:created xsi:type="dcterms:W3CDTF">2014-01-17T06:19:00Z</dcterms:created>
  <dcterms:modified xsi:type="dcterms:W3CDTF">2018-04-19T01:40:00Z</dcterms:modified>
</cp:coreProperties>
</file>