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07A26" w:rsidRDefault="007852E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333,538,435.52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852E8" w:rsidRPr="00414345" w:rsidTr="007852E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852E8" w:rsidRPr="00414345" w:rsidTr="007852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17,828,435.50</w:t>
            </w:r>
          </w:p>
        </w:tc>
      </w:tr>
      <w:tr w:rsidR="007852E8" w:rsidRPr="00414345" w:rsidTr="007852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45,910,905.54</w:t>
            </w:r>
          </w:p>
        </w:tc>
      </w:tr>
      <w:tr w:rsidR="007852E8" w:rsidRPr="00414345" w:rsidTr="007852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0.1654</w:t>
            </w:r>
          </w:p>
        </w:tc>
      </w:tr>
      <w:tr w:rsidR="007852E8" w:rsidRPr="00414345" w:rsidTr="007852E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428,210,496.42</w:t>
            </w:r>
          </w:p>
        </w:tc>
      </w:tr>
      <w:tr w:rsidR="007852E8" w:rsidRPr="00414345" w:rsidTr="007852E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1.2838</w:t>
            </w:r>
          </w:p>
        </w:tc>
      </w:tr>
    </w:tbl>
    <w:p w:rsidR="00907A26" w:rsidRDefault="007852E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07A26">
        <w:trPr>
          <w:jc w:val="center"/>
        </w:trPr>
        <w:tc>
          <w:tcPr>
            <w:tcW w:w="1701" w:type="dxa"/>
            <w:vAlign w:val="center"/>
          </w:tcPr>
          <w:p w:rsidR="00907A26" w:rsidRDefault="007852E8">
            <w:pPr>
              <w:jc w:val="left"/>
            </w:pPr>
            <w:r>
              <w:rPr>
                <w:color w:val="000000"/>
                <w:sz w:val="24"/>
                <w:szCs w:val="24"/>
              </w:rPr>
              <w:t>过去三个月</w:t>
            </w:r>
          </w:p>
        </w:tc>
        <w:tc>
          <w:tcPr>
            <w:tcW w:w="1045" w:type="dxa"/>
            <w:vAlign w:val="center"/>
          </w:tcPr>
          <w:p w:rsidR="00907A26" w:rsidRDefault="007852E8">
            <w:pPr>
              <w:jc w:val="center"/>
            </w:pPr>
            <w:r>
              <w:rPr>
                <w:color w:val="000000"/>
                <w:sz w:val="24"/>
                <w:szCs w:val="24"/>
              </w:rPr>
              <w:t>14.99%</w:t>
            </w:r>
          </w:p>
        </w:tc>
        <w:tc>
          <w:tcPr>
            <w:tcW w:w="1344" w:type="dxa"/>
            <w:vAlign w:val="center"/>
          </w:tcPr>
          <w:p w:rsidR="00907A26" w:rsidRDefault="007852E8">
            <w:pPr>
              <w:jc w:val="center"/>
            </w:pPr>
            <w:r>
              <w:rPr>
                <w:color w:val="000000"/>
                <w:sz w:val="24"/>
                <w:szCs w:val="24"/>
              </w:rPr>
              <w:t>1.28%</w:t>
            </w:r>
          </w:p>
        </w:tc>
        <w:tc>
          <w:tcPr>
            <w:tcW w:w="1194" w:type="dxa"/>
            <w:vAlign w:val="center"/>
          </w:tcPr>
          <w:p w:rsidR="00907A26" w:rsidRDefault="007852E8">
            <w:pPr>
              <w:jc w:val="center"/>
            </w:pPr>
            <w:r>
              <w:rPr>
                <w:color w:val="000000"/>
                <w:sz w:val="24"/>
                <w:szCs w:val="24"/>
              </w:rPr>
              <w:t>7.11%</w:t>
            </w:r>
          </w:p>
        </w:tc>
        <w:tc>
          <w:tcPr>
            <w:tcW w:w="1492" w:type="dxa"/>
            <w:vAlign w:val="center"/>
          </w:tcPr>
          <w:p w:rsidR="00907A26" w:rsidRDefault="007852E8">
            <w:pPr>
              <w:jc w:val="center"/>
            </w:pPr>
            <w:r>
              <w:rPr>
                <w:color w:val="000000"/>
                <w:sz w:val="24"/>
                <w:szCs w:val="24"/>
              </w:rPr>
              <w:t>1.24%</w:t>
            </w:r>
          </w:p>
        </w:tc>
        <w:tc>
          <w:tcPr>
            <w:tcW w:w="1194" w:type="dxa"/>
            <w:vAlign w:val="center"/>
          </w:tcPr>
          <w:p w:rsidR="00907A26" w:rsidRDefault="007852E8">
            <w:pPr>
              <w:jc w:val="center"/>
            </w:pPr>
            <w:r>
              <w:rPr>
                <w:color w:val="000000"/>
                <w:sz w:val="24"/>
                <w:szCs w:val="24"/>
              </w:rPr>
              <w:t>7.88%</w:t>
            </w:r>
          </w:p>
        </w:tc>
        <w:tc>
          <w:tcPr>
            <w:tcW w:w="898" w:type="dxa"/>
            <w:vAlign w:val="center"/>
          </w:tcPr>
          <w:p w:rsidR="00907A26" w:rsidRDefault="007852E8">
            <w:pPr>
              <w:jc w:val="center"/>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23</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07A26">
        <w:trPr>
          <w:jc w:val="center"/>
        </w:trPr>
        <w:tc>
          <w:tcPr>
            <w:tcW w:w="846" w:type="dxa"/>
            <w:vAlign w:val="center"/>
          </w:tcPr>
          <w:p w:rsidR="00907A26" w:rsidRDefault="007852E8">
            <w:pPr>
              <w:jc w:val="center"/>
            </w:pPr>
            <w:r>
              <w:rPr>
                <w:color w:val="000000"/>
                <w:sz w:val="24"/>
                <w:szCs w:val="24"/>
              </w:rPr>
              <w:t>盖婷婷</w:t>
            </w:r>
          </w:p>
        </w:tc>
        <w:tc>
          <w:tcPr>
            <w:tcW w:w="845" w:type="dxa"/>
            <w:vAlign w:val="center"/>
          </w:tcPr>
          <w:p w:rsidR="00907A26" w:rsidRDefault="007852E8">
            <w:pPr>
              <w:jc w:val="center"/>
            </w:pPr>
            <w:r>
              <w:rPr>
                <w:color w:val="000000"/>
                <w:sz w:val="24"/>
                <w:szCs w:val="24"/>
              </w:rPr>
              <w:t>交银消费新驱动股票、交银医药创新股票、交银恒益灵活配置混合的</w:t>
            </w:r>
            <w:r>
              <w:rPr>
                <w:color w:val="000000"/>
                <w:sz w:val="24"/>
                <w:szCs w:val="24"/>
              </w:rPr>
              <w:lastRenderedPageBreak/>
              <w:t>基金经理</w:t>
            </w:r>
          </w:p>
        </w:tc>
        <w:tc>
          <w:tcPr>
            <w:tcW w:w="1549" w:type="dxa"/>
            <w:vAlign w:val="center"/>
          </w:tcPr>
          <w:p w:rsidR="00907A26" w:rsidRDefault="007852E8">
            <w:pPr>
              <w:jc w:val="center"/>
            </w:pPr>
            <w:r>
              <w:rPr>
                <w:color w:val="000000"/>
                <w:sz w:val="24"/>
                <w:szCs w:val="24"/>
              </w:rPr>
              <w:lastRenderedPageBreak/>
              <w:t>2017-03-23</w:t>
            </w:r>
          </w:p>
        </w:tc>
        <w:tc>
          <w:tcPr>
            <w:tcW w:w="1548" w:type="dxa"/>
            <w:vAlign w:val="center"/>
          </w:tcPr>
          <w:p w:rsidR="00907A26" w:rsidRDefault="007852E8">
            <w:pPr>
              <w:jc w:val="center"/>
            </w:pPr>
            <w:r>
              <w:rPr>
                <w:color w:val="000000"/>
                <w:sz w:val="24"/>
                <w:szCs w:val="24"/>
              </w:rPr>
              <w:t>-</w:t>
            </w:r>
          </w:p>
        </w:tc>
        <w:tc>
          <w:tcPr>
            <w:tcW w:w="1407" w:type="dxa"/>
            <w:vAlign w:val="center"/>
          </w:tcPr>
          <w:p w:rsidR="00907A26" w:rsidRDefault="007852E8">
            <w:pPr>
              <w:jc w:val="center"/>
            </w:pPr>
            <w:r>
              <w:rPr>
                <w:color w:val="000000"/>
                <w:sz w:val="24"/>
                <w:szCs w:val="24"/>
              </w:rPr>
              <w:t>12</w:t>
            </w:r>
            <w:r>
              <w:rPr>
                <w:color w:val="000000"/>
                <w:sz w:val="24"/>
                <w:szCs w:val="24"/>
              </w:rPr>
              <w:t>年</w:t>
            </w:r>
          </w:p>
        </w:tc>
        <w:tc>
          <w:tcPr>
            <w:tcW w:w="2673" w:type="dxa"/>
            <w:vAlign w:val="center"/>
          </w:tcPr>
          <w:p w:rsidR="00907A26" w:rsidRDefault="007852E8">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07A26" w:rsidRDefault="007852E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07A26" w:rsidRDefault="007852E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07A26" w:rsidRDefault="007852E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07A26" w:rsidRDefault="007852E8">
      <w:pPr>
        <w:spacing w:before="29" w:line="288" w:lineRule="auto"/>
        <w:ind w:firstLineChars="200" w:firstLine="480"/>
        <w:rPr>
          <w:color w:val="000000"/>
          <w:sz w:val="24"/>
          <w:szCs w:val="24"/>
        </w:rPr>
      </w:pPr>
      <w:r>
        <w:rPr>
          <w:color w:val="000000"/>
          <w:sz w:val="24"/>
          <w:szCs w:val="24"/>
        </w:rPr>
        <w:t>2018</w:t>
      </w:r>
      <w:r>
        <w:rPr>
          <w:color w:val="000000"/>
          <w:sz w:val="24"/>
          <w:szCs w:val="24"/>
        </w:rPr>
        <w:t>年一季度市场波动较大，上证综指在一月份反弹之后，在二、三月份出现了明显的下跌。与此同时，创业板指在二月份调整结束后走出了独立行情，大盘股和小盘</w:t>
      </w:r>
      <w:r>
        <w:rPr>
          <w:color w:val="000000"/>
          <w:sz w:val="24"/>
          <w:szCs w:val="24"/>
        </w:rPr>
        <w:lastRenderedPageBreak/>
        <w:t>股完成了一次风格切换。以计算机和医药为代表的成长性行业，经过两年多时间的估值溢价消化，股价更加有吸引力，获得了资金的追捧，取得非常显著的超额收益。</w:t>
      </w:r>
    </w:p>
    <w:p w:rsidR="00907A26" w:rsidRDefault="007852E8">
      <w:pPr>
        <w:spacing w:before="29" w:line="288" w:lineRule="auto"/>
        <w:ind w:firstLineChars="200" w:firstLine="480"/>
        <w:rPr>
          <w:color w:val="000000"/>
          <w:sz w:val="24"/>
          <w:szCs w:val="24"/>
        </w:rPr>
      </w:pPr>
      <w:r>
        <w:rPr>
          <w:color w:val="000000"/>
          <w:sz w:val="24"/>
          <w:szCs w:val="24"/>
        </w:rPr>
        <w:t>本基金作为行业主题基金，在医药行业表现好的背景下涨幅比较显著。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我们预计成长股的风格仍然会延续，本基金将会在上涨过程中兑现部分收益，同时增加一些市场预期差较大的细分子行业进行配置。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007852E8">
        <w:rPr>
          <w:color w:val="000000"/>
          <w:sz w:val="24"/>
          <w:szCs w:val="24"/>
        </w:rPr>
        <w:t>2018</w:t>
      </w:r>
      <w:r w:rsidRPr="00414345">
        <w:rPr>
          <w:color w:val="000000"/>
          <w:sz w:val="24"/>
          <w:szCs w:val="24"/>
        </w:rPr>
        <w:t>年</w:t>
      </w:r>
      <w:r w:rsidRPr="00414345">
        <w:rPr>
          <w:color w:val="000000"/>
          <w:sz w:val="24"/>
          <w:szCs w:val="24"/>
        </w:rPr>
        <w:t>03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1.2838</w:t>
      </w:r>
      <w:r w:rsidRPr="00414345">
        <w:rPr>
          <w:color w:val="000000"/>
          <w:sz w:val="24"/>
          <w:szCs w:val="24"/>
        </w:rPr>
        <w:t>元，本报告期份额净值增长率为</w:t>
      </w:r>
      <w:r w:rsidRPr="00414345">
        <w:rPr>
          <w:color w:val="000000"/>
          <w:sz w:val="24"/>
          <w:szCs w:val="24"/>
        </w:rPr>
        <w:t>14.99%</w:t>
      </w:r>
      <w:r w:rsidRPr="00414345">
        <w:rPr>
          <w:color w:val="000000"/>
          <w:sz w:val="24"/>
          <w:szCs w:val="24"/>
        </w:rPr>
        <w:t>，同期业绩比较基准增长率为</w:t>
      </w:r>
      <w:r w:rsidRPr="00414345">
        <w:rPr>
          <w:color w:val="000000"/>
          <w:sz w:val="24"/>
          <w:szCs w:val="24"/>
        </w:rPr>
        <w:t>7.11%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331,669,575.13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331,669,575.13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74.28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105,132,820.36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9,685,265.90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446,487,661.39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169,603,806.89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113,730,198.39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34,203.96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28,583,375.00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19,681,331.27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331,669,575.13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77.45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07A26">
        <w:trPr>
          <w:jc w:val="center"/>
        </w:trPr>
        <w:tc>
          <w:tcPr>
            <w:tcW w:w="855" w:type="dxa"/>
            <w:vAlign w:val="center"/>
          </w:tcPr>
          <w:p w:rsidR="00907A26" w:rsidRDefault="007852E8">
            <w:pPr>
              <w:jc w:val="center"/>
            </w:pPr>
            <w:r>
              <w:rPr>
                <w:color w:val="000000"/>
                <w:sz w:val="24"/>
                <w:szCs w:val="24"/>
              </w:rPr>
              <w:t>1</w:t>
            </w:r>
          </w:p>
        </w:tc>
        <w:tc>
          <w:tcPr>
            <w:tcW w:w="1334" w:type="dxa"/>
            <w:vAlign w:val="center"/>
          </w:tcPr>
          <w:p w:rsidR="00907A26" w:rsidRDefault="007852E8">
            <w:pPr>
              <w:jc w:val="center"/>
            </w:pPr>
            <w:r>
              <w:rPr>
                <w:color w:val="000000"/>
                <w:sz w:val="24"/>
                <w:szCs w:val="24"/>
              </w:rPr>
              <w:t>603108</w:t>
            </w:r>
          </w:p>
        </w:tc>
        <w:tc>
          <w:tcPr>
            <w:tcW w:w="1777" w:type="dxa"/>
            <w:vAlign w:val="center"/>
          </w:tcPr>
          <w:p w:rsidR="00907A26" w:rsidRDefault="007852E8">
            <w:pPr>
              <w:jc w:val="center"/>
            </w:pPr>
            <w:r>
              <w:rPr>
                <w:color w:val="000000"/>
                <w:sz w:val="24"/>
                <w:szCs w:val="24"/>
              </w:rPr>
              <w:t>润达医疗</w:t>
            </w:r>
          </w:p>
        </w:tc>
        <w:tc>
          <w:tcPr>
            <w:tcW w:w="1334" w:type="dxa"/>
            <w:vAlign w:val="center"/>
          </w:tcPr>
          <w:p w:rsidR="00907A26" w:rsidRDefault="007852E8">
            <w:pPr>
              <w:jc w:val="right"/>
            </w:pPr>
            <w:r>
              <w:rPr>
                <w:color w:val="000000"/>
                <w:sz w:val="24"/>
                <w:szCs w:val="24"/>
              </w:rPr>
              <w:t>2,113,352</w:t>
            </w:r>
          </w:p>
        </w:tc>
        <w:tc>
          <w:tcPr>
            <w:tcW w:w="1924" w:type="dxa"/>
            <w:vAlign w:val="center"/>
          </w:tcPr>
          <w:p w:rsidR="00907A26" w:rsidRDefault="007852E8">
            <w:pPr>
              <w:jc w:val="right"/>
            </w:pPr>
            <w:r>
              <w:rPr>
                <w:color w:val="000000"/>
                <w:sz w:val="24"/>
                <w:szCs w:val="24"/>
              </w:rPr>
              <w:t>34,532,171.68</w:t>
            </w:r>
          </w:p>
        </w:tc>
        <w:tc>
          <w:tcPr>
            <w:tcW w:w="1644" w:type="dxa"/>
            <w:vAlign w:val="center"/>
          </w:tcPr>
          <w:p w:rsidR="00907A26" w:rsidRDefault="007852E8">
            <w:pPr>
              <w:jc w:val="right"/>
            </w:pPr>
            <w:r>
              <w:rPr>
                <w:color w:val="000000"/>
                <w:sz w:val="24"/>
                <w:szCs w:val="24"/>
              </w:rPr>
              <w:t>8.06</w:t>
            </w:r>
          </w:p>
        </w:tc>
      </w:tr>
      <w:tr w:rsidR="00907A26">
        <w:trPr>
          <w:jc w:val="center"/>
        </w:trPr>
        <w:tc>
          <w:tcPr>
            <w:tcW w:w="855" w:type="dxa"/>
            <w:vAlign w:val="center"/>
          </w:tcPr>
          <w:p w:rsidR="00907A26" w:rsidRDefault="007852E8">
            <w:pPr>
              <w:jc w:val="center"/>
            </w:pPr>
            <w:r>
              <w:rPr>
                <w:color w:val="000000"/>
                <w:sz w:val="24"/>
                <w:szCs w:val="24"/>
              </w:rPr>
              <w:t>2</w:t>
            </w:r>
          </w:p>
        </w:tc>
        <w:tc>
          <w:tcPr>
            <w:tcW w:w="1334" w:type="dxa"/>
            <w:vAlign w:val="center"/>
          </w:tcPr>
          <w:p w:rsidR="00907A26" w:rsidRDefault="007852E8">
            <w:pPr>
              <w:jc w:val="center"/>
            </w:pPr>
            <w:r>
              <w:rPr>
                <w:color w:val="000000"/>
                <w:sz w:val="24"/>
                <w:szCs w:val="24"/>
              </w:rPr>
              <w:t>000538</w:t>
            </w:r>
          </w:p>
        </w:tc>
        <w:tc>
          <w:tcPr>
            <w:tcW w:w="1777" w:type="dxa"/>
            <w:vAlign w:val="center"/>
          </w:tcPr>
          <w:p w:rsidR="00907A26" w:rsidRDefault="007852E8">
            <w:pPr>
              <w:jc w:val="center"/>
            </w:pPr>
            <w:r>
              <w:rPr>
                <w:color w:val="000000"/>
                <w:sz w:val="24"/>
                <w:szCs w:val="24"/>
              </w:rPr>
              <w:t>云南白药</w:t>
            </w:r>
          </w:p>
        </w:tc>
        <w:tc>
          <w:tcPr>
            <w:tcW w:w="1334" w:type="dxa"/>
            <w:vAlign w:val="center"/>
          </w:tcPr>
          <w:p w:rsidR="00907A26" w:rsidRDefault="007852E8">
            <w:pPr>
              <w:jc w:val="right"/>
            </w:pPr>
            <w:r>
              <w:rPr>
                <w:color w:val="000000"/>
                <w:sz w:val="24"/>
                <w:szCs w:val="24"/>
              </w:rPr>
              <w:t>306,719</w:t>
            </w:r>
          </w:p>
        </w:tc>
        <w:tc>
          <w:tcPr>
            <w:tcW w:w="1924" w:type="dxa"/>
            <w:vAlign w:val="center"/>
          </w:tcPr>
          <w:p w:rsidR="00907A26" w:rsidRDefault="007852E8">
            <w:pPr>
              <w:jc w:val="right"/>
            </w:pPr>
            <w:r>
              <w:rPr>
                <w:color w:val="000000"/>
                <w:sz w:val="24"/>
                <w:szCs w:val="24"/>
              </w:rPr>
              <w:t>30,365,181.00</w:t>
            </w:r>
          </w:p>
        </w:tc>
        <w:tc>
          <w:tcPr>
            <w:tcW w:w="1644" w:type="dxa"/>
            <w:vAlign w:val="center"/>
          </w:tcPr>
          <w:p w:rsidR="00907A26" w:rsidRDefault="007852E8">
            <w:pPr>
              <w:jc w:val="right"/>
            </w:pPr>
            <w:r>
              <w:rPr>
                <w:color w:val="000000"/>
                <w:sz w:val="24"/>
                <w:szCs w:val="24"/>
              </w:rPr>
              <w:t>7.09</w:t>
            </w:r>
          </w:p>
        </w:tc>
      </w:tr>
      <w:tr w:rsidR="00907A26">
        <w:trPr>
          <w:jc w:val="center"/>
        </w:trPr>
        <w:tc>
          <w:tcPr>
            <w:tcW w:w="855" w:type="dxa"/>
            <w:vAlign w:val="center"/>
          </w:tcPr>
          <w:p w:rsidR="00907A26" w:rsidRDefault="007852E8">
            <w:pPr>
              <w:jc w:val="center"/>
            </w:pPr>
            <w:r>
              <w:rPr>
                <w:color w:val="000000"/>
                <w:sz w:val="24"/>
                <w:szCs w:val="24"/>
              </w:rPr>
              <w:t>3</w:t>
            </w:r>
          </w:p>
        </w:tc>
        <w:tc>
          <w:tcPr>
            <w:tcW w:w="1334" w:type="dxa"/>
            <w:vAlign w:val="center"/>
          </w:tcPr>
          <w:p w:rsidR="00907A26" w:rsidRDefault="007852E8">
            <w:pPr>
              <w:jc w:val="center"/>
            </w:pPr>
            <w:r>
              <w:rPr>
                <w:color w:val="000000"/>
                <w:sz w:val="24"/>
                <w:szCs w:val="24"/>
              </w:rPr>
              <w:t>601607</w:t>
            </w:r>
          </w:p>
        </w:tc>
        <w:tc>
          <w:tcPr>
            <w:tcW w:w="1777" w:type="dxa"/>
            <w:vAlign w:val="center"/>
          </w:tcPr>
          <w:p w:rsidR="00907A26" w:rsidRDefault="007852E8">
            <w:pPr>
              <w:jc w:val="center"/>
            </w:pPr>
            <w:r>
              <w:rPr>
                <w:color w:val="000000"/>
                <w:sz w:val="24"/>
                <w:szCs w:val="24"/>
              </w:rPr>
              <w:t>上海医药</w:t>
            </w:r>
          </w:p>
        </w:tc>
        <w:tc>
          <w:tcPr>
            <w:tcW w:w="1334" w:type="dxa"/>
            <w:vAlign w:val="center"/>
          </w:tcPr>
          <w:p w:rsidR="00907A26" w:rsidRDefault="007852E8">
            <w:pPr>
              <w:jc w:val="right"/>
            </w:pPr>
            <w:r>
              <w:rPr>
                <w:color w:val="000000"/>
                <w:sz w:val="24"/>
                <w:szCs w:val="24"/>
              </w:rPr>
              <w:t>1,229,337</w:t>
            </w:r>
          </w:p>
        </w:tc>
        <w:tc>
          <w:tcPr>
            <w:tcW w:w="1924" w:type="dxa"/>
            <w:vAlign w:val="center"/>
          </w:tcPr>
          <w:p w:rsidR="00907A26" w:rsidRDefault="007852E8">
            <w:pPr>
              <w:jc w:val="right"/>
            </w:pPr>
            <w:r>
              <w:rPr>
                <w:color w:val="000000"/>
                <w:sz w:val="24"/>
                <w:szCs w:val="24"/>
              </w:rPr>
              <w:t>30,315,450.42</w:t>
            </w:r>
          </w:p>
        </w:tc>
        <w:tc>
          <w:tcPr>
            <w:tcW w:w="1644" w:type="dxa"/>
            <w:vAlign w:val="center"/>
          </w:tcPr>
          <w:p w:rsidR="00907A26" w:rsidRDefault="007852E8">
            <w:pPr>
              <w:jc w:val="right"/>
            </w:pPr>
            <w:r>
              <w:rPr>
                <w:color w:val="000000"/>
                <w:sz w:val="24"/>
                <w:szCs w:val="24"/>
              </w:rPr>
              <w:t>7.08</w:t>
            </w:r>
          </w:p>
        </w:tc>
      </w:tr>
      <w:tr w:rsidR="00907A26">
        <w:trPr>
          <w:jc w:val="center"/>
        </w:trPr>
        <w:tc>
          <w:tcPr>
            <w:tcW w:w="855" w:type="dxa"/>
            <w:vAlign w:val="center"/>
          </w:tcPr>
          <w:p w:rsidR="00907A26" w:rsidRDefault="007852E8">
            <w:pPr>
              <w:jc w:val="center"/>
            </w:pPr>
            <w:r>
              <w:rPr>
                <w:color w:val="000000"/>
                <w:sz w:val="24"/>
                <w:szCs w:val="24"/>
              </w:rPr>
              <w:t>4</w:t>
            </w:r>
          </w:p>
        </w:tc>
        <w:tc>
          <w:tcPr>
            <w:tcW w:w="1334" w:type="dxa"/>
            <w:vAlign w:val="center"/>
          </w:tcPr>
          <w:p w:rsidR="00907A26" w:rsidRDefault="007852E8">
            <w:pPr>
              <w:jc w:val="center"/>
            </w:pPr>
            <w:r>
              <w:rPr>
                <w:color w:val="000000"/>
                <w:sz w:val="24"/>
                <w:szCs w:val="24"/>
              </w:rPr>
              <w:t>600036</w:t>
            </w:r>
          </w:p>
        </w:tc>
        <w:tc>
          <w:tcPr>
            <w:tcW w:w="1777" w:type="dxa"/>
            <w:vAlign w:val="center"/>
          </w:tcPr>
          <w:p w:rsidR="00907A26" w:rsidRDefault="007852E8">
            <w:pPr>
              <w:jc w:val="center"/>
            </w:pPr>
            <w:r>
              <w:rPr>
                <w:color w:val="000000"/>
                <w:sz w:val="24"/>
                <w:szCs w:val="24"/>
              </w:rPr>
              <w:t>招商银行</w:t>
            </w:r>
          </w:p>
        </w:tc>
        <w:tc>
          <w:tcPr>
            <w:tcW w:w="1334" w:type="dxa"/>
            <w:vAlign w:val="center"/>
          </w:tcPr>
          <w:p w:rsidR="00907A26" w:rsidRDefault="007852E8">
            <w:pPr>
              <w:jc w:val="right"/>
            </w:pPr>
            <w:r>
              <w:rPr>
                <w:color w:val="000000"/>
                <w:sz w:val="24"/>
                <w:szCs w:val="24"/>
              </w:rPr>
              <w:t>798,300</w:t>
            </w:r>
          </w:p>
        </w:tc>
        <w:tc>
          <w:tcPr>
            <w:tcW w:w="1924" w:type="dxa"/>
            <w:vAlign w:val="center"/>
          </w:tcPr>
          <w:p w:rsidR="00907A26" w:rsidRDefault="007852E8">
            <w:pPr>
              <w:jc w:val="right"/>
            </w:pPr>
            <w:r>
              <w:rPr>
                <w:color w:val="000000"/>
                <w:sz w:val="24"/>
                <w:szCs w:val="24"/>
              </w:rPr>
              <w:t>23,222,547.00</w:t>
            </w:r>
          </w:p>
        </w:tc>
        <w:tc>
          <w:tcPr>
            <w:tcW w:w="1644" w:type="dxa"/>
            <w:vAlign w:val="center"/>
          </w:tcPr>
          <w:p w:rsidR="00907A26" w:rsidRDefault="007852E8">
            <w:pPr>
              <w:jc w:val="right"/>
            </w:pPr>
            <w:r>
              <w:rPr>
                <w:color w:val="000000"/>
                <w:sz w:val="24"/>
                <w:szCs w:val="24"/>
              </w:rPr>
              <w:t>5.42</w:t>
            </w:r>
          </w:p>
        </w:tc>
      </w:tr>
      <w:tr w:rsidR="00907A26">
        <w:trPr>
          <w:jc w:val="center"/>
        </w:trPr>
        <w:tc>
          <w:tcPr>
            <w:tcW w:w="855" w:type="dxa"/>
            <w:vAlign w:val="center"/>
          </w:tcPr>
          <w:p w:rsidR="00907A26" w:rsidRDefault="007852E8">
            <w:pPr>
              <w:jc w:val="center"/>
            </w:pPr>
            <w:r>
              <w:rPr>
                <w:color w:val="000000"/>
                <w:sz w:val="24"/>
                <w:szCs w:val="24"/>
              </w:rPr>
              <w:t>5</w:t>
            </w:r>
          </w:p>
        </w:tc>
        <w:tc>
          <w:tcPr>
            <w:tcW w:w="1334" w:type="dxa"/>
            <w:vAlign w:val="center"/>
          </w:tcPr>
          <w:p w:rsidR="00907A26" w:rsidRDefault="007852E8">
            <w:pPr>
              <w:jc w:val="center"/>
            </w:pPr>
            <w:r>
              <w:rPr>
                <w:color w:val="000000"/>
                <w:sz w:val="24"/>
                <w:szCs w:val="24"/>
              </w:rPr>
              <w:t>300003</w:t>
            </w:r>
          </w:p>
        </w:tc>
        <w:tc>
          <w:tcPr>
            <w:tcW w:w="1777" w:type="dxa"/>
            <w:vAlign w:val="center"/>
          </w:tcPr>
          <w:p w:rsidR="00907A26" w:rsidRDefault="007852E8">
            <w:pPr>
              <w:jc w:val="center"/>
            </w:pPr>
            <w:r>
              <w:rPr>
                <w:color w:val="000000"/>
                <w:sz w:val="24"/>
                <w:szCs w:val="24"/>
              </w:rPr>
              <w:t>乐普医疗</w:t>
            </w:r>
          </w:p>
        </w:tc>
        <w:tc>
          <w:tcPr>
            <w:tcW w:w="1334" w:type="dxa"/>
            <w:vAlign w:val="center"/>
          </w:tcPr>
          <w:p w:rsidR="00907A26" w:rsidRDefault="007852E8">
            <w:pPr>
              <w:jc w:val="right"/>
            </w:pPr>
            <w:r>
              <w:rPr>
                <w:color w:val="000000"/>
                <w:sz w:val="24"/>
                <w:szCs w:val="24"/>
              </w:rPr>
              <w:t>604,997</w:t>
            </w:r>
          </w:p>
        </w:tc>
        <w:tc>
          <w:tcPr>
            <w:tcW w:w="1924" w:type="dxa"/>
            <w:vAlign w:val="center"/>
          </w:tcPr>
          <w:p w:rsidR="00907A26" w:rsidRDefault="007852E8">
            <w:pPr>
              <w:jc w:val="right"/>
            </w:pPr>
            <w:r>
              <w:rPr>
                <w:color w:val="000000"/>
                <w:sz w:val="24"/>
                <w:szCs w:val="24"/>
              </w:rPr>
              <w:t>20,400,498.84</w:t>
            </w:r>
          </w:p>
        </w:tc>
        <w:tc>
          <w:tcPr>
            <w:tcW w:w="1644" w:type="dxa"/>
            <w:vAlign w:val="center"/>
          </w:tcPr>
          <w:p w:rsidR="00907A26" w:rsidRDefault="007852E8">
            <w:pPr>
              <w:jc w:val="right"/>
            </w:pPr>
            <w:r>
              <w:rPr>
                <w:color w:val="000000"/>
                <w:sz w:val="24"/>
                <w:szCs w:val="24"/>
              </w:rPr>
              <w:t>4.76</w:t>
            </w:r>
          </w:p>
        </w:tc>
      </w:tr>
      <w:tr w:rsidR="00907A26">
        <w:trPr>
          <w:jc w:val="center"/>
        </w:trPr>
        <w:tc>
          <w:tcPr>
            <w:tcW w:w="855" w:type="dxa"/>
            <w:vAlign w:val="center"/>
          </w:tcPr>
          <w:p w:rsidR="00907A26" w:rsidRDefault="007852E8">
            <w:pPr>
              <w:jc w:val="center"/>
            </w:pPr>
            <w:r>
              <w:rPr>
                <w:color w:val="000000"/>
                <w:sz w:val="24"/>
                <w:szCs w:val="24"/>
              </w:rPr>
              <w:t>6</w:t>
            </w:r>
          </w:p>
        </w:tc>
        <w:tc>
          <w:tcPr>
            <w:tcW w:w="1334" w:type="dxa"/>
            <w:vAlign w:val="center"/>
          </w:tcPr>
          <w:p w:rsidR="00907A26" w:rsidRDefault="007852E8">
            <w:pPr>
              <w:jc w:val="center"/>
            </w:pPr>
            <w:r>
              <w:rPr>
                <w:color w:val="000000"/>
                <w:sz w:val="24"/>
                <w:szCs w:val="24"/>
              </w:rPr>
              <w:t>300347</w:t>
            </w:r>
          </w:p>
        </w:tc>
        <w:tc>
          <w:tcPr>
            <w:tcW w:w="1777" w:type="dxa"/>
            <w:vAlign w:val="center"/>
          </w:tcPr>
          <w:p w:rsidR="00907A26" w:rsidRDefault="007852E8">
            <w:pPr>
              <w:jc w:val="center"/>
            </w:pPr>
            <w:r>
              <w:rPr>
                <w:color w:val="000000"/>
                <w:sz w:val="24"/>
                <w:szCs w:val="24"/>
              </w:rPr>
              <w:t>泰格医药</w:t>
            </w:r>
          </w:p>
        </w:tc>
        <w:tc>
          <w:tcPr>
            <w:tcW w:w="1334" w:type="dxa"/>
            <w:vAlign w:val="center"/>
          </w:tcPr>
          <w:p w:rsidR="00907A26" w:rsidRDefault="007852E8">
            <w:pPr>
              <w:jc w:val="right"/>
            </w:pPr>
            <w:r>
              <w:rPr>
                <w:color w:val="000000"/>
                <w:sz w:val="24"/>
                <w:szCs w:val="24"/>
              </w:rPr>
              <w:t>366,437</w:t>
            </w:r>
          </w:p>
        </w:tc>
        <w:tc>
          <w:tcPr>
            <w:tcW w:w="1924" w:type="dxa"/>
            <w:vAlign w:val="center"/>
          </w:tcPr>
          <w:p w:rsidR="00907A26" w:rsidRDefault="007852E8">
            <w:pPr>
              <w:jc w:val="right"/>
            </w:pPr>
            <w:r>
              <w:rPr>
                <w:color w:val="000000"/>
                <w:sz w:val="24"/>
                <w:szCs w:val="24"/>
              </w:rPr>
              <w:t>19,681,331.27</w:t>
            </w:r>
          </w:p>
        </w:tc>
        <w:tc>
          <w:tcPr>
            <w:tcW w:w="1644" w:type="dxa"/>
            <w:vAlign w:val="center"/>
          </w:tcPr>
          <w:p w:rsidR="00907A26" w:rsidRDefault="007852E8">
            <w:pPr>
              <w:jc w:val="right"/>
            </w:pPr>
            <w:r>
              <w:rPr>
                <w:color w:val="000000"/>
                <w:sz w:val="24"/>
                <w:szCs w:val="24"/>
              </w:rPr>
              <w:t>4.60</w:t>
            </w:r>
          </w:p>
        </w:tc>
      </w:tr>
      <w:tr w:rsidR="00907A26">
        <w:trPr>
          <w:jc w:val="center"/>
        </w:trPr>
        <w:tc>
          <w:tcPr>
            <w:tcW w:w="855" w:type="dxa"/>
            <w:vAlign w:val="center"/>
          </w:tcPr>
          <w:p w:rsidR="00907A26" w:rsidRDefault="007852E8">
            <w:pPr>
              <w:jc w:val="center"/>
            </w:pPr>
            <w:r>
              <w:rPr>
                <w:color w:val="000000"/>
                <w:sz w:val="24"/>
                <w:szCs w:val="24"/>
              </w:rPr>
              <w:t>7</w:t>
            </w:r>
          </w:p>
        </w:tc>
        <w:tc>
          <w:tcPr>
            <w:tcW w:w="1334" w:type="dxa"/>
            <w:vAlign w:val="center"/>
          </w:tcPr>
          <w:p w:rsidR="00907A26" w:rsidRDefault="007852E8">
            <w:pPr>
              <w:jc w:val="center"/>
            </w:pPr>
            <w:r>
              <w:rPr>
                <w:color w:val="000000"/>
                <w:sz w:val="24"/>
                <w:szCs w:val="24"/>
              </w:rPr>
              <w:t>603883</w:t>
            </w:r>
          </w:p>
        </w:tc>
        <w:tc>
          <w:tcPr>
            <w:tcW w:w="1777" w:type="dxa"/>
            <w:vAlign w:val="center"/>
          </w:tcPr>
          <w:p w:rsidR="00907A26" w:rsidRDefault="007852E8">
            <w:pPr>
              <w:jc w:val="center"/>
            </w:pPr>
            <w:r>
              <w:rPr>
                <w:color w:val="000000"/>
                <w:sz w:val="24"/>
                <w:szCs w:val="24"/>
              </w:rPr>
              <w:t>老百姓</w:t>
            </w:r>
          </w:p>
        </w:tc>
        <w:tc>
          <w:tcPr>
            <w:tcW w:w="1334" w:type="dxa"/>
            <w:vAlign w:val="center"/>
          </w:tcPr>
          <w:p w:rsidR="00907A26" w:rsidRDefault="007852E8">
            <w:pPr>
              <w:jc w:val="right"/>
            </w:pPr>
            <w:r>
              <w:rPr>
                <w:color w:val="000000"/>
                <w:sz w:val="24"/>
                <w:szCs w:val="24"/>
              </w:rPr>
              <w:t>271,027</w:t>
            </w:r>
          </w:p>
        </w:tc>
        <w:tc>
          <w:tcPr>
            <w:tcW w:w="1924" w:type="dxa"/>
            <w:vAlign w:val="center"/>
          </w:tcPr>
          <w:p w:rsidR="00907A26" w:rsidRDefault="007852E8">
            <w:pPr>
              <w:jc w:val="right"/>
            </w:pPr>
            <w:r>
              <w:rPr>
                <w:color w:val="000000"/>
                <w:sz w:val="24"/>
                <w:szCs w:val="24"/>
              </w:rPr>
              <w:t>19,299,832.67</w:t>
            </w:r>
          </w:p>
        </w:tc>
        <w:tc>
          <w:tcPr>
            <w:tcW w:w="1644" w:type="dxa"/>
            <w:vAlign w:val="center"/>
          </w:tcPr>
          <w:p w:rsidR="00907A26" w:rsidRDefault="007852E8">
            <w:pPr>
              <w:jc w:val="right"/>
            </w:pPr>
            <w:r>
              <w:rPr>
                <w:color w:val="000000"/>
                <w:sz w:val="24"/>
                <w:szCs w:val="24"/>
              </w:rPr>
              <w:t>4.51</w:t>
            </w:r>
          </w:p>
        </w:tc>
      </w:tr>
      <w:tr w:rsidR="00907A26">
        <w:trPr>
          <w:jc w:val="center"/>
        </w:trPr>
        <w:tc>
          <w:tcPr>
            <w:tcW w:w="855" w:type="dxa"/>
            <w:vAlign w:val="center"/>
          </w:tcPr>
          <w:p w:rsidR="00907A26" w:rsidRDefault="007852E8">
            <w:pPr>
              <w:jc w:val="center"/>
            </w:pPr>
            <w:r>
              <w:rPr>
                <w:color w:val="000000"/>
                <w:sz w:val="24"/>
                <w:szCs w:val="24"/>
              </w:rPr>
              <w:t>8</w:t>
            </w:r>
          </w:p>
        </w:tc>
        <w:tc>
          <w:tcPr>
            <w:tcW w:w="1334" w:type="dxa"/>
            <w:vAlign w:val="center"/>
          </w:tcPr>
          <w:p w:rsidR="00907A26" w:rsidRDefault="007852E8">
            <w:pPr>
              <w:jc w:val="center"/>
            </w:pPr>
            <w:r>
              <w:rPr>
                <w:color w:val="000000"/>
                <w:sz w:val="24"/>
                <w:szCs w:val="24"/>
              </w:rPr>
              <w:t>600998</w:t>
            </w:r>
          </w:p>
        </w:tc>
        <w:tc>
          <w:tcPr>
            <w:tcW w:w="1777" w:type="dxa"/>
            <w:vAlign w:val="center"/>
          </w:tcPr>
          <w:p w:rsidR="00907A26" w:rsidRDefault="007852E8">
            <w:pPr>
              <w:jc w:val="center"/>
            </w:pPr>
            <w:r>
              <w:rPr>
                <w:color w:val="000000"/>
                <w:sz w:val="24"/>
                <w:szCs w:val="24"/>
              </w:rPr>
              <w:t>九州通</w:t>
            </w:r>
          </w:p>
        </w:tc>
        <w:tc>
          <w:tcPr>
            <w:tcW w:w="1334" w:type="dxa"/>
            <w:vAlign w:val="center"/>
          </w:tcPr>
          <w:p w:rsidR="00907A26" w:rsidRDefault="007852E8">
            <w:pPr>
              <w:jc w:val="right"/>
            </w:pPr>
            <w:r>
              <w:rPr>
                <w:color w:val="000000"/>
                <w:sz w:val="24"/>
                <w:szCs w:val="24"/>
              </w:rPr>
              <w:t>990,491</w:t>
            </w:r>
          </w:p>
        </w:tc>
        <w:tc>
          <w:tcPr>
            <w:tcW w:w="1924" w:type="dxa"/>
            <w:vAlign w:val="center"/>
          </w:tcPr>
          <w:p w:rsidR="00907A26" w:rsidRDefault="007852E8">
            <w:pPr>
              <w:jc w:val="right"/>
            </w:pPr>
            <w:r>
              <w:rPr>
                <w:color w:val="000000"/>
                <w:sz w:val="24"/>
                <w:szCs w:val="24"/>
              </w:rPr>
              <w:t>19,235,335.22</w:t>
            </w:r>
          </w:p>
        </w:tc>
        <w:tc>
          <w:tcPr>
            <w:tcW w:w="1644" w:type="dxa"/>
            <w:vAlign w:val="center"/>
          </w:tcPr>
          <w:p w:rsidR="00907A26" w:rsidRDefault="007852E8">
            <w:pPr>
              <w:jc w:val="right"/>
            </w:pPr>
            <w:r>
              <w:rPr>
                <w:color w:val="000000"/>
                <w:sz w:val="24"/>
                <w:szCs w:val="24"/>
              </w:rPr>
              <w:t>4.49</w:t>
            </w:r>
          </w:p>
        </w:tc>
      </w:tr>
      <w:tr w:rsidR="00907A26">
        <w:trPr>
          <w:jc w:val="center"/>
        </w:trPr>
        <w:tc>
          <w:tcPr>
            <w:tcW w:w="855" w:type="dxa"/>
            <w:vAlign w:val="center"/>
          </w:tcPr>
          <w:p w:rsidR="00907A26" w:rsidRDefault="007852E8">
            <w:pPr>
              <w:jc w:val="center"/>
            </w:pPr>
            <w:r>
              <w:rPr>
                <w:color w:val="000000"/>
                <w:sz w:val="24"/>
                <w:szCs w:val="24"/>
              </w:rPr>
              <w:t>9</w:t>
            </w:r>
          </w:p>
        </w:tc>
        <w:tc>
          <w:tcPr>
            <w:tcW w:w="1334" w:type="dxa"/>
            <w:vAlign w:val="center"/>
          </w:tcPr>
          <w:p w:rsidR="00907A26" w:rsidRDefault="007852E8">
            <w:pPr>
              <w:jc w:val="center"/>
            </w:pPr>
            <w:r>
              <w:rPr>
                <w:color w:val="000000"/>
                <w:sz w:val="24"/>
                <w:szCs w:val="24"/>
              </w:rPr>
              <w:t>000963</w:t>
            </w:r>
          </w:p>
        </w:tc>
        <w:tc>
          <w:tcPr>
            <w:tcW w:w="1777" w:type="dxa"/>
            <w:vAlign w:val="center"/>
          </w:tcPr>
          <w:p w:rsidR="00907A26" w:rsidRDefault="007852E8">
            <w:pPr>
              <w:jc w:val="center"/>
            </w:pPr>
            <w:r>
              <w:rPr>
                <w:color w:val="000000"/>
                <w:sz w:val="24"/>
                <w:szCs w:val="24"/>
              </w:rPr>
              <w:t>华东医药</w:t>
            </w:r>
          </w:p>
        </w:tc>
        <w:tc>
          <w:tcPr>
            <w:tcW w:w="1334" w:type="dxa"/>
            <w:vAlign w:val="center"/>
          </w:tcPr>
          <w:p w:rsidR="00907A26" w:rsidRDefault="007852E8">
            <w:pPr>
              <w:jc w:val="right"/>
            </w:pPr>
            <w:r>
              <w:rPr>
                <w:color w:val="000000"/>
                <w:sz w:val="24"/>
                <w:szCs w:val="24"/>
              </w:rPr>
              <w:t>274,366</w:t>
            </w:r>
          </w:p>
        </w:tc>
        <w:tc>
          <w:tcPr>
            <w:tcW w:w="1924" w:type="dxa"/>
            <w:vAlign w:val="center"/>
          </w:tcPr>
          <w:p w:rsidR="00907A26" w:rsidRDefault="007852E8">
            <w:pPr>
              <w:jc w:val="right"/>
            </w:pPr>
            <w:r>
              <w:rPr>
                <w:color w:val="000000"/>
                <w:sz w:val="24"/>
                <w:szCs w:val="24"/>
              </w:rPr>
              <w:t>17,970,973.00</w:t>
            </w:r>
          </w:p>
        </w:tc>
        <w:tc>
          <w:tcPr>
            <w:tcW w:w="1644" w:type="dxa"/>
            <w:vAlign w:val="center"/>
          </w:tcPr>
          <w:p w:rsidR="00907A26" w:rsidRDefault="007852E8">
            <w:pPr>
              <w:jc w:val="right"/>
            </w:pPr>
            <w:r>
              <w:rPr>
                <w:color w:val="000000"/>
                <w:sz w:val="24"/>
                <w:szCs w:val="24"/>
              </w:rPr>
              <w:t>4.20</w:t>
            </w:r>
          </w:p>
        </w:tc>
      </w:tr>
      <w:tr w:rsidR="00907A26">
        <w:trPr>
          <w:jc w:val="center"/>
        </w:trPr>
        <w:tc>
          <w:tcPr>
            <w:tcW w:w="855" w:type="dxa"/>
            <w:vAlign w:val="center"/>
          </w:tcPr>
          <w:p w:rsidR="00907A26" w:rsidRDefault="007852E8">
            <w:pPr>
              <w:jc w:val="center"/>
            </w:pPr>
            <w:r>
              <w:rPr>
                <w:color w:val="000000"/>
                <w:sz w:val="24"/>
                <w:szCs w:val="24"/>
              </w:rPr>
              <w:t>10</w:t>
            </w:r>
          </w:p>
        </w:tc>
        <w:tc>
          <w:tcPr>
            <w:tcW w:w="1334" w:type="dxa"/>
            <w:vAlign w:val="center"/>
          </w:tcPr>
          <w:p w:rsidR="00907A26" w:rsidRDefault="007852E8">
            <w:pPr>
              <w:jc w:val="center"/>
            </w:pPr>
            <w:r>
              <w:rPr>
                <w:color w:val="000000"/>
                <w:sz w:val="24"/>
                <w:szCs w:val="24"/>
              </w:rPr>
              <w:t>002737</w:t>
            </w:r>
          </w:p>
        </w:tc>
        <w:tc>
          <w:tcPr>
            <w:tcW w:w="1777" w:type="dxa"/>
            <w:vAlign w:val="center"/>
          </w:tcPr>
          <w:p w:rsidR="00907A26" w:rsidRDefault="007852E8">
            <w:pPr>
              <w:jc w:val="center"/>
            </w:pPr>
            <w:r>
              <w:rPr>
                <w:color w:val="000000"/>
                <w:sz w:val="24"/>
                <w:szCs w:val="24"/>
              </w:rPr>
              <w:t>葵花药业</w:t>
            </w:r>
          </w:p>
        </w:tc>
        <w:tc>
          <w:tcPr>
            <w:tcW w:w="1334" w:type="dxa"/>
            <w:vAlign w:val="center"/>
          </w:tcPr>
          <w:p w:rsidR="00907A26" w:rsidRDefault="007852E8">
            <w:pPr>
              <w:jc w:val="right"/>
            </w:pPr>
            <w:r>
              <w:rPr>
                <w:color w:val="000000"/>
                <w:sz w:val="24"/>
                <w:szCs w:val="24"/>
              </w:rPr>
              <w:t>344,100</w:t>
            </w:r>
          </w:p>
        </w:tc>
        <w:tc>
          <w:tcPr>
            <w:tcW w:w="1924" w:type="dxa"/>
            <w:vAlign w:val="center"/>
          </w:tcPr>
          <w:p w:rsidR="00907A26" w:rsidRDefault="007852E8">
            <w:pPr>
              <w:jc w:val="right"/>
            </w:pPr>
            <w:r>
              <w:rPr>
                <w:color w:val="000000"/>
                <w:sz w:val="24"/>
                <w:szCs w:val="24"/>
              </w:rPr>
              <w:t>14,455,641.00</w:t>
            </w:r>
          </w:p>
        </w:tc>
        <w:tc>
          <w:tcPr>
            <w:tcW w:w="1644" w:type="dxa"/>
            <w:vAlign w:val="center"/>
          </w:tcPr>
          <w:p w:rsidR="00907A26" w:rsidRDefault="007852E8">
            <w:pPr>
              <w:jc w:val="right"/>
            </w:pPr>
            <w:r>
              <w:rPr>
                <w:color w:val="000000"/>
                <w:sz w:val="24"/>
                <w:szCs w:val="24"/>
              </w:rPr>
              <w:t>3.38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201,523.74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18,109.13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9,465,633.03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9,685,265.90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lastRenderedPageBreak/>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4C7FFD" w:rsidRPr="005219C5" w:rsidRDefault="004C7FFD" w:rsidP="005219C5">
      <w:pPr>
        <w:autoSpaceDE w:val="0"/>
        <w:autoSpaceDN w:val="0"/>
        <w:adjustRightInd w:val="0"/>
        <w:spacing w:line="360" w:lineRule="auto"/>
        <w:jc w:val="left"/>
        <w:rPr>
          <w:rFonts w:eastAsiaTheme="minorEastAsia"/>
          <w:b/>
          <w:color w:val="000000" w:themeColor="text1"/>
          <w:sz w:val="24"/>
          <w:szCs w:val="24"/>
        </w:rPr>
      </w:pPr>
      <w:r w:rsidRPr="005219C5">
        <w:rPr>
          <w:rFonts w:eastAsiaTheme="minorEastAsia"/>
          <w:b/>
          <w:color w:val="000000" w:themeColor="text1"/>
          <w:sz w:val="24"/>
          <w:szCs w:val="24"/>
        </w:rPr>
        <w:t xml:space="preserve">6.3 </w:t>
      </w:r>
      <w:r w:rsidRPr="005219C5">
        <w:rPr>
          <w:rFonts w:eastAsiaTheme="minorEastAsia" w:hint="eastAsia"/>
          <w:b/>
          <w:color w:val="000000" w:themeColor="text1"/>
          <w:sz w:val="24"/>
          <w:szCs w:val="24"/>
        </w:rPr>
        <w:t>本报告期持有的基金发生的重大影响事件</w:t>
      </w:r>
    </w:p>
    <w:p w:rsidR="004C7FFD" w:rsidRPr="00575270" w:rsidRDefault="004C7FFD" w:rsidP="004C7FFD">
      <w:pPr>
        <w:autoSpaceDE w:val="0"/>
        <w:autoSpaceDN w:val="0"/>
        <w:adjustRightInd w:val="0"/>
        <w:spacing w:line="360" w:lineRule="auto"/>
        <w:ind w:firstLineChars="200" w:firstLine="480"/>
        <w:jc w:val="left"/>
        <w:rPr>
          <w:rFonts w:eastAsiaTheme="minorEastAsia"/>
          <w:color w:val="000000" w:themeColor="text1"/>
          <w:sz w:val="24"/>
          <w:szCs w:val="24"/>
        </w:rPr>
      </w:pPr>
      <w:r w:rsidRPr="004C7FFD">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334,526,161.79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136,753,637.33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137,741,363.60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333,538,435.52</w:t>
            </w:r>
          </w:p>
        </w:tc>
      </w:tr>
    </w:tbl>
    <w:p w:rsidR="00907A26" w:rsidRDefault="007852E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907A26" w:rsidRDefault="007852E8">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w:t>
      </w:r>
      <w:r>
        <w:rPr>
          <w:rFonts w:ascii="宋体" w:hAnsi="宋体"/>
          <w:color w:val="000000"/>
        </w:rPr>
        <w:lastRenderedPageBreak/>
        <w:t>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07A26" w:rsidRDefault="007852E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07A26" w:rsidRDefault="007852E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07A26" w:rsidRDefault="007852E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704" w:rsidRDefault="00A07704" w:rsidP="00876D65">
      <w:r>
        <w:separator/>
      </w:r>
    </w:p>
  </w:endnote>
  <w:endnote w:type="continuationSeparator" w:id="0">
    <w:p w:rsidR="00A07704" w:rsidRDefault="00A0770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219C5">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5219C5">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704" w:rsidRDefault="00A07704" w:rsidP="00876D65">
      <w:r>
        <w:separator/>
      </w:r>
    </w:p>
  </w:footnote>
  <w:footnote w:type="continuationSeparator" w:id="0">
    <w:p w:rsidR="00A07704" w:rsidRDefault="00A0770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C7FFD"/>
    <w:rsid w:val="004D340C"/>
    <w:rsid w:val="004D495A"/>
    <w:rsid w:val="004E5975"/>
    <w:rsid w:val="004E790A"/>
    <w:rsid w:val="004F1A4E"/>
    <w:rsid w:val="004F50FD"/>
    <w:rsid w:val="00500A03"/>
    <w:rsid w:val="00512200"/>
    <w:rsid w:val="005143CD"/>
    <w:rsid w:val="005144F2"/>
    <w:rsid w:val="00516618"/>
    <w:rsid w:val="00517989"/>
    <w:rsid w:val="005219C5"/>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852E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07A26"/>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7704"/>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17F"/>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5219C5"/>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E7AC-07D8-46D5-924A-4D2D4F12E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1019</Words>
  <Characters>5813</Characters>
  <Application>Microsoft Office Word</Application>
  <DocSecurity>0</DocSecurity>
  <Lines>48</Lines>
  <Paragraphs>13</Paragraphs>
  <ScaleCrop>false</ScaleCrop>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2018-04-19T02:32:00Z</dcterms:modified>
</cp:coreProperties>
</file>