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w:t>
      </w:r>
      <w:proofErr w:type="gramStart"/>
      <w:r w:rsidRPr="005858C2">
        <w:rPr>
          <w:rFonts w:eastAsiaTheme="minorEastAsia"/>
          <w:b/>
          <w:sz w:val="36"/>
          <w:szCs w:val="36"/>
        </w:rPr>
        <w:t>施罗德境尚收益债券</w:t>
      </w:r>
      <w:proofErr w:type="gramEnd"/>
      <w:r w:rsidRPr="005858C2">
        <w:rPr>
          <w:rFonts w:eastAsiaTheme="minorEastAsia"/>
          <w:b/>
          <w:sz w:val="36"/>
          <w:szCs w:val="36"/>
        </w:rPr>
        <w:t>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银境尚</w:t>
            </w:r>
            <w:proofErr w:type="gramEnd"/>
            <w:r w:rsidRPr="007F52FA">
              <w:rPr>
                <w:color w:val="000000"/>
                <w:kern w:val="0"/>
                <w:sz w:val="24"/>
              </w:rPr>
              <w:t>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886,762,743.75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7F52FA">
              <w:rPr>
                <w:color w:val="000000"/>
                <w:kern w:val="0"/>
                <w:sz w:val="24"/>
              </w:rPr>
              <w:t>考量</w:t>
            </w:r>
            <w:proofErr w:type="gramEnd"/>
            <w:r w:rsidRPr="007F52FA">
              <w:rPr>
                <w:color w:val="000000"/>
                <w:kern w:val="0"/>
                <w:sz w:val="24"/>
              </w:rPr>
              <w:t>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867,171,268.37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19,591,475.38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7,874,890.30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148,414.45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21,352,825.33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452,327.57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888,590,137.25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20,045,187.32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1.0232</w:t>
            </w:r>
          </w:p>
        </w:tc>
      </w:tr>
    </w:tbl>
    <w:p w:rsidR="00A51FCD" w:rsidRDefault="00353FA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51FCD">
        <w:trPr>
          <w:jc w:val="center"/>
        </w:trPr>
        <w:tc>
          <w:tcPr>
            <w:tcW w:w="1266" w:type="dxa"/>
            <w:vAlign w:val="center"/>
          </w:tcPr>
          <w:p w:rsidR="00A51FCD" w:rsidRDefault="00353FA6">
            <w:pPr>
              <w:jc w:val="left"/>
            </w:pPr>
            <w:r>
              <w:rPr>
                <w:color w:val="000000"/>
                <w:sz w:val="24"/>
              </w:rPr>
              <w:lastRenderedPageBreak/>
              <w:t>过去三个月</w:t>
            </w:r>
          </w:p>
        </w:tc>
        <w:tc>
          <w:tcPr>
            <w:tcW w:w="1267" w:type="dxa"/>
            <w:vAlign w:val="center"/>
          </w:tcPr>
          <w:p w:rsidR="00A51FCD" w:rsidRDefault="00353FA6">
            <w:pPr>
              <w:jc w:val="center"/>
            </w:pPr>
            <w:r>
              <w:rPr>
                <w:color w:val="000000"/>
                <w:sz w:val="24"/>
              </w:rPr>
              <w:t>2.46%</w:t>
            </w:r>
          </w:p>
        </w:tc>
        <w:tc>
          <w:tcPr>
            <w:tcW w:w="1267" w:type="dxa"/>
            <w:vAlign w:val="center"/>
          </w:tcPr>
          <w:p w:rsidR="00A51FCD" w:rsidRDefault="00353FA6">
            <w:pPr>
              <w:jc w:val="center"/>
            </w:pPr>
            <w:r>
              <w:rPr>
                <w:color w:val="000000"/>
                <w:sz w:val="24"/>
              </w:rPr>
              <w:t>0.05%</w:t>
            </w:r>
          </w:p>
        </w:tc>
        <w:tc>
          <w:tcPr>
            <w:tcW w:w="1267" w:type="dxa"/>
            <w:vAlign w:val="center"/>
          </w:tcPr>
          <w:p w:rsidR="00A51FCD" w:rsidRDefault="00353FA6">
            <w:pPr>
              <w:jc w:val="center"/>
            </w:pPr>
            <w:r>
              <w:rPr>
                <w:color w:val="000000"/>
                <w:sz w:val="24"/>
              </w:rPr>
              <w:t>0.83%</w:t>
            </w:r>
          </w:p>
        </w:tc>
        <w:tc>
          <w:tcPr>
            <w:tcW w:w="1267" w:type="dxa"/>
            <w:vAlign w:val="center"/>
          </w:tcPr>
          <w:p w:rsidR="00A51FCD" w:rsidRDefault="00353FA6">
            <w:pPr>
              <w:jc w:val="center"/>
            </w:pPr>
            <w:r>
              <w:rPr>
                <w:color w:val="000000"/>
                <w:sz w:val="24"/>
              </w:rPr>
              <w:t>0.01%</w:t>
            </w:r>
          </w:p>
        </w:tc>
        <w:tc>
          <w:tcPr>
            <w:tcW w:w="1267" w:type="dxa"/>
            <w:vAlign w:val="center"/>
          </w:tcPr>
          <w:p w:rsidR="00A51FCD" w:rsidRDefault="00353FA6">
            <w:pPr>
              <w:jc w:val="center"/>
            </w:pPr>
            <w:r>
              <w:rPr>
                <w:color w:val="000000"/>
                <w:sz w:val="24"/>
              </w:rPr>
              <w:t>1.63%</w:t>
            </w:r>
          </w:p>
        </w:tc>
        <w:tc>
          <w:tcPr>
            <w:tcW w:w="1267" w:type="dxa"/>
            <w:vAlign w:val="center"/>
          </w:tcPr>
          <w:p w:rsidR="00A51FCD" w:rsidRDefault="00353FA6">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51FCD">
        <w:trPr>
          <w:jc w:val="center"/>
        </w:trPr>
        <w:tc>
          <w:tcPr>
            <w:tcW w:w="1266" w:type="dxa"/>
            <w:vAlign w:val="center"/>
          </w:tcPr>
          <w:p w:rsidR="00A51FCD" w:rsidRDefault="00353FA6">
            <w:pPr>
              <w:jc w:val="left"/>
            </w:pPr>
            <w:r>
              <w:rPr>
                <w:color w:val="000000"/>
                <w:sz w:val="24"/>
              </w:rPr>
              <w:t>过去三个月</w:t>
            </w:r>
          </w:p>
        </w:tc>
        <w:tc>
          <w:tcPr>
            <w:tcW w:w="1267" w:type="dxa"/>
            <w:vAlign w:val="center"/>
          </w:tcPr>
          <w:p w:rsidR="00A51FCD" w:rsidRDefault="00353FA6">
            <w:pPr>
              <w:jc w:val="center"/>
            </w:pPr>
            <w:r>
              <w:rPr>
                <w:color w:val="000000"/>
                <w:sz w:val="24"/>
              </w:rPr>
              <w:t>2.31%</w:t>
            </w:r>
          </w:p>
        </w:tc>
        <w:tc>
          <w:tcPr>
            <w:tcW w:w="1267" w:type="dxa"/>
            <w:vAlign w:val="center"/>
          </w:tcPr>
          <w:p w:rsidR="00A51FCD" w:rsidRDefault="00353FA6" w:rsidP="00353FA6">
            <w:pPr>
              <w:jc w:val="center"/>
            </w:pPr>
            <w:r>
              <w:rPr>
                <w:color w:val="000000"/>
                <w:sz w:val="24"/>
              </w:rPr>
              <w:t>0.05%</w:t>
            </w:r>
          </w:p>
        </w:tc>
        <w:tc>
          <w:tcPr>
            <w:tcW w:w="1267" w:type="dxa"/>
            <w:vAlign w:val="center"/>
          </w:tcPr>
          <w:p w:rsidR="00A51FCD" w:rsidRDefault="00353FA6">
            <w:pPr>
              <w:jc w:val="center"/>
            </w:pPr>
            <w:r>
              <w:rPr>
                <w:color w:val="000000"/>
                <w:sz w:val="24"/>
              </w:rPr>
              <w:t>0.83%</w:t>
            </w:r>
          </w:p>
        </w:tc>
        <w:tc>
          <w:tcPr>
            <w:tcW w:w="1267" w:type="dxa"/>
            <w:vAlign w:val="center"/>
          </w:tcPr>
          <w:p w:rsidR="00A51FCD" w:rsidRDefault="00353FA6">
            <w:pPr>
              <w:jc w:val="center"/>
            </w:pPr>
            <w:r>
              <w:rPr>
                <w:color w:val="000000"/>
                <w:sz w:val="24"/>
              </w:rPr>
              <w:t>0.01%</w:t>
            </w:r>
          </w:p>
        </w:tc>
        <w:tc>
          <w:tcPr>
            <w:tcW w:w="1267" w:type="dxa"/>
            <w:vAlign w:val="center"/>
          </w:tcPr>
          <w:p w:rsidR="00A51FCD" w:rsidRDefault="00353FA6">
            <w:pPr>
              <w:jc w:val="center"/>
            </w:pPr>
            <w:r>
              <w:rPr>
                <w:color w:val="000000"/>
                <w:sz w:val="24"/>
              </w:rPr>
              <w:t>1.48%</w:t>
            </w:r>
          </w:p>
        </w:tc>
        <w:tc>
          <w:tcPr>
            <w:tcW w:w="1267" w:type="dxa"/>
            <w:vAlign w:val="center"/>
          </w:tcPr>
          <w:p w:rsidR="00A51FCD" w:rsidRDefault="00353FA6" w:rsidP="00A376A5">
            <w:pPr>
              <w:jc w:val="center"/>
            </w:pPr>
            <w:r>
              <w:rPr>
                <w:color w:val="000000"/>
                <w:sz w:val="24"/>
              </w:rPr>
              <w:t>0.</w:t>
            </w:r>
            <w:r w:rsidR="00174197">
              <w:rPr>
                <w:color w:val="000000"/>
                <w:sz w:val="24"/>
              </w:rPr>
              <w:t>0</w:t>
            </w:r>
            <w:r w:rsidR="00174197">
              <w:rPr>
                <w:color w:val="000000"/>
                <w:sz w:val="24"/>
              </w:rPr>
              <w:t>4</w:t>
            </w:r>
            <w:bookmarkStart w:id="0" w:name="_GoBack"/>
            <w:bookmarkEnd w:id="0"/>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51FCD">
        <w:trPr>
          <w:jc w:val="center"/>
        </w:trPr>
        <w:tc>
          <w:tcPr>
            <w:tcW w:w="946" w:type="dxa"/>
            <w:vAlign w:val="center"/>
          </w:tcPr>
          <w:p w:rsidR="00A51FCD" w:rsidRDefault="00353FA6">
            <w:pPr>
              <w:jc w:val="center"/>
            </w:pPr>
            <w:r>
              <w:rPr>
                <w:color w:val="000000"/>
                <w:sz w:val="24"/>
              </w:rPr>
              <w:t>黄莹洁</w:t>
            </w:r>
          </w:p>
        </w:tc>
        <w:tc>
          <w:tcPr>
            <w:tcW w:w="924" w:type="dxa"/>
            <w:vAlign w:val="center"/>
          </w:tcPr>
          <w:p w:rsidR="00A51FCD" w:rsidRDefault="00353FA6" w:rsidP="0043144D">
            <w:pPr>
              <w:jc w:val="center"/>
            </w:pPr>
            <w:r>
              <w:rPr>
                <w:color w:val="000000"/>
                <w:sz w:val="24"/>
              </w:rPr>
              <w:t>交银货币、交银理财</w:t>
            </w:r>
            <w:r>
              <w:rPr>
                <w:color w:val="000000"/>
                <w:sz w:val="24"/>
              </w:rPr>
              <w:t>21</w:t>
            </w:r>
            <w:r>
              <w:rPr>
                <w:color w:val="000000"/>
                <w:sz w:val="24"/>
              </w:rPr>
              <w:t>天债券、</w:t>
            </w:r>
            <w:r>
              <w:rPr>
                <w:color w:val="000000"/>
                <w:sz w:val="24"/>
              </w:rPr>
              <w:lastRenderedPageBreak/>
              <w:t>交银现金宝货币、交银丰享收益债券、交银裕通纯债债券、交银活期通货币、交银天利宝货币、交银裕隆纯债债券、交银天鑫宝货币、交银天益宝货币、交银境尚收益债券的基金经理</w:t>
            </w:r>
          </w:p>
        </w:tc>
        <w:tc>
          <w:tcPr>
            <w:tcW w:w="1202" w:type="dxa"/>
            <w:vAlign w:val="center"/>
          </w:tcPr>
          <w:p w:rsidR="00A51FCD" w:rsidRDefault="00353FA6">
            <w:pPr>
              <w:jc w:val="center"/>
            </w:pPr>
            <w:r>
              <w:rPr>
                <w:color w:val="000000"/>
                <w:sz w:val="24"/>
              </w:rPr>
              <w:lastRenderedPageBreak/>
              <w:t>2017-03-03</w:t>
            </w:r>
          </w:p>
        </w:tc>
        <w:tc>
          <w:tcPr>
            <w:tcW w:w="1300" w:type="dxa"/>
            <w:vAlign w:val="center"/>
          </w:tcPr>
          <w:p w:rsidR="00A51FCD" w:rsidRDefault="00353FA6">
            <w:pPr>
              <w:jc w:val="center"/>
            </w:pPr>
            <w:r>
              <w:rPr>
                <w:color w:val="000000"/>
                <w:sz w:val="24"/>
              </w:rPr>
              <w:t>-</w:t>
            </w:r>
          </w:p>
        </w:tc>
        <w:tc>
          <w:tcPr>
            <w:tcW w:w="1245" w:type="dxa"/>
            <w:vAlign w:val="center"/>
          </w:tcPr>
          <w:p w:rsidR="00A51FCD" w:rsidRDefault="00353FA6">
            <w:pPr>
              <w:jc w:val="center"/>
            </w:pPr>
            <w:r>
              <w:rPr>
                <w:color w:val="000000"/>
                <w:sz w:val="24"/>
              </w:rPr>
              <w:t>10</w:t>
            </w:r>
            <w:r>
              <w:rPr>
                <w:color w:val="000000"/>
                <w:sz w:val="24"/>
              </w:rPr>
              <w:t>年</w:t>
            </w:r>
          </w:p>
        </w:tc>
        <w:tc>
          <w:tcPr>
            <w:tcW w:w="3251" w:type="dxa"/>
            <w:vAlign w:val="center"/>
          </w:tcPr>
          <w:p w:rsidR="00A51FCD" w:rsidRPr="0043144D" w:rsidRDefault="00353FA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w:t>
            </w:r>
            <w:r>
              <w:rPr>
                <w:color w:val="000000"/>
                <w:sz w:val="24"/>
              </w:rPr>
              <w:lastRenderedPageBreak/>
              <w:t>员。</w:t>
            </w:r>
            <w:r w:rsidR="0043144D" w:rsidRPr="0043144D">
              <w:rPr>
                <w:rFonts w:hint="eastAsia"/>
                <w:color w:val="000000"/>
                <w:sz w:val="24"/>
              </w:rPr>
              <w:t>2015</w:t>
            </w:r>
            <w:r w:rsidR="0043144D" w:rsidRPr="0043144D">
              <w:rPr>
                <w:rFonts w:hint="eastAsia"/>
                <w:color w:val="000000"/>
                <w:sz w:val="24"/>
              </w:rPr>
              <w:t>年</w:t>
            </w:r>
            <w:r w:rsidR="0043144D" w:rsidRPr="0043144D">
              <w:rPr>
                <w:rFonts w:hint="eastAsia"/>
                <w:color w:val="000000"/>
                <w:sz w:val="24"/>
              </w:rPr>
              <w:t>7</w:t>
            </w:r>
            <w:r w:rsidR="0043144D" w:rsidRPr="0043144D">
              <w:rPr>
                <w:rFonts w:hint="eastAsia"/>
                <w:color w:val="000000"/>
                <w:sz w:val="24"/>
              </w:rPr>
              <w:t>月</w:t>
            </w:r>
            <w:r w:rsidR="0043144D" w:rsidRPr="0043144D">
              <w:rPr>
                <w:rFonts w:hint="eastAsia"/>
                <w:color w:val="000000"/>
                <w:sz w:val="24"/>
              </w:rPr>
              <w:t>25</w:t>
            </w:r>
            <w:r w:rsidR="0043144D" w:rsidRPr="0043144D">
              <w:rPr>
                <w:rFonts w:hint="eastAsia"/>
                <w:color w:val="000000"/>
                <w:sz w:val="24"/>
              </w:rPr>
              <w:t>日至</w:t>
            </w:r>
            <w:r w:rsidR="0043144D" w:rsidRPr="0043144D">
              <w:rPr>
                <w:rFonts w:hint="eastAsia"/>
                <w:color w:val="000000"/>
                <w:sz w:val="24"/>
              </w:rPr>
              <w:t>2018</w:t>
            </w:r>
            <w:r w:rsidR="0043144D" w:rsidRPr="0043144D">
              <w:rPr>
                <w:rFonts w:hint="eastAsia"/>
                <w:color w:val="000000"/>
                <w:sz w:val="24"/>
              </w:rPr>
              <w:t>年</w:t>
            </w:r>
            <w:r w:rsidR="0043144D" w:rsidRPr="0043144D">
              <w:rPr>
                <w:rFonts w:hint="eastAsia"/>
                <w:color w:val="000000"/>
                <w:sz w:val="24"/>
              </w:rPr>
              <w:t>3</w:t>
            </w:r>
            <w:r w:rsidR="0043144D" w:rsidRPr="0043144D">
              <w:rPr>
                <w:rFonts w:hint="eastAsia"/>
                <w:color w:val="000000"/>
                <w:sz w:val="24"/>
              </w:rPr>
              <w:t>月</w:t>
            </w:r>
            <w:r w:rsidR="0043144D" w:rsidRPr="0043144D">
              <w:rPr>
                <w:rFonts w:hint="eastAsia"/>
                <w:color w:val="000000"/>
                <w:sz w:val="24"/>
              </w:rPr>
              <w:t>19</w:t>
            </w:r>
            <w:r w:rsidR="0043144D" w:rsidRPr="0043144D">
              <w:rPr>
                <w:rFonts w:hint="eastAsia"/>
                <w:color w:val="000000"/>
                <w:sz w:val="24"/>
              </w:rPr>
              <w:t>日担任交银施罗德丰泽收益债券型证券投资基金的基金经理。</w:t>
            </w:r>
          </w:p>
        </w:tc>
      </w:tr>
      <w:tr w:rsidR="00A51FCD">
        <w:trPr>
          <w:jc w:val="center"/>
        </w:trPr>
        <w:tc>
          <w:tcPr>
            <w:tcW w:w="946" w:type="dxa"/>
            <w:vAlign w:val="center"/>
          </w:tcPr>
          <w:p w:rsidR="00A51FCD" w:rsidRDefault="00353FA6">
            <w:pPr>
              <w:jc w:val="center"/>
            </w:pPr>
            <w:r>
              <w:rPr>
                <w:color w:val="000000"/>
                <w:sz w:val="24"/>
              </w:rPr>
              <w:lastRenderedPageBreak/>
              <w:t>连端清</w:t>
            </w:r>
          </w:p>
        </w:tc>
        <w:tc>
          <w:tcPr>
            <w:tcW w:w="924" w:type="dxa"/>
            <w:vAlign w:val="center"/>
          </w:tcPr>
          <w:p w:rsidR="00A51FCD" w:rsidRDefault="00353FA6">
            <w:pPr>
              <w:jc w:val="center"/>
            </w:pPr>
            <w:r>
              <w:rPr>
                <w:color w:val="000000"/>
                <w:sz w:val="24"/>
              </w:rPr>
              <w:t>交银货币、交银理财</w:t>
            </w:r>
            <w:r>
              <w:rPr>
                <w:color w:val="000000"/>
                <w:sz w:val="24"/>
              </w:rPr>
              <w:t>60</w:t>
            </w:r>
            <w:r>
              <w:rPr>
                <w:color w:val="000000"/>
                <w:sz w:val="24"/>
              </w:rPr>
              <w:t>天债券、交银</w:t>
            </w:r>
            <w:r>
              <w:rPr>
                <w:color w:val="000000"/>
                <w:sz w:val="24"/>
              </w:rPr>
              <w:lastRenderedPageBreak/>
              <w:t>丰盈收益债券、交银现金宝货币、交银丰润收益债券、交银活期通货币、交银天利宝货币、交银裕兴纯债债券、交银裕盈纯债债券、交银裕利纯债债券、交银裕隆纯债债券、交银天鑫宝货币、交银天益宝货币、交银境尚收益债</w:t>
            </w:r>
            <w:r>
              <w:rPr>
                <w:color w:val="000000"/>
                <w:sz w:val="24"/>
              </w:rPr>
              <w:lastRenderedPageBreak/>
              <w:t>券、交银天运宝货币的基金经理</w:t>
            </w:r>
          </w:p>
        </w:tc>
        <w:tc>
          <w:tcPr>
            <w:tcW w:w="1202" w:type="dxa"/>
            <w:vAlign w:val="center"/>
          </w:tcPr>
          <w:p w:rsidR="00A51FCD" w:rsidRDefault="00353FA6">
            <w:pPr>
              <w:jc w:val="center"/>
            </w:pPr>
            <w:r>
              <w:rPr>
                <w:color w:val="000000"/>
                <w:sz w:val="24"/>
              </w:rPr>
              <w:lastRenderedPageBreak/>
              <w:t>2017-03-03</w:t>
            </w:r>
          </w:p>
        </w:tc>
        <w:tc>
          <w:tcPr>
            <w:tcW w:w="1300" w:type="dxa"/>
            <w:vAlign w:val="center"/>
          </w:tcPr>
          <w:p w:rsidR="00A51FCD" w:rsidRDefault="00353FA6">
            <w:pPr>
              <w:jc w:val="center"/>
            </w:pPr>
            <w:r>
              <w:rPr>
                <w:color w:val="000000"/>
                <w:sz w:val="24"/>
              </w:rPr>
              <w:t>-</w:t>
            </w:r>
          </w:p>
        </w:tc>
        <w:tc>
          <w:tcPr>
            <w:tcW w:w="1245" w:type="dxa"/>
            <w:vAlign w:val="center"/>
          </w:tcPr>
          <w:p w:rsidR="00A51FCD" w:rsidRDefault="00353FA6">
            <w:pPr>
              <w:jc w:val="center"/>
            </w:pPr>
            <w:r>
              <w:rPr>
                <w:color w:val="000000"/>
                <w:sz w:val="24"/>
              </w:rPr>
              <w:t>5</w:t>
            </w:r>
            <w:r>
              <w:rPr>
                <w:color w:val="000000"/>
                <w:sz w:val="24"/>
              </w:rPr>
              <w:t>年</w:t>
            </w:r>
          </w:p>
        </w:tc>
        <w:tc>
          <w:tcPr>
            <w:tcW w:w="3251" w:type="dxa"/>
            <w:vAlign w:val="center"/>
          </w:tcPr>
          <w:p w:rsidR="00A51FCD" w:rsidRDefault="00353FA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A51FCD" w:rsidRDefault="00353FA6">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51FCD" w:rsidRDefault="00353FA6">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51FCD" w:rsidRDefault="00353FA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51FCD" w:rsidRDefault="00353FA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51FCD" w:rsidRDefault="00353FA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51FCD" w:rsidRDefault="00353FA6">
      <w:pPr>
        <w:spacing w:before="29" w:line="288" w:lineRule="auto"/>
        <w:ind w:firstLineChars="200" w:firstLine="480"/>
        <w:rPr>
          <w:color w:val="000000"/>
          <w:sz w:val="24"/>
        </w:rPr>
      </w:pPr>
      <w:r>
        <w:rPr>
          <w:color w:val="000000"/>
          <w:sz w:val="24"/>
        </w:rPr>
        <w:t>本报告期内，受节假日等季节性因素影响，</w:t>
      </w:r>
      <w:r>
        <w:rPr>
          <w:color w:val="000000"/>
          <w:sz w:val="24"/>
        </w:rPr>
        <w:t>2018</w:t>
      </w:r>
      <w:r>
        <w:rPr>
          <w:color w:val="000000"/>
          <w:sz w:val="24"/>
        </w:rPr>
        <w:t>年一至二月的经济增长数据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同期债券收益率在一月中后旬触及历史高点后，开启了一波下行趋势，其中经济增长态势趋缓、美联储加息靴子落地、狭义流动性边际宽松等因素成为债券市场收益率变动的主要原因。报告期内，</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A51FCD" w:rsidRDefault="00353FA6">
      <w:pPr>
        <w:spacing w:before="29" w:line="288" w:lineRule="auto"/>
        <w:ind w:firstLineChars="200" w:firstLine="480"/>
        <w:rPr>
          <w:color w:val="000000"/>
          <w:sz w:val="24"/>
        </w:rPr>
      </w:pPr>
      <w:r>
        <w:rPr>
          <w:color w:val="000000"/>
          <w:sz w:val="24"/>
        </w:rPr>
        <w:t>基金操作方面，本基金以与封闭期适度匹配的债券配置进行杠杆套息操作，报告期内运作稳健。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年二季度，基本面在一季度的复杂分化将逐步清晰起来，通胀在春节后的回落确定性虽高，但仍需关注原油走势和中美贸易摩擦带来的预期变化，警惕中美贸易战升级带来的</w:t>
      </w:r>
      <w:r w:rsidRPr="007F52FA">
        <w:rPr>
          <w:color w:val="000000"/>
          <w:sz w:val="24"/>
        </w:rPr>
        <w:t>“</w:t>
      </w:r>
      <w:r w:rsidRPr="007F52FA">
        <w:rPr>
          <w:color w:val="000000"/>
          <w:sz w:val="24"/>
        </w:rPr>
        <w:t>灰犀牛风险</w:t>
      </w:r>
      <w:r w:rsidRPr="007F52FA">
        <w:rPr>
          <w:color w:val="000000"/>
          <w:sz w:val="24"/>
        </w:rPr>
        <w:t>”</w:t>
      </w:r>
      <w:r w:rsidRPr="007F52FA">
        <w:rPr>
          <w:color w:val="000000"/>
          <w:sz w:val="24"/>
        </w:rPr>
        <w:t>。在货币政策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性改善维持中低位，但长端收益率的进一步下行需要基本面和政策面的支持。我们将密切关注资管新规的落地实施、中美贸易摩擦发展、通胀预期变化、海外货币政策变化等因素对市场的影响。组合管理方面，本基金计划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本报告期末，交银境尚收益债券</w:t>
      </w:r>
      <w:r w:rsidRPr="007F52FA">
        <w:rPr>
          <w:color w:val="000000"/>
          <w:sz w:val="24"/>
        </w:rPr>
        <w:t>A</w:t>
      </w:r>
      <w:r w:rsidRPr="007F52FA">
        <w:rPr>
          <w:color w:val="000000"/>
          <w:sz w:val="24"/>
        </w:rPr>
        <w:t>份额净值为</w:t>
      </w:r>
      <w:r w:rsidRPr="007F52FA">
        <w:rPr>
          <w:color w:val="000000"/>
          <w:sz w:val="24"/>
        </w:rPr>
        <w:t>1.0247</w:t>
      </w:r>
      <w:r w:rsidRPr="007F52FA">
        <w:rPr>
          <w:color w:val="000000"/>
          <w:sz w:val="24"/>
        </w:rPr>
        <w:t>元，本报告期份额净值增长率为</w:t>
      </w:r>
      <w:r w:rsidRPr="007F52FA">
        <w:rPr>
          <w:color w:val="000000"/>
          <w:sz w:val="24"/>
        </w:rPr>
        <w:t>2.46%</w:t>
      </w:r>
      <w:r w:rsidRPr="007F52FA">
        <w:rPr>
          <w:color w:val="000000"/>
          <w:sz w:val="24"/>
        </w:rPr>
        <w:t>，同期业绩比较基准增长率为</w:t>
      </w:r>
      <w:r w:rsidRPr="007F52FA">
        <w:rPr>
          <w:color w:val="000000"/>
          <w:sz w:val="24"/>
        </w:rPr>
        <w:t>0.83%</w:t>
      </w:r>
      <w:r w:rsidRPr="007F52FA">
        <w:rPr>
          <w:color w:val="000000"/>
          <w:sz w:val="24"/>
        </w:rPr>
        <w:t>；交银境尚收益债券</w:t>
      </w:r>
      <w:r w:rsidRPr="007F52FA">
        <w:rPr>
          <w:color w:val="000000"/>
          <w:sz w:val="24"/>
        </w:rPr>
        <w:t>C</w:t>
      </w:r>
      <w:r w:rsidRPr="007F52FA">
        <w:rPr>
          <w:color w:val="000000"/>
          <w:sz w:val="24"/>
        </w:rPr>
        <w:t>份额净值为</w:t>
      </w:r>
      <w:r w:rsidRPr="007F52FA">
        <w:rPr>
          <w:color w:val="000000"/>
          <w:sz w:val="24"/>
        </w:rPr>
        <w:t>1.0232</w:t>
      </w:r>
      <w:r w:rsidRPr="007F52FA">
        <w:rPr>
          <w:color w:val="000000"/>
          <w:sz w:val="24"/>
        </w:rPr>
        <w:t>元，本报告期份额净值增长率为</w:t>
      </w:r>
      <w:r w:rsidRPr="007F52FA">
        <w:rPr>
          <w:color w:val="000000"/>
          <w:sz w:val="24"/>
        </w:rPr>
        <w:t>2.31%</w:t>
      </w:r>
      <w:r w:rsidRPr="007F52FA">
        <w:rPr>
          <w:color w:val="000000"/>
          <w:sz w:val="24"/>
        </w:rPr>
        <w:t>，同期业绩比较基准增长率为</w:t>
      </w:r>
      <w:r w:rsidRPr="007F52FA">
        <w:rPr>
          <w:color w:val="000000"/>
          <w:sz w:val="24"/>
        </w:rPr>
        <w:t>0.83%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1,681,759,500.00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1,681,759,500.00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92.33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52,892,028.27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86,836,908.11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1,821,488,436.38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782,012,500.00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40,192,000.00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821,451,000.00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90.40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38,104,000.00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4.19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1,681,759,500.00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185.09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51FCD">
        <w:trPr>
          <w:jc w:val="center"/>
        </w:trPr>
        <w:tc>
          <w:tcPr>
            <w:tcW w:w="1075" w:type="dxa"/>
            <w:vAlign w:val="center"/>
          </w:tcPr>
          <w:p w:rsidR="00A51FCD" w:rsidRDefault="00353FA6">
            <w:pPr>
              <w:jc w:val="center"/>
            </w:pPr>
            <w:r>
              <w:rPr>
                <w:color w:val="000000"/>
                <w:sz w:val="24"/>
              </w:rPr>
              <w:t>1</w:t>
            </w:r>
          </w:p>
        </w:tc>
        <w:tc>
          <w:tcPr>
            <w:tcW w:w="1533" w:type="dxa"/>
            <w:vAlign w:val="center"/>
          </w:tcPr>
          <w:p w:rsidR="00A51FCD" w:rsidRDefault="00353FA6">
            <w:pPr>
              <w:jc w:val="center"/>
            </w:pPr>
            <w:r>
              <w:rPr>
                <w:color w:val="000000"/>
                <w:sz w:val="24"/>
              </w:rPr>
              <w:t>101655011</w:t>
            </w:r>
          </w:p>
        </w:tc>
        <w:tc>
          <w:tcPr>
            <w:tcW w:w="1533" w:type="dxa"/>
            <w:vAlign w:val="center"/>
          </w:tcPr>
          <w:p w:rsidR="00A51FCD" w:rsidRDefault="00353FA6">
            <w:pPr>
              <w:jc w:val="center"/>
            </w:pPr>
            <w:r>
              <w:rPr>
                <w:color w:val="000000"/>
                <w:sz w:val="24"/>
              </w:rPr>
              <w:t>16</w:t>
            </w:r>
            <w:r>
              <w:rPr>
                <w:color w:val="000000"/>
                <w:sz w:val="24"/>
              </w:rPr>
              <w:t>南京奥体</w:t>
            </w:r>
            <w:r>
              <w:rPr>
                <w:color w:val="000000"/>
                <w:sz w:val="24"/>
              </w:rPr>
              <w:t>MTN002</w:t>
            </w:r>
          </w:p>
        </w:tc>
        <w:tc>
          <w:tcPr>
            <w:tcW w:w="1394" w:type="dxa"/>
            <w:vAlign w:val="center"/>
          </w:tcPr>
          <w:p w:rsidR="00A51FCD" w:rsidRDefault="00353FA6">
            <w:pPr>
              <w:jc w:val="right"/>
            </w:pPr>
            <w:r>
              <w:rPr>
                <w:color w:val="000000"/>
                <w:sz w:val="24"/>
              </w:rPr>
              <w:t>800,000</w:t>
            </w:r>
          </w:p>
        </w:tc>
        <w:tc>
          <w:tcPr>
            <w:tcW w:w="1944" w:type="dxa"/>
            <w:vAlign w:val="center"/>
          </w:tcPr>
          <w:p w:rsidR="00A51FCD" w:rsidRDefault="00353FA6">
            <w:pPr>
              <w:jc w:val="right"/>
            </w:pPr>
            <w:r>
              <w:rPr>
                <w:color w:val="000000"/>
                <w:sz w:val="24"/>
              </w:rPr>
              <w:t>79,096,000.00</w:t>
            </w:r>
          </w:p>
        </w:tc>
        <w:tc>
          <w:tcPr>
            <w:tcW w:w="1389" w:type="dxa"/>
            <w:vAlign w:val="center"/>
          </w:tcPr>
          <w:p w:rsidR="00A51FCD" w:rsidRDefault="00353FA6">
            <w:pPr>
              <w:jc w:val="right"/>
            </w:pPr>
            <w:r>
              <w:rPr>
                <w:color w:val="000000"/>
                <w:sz w:val="24"/>
              </w:rPr>
              <w:t>8.70</w:t>
            </w:r>
          </w:p>
        </w:tc>
      </w:tr>
      <w:tr w:rsidR="00A51FCD">
        <w:trPr>
          <w:jc w:val="center"/>
        </w:trPr>
        <w:tc>
          <w:tcPr>
            <w:tcW w:w="1075" w:type="dxa"/>
            <w:vAlign w:val="center"/>
          </w:tcPr>
          <w:p w:rsidR="00A51FCD" w:rsidRDefault="00353FA6">
            <w:pPr>
              <w:jc w:val="center"/>
            </w:pPr>
            <w:r>
              <w:rPr>
                <w:color w:val="000000"/>
                <w:sz w:val="24"/>
              </w:rPr>
              <w:t>2</w:t>
            </w:r>
          </w:p>
        </w:tc>
        <w:tc>
          <w:tcPr>
            <w:tcW w:w="1533" w:type="dxa"/>
            <w:vAlign w:val="center"/>
          </w:tcPr>
          <w:p w:rsidR="00A51FCD" w:rsidRDefault="00353FA6">
            <w:pPr>
              <w:jc w:val="center"/>
            </w:pPr>
            <w:r>
              <w:rPr>
                <w:color w:val="000000"/>
                <w:sz w:val="24"/>
              </w:rPr>
              <w:t>136304</w:t>
            </w:r>
          </w:p>
        </w:tc>
        <w:tc>
          <w:tcPr>
            <w:tcW w:w="1533" w:type="dxa"/>
            <w:vAlign w:val="center"/>
          </w:tcPr>
          <w:p w:rsidR="00A51FCD" w:rsidRDefault="00353FA6">
            <w:pPr>
              <w:jc w:val="center"/>
            </w:pPr>
            <w:r>
              <w:rPr>
                <w:color w:val="000000"/>
                <w:sz w:val="24"/>
              </w:rPr>
              <w:t>16</w:t>
            </w:r>
            <w:r>
              <w:rPr>
                <w:color w:val="000000"/>
                <w:sz w:val="24"/>
              </w:rPr>
              <w:t>紫金</w:t>
            </w:r>
            <w:r>
              <w:rPr>
                <w:color w:val="000000"/>
                <w:sz w:val="24"/>
              </w:rPr>
              <w:t>01</w:t>
            </w:r>
          </w:p>
        </w:tc>
        <w:tc>
          <w:tcPr>
            <w:tcW w:w="1394" w:type="dxa"/>
            <w:vAlign w:val="center"/>
          </w:tcPr>
          <w:p w:rsidR="00A51FCD" w:rsidRDefault="00353FA6">
            <w:pPr>
              <w:jc w:val="right"/>
            </w:pPr>
            <w:r>
              <w:rPr>
                <w:color w:val="000000"/>
                <w:sz w:val="24"/>
              </w:rPr>
              <w:t>700,000</w:t>
            </w:r>
          </w:p>
        </w:tc>
        <w:tc>
          <w:tcPr>
            <w:tcW w:w="1944" w:type="dxa"/>
            <w:vAlign w:val="center"/>
          </w:tcPr>
          <w:p w:rsidR="00A51FCD" w:rsidRDefault="00353FA6">
            <w:pPr>
              <w:jc w:val="right"/>
            </w:pPr>
            <w:r>
              <w:rPr>
                <w:color w:val="000000"/>
                <w:sz w:val="24"/>
              </w:rPr>
              <w:t>68,803,000.00</w:t>
            </w:r>
          </w:p>
        </w:tc>
        <w:tc>
          <w:tcPr>
            <w:tcW w:w="1389" w:type="dxa"/>
            <w:vAlign w:val="center"/>
          </w:tcPr>
          <w:p w:rsidR="00A51FCD" w:rsidRDefault="00353FA6">
            <w:pPr>
              <w:jc w:val="right"/>
            </w:pPr>
            <w:r>
              <w:rPr>
                <w:color w:val="000000"/>
                <w:sz w:val="24"/>
              </w:rPr>
              <w:t>7.57</w:t>
            </w:r>
          </w:p>
        </w:tc>
      </w:tr>
      <w:tr w:rsidR="00A51FCD">
        <w:trPr>
          <w:jc w:val="center"/>
        </w:trPr>
        <w:tc>
          <w:tcPr>
            <w:tcW w:w="1075" w:type="dxa"/>
            <w:vAlign w:val="center"/>
          </w:tcPr>
          <w:p w:rsidR="00A51FCD" w:rsidRDefault="00353FA6">
            <w:pPr>
              <w:jc w:val="center"/>
            </w:pPr>
            <w:r>
              <w:rPr>
                <w:color w:val="000000"/>
                <w:sz w:val="24"/>
              </w:rPr>
              <w:t>3</w:t>
            </w:r>
          </w:p>
        </w:tc>
        <w:tc>
          <w:tcPr>
            <w:tcW w:w="1533" w:type="dxa"/>
            <w:vAlign w:val="center"/>
          </w:tcPr>
          <w:p w:rsidR="00A51FCD" w:rsidRDefault="00353FA6">
            <w:pPr>
              <w:jc w:val="center"/>
            </w:pPr>
            <w:r>
              <w:rPr>
                <w:color w:val="000000"/>
                <w:sz w:val="24"/>
              </w:rPr>
              <w:t>101558055</w:t>
            </w:r>
          </w:p>
        </w:tc>
        <w:tc>
          <w:tcPr>
            <w:tcW w:w="1533" w:type="dxa"/>
            <w:vAlign w:val="center"/>
          </w:tcPr>
          <w:p w:rsidR="00A51FCD" w:rsidRDefault="00353FA6">
            <w:pPr>
              <w:jc w:val="center"/>
            </w:pPr>
            <w:r>
              <w:rPr>
                <w:color w:val="000000"/>
                <w:sz w:val="24"/>
              </w:rPr>
              <w:t>15</w:t>
            </w:r>
            <w:r>
              <w:rPr>
                <w:color w:val="000000"/>
                <w:sz w:val="24"/>
              </w:rPr>
              <w:t>雨花国投</w:t>
            </w:r>
            <w:r>
              <w:rPr>
                <w:color w:val="000000"/>
                <w:sz w:val="24"/>
              </w:rPr>
              <w:t>MTN001</w:t>
            </w:r>
          </w:p>
        </w:tc>
        <w:tc>
          <w:tcPr>
            <w:tcW w:w="1394" w:type="dxa"/>
            <w:vAlign w:val="center"/>
          </w:tcPr>
          <w:p w:rsidR="00A51FCD" w:rsidRDefault="00353FA6">
            <w:pPr>
              <w:jc w:val="right"/>
            </w:pPr>
            <w:r>
              <w:rPr>
                <w:color w:val="000000"/>
                <w:sz w:val="24"/>
              </w:rPr>
              <w:t>600,000</w:t>
            </w:r>
          </w:p>
        </w:tc>
        <w:tc>
          <w:tcPr>
            <w:tcW w:w="1944" w:type="dxa"/>
            <w:vAlign w:val="center"/>
          </w:tcPr>
          <w:p w:rsidR="00A51FCD" w:rsidRDefault="00353FA6">
            <w:pPr>
              <w:jc w:val="right"/>
            </w:pPr>
            <w:r>
              <w:rPr>
                <w:color w:val="000000"/>
                <w:sz w:val="24"/>
              </w:rPr>
              <w:t>59,730,000.00</w:t>
            </w:r>
          </w:p>
        </w:tc>
        <w:tc>
          <w:tcPr>
            <w:tcW w:w="1389" w:type="dxa"/>
            <w:vAlign w:val="center"/>
          </w:tcPr>
          <w:p w:rsidR="00A51FCD" w:rsidRDefault="00353FA6">
            <w:pPr>
              <w:jc w:val="right"/>
            </w:pPr>
            <w:r>
              <w:rPr>
                <w:color w:val="000000"/>
                <w:sz w:val="24"/>
              </w:rPr>
              <w:t>6.57</w:t>
            </w:r>
          </w:p>
        </w:tc>
      </w:tr>
      <w:tr w:rsidR="00A51FCD">
        <w:trPr>
          <w:jc w:val="center"/>
        </w:trPr>
        <w:tc>
          <w:tcPr>
            <w:tcW w:w="1075" w:type="dxa"/>
            <w:vAlign w:val="center"/>
          </w:tcPr>
          <w:p w:rsidR="00A51FCD" w:rsidRDefault="00353FA6">
            <w:pPr>
              <w:jc w:val="center"/>
            </w:pPr>
            <w:r>
              <w:rPr>
                <w:color w:val="000000"/>
                <w:sz w:val="24"/>
              </w:rPr>
              <w:t>4</w:t>
            </w:r>
          </w:p>
        </w:tc>
        <w:tc>
          <w:tcPr>
            <w:tcW w:w="1533" w:type="dxa"/>
            <w:vAlign w:val="center"/>
          </w:tcPr>
          <w:p w:rsidR="00A51FCD" w:rsidRDefault="00353FA6">
            <w:pPr>
              <w:jc w:val="center"/>
            </w:pPr>
            <w:r>
              <w:rPr>
                <w:color w:val="000000"/>
                <w:sz w:val="24"/>
              </w:rPr>
              <w:t>136141</w:t>
            </w:r>
          </w:p>
        </w:tc>
        <w:tc>
          <w:tcPr>
            <w:tcW w:w="1533" w:type="dxa"/>
            <w:vAlign w:val="center"/>
          </w:tcPr>
          <w:p w:rsidR="00A51FCD" w:rsidRDefault="00353FA6">
            <w:pPr>
              <w:jc w:val="center"/>
            </w:pPr>
            <w:r>
              <w:rPr>
                <w:color w:val="000000"/>
                <w:sz w:val="24"/>
              </w:rPr>
              <w:t>16</w:t>
            </w:r>
            <w:r>
              <w:rPr>
                <w:color w:val="000000"/>
                <w:sz w:val="24"/>
              </w:rPr>
              <w:t>邦信</w:t>
            </w:r>
            <w:r>
              <w:rPr>
                <w:color w:val="000000"/>
                <w:sz w:val="24"/>
              </w:rPr>
              <w:t>01</w:t>
            </w:r>
          </w:p>
        </w:tc>
        <w:tc>
          <w:tcPr>
            <w:tcW w:w="1394" w:type="dxa"/>
            <w:vAlign w:val="center"/>
          </w:tcPr>
          <w:p w:rsidR="00A51FCD" w:rsidRDefault="00353FA6">
            <w:pPr>
              <w:jc w:val="right"/>
            </w:pPr>
            <w:r>
              <w:rPr>
                <w:color w:val="000000"/>
                <w:sz w:val="24"/>
              </w:rPr>
              <w:t>600,000</w:t>
            </w:r>
          </w:p>
        </w:tc>
        <w:tc>
          <w:tcPr>
            <w:tcW w:w="1944" w:type="dxa"/>
            <w:vAlign w:val="center"/>
          </w:tcPr>
          <w:p w:rsidR="00A51FCD" w:rsidRDefault="00353FA6">
            <w:pPr>
              <w:jc w:val="right"/>
            </w:pPr>
            <w:r>
              <w:rPr>
                <w:color w:val="000000"/>
                <w:sz w:val="24"/>
              </w:rPr>
              <w:t>59,064,000.00</w:t>
            </w:r>
          </w:p>
        </w:tc>
        <w:tc>
          <w:tcPr>
            <w:tcW w:w="1389" w:type="dxa"/>
            <w:vAlign w:val="center"/>
          </w:tcPr>
          <w:p w:rsidR="00A51FCD" w:rsidRDefault="00353FA6">
            <w:pPr>
              <w:jc w:val="right"/>
            </w:pPr>
            <w:r>
              <w:rPr>
                <w:color w:val="000000"/>
                <w:sz w:val="24"/>
              </w:rPr>
              <w:t>6.50</w:t>
            </w:r>
          </w:p>
        </w:tc>
      </w:tr>
      <w:tr w:rsidR="00A51FCD">
        <w:trPr>
          <w:jc w:val="center"/>
        </w:trPr>
        <w:tc>
          <w:tcPr>
            <w:tcW w:w="1075" w:type="dxa"/>
            <w:vAlign w:val="center"/>
          </w:tcPr>
          <w:p w:rsidR="00A51FCD" w:rsidRDefault="00353FA6">
            <w:pPr>
              <w:jc w:val="center"/>
            </w:pPr>
            <w:r>
              <w:rPr>
                <w:color w:val="000000"/>
                <w:sz w:val="24"/>
              </w:rPr>
              <w:t>5</w:t>
            </w:r>
          </w:p>
        </w:tc>
        <w:tc>
          <w:tcPr>
            <w:tcW w:w="1533" w:type="dxa"/>
            <w:vAlign w:val="center"/>
          </w:tcPr>
          <w:p w:rsidR="00A51FCD" w:rsidRDefault="00353FA6">
            <w:pPr>
              <w:jc w:val="center"/>
            </w:pPr>
            <w:r>
              <w:rPr>
                <w:color w:val="000000"/>
                <w:sz w:val="24"/>
              </w:rPr>
              <w:t>101454018</w:t>
            </w:r>
          </w:p>
        </w:tc>
        <w:tc>
          <w:tcPr>
            <w:tcW w:w="1533" w:type="dxa"/>
            <w:vAlign w:val="center"/>
          </w:tcPr>
          <w:p w:rsidR="00A51FCD" w:rsidRDefault="00353FA6">
            <w:pPr>
              <w:jc w:val="center"/>
            </w:pPr>
            <w:r>
              <w:rPr>
                <w:color w:val="000000"/>
                <w:sz w:val="24"/>
              </w:rPr>
              <w:t>14</w:t>
            </w:r>
            <w:r>
              <w:rPr>
                <w:color w:val="000000"/>
                <w:sz w:val="24"/>
              </w:rPr>
              <w:t>粤珠江</w:t>
            </w:r>
            <w:r>
              <w:rPr>
                <w:color w:val="000000"/>
                <w:sz w:val="24"/>
              </w:rPr>
              <w:t>MTN001</w:t>
            </w:r>
          </w:p>
        </w:tc>
        <w:tc>
          <w:tcPr>
            <w:tcW w:w="1394" w:type="dxa"/>
            <w:vAlign w:val="center"/>
          </w:tcPr>
          <w:p w:rsidR="00A51FCD" w:rsidRDefault="00353FA6">
            <w:pPr>
              <w:jc w:val="right"/>
            </w:pPr>
            <w:r>
              <w:rPr>
                <w:color w:val="000000"/>
                <w:sz w:val="24"/>
              </w:rPr>
              <w:t>500,000</w:t>
            </w:r>
          </w:p>
        </w:tc>
        <w:tc>
          <w:tcPr>
            <w:tcW w:w="1944" w:type="dxa"/>
            <w:vAlign w:val="center"/>
          </w:tcPr>
          <w:p w:rsidR="00A51FCD" w:rsidRDefault="00353FA6">
            <w:pPr>
              <w:jc w:val="right"/>
            </w:pPr>
            <w:r>
              <w:rPr>
                <w:color w:val="000000"/>
                <w:sz w:val="24"/>
              </w:rPr>
              <w:t>51,780,000.00</w:t>
            </w:r>
          </w:p>
        </w:tc>
        <w:tc>
          <w:tcPr>
            <w:tcW w:w="1389" w:type="dxa"/>
            <w:vAlign w:val="center"/>
          </w:tcPr>
          <w:p w:rsidR="00A51FCD" w:rsidRDefault="00353FA6">
            <w:pPr>
              <w:jc w:val="right"/>
            </w:pPr>
            <w:r>
              <w:rPr>
                <w:color w:val="000000"/>
                <w:sz w:val="24"/>
              </w:rPr>
              <w:t>5.70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4,855.76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54,045,198.42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32,786,853.93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86,836,908.11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lastRenderedPageBreak/>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EA2CA9"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EA2CA9">
        <w:rPr>
          <w:rFonts w:eastAsiaTheme="minorEastAsia"/>
          <w:color w:val="000000" w:themeColor="text1"/>
          <w:kern w:val="0"/>
          <w:sz w:val="24"/>
          <w:szCs w:val="24"/>
        </w:rPr>
        <w:t xml:space="preserve">§6  </w:t>
      </w:r>
      <w:r w:rsidRPr="00EA2CA9">
        <w:rPr>
          <w:rFonts w:eastAsiaTheme="minorEastAsia" w:hint="eastAsia"/>
          <w:color w:val="000000" w:themeColor="text1"/>
          <w:kern w:val="0"/>
          <w:sz w:val="24"/>
          <w:szCs w:val="24"/>
        </w:rPr>
        <w:t>基金中基金</w:t>
      </w:r>
    </w:p>
    <w:p w:rsidR="00C51B4E" w:rsidRPr="00EA2CA9" w:rsidRDefault="00C51B4E" w:rsidP="00C51B4E">
      <w:pPr>
        <w:adjustRightInd w:val="0"/>
        <w:snapToGrid w:val="0"/>
        <w:spacing w:line="360" w:lineRule="auto"/>
        <w:rPr>
          <w:rFonts w:eastAsiaTheme="minorEastAsia"/>
          <w:b/>
          <w:color w:val="000000" w:themeColor="text1"/>
          <w:kern w:val="0"/>
          <w:sz w:val="24"/>
        </w:rPr>
      </w:pPr>
      <w:r w:rsidRPr="00EA2CA9">
        <w:rPr>
          <w:rFonts w:eastAsiaTheme="minorEastAsia"/>
          <w:b/>
          <w:color w:val="000000" w:themeColor="text1"/>
          <w:kern w:val="0"/>
          <w:sz w:val="24"/>
        </w:rPr>
        <w:t xml:space="preserve">6.1 </w:t>
      </w:r>
      <w:r w:rsidRPr="00EA2CA9">
        <w:rPr>
          <w:rFonts w:eastAsiaTheme="minorEastAsia" w:hint="eastAsia"/>
          <w:b/>
          <w:color w:val="000000" w:themeColor="text1"/>
          <w:kern w:val="0"/>
          <w:sz w:val="24"/>
        </w:rPr>
        <w:t>报告期末按公允价值占基金资产净值比例大小排序的前十名基金投资明细</w:t>
      </w:r>
    </w:p>
    <w:p w:rsidR="00C51B4E" w:rsidRPr="00EA2CA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EA2CA9">
        <w:rPr>
          <w:rFonts w:eastAsiaTheme="minorEastAsia" w:hint="eastAsia"/>
          <w:color w:val="000000" w:themeColor="text1"/>
          <w:sz w:val="24"/>
        </w:rPr>
        <w:t>本基金本报告期末未持有基金。</w:t>
      </w:r>
    </w:p>
    <w:p w:rsidR="00C51B4E" w:rsidRPr="00EA2CA9" w:rsidRDefault="00C51B4E" w:rsidP="0028293E">
      <w:pPr>
        <w:adjustRightInd w:val="0"/>
        <w:snapToGrid w:val="0"/>
        <w:spacing w:beforeLines="50" w:before="156" w:line="360" w:lineRule="auto"/>
        <w:rPr>
          <w:rFonts w:eastAsiaTheme="minorEastAsia"/>
          <w:b/>
          <w:color w:val="000000" w:themeColor="text1"/>
          <w:kern w:val="0"/>
          <w:sz w:val="24"/>
        </w:rPr>
      </w:pPr>
      <w:r w:rsidRPr="00EA2CA9">
        <w:rPr>
          <w:rFonts w:eastAsiaTheme="minorEastAsia"/>
          <w:b/>
          <w:color w:val="000000" w:themeColor="text1"/>
          <w:kern w:val="0"/>
          <w:sz w:val="24"/>
        </w:rPr>
        <w:t xml:space="preserve">6.2 </w:t>
      </w:r>
      <w:r w:rsidRPr="00EA2CA9">
        <w:rPr>
          <w:rFonts w:eastAsiaTheme="minorEastAsia" w:hint="eastAsia"/>
          <w:b/>
          <w:color w:val="000000" w:themeColor="text1"/>
          <w:kern w:val="0"/>
          <w:sz w:val="24"/>
        </w:rPr>
        <w:t>当期交易及持有基金产生的费用</w:t>
      </w:r>
    </w:p>
    <w:p w:rsidR="00C51B4E" w:rsidRPr="00EA2CA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EA2CA9">
        <w:rPr>
          <w:rFonts w:eastAsiaTheme="minorEastAsia" w:hint="eastAsia"/>
          <w:color w:val="000000" w:themeColor="text1"/>
          <w:sz w:val="24"/>
        </w:rPr>
        <w:t>本基金本报告期内未交易或持有基金。</w:t>
      </w:r>
    </w:p>
    <w:p w:rsidR="009B2CA2" w:rsidRPr="009B2CA2" w:rsidRDefault="009B2CA2" w:rsidP="009B2CA2">
      <w:pPr>
        <w:adjustRightInd w:val="0"/>
        <w:snapToGrid w:val="0"/>
        <w:spacing w:beforeLines="50" w:before="156" w:line="360" w:lineRule="auto"/>
        <w:rPr>
          <w:rFonts w:eastAsiaTheme="minorEastAsia"/>
          <w:b/>
          <w:color w:val="000000" w:themeColor="text1"/>
          <w:kern w:val="0"/>
          <w:sz w:val="24"/>
        </w:rPr>
      </w:pPr>
      <w:r w:rsidRPr="009B2CA2">
        <w:rPr>
          <w:rFonts w:eastAsiaTheme="minorEastAsia"/>
          <w:b/>
          <w:color w:val="000000" w:themeColor="text1"/>
          <w:kern w:val="0"/>
          <w:sz w:val="24"/>
        </w:rPr>
        <w:t xml:space="preserve">6.3 </w:t>
      </w:r>
      <w:r w:rsidRPr="009B2CA2">
        <w:rPr>
          <w:rFonts w:eastAsiaTheme="minorEastAsia" w:hint="eastAsia"/>
          <w:b/>
          <w:color w:val="000000" w:themeColor="text1"/>
          <w:kern w:val="0"/>
          <w:sz w:val="24"/>
        </w:rPr>
        <w:t>本报告期持有的基金发生的重大影响事件</w:t>
      </w:r>
    </w:p>
    <w:p w:rsidR="009B2CA2" w:rsidRPr="009B2CA2" w:rsidRDefault="009B2CA2" w:rsidP="009B2CA2">
      <w:pPr>
        <w:autoSpaceDE w:val="0"/>
        <w:autoSpaceDN w:val="0"/>
        <w:adjustRightInd w:val="0"/>
        <w:spacing w:line="360" w:lineRule="auto"/>
        <w:ind w:firstLineChars="200" w:firstLine="480"/>
        <w:jc w:val="left"/>
        <w:rPr>
          <w:rFonts w:eastAsiaTheme="minorEastAsia"/>
          <w:color w:val="000000" w:themeColor="text1"/>
          <w:sz w:val="24"/>
        </w:rPr>
      </w:pPr>
      <w:r w:rsidRPr="009B2CA2">
        <w:rPr>
          <w:rFonts w:eastAsiaTheme="minorEastAsia" w:hint="eastAsia"/>
          <w:color w:val="000000" w:themeColor="text1"/>
          <w:sz w:val="24"/>
        </w:rPr>
        <w:t>无。</w:t>
      </w:r>
    </w:p>
    <w:p w:rsidR="009B2CA2" w:rsidRPr="009B2CA2" w:rsidRDefault="009B2CA2"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EA2CA9"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EA2CA9">
        <w:rPr>
          <w:rFonts w:eastAsiaTheme="minorEastAsia"/>
          <w:color w:val="000000" w:themeColor="text1"/>
          <w:kern w:val="0"/>
          <w:sz w:val="24"/>
          <w:szCs w:val="24"/>
        </w:rPr>
        <w:lastRenderedPageBreak/>
        <w:t xml:space="preserve">§9 </w:t>
      </w:r>
      <w:r w:rsidR="00F139D5" w:rsidRPr="00EA2CA9">
        <w:rPr>
          <w:rFonts w:eastAsiaTheme="minorEastAsia"/>
          <w:color w:val="000000" w:themeColor="text1"/>
          <w:kern w:val="0"/>
          <w:sz w:val="24"/>
          <w:szCs w:val="24"/>
        </w:rPr>
        <w:t xml:space="preserve"> </w:t>
      </w:r>
      <w:r w:rsidRPr="00EA2CA9">
        <w:rPr>
          <w:rFonts w:eastAsiaTheme="minorEastAsia" w:hint="eastAsia"/>
          <w:color w:val="000000" w:themeColor="text1"/>
          <w:kern w:val="0"/>
          <w:sz w:val="24"/>
          <w:szCs w:val="24"/>
        </w:rPr>
        <w:t>影响投资者决策的其他重要信息</w:t>
      </w:r>
    </w:p>
    <w:p w:rsidR="00ED0E09" w:rsidRPr="00EA2CA9" w:rsidRDefault="00ED0E09" w:rsidP="00ED0E09">
      <w:pPr>
        <w:autoSpaceDE w:val="0"/>
        <w:autoSpaceDN w:val="0"/>
        <w:adjustRightInd w:val="0"/>
        <w:spacing w:line="360" w:lineRule="auto"/>
        <w:jc w:val="left"/>
        <w:rPr>
          <w:rFonts w:ascii="宋体" w:hAnsi="宋体"/>
          <w:b/>
          <w:bCs/>
          <w:color w:val="000000"/>
          <w:kern w:val="0"/>
          <w:sz w:val="24"/>
        </w:rPr>
      </w:pPr>
      <w:r w:rsidRPr="00EA2CA9">
        <w:rPr>
          <w:rFonts w:ascii="宋体" w:hAnsi="宋体"/>
          <w:b/>
          <w:bCs/>
          <w:color w:val="000000"/>
          <w:kern w:val="0"/>
          <w:sz w:val="24"/>
        </w:rPr>
        <w:t>9.</w:t>
      </w:r>
      <w:r w:rsidR="00C2491B" w:rsidRPr="00EA2CA9">
        <w:rPr>
          <w:rFonts w:ascii="宋体" w:hAnsi="宋体"/>
          <w:b/>
          <w:bCs/>
          <w:color w:val="000000"/>
          <w:kern w:val="0"/>
          <w:sz w:val="24"/>
        </w:rPr>
        <w:t xml:space="preserve">1 </w:t>
      </w:r>
      <w:r w:rsidRPr="00EA2CA9">
        <w:rPr>
          <w:rFonts w:ascii="宋体" w:hAnsi="宋体" w:hint="eastAsia"/>
          <w:b/>
          <w:bCs/>
          <w:color w:val="000000"/>
          <w:kern w:val="0"/>
          <w:sz w:val="24"/>
        </w:rPr>
        <w:t>影响投资者决策的其他重要信息</w:t>
      </w:r>
    </w:p>
    <w:p w:rsidR="00A51FCD" w:rsidRPr="00EA2CA9" w:rsidRDefault="00353FA6">
      <w:pPr>
        <w:spacing w:line="360" w:lineRule="auto"/>
        <w:ind w:firstLineChars="200" w:firstLine="480"/>
        <w:rPr>
          <w:rFonts w:ascii="宋体" w:hAnsi="宋体"/>
          <w:color w:val="000000"/>
          <w:sz w:val="24"/>
        </w:rPr>
      </w:pPr>
      <w:r w:rsidRPr="00EA2CA9">
        <w:rPr>
          <w:rFonts w:ascii="宋体" w:hAnsi="宋体"/>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EA2CA9" w:rsidRDefault="00ED0E09" w:rsidP="00ED0E09">
      <w:pPr>
        <w:spacing w:line="360" w:lineRule="auto"/>
        <w:ind w:firstLineChars="200" w:firstLine="480"/>
        <w:rPr>
          <w:rFonts w:ascii="宋体" w:hAnsi="宋体"/>
          <w:color w:val="000000"/>
          <w:sz w:val="24"/>
        </w:rPr>
      </w:pPr>
      <w:r w:rsidRPr="00EA2CA9">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w:t>
      </w:r>
      <w:r w:rsidRPr="007F52FA">
        <w:rPr>
          <w:rFonts w:eastAsiaTheme="minorEastAsia"/>
          <w:color w:val="000000"/>
          <w:sz w:val="24"/>
        </w:rPr>
        <w:lastRenderedPageBreak/>
        <w:t>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51FCD" w:rsidRDefault="00353FA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D98" w:rsidRDefault="00AA7D98">
      <w:r>
        <w:separator/>
      </w:r>
    </w:p>
  </w:endnote>
  <w:endnote w:type="continuationSeparator" w:id="0">
    <w:p w:rsidR="00AA7D98" w:rsidRDefault="00AA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A376A5">
      <w:rPr>
        <w:noProof/>
        <w:kern w:val="0"/>
        <w:szCs w:val="21"/>
      </w:rPr>
      <w:t>15</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A376A5">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D98" w:rsidRDefault="00AA7D98">
      <w:r>
        <w:separator/>
      </w:r>
    </w:p>
  </w:footnote>
  <w:footnote w:type="continuationSeparator" w:id="0">
    <w:p w:rsidR="00AA7D98" w:rsidRDefault="00AA7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施罗德境尚收益债券</w:t>
    </w:r>
    <w:proofErr w:type="gramEnd"/>
    <w:r w:rsidRPr="00D3445F">
      <w:rPr>
        <w:rFonts w:eastAsiaTheme="minorEastAsia"/>
        <w:sz w:val="24"/>
      </w:rPr>
      <w:t>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5114"/>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4197"/>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2565"/>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3FA6"/>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4D"/>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2CA2"/>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376A5"/>
    <w:rsid w:val="00A43389"/>
    <w:rsid w:val="00A4642E"/>
    <w:rsid w:val="00A47AF8"/>
    <w:rsid w:val="00A51FCD"/>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774A3"/>
    <w:rsid w:val="00A8187C"/>
    <w:rsid w:val="00A82C9E"/>
    <w:rsid w:val="00A8324F"/>
    <w:rsid w:val="00A85142"/>
    <w:rsid w:val="00A854EE"/>
    <w:rsid w:val="00A92852"/>
    <w:rsid w:val="00A94412"/>
    <w:rsid w:val="00A95B37"/>
    <w:rsid w:val="00A96B6F"/>
    <w:rsid w:val="00AA0CE8"/>
    <w:rsid w:val="00AA35FD"/>
    <w:rsid w:val="00AA3DB7"/>
    <w:rsid w:val="00AA5F63"/>
    <w:rsid w:val="00AA7D98"/>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491B"/>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6406B"/>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2CA9"/>
    <w:rsid w:val="00EA375F"/>
    <w:rsid w:val="00EA3AD1"/>
    <w:rsid w:val="00EA3C4A"/>
    <w:rsid w:val="00EA5143"/>
    <w:rsid w:val="00EA56DE"/>
    <w:rsid w:val="00EA7104"/>
    <w:rsid w:val="00EA7533"/>
    <w:rsid w:val="00EB067F"/>
    <w:rsid w:val="00EB2419"/>
    <w:rsid w:val="00EB27DE"/>
    <w:rsid w:val="00EB58F5"/>
    <w:rsid w:val="00EB6BCE"/>
    <w:rsid w:val="00EB6E6B"/>
    <w:rsid w:val="00EC010F"/>
    <w:rsid w:val="00EC09C2"/>
    <w:rsid w:val="00EC2E3A"/>
    <w:rsid w:val="00EC3CCB"/>
    <w:rsid w:val="00EC41BC"/>
    <w:rsid w:val="00EC4C56"/>
    <w:rsid w:val="00EC58D5"/>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06456746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AA5B-240B-4EE8-B194-7E5963BB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15</Pages>
  <Words>1171</Words>
  <Characters>6680</Characters>
  <Application>Microsoft Office Word</Application>
  <DocSecurity>0</DocSecurity>
  <Lines>55</Lines>
  <Paragraphs>15</Paragraphs>
  <ScaleCrop>false</ScaleCrop>
  <Company>TRT. Ltd. Co.</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384</cp:revision>
  <cp:lastPrinted>2007-07-19T00:46:00Z</cp:lastPrinted>
  <dcterms:created xsi:type="dcterms:W3CDTF">2014-01-17T06:19:00Z</dcterms:created>
  <dcterms:modified xsi:type="dcterms:W3CDTF">2018-04-19T08:38:00Z</dcterms:modified>
</cp:coreProperties>
</file>