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交银施罗德启通灵活配置混合型证券投资基金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上海浦东发展银行股份有限公司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基金托管人上海浦东发展银行股份有限公司根据本基金合同规定，于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交银启通灵活配置混合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004207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24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3,015,394.38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r w:rsidRPr="007F52FA">
              <w:rPr>
                <w:color w:val="000000"/>
                <w:kern w:val="0"/>
                <w:sz w:val="24"/>
              </w:rPr>
              <w:t>×50%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上海浦东发展银行股份有限公司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交银启通灵活配置混合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交银启通灵活配置混合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004207</w:t>
            </w:r>
          </w:p>
        </w:tc>
        <w:tc>
          <w:tcPr>
            <w:tcW w:w="3048" w:type="dxa"/>
            <w:vAlign w:val="center"/>
          </w:tcPr>
          <w:p w:rsidR="00C23B30" w:rsidRPr="000E4C40" w:rsidRDefault="00C23B30" w:rsidP="00A52A9E">
            <w:pPr>
              <w:spacing w:before="29" w:line="288" w:lineRule="auto"/>
              <w:jc w:val="left"/>
              <w:rPr>
                <w:sz w:val="24"/>
              </w:rPr>
            </w:pPr>
            <w:r w:rsidRPr="000E4C40">
              <w:rPr>
                <w:sz w:val="24"/>
              </w:rPr>
              <w:t>004208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3,006,701.34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8,693.04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交银启通灵活配置混合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交银启通灵活配置混合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11,885,936.21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365.72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1,972,846.41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-115.71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3,186,868.73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9,215.99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1.0602</w:t>
            </w:r>
          </w:p>
        </w:tc>
      </w:tr>
    </w:tbl>
    <w:p w:rsidR="00EF6DE9" w:rsidRDefault="000C5A2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交银启通灵活配置混合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F6DE9">
        <w:trPr>
          <w:jc w:val="center"/>
        </w:trPr>
        <w:tc>
          <w:tcPr>
            <w:tcW w:w="1266" w:type="dxa"/>
            <w:vAlign w:val="center"/>
          </w:tcPr>
          <w:p w:rsidR="00EF6DE9" w:rsidRDefault="000C5A26">
            <w:pPr>
              <w:jc w:val="left"/>
            </w:pPr>
            <w:r>
              <w:rPr>
                <w:color w:val="000000"/>
                <w:sz w:val="24"/>
              </w:rPr>
              <w:t>过去三个月</w:t>
            </w:r>
          </w:p>
        </w:tc>
        <w:tc>
          <w:tcPr>
            <w:tcW w:w="1267" w:type="dxa"/>
            <w:vAlign w:val="center"/>
          </w:tcPr>
          <w:p w:rsidR="00EF6DE9" w:rsidRDefault="000C5A26">
            <w:pPr>
              <w:jc w:val="center"/>
            </w:pPr>
            <w:r>
              <w:rPr>
                <w:color w:val="000000"/>
                <w:sz w:val="24"/>
              </w:rPr>
              <w:t>0.91%</w:t>
            </w:r>
          </w:p>
        </w:tc>
        <w:tc>
          <w:tcPr>
            <w:tcW w:w="1267" w:type="dxa"/>
            <w:vAlign w:val="center"/>
          </w:tcPr>
          <w:p w:rsidR="00EF6DE9" w:rsidRDefault="000C5A26">
            <w:pPr>
              <w:jc w:val="center"/>
            </w:pPr>
            <w:r>
              <w:rPr>
                <w:color w:val="000000"/>
                <w:sz w:val="24"/>
              </w:rPr>
              <w:t>0.30%</w:t>
            </w:r>
          </w:p>
        </w:tc>
        <w:tc>
          <w:tcPr>
            <w:tcW w:w="1267" w:type="dxa"/>
            <w:vAlign w:val="center"/>
          </w:tcPr>
          <w:p w:rsidR="00EF6DE9" w:rsidRDefault="000C5A26">
            <w:pPr>
              <w:jc w:val="center"/>
            </w:pPr>
            <w:r>
              <w:rPr>
                <w:color w:val="000000"/>
                <w:sz w:val="24"/>
              </w:rPr>
              <w:t>-0.99%</w:t>
            </w:r>
          </w:p>
        </w:tc>
        <w:tc>
          <w:tcPr>
            <w:tcW w:w="1267" w:type="dxa"/>
            <w:vAlign w:val="center"/>
          </w:tcPr>
          <w:p w:rsidR="00EF6DE9" w:rsidRDefault="000C5A26">
            <w:pPr>
              <w:jc w:val="center"/>
            </w:pPr>
            <w:r>
              <w:rPr>
                <w:color w:val="000000"/>
                <w:sz w:val="24"/>
              </w:rPr>
              <w:t>0.58%</w:t>
            </w:r>
          </w:p>
        </w:tc>
        <w:tc>
          <w:tcPr>
            <w:tcW w:w="1267" w:type="dxa"/>
            <w:vAlign w:val="center"/>
          </w:tcPr>
          <w:p w:rsidR="00EF6DE9" w:rsidRDefault="000C5A26">
            <w:pPr>
              <w:jc w:val="center"/>
            </w:pPr>
            <w:r>
              <w:rPr>
                <w:color w:val="000000"/>
                <w:sz w:val="24"/>
              </w:rPr>
              <w:t>1.90%</w:t>
            </w:r>
          </w:p>
        </w:tc>
        <w:tc>
          <w:tcPr>
            <w:tcW w:w="1267" w:type="dxa"/>
            <w:vAlign w:val="center"/>
          </w:tcPr>
          <w:p w:rsidR="00EF6DE9" w:rsidRDefault="000C5A26">
            <w:pPr>
              <w:jc w:val="center"/>
            </w:pPr>
            <w:r>
              <w:rPr>
                <w:color w:val="000000"/>
                <w:sz w:val="24"/>
              </w:rPr>
              <w:t>-0.28%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交银启通灵活配置混合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F6DE9">
        <w:trPr>
          <w:jc w:val="center"/>
        </w:trPr>
        <w:tc>
          <w:tcPr>
            <w:tcW w:w="1266" w:type="dxa"/>
            <w:vAlign w:val="center"/>
          </w:tcPr>
          <w:p w:rsidR="00EF6DE9" w:rsidRDefault="000C5A26">
            <w:pPr>
              <w:jc w:val="left"/>
            </w:pPr>
            <w:r>
              <w:rPr>
                <w:color w:val="000000"/>
                <w:sz w:val="24"/>
              </w:rPr>
              <w:t>过去三个月</w:t>
            </w:r>
          </w:p>
        </w:tc>
        <w:tc>
          <w:tcPr>
            <w:tcW w:w="1267" w:type="dxa"/>
            <w:vAlign w:val="center"/>
          </w:tcPr>
          <w:p w:rsidR="00EF6DE9" w:rsidRDefault="000C5A26">
            <w:pPr>
              <w:jc w:val="center"/>
            </w:pPr>
            <w:r>
              <w:rPr>
                <w:color w:val="000000"/>
                <w:sz w:val="24"/>
              </w:rPr>
              <w:t>0.90%</w:t>
            </w:r>
          </w:p>
        </w:tc>
        <w:tc>
          <w:tcPr>
            <w:tcW w:w="1267" w:type="dxa"/>
            <w:vAlign w:val="center"/>
          </w:tcPr>
          <w:p w:rsidR="00EF6DE9" w:rsidRDefault="000C5A26">
            <w:pPr>
              <w:jc w:val="center"/>
            </w:pPr>
            <w:r>
              <w:rPr>
                <w:color w:val="000000"/>
                <w:sz w:val="24"/>
              </w:rPr>
              <w:t>0.30%</w:t>
            </w:r>
          </w:p>
        </w:tc>
        <w:tc>
          <w:tcPr>
            <w:tcW w:w="1267" w:type="dxa"/>
            <w:vAlign w:val="center"/>
          </w:tcPr>
          <w:p w:rsidR="00EF6DE9" w:rsidRDefault="000C5A26">
            <w:pPr>
              <w:jc w:val="center"/>
            </w:pPr>
            <w:r>
              <w:rPr>
                <w:color w:val="000000"/>
                <w:sz w:val="24"/>
              </w:rPr>
              <w:t>-0.99%</w:t>
            </w:r>
          </w:p>
        </w:tc>
        <w:tc>
          <w:tcPr>
            <w:tcW w:w="1267" w:type="dxa"/>
            <w:vAlign w:val="center"/>
          </w:tcPr>
          <w:p w:rsidR="00EF6DE9" w:rsidRDefault="000C5A26">
            <w:pPr>
              <w:jc w:val="center"/>
            </w:pPr>
            <w:r>
              <w:rPr>
                <w:color w:val="000000"/>
                <w:sz w:val="24"/>
              </w:rPr>
              <w:t>0.58%</w:t>
            </w:r>
          </w:p>
        </w:tc>
        <w:tc>
          <w:tcPr>
            <w:tcW w:w="1267" w:type="dxa"/>
            <w:vAlign w:val="center"/>
          </w:tcPr>
          <w:p w:rsidR="00EF6DE9" w:rsidRDefault="000C5A26">
            <w:pPr>
              <w:jc w:val="center"/>
            </w:pPr>
            <w:r>
              <w:rPr>
                <w:color w:val="000000"/>
                <w:sz w:val="24"/>
              </w:rPr>
              <w:t>1.89%</w:t>
            </w:r>
          </w:p>
        </w:tc>
        <w:tc>
          <w:tcPr>
            <w:tcW w:w="1267" w:type="dxa"/>
            <w:vAlign w:val="center"/>
          </w:tcPr>
          <w:p w:rsidR="00EF6DE9" w:rsidRDefault="000C5A26">
            <w:pPr>
              <w:jc w:val="center"/>
            </w:pPr>
            <w:r>
              <w:rPr>
                <w:color w:val="000000"/>
                <w:sz w:val="24"/>
              </w:rPr>
              <w:t>-0.28%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交银施罗德启通灵活配置混合型证券投资基金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24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交银启通灵活配置混合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w:t>
      </w:r>
      <w:r w:rsidRPr="007F52FA">
        <w:rPr>
          <w:color w:val="000000"/>
          <w:sz w:val="24"/>
        </w:rPr>
        <w:lastRenderedPageBreak/>
        <w:t>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交银启通灵活配置混合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F6DE9">
        <w:trPr>
          <w:jc w:val="center"/>
        </w:trPr>
        <w:tc>
          <w:tcPr>
            <w:tcW w:w="946" w:type="dxa"/>
            <w:vAlign w:val="center"/>
          </w:tcPr>
          <w:p w:rsidR="00EF6DE9" w:rsidRDefault="000C5A26">
            <w:pPr>
              <w:jc w:val="center"/>
            </w:pPr>
            <w:r>
              <w:rPr>
                <w:color w:val="000000"/>
                <w:sz w:val="24"/>
              </w:rPr>
              <w:t>李娜</w:t>
            </w:r>
          </w:p>
        </w:tc>
        <w:tc>
          <w:tcPr>
            <w:tcW w:w="924" w:type="dxa"/>
            <w:vAlign w:val="center"/>
          </w:tcPr>
          <w:p w:rsidR="00EF6DE9" w:rsidRDefault="000C5A26">
            <w:pPr>
              <w:jc w:val="center"/>
            </w:pPr>
            <w:r>
              <w:rPr>
                <w:color w:val="000000"/>
                <w:sz w:val="24"/>
              </w:rPr>
              <w:t>交银周期回报灵活配置</w:t>
            </w:r>
            <w:r>
              <w:rPr>
                <w:color w:val="000000"/>
                <w:sz w:val="24"/>
              </w:rPr>
              <w:lastRenderedPageBreak/>
              <w:t>混合、交银新回报灵活配置混合、交银多策略回报灵活配置混合、交银卓越回报灵活配置混合、交银优选回报灵活配置混合、交银优择回报灵活配置混合、交银领先回报灵活配置混合、交银瑞鑫定期开放灵活配置混合、</w:t>
            </w:r>
            <w:r>
              <w:rPr>
                <w:color w:val="000000"/>
                <w:sz w:val="24"/>
              </w:rPr>
              <w:lastRenderedPageBreak/>
              <w:t>交银瑞景定期开放灵活配置混合、交银启通灵活配置混合、交银瑞利定期开放灵活配置混合、交银瑞安定期开放灵活配置混合的基金经理</w:t>
            </w:r>
          </w:p>
        </w:tc>
        <w:tc>
          <w:tcPr>
            <w:tcW w:w="1202" w:type="dxa"/>
            <w:vAlign w:val="center"/>
          </w:tcPr>
          <w:p w:rsidR="00EF6DE9" w:rsidRDefault="000C5A26">
            <w:pPr>
              <w:jc w:val="center"/>
            </w:pPr>
            <w:r>
              <w:rPr>
                <w:color w:val="000000"/>
                <w:sz w:val="24"/>
              </w:rPr>
              <w:lastRenderedPageBreak/>
              <w:t>2017-03-31</w:t>
            </w:r>
          </w:p>
        </w:tc>
        <w:tc>
          <w:tcPr>
            <w:tcW w:w="1300" w:type="dxa"/>
            <w:vAlign w:val="center"/>
          </w:tcPr>
          <w:p w:rsidR="00EF6DE9" w:rsidRDefault="000C5A26">
            <w:pPr>
              <w:jc w:val="center"/>
            </w:pPr>
            <w:r>
              <w:rPr>
                <w:color w:val="000000"/>
                <w:sz w:val="24"/>
              </w:rPr>
              <w:t>-</w:t>
            </w:r>
          </w:p>
        </w:tc>
        <w:tc>
          <w:tcPr>
            <w:tcW w:w="1245" w:type="dxa"/>
            <w:vAlign w:val="center"/>
          </w:tcPr>
          <w:p w:rsidR="00EF6DE9" w:rsidRDefault="000C5A26">
            <w:pPr>
              <w:jc w:val="center"/>
            </w:pPr>
            <w:r>
              <w:rPr>
                <w:color w:val="000000"/>
                <w:sz w:val="24"/>
              </w:rPr>
              <w:t>8</w:t>
            </w:r>
            <w:r>
              <w:rPr>
                <w:color w:val="000000"/>
                <w:sz w:val="24"/>
              </w:rPr>
              <w:t>年</w:t>
            </w:r>
          </w:p>
        </w:tc>
        <w:tc>
          <w:tcPr>
            <w:tcW w:w="3251" w:type="dxa"/>
            <w:vAlign w:val="center"/>
          </w:tcPr>
          <w:p w:rsidR="00EF6DE9" w:rsidRDefault="000C5A2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w:t>
            </w:r>
            <w:r>
              <w:rPr>
                <w:color w:val="000000"/>
                <w:sz w:val="24"/>
              </w:rPr>
              <w:lastRenderedPageBreak/>
              <w:t>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F6DE9" w:rsidRDefault="000C5A2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EF6DE9" w:rsidRDefault="000C5A2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F6DE9" w:rsidRDefault="000C5A2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F6DE9" w:rsidRDefault="000C5A26">
      <w:pPr>
        <w:spacing w:before="29" w:line="288" w:lineRule="auto"/>
        <w:ind w:firstLineChars="200" w:firstLine="480"/>
        <w:rPr>
          <w:color w:val="000000"/>
          <w:sz w:val="24"/>
        </w:rPr>
      </w:pPr>
      <w:r>
        <w:rPr>
          <w:color w:val="000000"/>
          <w:sz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股票市场则在海外市场回调、风险偏好摆动和流动性边际宽松等因素带动下，出现了风格切换。同期债券收益率在一月中后旬触及历史高点后，开启了一波下行，其中经济增长态势趋缓、美联储加息靴子落地、狭义流动性边际宽松等因素成为债券市场收益率变动的主要原因。报告期内，上证综指和创业板指分别下行</w:t>
      </w:r>
      <w:r>
        <w:rPr>
          <w:color w:val="000000"/>
          <w:sz w:val="24"/>
        </w:rPr>
        <w:t>4.18%</w:t>
      </w:r>
      <w:r>
        <w:rPr>
          <w:color w:val="000000"/>
          <w:sz w:val="24"/>
        </w:rPr>
        <w:t>和上行</w:t>
      </w:r>
      <w:r>
        <w:rPr>
          <w:color w:val="000000"/>
          <w:sz w:val="24"/>
        </w:rPr>
        <w:t>8.43%</w:t>
      </w:r>
      <w:r>
        <w:rPr>
          <w:color w:val="000000"/>
          <w:sz w:val="24"/>
        </w:rPr>
        <w:t>，</w:t>
      </w:r>
      <w:r>
        <w:rPr>
          <w:color w:val="000000"/>
          <w:sz w:val="24"/>
        </w:rPr>
        <w:t>10</w:t>
      </w:r>
      <w:r>
        <w:rPr>
          <w:color w:val="000000"/>
          <w:sz w:val="24"/>
        </w:rPr>
        <w:t>年期国债收益率下行</w:t>
      </w:r>
      <w:r>
        <w:rPr>
          <w:color w:val="000000"/>
          <w:sz w:val="24"/>
        </w:rPr>
        <w:t>14BP</w:t>
      </w:r>
      <w:r>
        <w:rPr>
          <w:color w:val="000000"/>
          <w:sz w:val="24"/>
        </w:rPr>
        <w:t>至</w:t>
      </w:r>
      <w:r>
        <w:rPr>
          <w:color w:val="000000"/>
          <w:sz w:val="24"/>
        </w:rPr>
        <w:t>3.74%</w:t>
      </w:r>
      <w:r>
        <w:rPr>
          <w:color w:val="000000"/>
          <w:sz w:val="24"/>
        </w:rPr>
        <w:t>，</w:t>
      </w:r>
      <w:r>
        <w:rPr>
          <w:color w:val="000000"/>
          <w:sz w:val="24"/>
        </w:rPr>
        <w:t>10</w:t>
      </w:r>
      <w:r>
        <w:rPr>
          <w:color w:val="000000"/>
          <w:sz w:val="24"/>
        </w:rPr>
        <w:t>年期国开债收益率下行</w:t>
      </w:r>
      <w:r>
        <w:rPr>
          <w:color w:val="000000"/>
          <w:sz w:val="24"/>
        </w:rPr>
        <w:t>18BP</w:t>
      </w:r>
      <w:r>
        <w:rPr>
          <w:color w:val="000000"/>
          <w:sz w:val="24"/>
        </w:rPr>
        <w:t>到</w:t>
      </w:r>
      <w:r>
        <w:rPr>
          <w:color w:val="000000"/>
          <w:sz w:val="24"/>
        </w:rPr>
        <w:t>4.65%</w:t>
      </w:r>
      <w:r>
        <w:rPr>
          <w:color w:val="000000"/>
          <w:sz w:val="24"/>
        </w:rPr>
        <w:t>。</w:t>
      </w:r>
    </w:p>
    <w:p w:rsidR="00EF6DE9" w:rsidRDefault="000C5A26">
      <w:pPr>
        <w:spacing w:before="29" w:line="288" w:lineRule="auto"/>
        <w:ind w:firstLineChars="200" w:firstLine="480"/>
        <w:rPr>
          <w:color w:val="000000"/>
          <w:sz w:val="24"/>
        </w:rPr>
      </w:pPr>
      <w:r>
        <w:rPr>
          <w:color w:val="000000"/>
          <w:sz w:val="24"/>
        </w:rPr>
        <w:t>策略层面，本基金重点关注短久期信用债以及同业存单的配置价值，同时保持组合流动性。积极关注新股发行动态，进行权益一级市场投资，同时也关注二级市场的投资机会，从各方面争取为持有人赚取回报。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年二季度，基本面在一季度的复杂分化或将逐步清晰，通胀在春节后的</w:t>
      </w:r>
      <w:r w:rsidRPr="007F52FA">
        <w:rPr>
          <w:color w:val="000000"/>
          <w:sz w:val="24"/>
        </w:rPr>
        <w:lastRenderedPageBreak/>
        <w:t>回落确定性虽高，但仍需关注原油走势和中美贸易摩擦带来的预期变化，警惕中美贸易战升级带来的风险发酵。在货币政策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短端利率或受益于狭义流动性改善维持中低位，但长端收益率的进一步下行需要基本面和政策面的进一步支持。我们将密切关注资管新规的落地实施、中美贸易摩擦发展、通胀预期变化、海外货币政策变化等因素对市场的影响。股票方面，力争继续保持稳健、审慎投资，债券方面，保持组合流动性，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日，交银启通</w:t>
      </w:r>
      <w:r w:rsidRPr="007F52FA">
        <w:rPr>
          <w:color w:val="000000"/>
          <w:sz w:val="24"/>
        </w:rPr>
        <w:t>A</w:t>
      </w:r>
      <w:r w:rsidRPr="007F52FA">
        <w:rPr>
          <w:color w:val="000000"/>
          <w:sz w:val="24"/>
        </w:rPr>
        <w:t>份额净值为</w:t>
      </w:r>
      <w:r w:rsidRPr="007F52FA">
        <w:rPr>
          <w:color w:val="000000"/>
          <w:sz w:val="24"/>
        </w:rPr>
        <w:t>1.0599</w:t>
      </w:r>
      <w:r w:rsidRPr="007F52FA">
        <w:rPr>
          <w:color w:val="000000"/>
          <w:sz w:val="24"/>
        </w:rPr>
        <w:t>元，本报告期份额净值增长率为</w:t>
      </w:r>
      <w:r w:rsidRPr="007F52FA">
        <w:rPr>
          <w:color w:val="000000"/>
          <w:sz w:val="24"/>
        </w:rPr>
        <w:t>0.91%</w:t>
      </w:r>
      <w:r w:rsidRPr="007F52FA">
        <w:rPr>
          <w:color w:val="000000"/>
          <w:sz w:val="24"/>
        </w:rPr>
        <w:t>，同期业绩比较基准增长率为</w:t>
      </w:r>
      <w:r w:rsidRPr="007F52FA">
        <w:rPr>
          <w:color w:val="000000"/>
          <w:sz w:val="24"/>
        </w:rPr>
        <w:t>-0.99%</w:t>
      </w:r>
      <w:r w:rsidRPr="007F52FA">
        <w:rPr>
          <w:color w:val="000000"/>
          <w:sz w:val="24"/>
        </w:rPr>
        <w:t>；交银启通</w:t>
      </w:r>
      <w:r w:rsidRPr="007F52FA">
        <w:rPr>
          <w:color w:val="000000"/>
          <w:sz w:val="24"/>
        </w:rPr>
        <w:t>C</w:t>
      </w:r>
      <w:r w:rsidRPr="007F52FA">
        <w:rPr>
          <w:color w:val="000000"/>
          <w:sz w:val="24"/>
        </w:rPr>
        <w:t>份额净值为</w:t>
      </w:r>
      <w:r w:rsidRPr="007F52FA">
        <w:rPr>
          <w:color w:val="000000"/>
          <w:sz w:val="24"/>
        </w:rPr>
        <w:t>1.0602</w:t>
      </w:r>
      <w:r w:rsidRPr="007F52FA">
        <w:rPr>
          <w:color w:val="000000"/>
          <w:sz w:val="24"/>
        </w:rPr>
        <w:t>元，本报告期份额净值增长率为</w:t>
      </w:r>
      <w:r w:rsidRPr="007F52FA">
        <w:rPr>
          <w:color w:val="000000"/>
          <w:sz w:val="24"/>
        </w:rPr>
        <w:t>0.90%</w:t>
      </w:r>
      <w:r w:rsidRPr="007F52FA">
        <w:rPr>
          <w:color w:val="000000"/>
          <w:sz w:val="24"/>
        </w:rPr>
        <w:t>，同期业绩比较基准增长率为</w:t>
      </w:r>
      <w:r w:rsidRPr="007F52FA">
        <w:rPr>
          <w:color w:val="000000"/>
          <w:sz w:val="24"/>
        </w:rPr>
        <w:t>-0.99%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w:t>
            </w:r>
            <w:r w:rsidRPr="0028293E">
              <w:rPr>
                <w:rFonts w:eastAsiaTheme="minorEastAsia"/>
                <w:color w:val="000000" w:themeColor="text1"/>
                <w:sz w:val="24"/>
              </w:rPr>
              <w:lastRenderedPageBreak/>
              <w:t>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lastRenderedPageBreak/>
              <w:t>3,579,425.29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66,878.46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3,646,303.75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8"/>
        <w:gridCol w:w="4844"/>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46,726.34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20,152.12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66,878.46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D35BB5"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D35BB5">
        <w:rPr>
          <w:rFonts w:eastAsiaTheme="minorEastAsia"/>
          <w:color w:val="000000" w:themeColor="text1"/>
          <w:kern w:val="0"/>
          <w:sz w:val="24"/>
          <w:szCs w:val="24"/>
        </w:rPr>
        <w:t>§6</w:t>
      </w:r>
      <w:r w:rsidRPr="00D35BB5">
        <w:rPr>
          <w:rFonts w:eastAsiaTheme="minorEastAsia" w:hint="eastAsia"/>
          <w:color w:val="000000" w:themeColor="text1"/>
          <w:kern w:val="0"/>
          <w:sz w:val="24"/>
          <w:szCs w:val="24"/>
        </w:rPr>
        <w:t xml:space="preserve">  </w:t>
      </w:r>
      <w:r w:rsidRPr="00D35BB5">
        <w:rPr>
          <w:rFonts w:eastAsiaTheme="minorEastAsia" w:hint="eastAsia"/>
          <w:color w:val="000000" w:themeColor="text1"/>
          <w:kern w:val="0"/>
          <w:sz w:val="24"/>
          <w:szCs w:val="24"/>
        </w:rPr>
        <w:t>基金中基金</w:t>
      </w:r>
    </w:p>
    <w:p w:rsidR="00C51B4E" w:rsidRPr="00D35BB5" w:rsidRDefault="00C51B4E" w:rsidP="00C51B4E">
      <w:pPr>
        <w:adjustRightInd w:val="0"/>
        <w:snapToGrid w:val="0"/>
        <w:spacing w:line="360" w:lineRule="auto"/>
        <w:rPr>
          <w:rFonts w:eastAsiaTheme="minorEastAsia"/>
          <w:b/>
          <w:color w:val="000000" w:themeColor="text1"/>
          <w:kern w:val="0"/>
          <w:sz w:val="24"/>
        </w:rPr>
      </w:pPr>
      <w:r w:rsidRPr="00D35BB5">
        <w:rPr>
          <w:rFonts w:eastAsiaTheme="minorEastAsia"/>
          <w:b/>
          <w:color w:val="000000" w:themeColor="text1"/>
          <w:kern w:val="0"/>
          <w:sz w:val="24"/>
        </w:rPr>
        <w:t>6.1</w:t>
      </w:r>
      <w:r w:rsidRPr="00D35BB5">
        <w:rPr>
          <w:rFonts w:eastAsiaTheme="minorEastAsia" w:hint="eastAsia"/>
          <w:b/>
          <w:color w:val="000000" w:themeColor="text1"/>
          <w:kern w:val="0"/>
          <w:sz w:val="24"/>
        </w:rPr>
        <w:t xml:space="preserve"> </w:t>
      </w:r>
      <w:r w:rsidRPr="00D35BB5">
        <w:rPr>
          <w:rFonts w:eastAsiaTheme="minorEastAsia" w:hint="eastAsia"/>
          <w:b/>
          <w:color w:val="000000" w:themeColor="text1"/>
          <w:kern w:val="0"/>
          <w:sz w:val="24"/>
        </w:rPr>
        <w:t>报告期末按公允价值占基金资产净值比例大小排序的前十名基金投资明细</w:t>
      </w:r>
    </w:p>
    <w:p w:rsidR="00C51B4E" w:rsidRPr="00D35BB5"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D35BB5">
        <w:rPr>
          <w:rFonts w:eastAsiaTheme="minorEastAsia"/>
          <w:color w:val="000000" w:themeColor="text1"/>
          <w:sz w:val="24"/>
        </w:rPr>
        <w:t>本基金本报告期末未持有基金。</w:t>
      </w:r>
    </w:p>
    <w:p w:rsidR="00C51B4E" w:rsidRPr="00D35BB5" w:rsidRDefault="00C51B4E" w:rsidP="0028293E">
      <w:pPr>
        <w:adjustRightInd w:val="0"/>
        <w:snapToGrid w:val="0"/>
        <w:spacing w:beforeLines="50" w:before="156" w:line="360" w:lineRule="auto"/>
        <w:rPr>
          <w:rFonts w:eastAsiaTheme="minorEastAsia"/>
          <w:b/>
          <w:color w:val="000000" w:themeColor="text1"/>
          <w:kern w:val="0"/>
          <w:sz w:val="24"/>
        </w:rPr>
      </w:pPr>
      <w:r w:rsidRPr="00D35BB5">
        <w:rPr>
          <w:rFonts w:eastAsiaTheme="minorEastAsia"/>
          <w:b/>
          <w:color w:val="000000" w:themeColor="text1"/>
          <w:kern w:val="0"/>
          <w:sz w:val="24"/>
        </w:rPr>
        <w:lastRenderedPageBreak/>
        <w:t>6.2</w:t>
      </w:r>
      <w:r w:rsidRPr="00D35BB5">
        <w:rPr>
          <w:rFonts w:eastAsiaTheme="minorEastAsia" w:hint="eastAsia"/>
          <w:b/>
          <w:color w:val="000000" w:themeColor="text1"/>
          <w:kern w:val="0"/>
          <w:sz w:val="24"/>
        </w:rPr>
        <w:t xml:space="preserve"> </w:t>
      </w:r>
      <w:r w:rsidRPr="00D35BB5">
        <w:rPr>
          <w:rFonts w:eastAsiaTheme="minorEastAsia" w:hint="eastAsia"/>
          <w:b/>
          <w:color w:val="000000" w:themeColor="text1"/>
          <w:kern w:val="0"/>
          <w:sz w:val="24"/>
        </w:rPr>
        <w:t>当期交易及持有基金产生的费用</w:t>
      </w:r>
    </w:p>
    <w:p w:rsidR="00C51B4E" w:rsidRPr="00D35BB5"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D35BB5">
        <w:rPr>
          <w:rFonts w:eastAsiaTheme="minorEastAsia"/>
          <w:color w:val="000000" w:themeColor="text1"/>
          <w:sz w:val="24"/>
        </w:rPr>
        <w:t>本基金本报告期内未交易或持有基金。</w:t>
      </w:r>
    </w:p>
    <w:p w:rsidR="00D35BB5" w:rsidRPr="00D35BB5" w:rsidRDefault="00D35BB5" w:rsidP="00D35BB5">
      <w:pPr>
        <w:adjustRightInd w:val="0"/>
        <w:snapToGrid w:val="0"/>
        <w:spacing w:beforeLines="50" w:before="156" w:line="360" w:lineRule="auto"/>
        <w:rPr>
          <w:rFonts w:eastAsiaTheme="minorEastAsia"/>
          <w:b/>
          <w:color w:val="000000" w:themeColor="text1"/>
          <w:kern w:val="0"/>
          <w:sz w:val="24"/>
        </w:rPr>
      </w:pPr>
      <w:r w:rsidRPr="00D35BB5">
        <w:rPr>
          <w:rFonts w:eastAsiaTheme="minorEastAsia"/>
          <w:b/>
          <w:color w:val="000000" w:themeColor="text1"/>
          <w:kern w:val="0"/>
          <w:sz w:val="24"/>
        </w:rPr>
        <w:t xml:space="preserve">6.3 </w:t>
      </w:r>
      <w:r w:rsidRPr="00D35BB5">
        <w:rPr>
          <w:rFonts w:eastAsiaTheme="minorEastAsia" w:hint="eastAsia"/>
          <w:b/>
          <w:color w:val="000000" w:themeColor="text1"/>
          <w:kern w:val="0"/>
          <w:sz w:val="24"/>
        </w:rPr>
        <w:t>本报告期持有的基金发生的重大影响事件</w:t>
      </w:r>
    </w:p>
    <w:p w:rsidR="00D35BB5" w:rsidRPr="00D35BB5" w:rsidRDefault="00D35BB5" w:rsidP="00D35BB5">
      <w:pPr>
        <w:autoSpaceDE w:val="0"/>
        <w:autoSpaceDN w:val="0"/>
        <w:adjustRightInd w:val="0"/>
        <w:spacing w:line="360" w:lineRule="auto"/>
        <w:ind w:firstLineChars="200" w:firstLine="480"/>
        <w:jc w:val="left"/>
        <w:rPr>
          <w:rFonts w:eastAsiaTheme="minorEastAsia"/>
          <w:color w:val="000000" w:themeColor="text1"/>
          <w:sz w:val="24"/>
        </w:rPr>
      </w:pPr>
      <w:r w:rsidRPr="00D35BB5">
        <w:rPr>
          <w:rFonts w:eastAsiaTheme="minorEastAsia" w:hint="eastAsia"/>
          <w:color w:val="000000" w:themeColor="text1"/>
          <w:sz w:val="24"/>
        </w:rPr>
        <w:t>无。</w:t>
      </w:r>
    </w:p>
    <w:p w:rsidR="00D35BB5" w:rsidRPr="00D35BB5" w:rsidRDefault="00D35BB5"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交银启通灵活配置混合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交银启通灵活配置混合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200,049,850.47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1,431.40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7,423.90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197,043,149.13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162.26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3,006,701.34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8,693.04</w:t>
            </w:r>
          </w:p>
        </w:tc>
      </w:tr>
    </w:tbl>
    <w:p w:rsidR="00EF6DE9" w:rsidRDefault="000C5A2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w:t>
            </w:r>
            <w:r>
              <w:rPr>
                <w:rFonts w:ascii="宋体" w:hAnsi="宋体" w:hint="eastAsia"/>
                <w:color w:val="000000"/>
                <w:kern w:val="0"/>
                <w:szCs w:val="21"/>
              </w:rPr>
              <w:lastRenderedPageBreak/>
              <w:t xml:space="preserve">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F6DE9">
        <w:tc>
          <w:tcPr>
            <w:tcW w:w="992" w:type="dxa"/>
            <w:vMerge w:val="restart"/>
          </w:tcPr>
          <w:p w:rsidR="00EF6DE9" w:rsidRDefault="00EF6DE9"/>
          <w:p w:rsidR="00EF6DE9" w:rsidRDefault="000C5A26">
            <w:r>
              <w:rPr>
                <w:rFonts w:ascii="宋体" w:hAnsi="宋体" w:hint="eastAsia"/>
                <w:bCs/>
                <w:color w:val="000000"/>
                <w:kern w:val="0"/>
                <w:szCs w:val="21"/>
              </w:rPr>
              <w:t>机构</w:t>
            </w:r>
          </w:p>
        </w:tc>
        <w:tc>
          <w:tcPr>
            <w:tcW w:w="991" w:type="dxa"/>
            <w:vAlign w:val="center"/>
          </w:tcPr>
          <w:p w:rsidR="00EF6DE9" w:rsidRDefault="000C5A26">
            <w:pPr>
              <w:jc w:val="center"/>
            </w:pPr>
            <w:r>
              <w:rPr>
                <w:rFonts w:ascii="宋体" w:hAnsi="宋体" w:hint="eastAsia"/>
                <w:color w:val="000000"/>
                <w:kern w:val="0"/>
                <w:szCs w:val="21"/>
              </w:rPr>
              <w:t>1</w:t>
            </w:r>
          </w:p>
        </w:tc>
        <w:tc>
          <w:tcPr>
            <w:tcW w:w="1843" w:type="dxa"/>
            <w:vAlign w:val="center"/>
          </w:tcPr>
          <w:p w:rsidR="00EF6DE9" w:rsidRDefault="000C5A26">
            <w:pPr>
              <w:jc w:val="center"/>
            </w:pPr>
            <w:r>
              <w:rPr>
                <w:rFonts w:ascii="宋体" w:hAnsi="宋体" w:hint="eastAsia"/>
                <w:color w:val="000000"/>
                <w:kern w:val="0"/>
                <w:szCs w:val="21"/>
              </w:rPr>
              <w:t>2018/1/1-2018/3/31</w:t>
            </w:r>
          </w:p>
        </w:tc>
        <w:tc>
          <w:tcPr>
            <w:tcW w:w="851" w:type="dxa"/>
            <w:vAlign w:val="center"/>
          </w:tcPr>
          <w:p w:rsidR="00EF6DE9" w:rsidRDefault="000C5A26">
            <w:pPr>
              <w:jc w:val="center"/>
            </w:pPr>
            <w:r>
              <w:rPr>
                <w:rFonts w:ascii="宋体" w:hAnsi="宋体" w:hint="eastAsia"/>
                <w:color w:val="000000"/>
                <w:kern w:val="0"/>
                <w:szCs w:val="21"/>
              </w:rPr>
              <w:t>100,026,000.00</w:t>
            </w:r>
          </w:p>
        </w:tc>
        <w:tc>
          <w:tcPr>
            <w:tcW w:w="850" w:type="dxa"/>
            <w:vAlign w:val="center"/>
          </w:tcPr>
          <w:p w:rsidR="00EF6DE9" w:rsidRDefault="000C5A26">
            <w:pPr>
              <w:jc w:val="center"/>
            </w:pPr>
            <w:r>
              <w:rPr>
                <w:rFonts w:ascii="宋体" w:hAnsi="宋体" w:hint="eastAsia"/>
                <w:color w:val="000000"/>
                <w:kern w:val="0"/>
                <w:szCs w:val="21"/>
              </w:rPr>
              <w:t>-</w:t>
            </w:r>
          </w:p>
        </w:tc>
        <w:tc>
          <w:tcPr>
            <w:tcW w:w="1134" w:type="dxa"/>
            <w:vAlign w:val="center"/>
          </w:tcPr>
          <w:p w:rsidR="00EF6DE9" w:rsidRDefault="000C5A26">
            <w:pPr>
              <w:jc w:val="center"/>
            </w:pPr>
            <w:r>
              <w:rPr>
                <w:rFonts w:ascii="宋体" w:hAnsi="宋体" w:hint="eastAsia"/>
                <w:color w:val="000000"/>
                <w:kern w:val="0"/>
                <w:szCs w:val="21"/>
              </w:rPr>
              <w:t>97,026,000.00</w:t>
            </w:r>
          </w:p>
        </w:tc>
        <w:tc>
          <w:tcPr>
            <w:tcW w:w="1419" w:type="dxa"/>
            <w:vAlign w:val="center"/>
          </w:tcPr>
          <w:p w:rsidR="00EF6DE9" w:rsidRDefault="000C5A26">
            <w:pPr>
              <w:jc w:val="center"/>
            </w:pPr>
            <w:r>
              <w:rPr>
                <w:rFonts w:ascii="宋体" w:hAnsi="宋体" w:hint="eastAsia"/>
                <w:color w:val="000000"/>
                <w:kern w:val="0"/>
                <w:szCs w:val="21"/>
              </w:rPr>
              <w:t>3,000,000.00</w:t>
            </w:r>
          </w:p>
        </w:tc>
        <w:tc>
          <w:tcPr>
            <w:tcW w:w="1130" w:type="dxa"/>
            <w:vAlign w:val="center"/>
          </w:tcPr>
          <w:p w:rsidR="00EF6DE9" w:rsidRDefault="000C5A26">
            <w:pPr>
              <w:jc w:val="center"/>
            </w:pPr>
            <w:r>
              <w:rPr>
                <w:rFonts w:ascii="宋体" w:hAnsi="宋体" w:hint="eastAsia"/>
                <w:color w:val="000000"/>
                <w:kern w:val="0"/>
                <w:szCs w:val="21"/>
              </w:rPr>
              <w:t>99.49%</w:t>
            </w:r>
          </w:p>
        </w:tc>
      </w:tr>
      <w:tr w:rsidR="00EF6DE9">
        <w:tc>
          <w:tcPr>
            <w:tcW w:w="992" w:type="dxa"/>
            <w:vMerge/>
          </w:tcPr>
          <w:p w:rsidR="00EF6DE9" w:rsidRDefault="00EF6DE9"/>
        </w:tc>
        <w:tc>
          <w:tcPr>
            <w:tcW w:w="991" w:type="dxa"/>
            <w:vAlign w:val="center"/>
          </w:tcPr>
          <w:p w:rsidR="00EF6DE9" w:rsidRDefault="000C5A26">
            <w:pPr>
              <w:jc w:val="center"/>
            </w:pPr>
            <w:r>
              <w:rPr>
                <w:rFonts w:ascii="宋体" w:hAnsi="宋体" w:hint="eastAsia"/>
                <w:color w:val="000000"/>
                <w:kern w:val="0"/>
                <w:szCs w:val="21"/>
              </w:rPr>
              <w:t>2</w:t>
            </w:r>
          </w:p>
        </w:tc>
        <w:tc>
          <w:tcPr>
            <w:tcW w:w="1843" w:type="dxa"/>
            <w:vAlign w:val="center"/>
          </w:tcPr>
          <w:p w:rsidR="00EF6DE9" w:rsidRDefault="000C5A26">
            <w:pPr>
              <w:jc w:val="center"/>
            </w:pPr>
            <w:r>
              <w:rPr>
                <w:rFonts w:ascii="宋体" w:hAnsi="宋体" w:hint="eastAsia"/>
                <w:color w:val="000000"/>
                <w:kern w:val="0"/>
                <w:szCs w:val="21"/>
              </w:rPr>
              <w:t>2018/1/1-2018/3/31</w:t>
            </w:r>
          </w:p>
        </w:tc>
        <w:tc>
          <w:tcPr>
            <w:tcW w:w="851" w:type="dxa"/>
            <w:vAlign w:val="center"/>
          </w:tcPr>
          <w:p w:rsidR="00EF6DE9" w:rsidRDefault="000C5A26">
            <w:pPr>
              <w:jc w:val="center"/>
            </w:pPr>
            <w:r>
              <w:rPr>
                <w:rFonts w:ascii="宋体" w:hAnsi="宋体" w:hint="eastAsia"/>
                <w:color w:val="000000"/>
                <w:kern w:val="0"/>
                <w:szCs w:val="21"/>
              </w:rPr>
              <w:t>100,017,000.00</w:t>
            </w:r>
          </w:p>
        </w:tc>
        <w:tc>
          <w:tcPr>
            <w:tcW w:w="850" w:type="dxa"/>
            <w:vAlign w:val="center"/>
          </w:tcPr>
          <w:p w:rsidR="00EF6DE9" w:rsidRDefault="000C5A26">
            <w:pPr>
              <w:jc w:val="center"/>
            </w:pPr>
            <w:r>
              <w:rPr>
                <w:rFonts w:ascii="宋体" w:hAnsi="宋体" w:hint="eastAsia"/>
                <w:color w:val="000000"/>
                <w:kern w:val="0"/>
                <w:szCs w:val="21"/>
              </w:rPr>
              <w:t>-</w:t>
            </w:r>
          </w:p>
        </w:tc>
        <w:tc>
          <w:tcPr>
            <w:tcW w:w="1134" w:type="dxa"/>
            <w:vAlign w:val="center"/>
          </w:tcPr>
          <w:p w:rsidR="00EF6DE9" w:rsidRDefault="000C5A26">
            <w:pPr>
              <w:jc w:val="center"/>
            </w:pPr>
            <w:r>
              <w:rPr>
                <w:rFonts w:ascii="宋体" w:hAnsi="宋体" w:hint="eastAsia"/>
                <w:color w:val="000000"/>
                <w:kern w:val="0"/>
                <w:szCs w:val="21"/>
              </w:rPr>
              <w:t>100,017,000.00</w:t>
            </w:r>
          </w:p>
        </w:tc>
        <w:tc>
          <w:tcPr>
            <w:tcW w:w="1419" w:type="dxa"/>
            <w:vAlign w:val="center"/>
          </w:tcPr>
          <w:p w:rsidR="00EF6DE9" w:rsidRDefault="000C5A26">
            <w:pPr>
              <w:jc w:val="center"/>
            </w:pPr>
            <w:r>
              <w:rPr>
                <w:rFonts w:ascii="宋体" w:hAnsi="宋体" w:hint="eastAsia"/>
                <w:color w:val="000000"/>
                <w:kern w:val="0"/>
                <w:szCs w:val="21"/>
              </w:rPr>
              <w:t>-</w:t>
            </w:r>
          </w:p>
        </w:tc>
        <w:tc>
          <w:tcPr>
            <w:tcW w:w="1130" w:type="dxa"/>
            <w:vAlign w:val="center"/>
          </w:tcPr>
          <w:p w:rsidR="00EF6DE9" w:rsidRDefault="000C5A26">
            <w:pPr>
              <w:jc w:val="center"/>
            </w:pPr>
            <w:r>
              <w:rPr>
                <w:rFonts w:ascii="宋体" w:hAnsi="宋体" w:hint="eastAsia"/>
                <w:color w:val="000000"/>
                <w:kern w:val="0"/>
                <w:szCs w:val="21"/>
              </w:rPr>
              <w:t>-</w:t>
            </w:r>
          </w:p>
        </w:tc>
      </w:tr>
      <w:tr w:rsidR="00ED0E09" w:rsidRPr="007B1966"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7B1966" w:rsidRDefault="00ED0E09">
            <w:pPr>
              <w:autoSpaceDE w:val="0"/>
              <w:autoSpaceDN w:val="0"/>
              <w:adjustRightInd w:val="0"/>
              <w:jc w:val="center"/>
              <w:rPr>
                <w:rFonts w:ascii="宋体" w:hAnsi="宋体"/>
                <w:kern w:val="0"/>
                <w:sz w:val="24"/>
              </w:rPr>
            </w:pPr>
            <w:r w:rsidRPr="007B1966">
              <w:rPr>
                <w:rFonts w:ascii="宋体" w:hAnsi="宋体" w:hint="eastAsia"/>
                <w:color w:val="000000"/>
                <w:kern w:val="0"/>
                <w:sz w:val="24"/>
              </w:rPr>
              <w:t>产品特有风险</w:t>
            </w:r>
          </w:p>
        </w:tc>
      </w:tr>
      <w:tr w:rsidR="00ED0E09" w:rsidRPr="007B1966"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7B1966" w:rsidRDefault="00ED0E09">
            <w:pPr>
              <w:autoSpaceDE w:val="0"/>
              <w:autoSpaceDN w:val="0"/>
              <w:adjustRightInd w:val="0"/>
              <w:jc w:val="left"/>
              <w:rPr>
                <w:rFonts w:ascii="宋体" w:hAnsi="宋体"/>
                <w:kern w:val="0"/>
                <w:sz w:val="24"/>
              </w:rPr>
            </w:pPr>
            <w:r w:rsidRPr="007B1966">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B1966" w:rsidRDefault="007B1966" w:rsidP="00ED0E09">
      <w:pPr>
        <w:autoSpaceDE w:val="0"/>
        <w:autoSpaceDN w:val="0"/>
        <w:adjustRightInd w:val="0"/>
        <w:spacing w:line="360" w:lineRule="auto"/>
        <w:jc w:val="left"/>
        <w:rPr>
          <w:rFonts w:ascii="宋体" w:hAnsi="宋体"/>
          <w:b/>
          <w:bCs/>
          <w:color w:val="000000"/>
          <w:kern w:val="0"/>
          <w:sz w:val="24"/>
        </w:rPr>
      </w:pPr>
    </w:p>
    <w:p w:rsidR="00ED0E09" w:rsidRPr="007B1966" w:rsidRDefault="00ED0E09" w:rsidP="00ED0E09">
      <w:pPr>
        <w:autoSpaceDE w:val="0"/>
        <w:autoSpaceDN w:val="0"/>
        <w:adjustRightInd w:val="0"/>
        <w:spacing w:line="360" w:lineRule="auto"/>
        <w:jc w:val="left"/>
        <w:rPr>
          <w:rFonts w:ascii="宋体" w:hAnsi="宋体"/>
          <w:b/>
          <w:bCs/>
          <w:color w:val="000000"/>
          <w:kern w:val="0"/>
          <w:sz w:val="24"/>
        </w:rPr>
      </w:pPr>
      <w:r w:rsidRPr="007B1966">
        <w:rPr>
          <w:rFonts w:ascii="宋体" w:hAnsi="宋体" w:hint="eastAsia"/>
          <w:b/>
          <w:bCs/>
          <w:color w:val="000000"/>
          <w:kern w:val="0"/>
          <w:sz w:val="24"/>
        </w:rPr>
        <w:t>9.2 影响投资者决策的其他重要信息</w:t>
      </w:r>
    </w:p>
    <w:p w:rsidR="00EF6DE9" w:rsidRPr="007B1966" w:rsidRDefault="000C5A26">
      <w:pPr>
        <w:spacing w:line="360" w:lineRule="auto"/>
        <w:ind w:firstLineChars="200" w:firstLine="480"/>
        <w:rPr>
          <w:rFonts w:ascii="宋体" w:hAnsi="宋体"/>
          <w:color w:val="000000"/>
          <w:sz w:val="24"/>
        </w:rPr>
      </w:pPr>
      <w:r w:rsidRPr="007B1966">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7B1966" w:rsidRDefault="00ED0E09" w:rsidP="00ED0E09">
      <w:pPr>
        <w:spacing w:line="360" w:lineRule="auto"/>
        <w:ind w:firstLineChars="200" w:firstLine="480"/>
        <w:rPr>
          <w:rFonts w:ascii="宋体" w:hAnsi="宋体"/>
          <w:color w:val="000000"/>
          <w:sz w:val="24"/>
        </w:rPr>
      </w:pPr>
      <w:r w:rsidRPr="007B1966">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、中国证监会准予交银施罗德启通灵活配置混合型证券投资基金募集注册的文件；</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、《交银施罗德启通灵活配置混合型证券投资基金基金合同》；</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、《交银施罗德启通灵活配置混合型证券投资基金招募说明书》；</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、《交银施罗德启通灵活配置混合型证券投资基金托管协议》；</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、关于申请募集注册交银施罗德启通灵活配置混合型证券投资基金的法律意见书；</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、报告期内交银施罗德启通灵活配置混合型证券投资基金在指定报刊上各项公告的原稿。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EF6DE9" w:rsidRDefault="000C5A2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C59" w:rsidRDefault="00DD3C59">
      <w:r>
        <w:separator/>
      </w:r>
    </w:p>
  </w:endnote>
  <w:endnote w:type="continuationSeparator" w:id="0">
    <w:p w:rsidR="00DD3C59" w:rsidRDefault="00DD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5B56E5">
      <w:rPr>
        <w:noProof/>
        <w:kern w:val="0"/>
        <w:szCs w:val="21"/>
      </w:rPr>
      <w:t>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5B56E5">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C59" w:rsidRDefault="00DD3C59">
      <w:r>
        <w:separator/>
      </w:r>
    </w:p>
  </w:footnote>
  <w:footnote w:type="continuationSeparator" w:id="0">
    <w:p w:rsidR="00DD3C59" w:rsidRDefault="00DD3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交银施罗德启通灵活配置混合型证券投资基金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5A2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56E5"/>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1F01"/>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1966"/>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5BB5"/>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3C59"/>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6DE9"/>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54495229">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049F7-C519-47E0-81ED-8DD41E03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207</TotalTime>
  <Pages>14</Pages>
  <Words>1121</Words>
  <Characters>6395</Characters>
  <Application>Microsoft Office Word</Application>
  <DocSecurity>0</DocSecurity>
  <Lines>53</Lines>
  <Paragraphs>15</Paragraphs>
  <ScaleCrop>false</ScaleCrop>
  <Company>TRT. Ltd. Co.</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378</cp:revision>
  <cp:lastPrinted>2007-07-19T00:46:00Z</cp:lastPrinted>
  <dcterms:created xsi:type="dcterms:W3CDTF">2014-01-17T06:19:00Z</dcterms:created>
  <dcterms:modified xsi:type="dcterms:W3CDTF">2018-04-19T01:40:00Z</dcterms:modified>
</cp:coreProperties>
</file>