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870AB" w:rsidRDefault="00B8036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300,044,117.54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0DD1" w:rsidRPr="00414345" w:rsidTr="00010DD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10DD1" w:rsidRPr="00414345" w:rsidTr="00010D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7,020,828.99</w:t>
            </w:r>
          </w:p>
        </w:tc>
      </w:tr>
      <w:tr w:rsidR="00010DD1" w:rsidRPr="00414345" w:rsidTr="00010D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4,051,978.75</w:t>
            </w:r>
          </w:p>
        </w:tc>
      </w:tr>
      <w:tr w:rsidR="00010DD1" w:rsidRPr="00414345" w:rsidTr="00010D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0.0135</w:t>
            </w:r>
          </w:p>
        </w:tc>
      </w:tr>
      <w:tr w:rsidR="00010DD1" w:rsidRPr="00414345" w:rsidTr="00010DD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333,912,864.10</w:t>
            </w:r>
          </w:p>
        </w:tc>
      </w:tr>
      <w:tr w:rsidR="00010DD1" w:rsidRPr="00414345" w:rsidTr="00010DD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1.1129</w:t>
            </w:r>
          </w:p>
        </w:tc>
      </w:tr>
    </w:tbl>
    <w:p w:rsidR="00A870AB" w:rsidRDefault="00B803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870AB">
        <w:trPr>
          <w:jc w:val="center"/>
        </w:trPr>
        <w:tc>
          <w:tcPr>
            <w:tcW w:w="1701" w:type="dxa"/>
            <w:vAlign w:val="center"/>
          </w:tcPr>
          <w:p w:rsidR="00A870AB" w:rsidRDefault="00B80361">
            <w:pPr>
              <w:jc w:val="left"/>
            </w:pPr>
            <w:r>
              <w:rPr>
                <w:color w:val="000000"/>
                <w:sz w:val="24"/>
                <w:szCs w:val="24"/>
              </w:rPr>
              <w:t>过去三个月</w:t>
            </w:r>
          </w:p>
        </w:tc>
        <w:tc>
          <w:tcPr>
            <w:tcW w:w="1045" w:type="dxa"/>
            <w:vAlign w:val="center"/>
          </w:tcPr>
          <w:p w:rsidR="00A870AB" w:rsidRDefault="00B80361">
            <w:pPr>
              <w:jc w:val="center"/>
            </w:pPr>
            <w:r>
              <w:rPr>
                <w:color w:val="000000"/>
                <w:sz w:val="24"/>
                <w:szCs w:val="24"/>
              </w:rPr>
              <w:t>1.23%</w:t>
            </w:r>
          </w:p>
        </w:tc>
        <w:tc>
          <w:tcPr>
            <w:tcW w:w="1344" w:type="dxa"/>
            <w:vAlign w:val="center"/>
          </w:tcPr>
          <w:p w:rsidR="00A870AB" w:rsidRDefault="00B80361">
            <w:pPr>
              <w:jc w:val="center"/>
            </w:pPr>
            <w:r>
              <w:rPr>
                <w:color w:val="000000"/>
                <w:sz w:val="24"/>
                <w:szCs w:val="24"/>
              </w:rPr>
              <w:t>0.24%</w:t>
            </w:r>
          </w:p>
        </w:tc>
        <w:tc>
          <w:tcPr>
            <w:tcW w:w="1194" w:type="dxa"/>
            <w:vAlign w:val="center"/>
          </w:tcPr>
          <w:p w:rsidR="00A870AB" w:rsidRDefault="00B80361">
            <w:pPr>
              <w:jc w:val="center"/>
            </w:pPr>
            <w:r>
              <w:rPr>
                <w:color w:val="000000"/>
                <w:sz w:val="24"/>
                <w:szCs w:val="24"/>
              </w:rPr>
              <w:t>-0.99%</w:t>
            </w:r>
          </w:p>
        </w:tc>
        <w:tc>
          <w:tcPr>
            <w:tcW w:w="1492" w:type="dxa"/>
            <w:vAlign w:val="center"/>
          </w:tcPr>
          <w:p w:rsidR="00A870AB" w:rsidRDefault="00B80361">
            <w:pPr>
              <w:jc w:val="center"/>
            </w:pPr>
            <w:r>
              <w:rPr>
                <w:color w:val="000000"/>
                <w:sz w:val="24"/>
                <w:szCs w:val="24"/>
              </w:rPr>
              <w:t>0.58%</w:t>
            </w:r>
          </w:p>
        </w:tc>
        <w:tc>
          <w:tcPr>
            <w:tcW w:w="1194" w:type="dxa"/>
            <w:vAlign w:val="center"/>
          </w:tcPr>
          <w:p w:rsidR="00A870AB" w:rsidRDefault="00B80361">
            <w:pPr>
              <w:jc w:val="center"/>
            </w:pPr>
            <w:r>
              <w:rPr>
                <w:color w:val="000000"/>
                <w:sz w:val="24"/>
                <w:szCs w:val="24"/>
              </w:rPr>
              <w:t>2.22%</w:t>
            </w:r>
          </w:p>
        </w:tc>
        <w:tc>
          <w:tcPr>
            <w:tcW w:w="898" w:type="dxa"/>
            <w:vAlign w:val="center"/>
          </w:tcPr>
          <w:p w:rsidR="00A870AB" w:rsidRDefault="00B80361">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870AB">
        <w:trPr>
          <w:jc w:val="center"/>
        </w:trPr>
        <w:tc>
          <w:tcPr>
            <w:tcW w:w="846" w:type="dxa"/>
            <w:vAlign w:val="center"/>
          </w:tcPr>
          <w:p w:rsidR="00A870AB" w:rsidRDefault="00B80361">
            <w:pPr>
              <w:jc w:val="center"/>
            </w:pPr>
            <w:r>
              <w:rPr>
                <w:color w:val="000000"/>
                <w:sz w:val="24"/>
                <w:szCs w:val="24"/>
              </w:rPr>
              <w:t>李娜</w:t>
            </w:r>
          </w:p>
        </w:tc>
        <w:tc>
          <w:tcPr>
            <w:tcW w:w="845" w:type="dxa"/>
            <w:vAlign w:val="center"/>
          </w:tcPr>
          <w:p w:rsidR="00A870AB" w:rsidRDefault="00B80361">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A870AB" w:rsidRDefault="00B80361">
            <w:pPr>
              <w:jc w:val="center"/>
            </w:pPr>
            <w:r>
              <w:rPr>
                <w:color w:val="000000"/>
                <w:sz w:val="24"/>
                <w:szCs w:val="24"/>
              </w:rPr>
              <w:lastRenderedPageBreak/>
              <w:t>2016-12-21</w:t>
            </w:r>
          </w:p>
        </w:tc>
        <w:tc>
          <w:tcPr>
            <w:tcW w:w="1548" w:type="dxa"/>
            <w:vAlign w:val="center"/>
          </w:tcPr>
          <w:p w:rsidR="00A870AB" w:rsidRDefault="00B80361">
            <w:pPr>
              <w:jc w:val="center"/>
            </w:pPr>
            <w:r>
              <w:rPr>
                <w:color w:val="000000"/>
                <w:sz w:val="24"/>
                <w:szCs w:val="24"/>
              </w:rPr>
              <w:t>-</w:t>
            </w:r>
          </w:p>
        </w:tc>
        <w:tc>
          <w:tcPr>
            <w:tcW w:w="1407" w:type="dxa"/>
            <w:vAlign w:val="center"/>
          </w:tcPr>
          <w:p w:rsidR="00A870AB" w:rsidRDefault="00B80361">
            <w:pPr>
              <w:jc w:val="center"/>
            </w:pPr>
            <w:r>
              <w:rPr>
                <w:color w:val="000000"/>
                <w:sz w:val="24"/>
                <w:szCs w:val="24"/>
              </w:rPr>
              <w:t>8</w:t>
            </w:r>
            <w:r>
              <w:rPr>
                <w:color w:val="000000"/>
                <w:sz w:val="24"/>
                <w:szCs w:val="24"/>
              </w:rPr>
              <w:t>年</w:t>
            </w:r>
          </w:p>
        </w:tc>
        <w:tc>
          <w:tcPr>
            <w:tcW w:w="2673" w:type="dxa"/>
            <w:vAlign w:val="center"/>
          </w:tcPr>
          <w:p w:rsidR="00A870AB" w:rsidRDefault="00B80361">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870AB" w:rsidRDefault="00B8036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870AB" w:rsidRDefault="00B8036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870AB" w:rsidRDefault="00B80361">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870AB" w:rsidRDefault="00B80361">
      <w:pPr>
        <w:spacing w:before="29" w:line="288" w:lineRule="auto"/>
        <w:ind w:firstLineChars="200" w:firstLine="480"/>
        <w:rPr>
          <w:color w:val="000000"/>
          <w:sz w:val="24"/>
          <w:szCs w:val="24"/>
        </w:rPr>
      </w:pPr>
      <w:r>
        <w:rPr>
          <w:color w:val="000000"/>
          <w:sz w:val="24"/>
          <w:szCs w:val="24"/>
        </w:rPr>
        <w:t>本报告期内，经济增长数据受节假日等季节性因素影响，传递出较为复杂的信号，通胀数据在春节期间触及高位，随后猪肉价格在假期后出现回落，而工业品价格涨幅继续逐步趋缓。海外经济持续复苏和季节性因素的消退，带来进出口数据的超预期和三月</w:t>
      </w:r>
      <w:r>
        <w:rPr>
          <w:color w:val="000000"/>
          <w:sz w:val="24"/>
          <w:szCs w:val="24"/>
        </w:rPr>
        <w:t>PMI</w:t>
      </w:r>
      <w:r>
        <w:rPr>
          <w:color w:val="000000"/>
          <w:sz w:val="24"/>
          <w:szCs w:val="24"/>
        </w:rPr>
        <w:t>数据的反弹，与微观层面上钢材、水泥库存去化和耗煤增速的放缓形成对比。央行继续保持稳健中性的货币政策，在三月美联储如期加息后，继续小幅跟随上调银行间利率，符合市场预期。银行间流动性在三月底整体较为平衡，呈现局部的结构性紧张态势，整体资金价格中枢小幅下行。股票市场则在海外市场回调、风险偏好摆动和流动性边际宽松等因素带动下，出现了风格切换。同期债券收益率在一月中后旬触及历史高点后，开启了一波下行，其中经济增长态势趋缓、美联储加息靴子落地、狭义流动性边际宽松等因素成为债券市场收益率变动的主要原因。报告期内，上证综指和创业板指分别下行</w:t>
      </w:r>
      <w:r>
        <w:rPr>
          <w:color w:val="000000"/>
          <w:sz w:val="24"/>
          <w:szCs w:val="24"/>
        </w:rPr>
        <w:t>4.18%</w:t>
      </w:r>
      <w:r>
        <w:rPr>
          <w:color w:val="000000"/>
          <w:sz w:val="24"/>
          <w:szCs w:val="24"/>
        </w:rPr>
        <w:t>和上行</w:t>
      </w:r>
      <w:r>
        <w:rPr>
          <w:color w:val="000000"/>
          <w:sz w:val="24"/>
          <w:szCs w:val="24"/>
        </w:rPr>
        <w:t>8.43%</w:t>
      </w:r>
      <w:r>
        <w:rPr>
          <w:color w:val="000000"/>
          <w:sz w:val="24"/>
          <w:szCs w:val="24"/>
        </w:rPr>
        <w:t>，</w:t>
      </w:r>
      <w:r>
        <w:rPr>
          <w:color w:val="000000"/>
          <w:sz w:val="24"/>
          <w:szCs w:val="24"/>
        </w:rPr>
        <w:t>10</w:t>
      </w:r>
      <w:r>
        <w:rPr>
          <w:color w:val="000000"/>
          <w:sz w:val="24"/>
          <w:szCs w:val="24"/>
        </w:rPr>
        <w:t>年期国债收益率下行</w:t>
      </w:r>
      <w:r>
        <w:rPr>
          <w:color w:val="000000"/>
          <w:sz w:val="24"/>
          <w:szCs w:val="24"/>
        </w:rPr>
        <w:t>14BP</w:t>
      </w:r>
      <w:r>
        <w:rPr>
          <w:color w:val="000000"/>
          <w:sz w:val="24"/>
          <w:szCs w:val="24"/>
        </w:rPr>
        <w:t>至</w:t>
      </w:r>
      <w:r>
        <w:rPr>
          <w:color w:val="000000"/>
          <w:sz w:val="24"/>
          <w:szCs w:val="24"/>
        </w:rPr>
        <w:t>3.74%</w:t>
      </w:r>
      <w:r>
        <w:rPr>
          <w:color w:val="000000"/>
          <w:sz w:val="24"/>
          <w:szCs w:val="24"/>
        </w:rPr>
        <w:t>，</w:t>
      </w:r>
      <w:r>
        <w:rPr>
          <w:color w:val="000000"/>
          <w:sz w:val="24"/>
          <w:szCs w:val="24"/>
        </w:rPr>
        <w:t>10</w:t>
      </w:r>
      <w:r>
        <w:rPr>
          <w:color w:val="000000"/>
          <w:sz w:val="24"/>
          <w:szCs w:val="24"/>
        </w:rPr>
        <w:t>年期国开债收益率下行</w:t>
      </w:r>
      <w:r>
        <w:rPr>
          <w:color w:val="000000"/>
          <w:sz w:val="24"/>
          <w:szCs w:val="24"/>
        </w:rPr>
        <w:t>18BP</w:t>
      </w:r>
      <w:r>
        <w:rPr>
          <w:color w:val="000000"/>
          <w:sz w:val="24"/>
          <w:szCs w:val="24"/>
        </w:rPr>
        <w:t>到</w:t>
      </w:r>
      <w:r>
        <w:rPr>
          <w:color w:val="000000"/>
          <w:sz w:val="24"/>
          <w:szCs w:val="24"/>
        </w:rPr>
        <w:t>4.65%</w:t>
      </w:r>
      <w:r>
        <w:rPr>
          <w:color w:val="000000"/>
          <w:sz w:val="24"/>
          <w:szCs w:val="24"/>
        </w:rPr>
        <w:t>。</w:t>
      </w:r>
    </w:p>
    <w:p w:rsidR="00A870AB" w:rsidRDefault="00B80361">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发行动态，进行权益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年二季度，基本面在一季度的复杂分化或将逐步清晰，通胀在春节后的回落确定性虽高，但仍需关注原油走势和中美贸易摩擦带来的预期变化，警惕中美贸易战升级带来的风险发酵。在货币政策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短端利率或受益于狭义流动性改善维持中低位，但长端收益率的进一步下行需要基本面和政策面的进一步支持。我们将密切关注资管新规的落地实施、中美贸易摩擦发展、通胀预期变化、海外货币政策变化等因素对市场的影响。股票方面，力争继续保持稳健、审慎投资，积极关注一级市场动态。债券方面，在保持组合流动性的前提下积极关注交易窗口，把握适度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1.1129</w:t>
      </w:r>
      <w:r w:rsidRPr="00414345">
        <w:rPr>
          <w:color w:val="000000"/>
          <w:sz w:val="24"/>
          <w:szCs w:val="24"/>
        </w:rPr>
        <w:t>元，本报告期份额净值增长率为</w:t>
      </w:r>
      <w:r w:rsidRPr="00414345">
        <w:rPr>
          <w:color w:val="000000"/>
          <w:sz w:val="24"/>
          <w:szCs w:val="24"/>
        </w:rPr>
        <w:t>1.23%</w:t>
      </w:r>
      <w:r w:rsidRPr="00414345">
        <w:rPr>
          <w:color w:val="000000"/>
          <w:sz w:val="24"/>
          <w:szCs w:val="24"/>
        </w:rPr>
        <w:t>，同期业绩比较基准增长率为</w:t>
      </w:r>
      <w:r w:rsidRPr="00414345">
        <w:rPr>
          <w:color w:val="000000"/>
          <w:sz w:val="24"/>
          <w:szCs w:val="24"/>
        </w:rPr>
        <w:t>-0.99%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本基金本报告期内连续二十个工作日以上出现基金份额持有人数量不满</w:t>
      </w:r>
      <w:r w:rsidRPr="002070B4">
        <w:rPr>
          <w:color w:val="000000"/>
          <w:sz w:val="24"/>
        </w:rPr>
        <w:t>200</w:t>
      </w:r>
      <w:r w:rsidRPr="002070B4">
        <w:rPr>
          <w:color w:val="000000"/>
          <w:sz w:val="24"/>
        </w:rPr>
        <w:t>人的情形，截至本报告期末，本基金基金份额持有人数量</w:t>
      </w:r>
      <w:r w:rsidR="00010DD1">
        <w:rPr>
          <w:rFonts w:hint="eastAsia"/>
          <w:color w:val="000000"/>
          <w:sz w:val="24"/>
        </w:rPr>
        <w:t>低于</w:t>
      </w:r>
      <w:r w:rsidRPr="002070B4">
        <w:rPr>
          <w:color w:val="000000"/>
          <w:sz w:val="24"/>
        </w:rPr>
        <w:t>200</w:t>
      </w:r>
      <w:r w:rsidRPr="002070B4">
        <w:rPr>
          <w:color w:val="000000"/>
          <w:sz w:val="24"/>
        </w:rPr>
        <w:t>人。</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62,684,439.32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62,684,439.32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15.50</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328,424,190.20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328,424,190.20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81.22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6,844,822.62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6,400,751.01</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404,354,203.15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40,553,436.78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2,957,202.54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3,123,000.00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14,580,800.00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62,684,439.32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18.77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870AB">
        <w:trPr>
          <w:jc w:val="center"/>
        </w:trPr>
        <w:tc>
          <w:tcPr>
            <w:tcW w:w="855" w:type="dxa"/>
            <w:vAlign w:val="center"/>
          </w:tcPr>
          <w:p w:rsidR="00A870AB" w:rsidRDefault="00B80361">
            <w:pPr>
              <w:jc w:val="center"/>
            </w:pPr>
            <w:r>
              <w:rPr>
                <w:color w:val="000000"/>
                <w:sz w:val="24"/>
                <w:szCs w:val="24"/>
              </w:rPr>
              <w:t>1</w:t>
            </w:r>
          </w:p>
        </w:tc>
        <w:tc>
          <w:tcPr>
            <w:tcW w:w="1334" w:type="dxa"/>
            <w:vAlign w:val="center"/>
          </w:tcPr>
          <w:p w:rsidR="00A870AB" w:rsidRDefault="00B80361">
            <w:pPr>
              <w:jc w:val="center"/>
            </w:pPr>
            <w:r>
              <w:rPr>
                <w:color w:val="000000"/>
                <w:sz w:val="24"/>
                <w:szCs w:val="24"/>
              </w:rPr>
              <w:t>600519</w:t>
            </w:r>
          </w:p>
        </w:tc>
        <w:tc>
          <w:tcPr>
            <w:tcW w:w="1777" w:type="dxa"/>
            <w:vAlign w:val="center"/>
          </w:tcPr>
          <w:p w:rsidR="00A870AB" w:rsidRDefault="00B80361">
            <w:pPr>
              <w:jc w:val="center"/>
            </w:pPr>
            <w:r>
              <w:rPr>
                <w:color w:val="000000"/>
                <w:sz w:val="24"/>
                <w:szCs w:val="24"/>
              </w:rPr>
              <w:t>贵州茅台</w:t>
            </w:r>
          </w:p>
        </w:tc>
        <w:tc>
          <w:tcPr>
            <w:tcW w:w="1334" w:type="dxa"/>
            <w:vAlign w:val="center"/>
          </w:tcPr>
          <w:p w:rsidR="00A870AB" w:rsidRDefault="00B80361">
            <w:pPr>
              <w:jc w:val="right"/>
            </w:pPr>
            <w:r>
              <w:rPr>
                <w:color w:val="000000"/>
                <w:sz w:val="24"/>
                <w:szCs w:val="24"/>
              </w:rPr>
              <w:t>13,000</w:t>
            </w:r>
          </w:p>
        </w:tc>
        <w:tc>
          <w:tcPr>
            <w:tcW w:w="1924" w:type="dxa"/>
            <w:vAlign w:val="center"/>
          </w:tcPr>
          <w:p w:rsidR="00A870AB" w:rsidRDefault="00B80361">
            <w:pPr>
              <w:jc w:val="right"/>
            </w:pPr>
            <w:r>
              <w:rPr>
                <w:color w:val="000000"/>
                <w:sz w:val="24"/>
                <w:szCs w:val="24"/>
              </w:rPr>
              <w:t>8,887,060.00</w:t>
            </w:r>
          </w:p>
        </w:tc>
        <w:tc>
          <w:tcPr>
            <w:tcW w:w="1644" w:type="dxa"/>
            <w:vAlign w:val="center"/>
          </w:tcPr>
          <w:p w:rsidR="00A870AB" w:rsidRDefault="00B80361">
            <w:pPr>
              <w:jc w:val="right"/>
            </w:pPr>
            <w:r>
              <w:rPr>
                <w:color w:val="000000"/>
                <w:sz w:val="24"/>
                <w:szCs w:val="24"/>
              </w:rPr>
              <w:t>2.66</w:t>
            </w:r>
          </w:p>
        </w:tc>
      </w:tr>
      <w:tr w:rsidR="00A870AB">
        <w:trPr>
          <w:jc w:val="center"/>
        </w:trPr>
        <w:tc>
          <w:tcPr>
            <w:tcW w:w="855" w:type="dxa"/>
            <w:vAlign w:val="center"/>
          </w:tcPr>
          <w:p w:rsidR="00A870AB" w:rsidRDefault="00B80361">
            <w:pPr>
              <w:jc w:val="center"/>
            </w:pPr>
            <w:r>
              <w:rPr>
                <w:color w:val="000000"/>
                <w:sz w:val="24"/>
                <w:szCs w:val="24"/>
              </w:rPr>
              <w:lastRenderedPageBreak/>
              <w:t>2</w:t>
            </w:r>
          </w:p>
        </w:tc>
        <w:tc>
          <w:tcPr>
            <w:tcW w:w="1334" w:type="dxa"/>
            <w:vAlign w:val="center"/>
          </w:tcPr>
          <w:p w:rsidR="00A870AB" w:rsidRDefault="00B80361">
            <w:pPr>
              <w:jc w:val="center"/>
            </w:pPr>
            <w:r>
              <w:rPr>
                <w:color w:val="000000"/>
                <w:sz w:val="24"/>
                <w:szCs w:val="24"/>
              </w:rPr>
              <w:t>600887</w:t>
            </w:r>
          </w:p>
        </w:tc>
        <w:tc>
          <w:tcPr>
            <w:tcW w:w="1777" w:type="dxa"/>
            <w:vAlign w:val="center"/>
          </w:tcPr>
          <w:p w:rsidR="00A870AB" w:rsidRDefault="00B80361">
            <w:pPr>
              <w:jc w:val="center"/>
            </w:pPr>
            <w:r>
              <w:rPr>
                <w:color w:val="000000"/>
                <w:sz w:val="24"/>
                <w:szCs w:val="24"/>
              </w:rPr>
              <w:t>伊利股份</w:t>
            </w:r>
          </w:p>
        </w:tc>
        <w:tc>
          <w:tcPr>
            <w:tcW w:w="1334" w:type="dxa"/>
            <w:vAlign w:val="center"/>
          </w:tcPr>
          <w:p w:rsidR="00A870AB" w:rsidRDefault="00B80361">
            <w:pPr>
              <w:jc w:val="right"/>
            </w:pPr>
            <w:r>
              <w:rPr>
                <w:color w:val="000000"/>
                <w:sz w:val="24"/>
                <w:szCs w:val="24"/>
              </w:rPr>
              <w:t>250,000</w:t>
            </w:r>
          </w:p>
        </w:tc>
        <w:tc>
          <w:tcPr>
            <w:tcW w:w="1924" w:type="dxa"/>
            <w:vAlign w:val="center"/>
          </w:tcPr>
          <w:p w:rsidR="00A870AB" w:rsidRDefault="00B80361">
            <w:pPr>
              <w:jc w:val="right"/>
            </w:pPr>
            <w:r>
              <w:rPr>
                <w:color w:val="000000"/>
                <w:sz w:val="24"/>
                <w:szCs w:val="24"/>
              </w:rPr>
              <w:t>7,122,500.00</w:t>
            </w:r>
          </w:p>
        </w:tc>
        <w:tc>
          <w:tcPr>
            <w:tcW w:w="1644" w:type="dxa"/>
            <w:vAlign w:val="center"/>
          </w:tcPr>
          <w:p w:rsidR="00A870AB" w:rsidRDefault="00B80361">
            <w:pPr>
              <w:jc w:val="right"/>
            </w:pPr>
            <w:r>
              <w:rPr>
                <w:color w:val="000000"/>
                <w:sz w:val="24"/>
                <w:szCs w:val="24"/>
              </w:rPr>
              <w:t>2.13</w:t>
            </w:r>
          </w:p>
        </w:tc>
      </w:tr>
      <w:tr w:rsidR="00A870AB">
        <w:trPr>
          <w:jc w:val="center"/>
        </w:trPr>
        <w:tc>
          <w:tcPr>
            <w:tcW w:w="855" w:type="dxa"/>
            <w:vAlign w:val="center"/>
          </w:tcPr>
          <w:p w:rsidR="00A870AB" w:rsidRDefault="00B80361">
            <w:pPr>
              <w:jc w:val="center"/>
            </w:pPr>
            <w:r>
              <w:rPr>
                <w:color w:val="000000"/>
                <w:sz w:val="24"/>
                <w:szCs w:val="24"/>
              </w:rPr>
              <w:t>3</w:t>
            </w:r>
          </w:p>
        </w:tc>
        <w:tc>
          <w:tcPr>
            <w:tcW w:w="1334" w:type="dxa"/>
            <w:vAlign w:val="center"/>
          </w:tcPr>
          <w:p w:rsidR="00A870AB" w:rsidRDefault="00B80361">
            <w:pPr>
              <w:jc w:val="center"/>
            </w:pPr>
            <w:r>
              <w:rPr>
                <w:color w:val="000000"/>
                <w:sz w:val="24"/>
                <w:szCs w:val="24"/>
              </w:rPr>
              <w:t>600276</w:t>
            </w:r>
          </w:p>
        </w:tc>
        <w:tc>
          <w:tcPr>
            <w:tcW w:w="1777" w:type="dxa"/>
            <w:vAlign w:val="center"/>
          </w:tcPr>
          <w:p w:rsidR="00A870AB" w:rsidRDefault="00B80361">
            <w:pPr>
              <w:jc w:val="center"/>
            </w:pPr>
            <w:r>
              <w:rPr>
                <w:color w:val="000000"/>
                <w:sz w:val="24"/>
                <w:szCs w:val="24"/>
              </w:rPr>
              <w:t>恒瑞医药</w:t>
            </w:r>
          </w:p>
        </w:tc>
        <w:tc>
          <w:tcPr>
            <w:tcW w:w="1334" w:type="dxa"/>
            <w:vAlign w:val="center"/>
          </w:tcPr>
          <w:p w:rsidR="00A870AB" w:rsidRDefault="00B80361">
            <w:pPr>
              <w:jc w:val="right"/>
            </w:pPr>
            <w:r>
              <w:rPr>
                <w:color w:val="000000"/>
                <w:sz w:val="24"/>
                <w:szCs w:val="24"/>
              </w:rPr>
              <w:t>70,000</w:t>
            </w:r>
          </w:p>
        </w:tc>
        <w:tc>
          <w:tcPr>
            <w:tcW w:w="1924" w:type="dxa"/>
            <w:vAlign w:val="center"/>
          </w:tcPr>
          <w:p w:rsidR="00A870AB" w:rsidRDefault="00B80361">
            <w:pPr>
              <w:jc w:val="right"/>
            </w:pPr>
            <w:r>
              <w:rPr>
                <w:color w:val="000000"/>
                <w:sz w:val="24"/>
                <w:szCs w:val="24"/>
              </w:rPr>
              <w:t>6,090,700.00</w:t>
            </w:r>
          </w:p>
        </w:tc>
        <w:tc>
          <w:tcPr>
            <w:tcW w:w="1644" w:type="dxa"/>
            <w:vAlign w:val="center"/>
          </w:tcPr>
          <w:p w:rsidR="00A870AB" w:rsidRDefault="00B80361">
            <w:pPr>
              <w:jc w:val="right"/>
            </w:pPr>
            <w:r>
              <w:rPr>
                <w:color w:val="000000"/>
                <w:sz w:val="24"/>
                <w:szCs w:val="24"/>
              </w:rPr>
              <w:t>1.82</w:t>
            </w:r>
          </w:p>
        </w:tc>
      </w:tr>
      <w:tr w:rsidR="00A870AB">
        <w:trPr>
          <w:jc w:val="center"/>
        </w:trPr>
        <w:tc>
          <w:tcPr>
            <w:tcW w:w="855" w:type="dxa"/>
            <w:vAlign w:val="center"/>
          </w:tcPr>
          <w:p w:rsidR="00A870AB" w:rsidRDefault="00B80361">
            <w:pPr>
              <w:jc w:val="center"/>
            </w:pPr>
            <w:r>
              <w:rPr>
                <w:color w:val="000000"/>
                <w:sz w:val="24"/>
                <w:szCs w:val="24"/>
              </w:rPr>
              <w:t>4</w:t>
            </w:r>
          </w:p>
        </w:tc>
        <w:tc>
          <w:tcPr>
            <w:tcW w:w="1334" w:type="dxa"/>
            <w:vAlign w:val="center"/>
          </w:tcPr>
          <w:p w:rsidR="00A870AB" w:rsidRDefault="00B80361">
            <w:pPr>
              <w:jc w:val="center"/>
            </w:pPr>
            <w:r>
              <w:rPr>
                <w:color w:val="000000"/>
                <w:sz w:val="24"/>
                <w:szCs w:val="24"/>
              </w:rPr>
              <w:t>600056</w:t>
            </w:r>
          </w:p>
        </w:tc>
        <w:tc>
          <w:tcPr>
            <w:tcW w:w="1777" w:type="dxa"/>
            <w:vAlign w:val="center"/>
          </w:tcPr>
          <w:p w:rsidR="00A870AB" w:rsidRDefault="00B80361">
            <w:pPr>
              <w:jc w:val="center"/>
            </w:pPr>
            <w:r>
              <w:rPr>
                <w:color w:val="000000"/>
                <w:sz w:val="24"/>
                <w:szCs w:val="24"/>
              </w:rPr>
              <w:t>中国医药</w:t>
            </w:r>
          </w:p>
        </w:tc>
        <w:tc>
          <w:tcPr>
            <w:tcW w:w="1334" w:type="dxa"/>
            <w:vAlign w:val="center"/>
          </w:tcPr>
          <w:p w:rsidR="00A870AB" w:rsidRDefault="00B80361">
            <w:pPr>
              <w:jc w:val="right"/>
            </w:pPr>
            <w:r>
              <w:rPr>
                <w:color w:val="000000"/>
                <w:sz w:val="24"/>
                <w:szCs w:val="24"/>
              </w:rPr>
              <w:t>250,000</w:t>
            </w:r>
          </w:p>
        </w:tc>
        <w:tc>
          <w:tcPr>
            <w:tcW w:w="1924" w:type="dxa"/>
            <w:vAlign w:val="center"/>
          </w:tcPr>
          <w:p w:rsidR="00A870AB" w:rsidRDefault="00B80361">
            <w:pPr>
              <w:jc w:val="right"/>
            </w:pPr>
            <w:r>
              <w:rPr>
                <w:color w:val="000000"/>
                <w:sz w:val="24"/>
                <w:szCs w:val="24"/>
              </w:rPr>
              <w:t>5,942,500.00</w:t>
            </w:r>
          </w:p>
        </w:tc>
        <w:tc>
          <w:tcPr>
            <w:tcW w:w="1644" w:type="dxa"/>
            <w:vAlign w:val="center"/>
          </w:tcPr>
          <w:p w:rsidR="00A870AB" w:rsidRDefault="00B80361">
            <w:pPr>
              <w:jc w:val="right"/>
            </w:pPr>
            <w:r>
              <w:rPr>
                <w:color w:val="000000"/>
                <w:sz w:val="24"/>
                <w:szCs w:val="24"/>
              </w:rPr>
              <w:t>1.78</w:t>
            </w:r>
          </w:p>
        </w:tc>
      </w:tr>
      <w:tr w:rsidR="00A870AB">
        <w:trPr>
          <w:jc w:val="center"/>
        </w:trPr>
        <w:tc>
          <w:tcPr>
            <w:tcW w:w="855" w:type="dxa"/>
            <w:vAlign w:val="center"/>
          </w:tcPr>
          <w:p w:rsidR="00A870AB" w:rsidRDefault="00B80361">
            <w:pPr>
              <w:jc w:val="center"/>
            </w:pPr>
            <w:r>
              <w:rPr>
                <w:color w:val="000000"/>
                <w:sz w:val="24"/>
                <w:szCs w:val="24"/>
              </w:rPr>
              <w:t>5</w:t>
            </w:r>
          </w:p>
        </w:tc>
        <w:tc>
          <w:tcPr>
            <w:tcW w:w="1334" w:type="dxa"/>
            <w:vAlign w:val="center"/>
          </w:tcPr>
          <w:p w:rsidR="00A870AB" w:rsidRDefault="00B80361">
            <w:pPr>
              <w:jc w:val="center"/>
            </w:pPr>
            <w:r>
              <w:rPr>
                <w:color w:val="000000"/>
                <w:sz w:val="24"/>
                <w:szCs w:val="24"/>
              </w:rPr>
              <w:t>601398</w:t>
            </w:r>
          </w:p>
        </w:tc>
        <w:tc>
          <w:tcPr>
            <w:tcW w:w="1777" w:type="dxa"/>
            <w:vAlign w:val="center"/>
          </w:tcPr>
          <w:p w:rsidR="00A870AB" w:rsidRDefault="00B80361">
            <w:pPr>
              <w:jc w:val="center"/>
            </w:pPr>
            <w:r>
              <w:rPr>
                <w:color w:val="000000"/>
                <w:sz w:val="24"/>
                <w:szCs w:val="24"/>
              </w:rPr>
              <w:t>工商银行</w:t>
            </w:r>
          </w:p>
        </w:tc>
        <w:tc>
          <w:tcPr>
            <w:tcW w:w="1334" w:type="dxa"/>
            <w:vAlign w:val="center"/>
          </w:tcPr>
          <w:p w:rsidR="00A870AB" w:rsidRDefault="00B80361">
            <w:pPr>
              <w:jc w:val="right"/>
            </w:pPr>
            <w:r>
              <w:rPr>
                <w:color w:val="000000"/>
                <w:sz w:val="24"/>
                <w:szCs w:val="24"/>
              </w:rPr>
              <w:t>900,000</w:t>
            </w:r>
          </w:p>
        </w:tc>
        <w:tc>
          <w:tcPr>
            <w:tcW w:w="1924" w:type="dxa"/>
            <w:vAlign w:val="center"/>
          </w:tcPr>
          <w:p w:rsidR="00A870AB" w:rsidRDefault="00B80361">
            <w:pPr>
              <w:jc w:val="right"/>
            </w:pPr>
            <w:r>
              <w:rPr>
                <w:color w:val="000000"/>
                <w:sz w:val="24"/>
                <w:szCs w:val="24"/>
              </w:rPr>
              <w:t>5,481,000.00</w:t>
            </w:r>
          </w:p>
        </w:tc>
        <w:tc>
          <w:tcPr>
            <w:tcW w:w="1644" w:type="dxa"/>
            <w:vAlign w:val="center"/>
          </w:tcPr>
          <w:p w:rsidR="00A870AB" w:rsidRDefault="00B80361">
            <w:pPr>
              <w:jc w:val="right"/>
            </w:pPr>
            <w:r>
              <w:rPr>
                <w:color w:val="000000"/>
                <w:sz w:val="24"/>
                <w:szCs w:val="24"/>
              </w:rPr>
              <w:t>1.64</w:t>
            </w:r>
          </w:p>
        </w:tc>
      </w:tr>
      <w:tr w:rsidR="00A870AB">
        <w:trPr>
          <w:jc w:val="center"/>
        </w:trPr>
        <w:tc>
          <w:tcPr>
            <w:tcW w:w="855" w:type="dxa"/>
            <w:vAlign w:val="center"/>
          </w:tcPr>
          <w:p w:rsidR="00A870AB" w:rsidRDefault="00B80361">
            <w:pPr>
              <w:jc w:val="center"/>
            </w:pPr>
            <w:r>
              <w:rPr>
                <w:color w:val="000000"/>
                <w:sz w:val="24"/>
                <w:szCs w:val="24"/>
              </w:rPr>
              <w:t>6</w:t>
            </w:r>
          </w:p>
        </w:tc>
        <w:tc>
          <w:tcPr>
            <w:tcW w:w="1334" w:type="dxa"/>
            <w:vAlign w:val="center"/>
          </w:tcPr>
          <w:p w:rsidR="00A870AB" w:rsidRDefault="00B80361">
            <w:pPr>
              <w:jc w:val="center"/>
            </w:pPr>
            <w:r>
              <w:rPr>
                <w:color w:val="000000"/>
                <w:sz w:val="24"/>
                <w:szCs w:val="24"/>
              </w:rPr>
              <w:t>601318</w:t>
            </w:r>
          </w:p>
        </w:tc>
        <w:tc>
          <w:tcPr>
            <w:tcW w:w="1777" w:type="dxa"/>
            <w:vAlign w:val="center"/>
          </w:tcPr>
          <w:p w:rsidR="00A870AB" w:rsidRDefault="00B80361">
            <w:pPr>
              <w:jc w:val="center"/>
            </w:pPr>
            <w:r>
              <w:rPr>
                <w:color w:val="000000"/>
                <w:sz w:val="24"/>
                <w:szCs w:val="24"/>
              </w:rPr>
              <w:t>中国平安</w:t>
            </w:r>
          </w:p>
        </w:tc>
        <w:tc>
          <w:tcPr>
            <w:tcW w:w="1334" w:type="dxa"/>
            <w:vAlign w:val="center"/>
          </w:tcPr>
          <w:p w:rsidR="00A870AB" w:rsidRDefault="00B80361">
            <w:pPr>
              <w:jc w:val="right"/>
            </w:pPr>
            <w:r>
              <w:rPr>
                <w:color w:val="000000"/>
                <w:sz w:val="24"/>
                <w:szCs w:val="24"/>
              </w:rPr>
              <w:t>80,000</w:t>
            </w:r>
          </w:p>
        </w:tc>
        <w:tc>
          <w:tcPr>
            <w:tcW w:w="1924" w:type="dxa"/>
            <w:vAlign w:val="center"/>
          </w:tcPr>
          <w:p w:rsidR="00A870AB" w:rsidRDefault="00B80361">
            <w:pPr>
              <w:jc w:val="right"/>
            </w:pPr>
            <w:r>
              <w:rPr>
                <w:color w:val="000000"/>
                <w:sz w:val="24"/>
                <w:szCs w:val="24"/>
              </w:rPr>
              <w:t>5,224,800.00</w:t>
            </w:r>
          </w:p>
        </w:tc>
        <w:tc>
          <w:tcPr>
            <w:tcW w:w="1644" w:type="dxa"/>
            <w:vAlign w:val="center"/>
          </w:tcPr>
          <w:p w:rsidR="00A870AB" w:rsidRDefault="00B80361">
            <w:pPr>
              <w:jc w:val="right"/>
            </w:pPr>
            <w:r>
              <w:rPr>
                <w:color w:val="000000"/>
                <w:sz w:val="24"/>
                <w:szCs w:val="24"/>
              </w:rPr>
              <w:t>1.56</w:t>
            </w:r>
          </w:p>
        </w:tc>
      </w:tr>
      <w:tr w:rsidR="00A870AB">
        <w:trPr>
          <w:jc w:val="center"/>
        </w:trPr>
        <w:tc>
          <w:tcPr>
            <w:tcW w:w="855" w:type="dxa"/>
            <w:vAlign w:val="center"/>
          </w:tcPr>
          <w:p w:rsidR="00A870AB" w:rsidRDefault="00B80361">
            <w:pPr>
              <w:jc w:val="center"/>
            </w:pPr>
            <w:r>
              <w:rPr>
                <w:color w:val="000000"/>
                <w:sz w:val="24"/>
                <w:szCs w:val="24"/>
              </w:rPr>
              <w:t>7</w:t>
            </w:r>
          </w:p>
        </w:tc>
        <w:tc>
          <w:tcPr>
            <w:tcW w:w="1334" w:type="dxa"/>
            <w:vAlign w:val="center"/>
          </w:tcPr>
          <w:p w:rsidR="00A870AB" w:rsidRDefault="00B80361">
            <w:pPr>
              <w:jc w:val="center"/>
            </w:pPr>
            <w:r>
              <w:rPr>
                <w:color w:val="000000"/>
                <w:sz w:val="24"/>
                <w:szCs w:val="24"/>
              </w:rPr>
              <w:t>600062</w:t>
            </w:r>
          </w:p>
        </w:tc>
        <w:tc>
          <w:tcPr>
            <w:tcW w:w="1777" w:type="dxa"/>
            <w:vAlign w:val="center"/>
          </w:tcPr>
          <w:p w:rsidR="00A870AB" w:rsidRDefault="00B80361">
            <w:pPr>
              <w:jc w:val="center"/>
            </w:pPr>
            <w:r>
              <w:rPr>
                <w:color w:val="000000"/>
                <w:sz w:val="24"/>
                <w:szCs w:val="24"/>
              </w:rPr>
              <w:t>华润双鹤</w:t>
            </w:r>
          </w:p>
        </w:tc>
        <w:tc>
          <w:tcPr>
            <w:tcW w:w="1334" w:type="dxa"/>
            <w:vAlign w:val="center"/>
          </w:tcPr>
          <w:p w:rsidR="00A870AB" w:rsidRDefault="00B80361">
            <w:pPr>
              <w:jc w:val="right"/>
            </w:pPr>
            <w:r>
              <w:rPr>
                <w:color w:val="000000"/>
                <w:sz w:val="24"/>
                <w:szCs w:val="24"/>
              </w:rPr>
              <w:t>204,000</w:t>
            </w:r>
          </w:p>
        </w:tc>
        <w:tc>
          <w:tcPr>
            <w:tcW w:w="1924" w:type="dxa"/>
            <w:vAlign w:val="center"/>
          </w:tcPr>
          <w:p w:rsidR="00A870AB" w:rsidRDefault="00B80361">
            <w:pPr>
              <w:jc w:val="right"/>
            </w:pPr>
            <w:r>
              <w:rPr>
                <w:color w:val="000000"/>
                <w:sz w:val="24"/>
                <w:szCs w:val="24"/>
              </w:rPr>
              <w:t>4,877,640.00</w:t>
            </w:r>
          </w:p>
        </w:tc>
        <w:tc>
          <w:tcPr>
            <w:tcW w:w="1644" w:type="dxa"/>
            <w:vAlign w:val="center"/>
          </w:tcPr>
          <w:p w:rsidR="00A870AB" w:rsidRDefault="00B80361">
            <w:pPr>
              <w:jc w:val="right"/>
            </w:pPr>
            <w:r>
              <w:rPr>
                <w:color w:val="000000"/>
                <w:sz w:val="24"/>
                <w:szCs w:val="24"/>
              </w:rPr>
              <w:t>1.46</w:t>
            </w:r>
          </w:p>
        </w:tc>
      </w:tr>
      <w:tr w:rsidR="00A870AB">
        <w:trPr>
          <w:jc w:val="center"/>
        </w:trPr>
        <w:tc>
          <w:tcPr>
            <w:tcW w:w="855" w:type="dxa"/>
            <w:vAlign w:val="center"/>
          </w:tcPr>
          <w:p w:rsidR="00A870AB" w:rsidRDefault="00B80361">
            <w:pPr>
              <w:jc w:val="center"/>
            </w:pPr>
            <w:r>
              <w:rPr>
                <w:color w:val="000000"/>
                <w:sz w:val="24"/>
                <w:szCs w:val="24"/>
              </w:rPr>
              <w:t>8</w:t>
            </w:r>
          </w:p>
        </w:tc>
        <w:tc>
          <w:tcPr>
            <w:tcW w:w="1334" w:type="dxa"/>
            <w:vAlign w:val="center"/>
          </w:tcPr>
          <w:p w:rsidR="00A870AB" w:rsidRDefault="00B80361">
            <w:pPr>
              <w:jc w:val="center"/>
            </w:pPr>
            <w:r>
              <w:rPr>
                <w:color w:val="000000"/>
                <w:sz w:val="24"/>
                <w:szCs w:val="24"/>
              </w:rPr>
              <w:t>601939</w:t>
            </w:r>
          </w:p>
        </w:tc>
        <w:tc>
          <w:tcPr>
            <w:tcW w:w="1777" w:type="dxa"/>
            <w:vAlign w:val="center"/>
          </w:tcPr>
          <w:p w:rsidR="00A870AB" w:rsidRDefault="00B80361">
            <w:pPr>
              <w:jc w:val="center"/>
            </w:pPr>
            <w:r>
              <w:rPr>
                <w:color w:val="000000"/>
                <w:sz w:val="24"/>
                <w:szCs w:val="24"/>
              </w:rPr>
              <w:t>建设银行</w:t>
            </w:r>
          </w:p>
        </w:tc>
        <w:tc>
          <w:tcPr>
            <w:tcW w:w="1334" w:type="dxa"/>
            <w:vAlign w:val="center"/>
          </w:tcPr>
          <w:p w:rsidR="00A870AB" w:rsidRDefault="00B80361">
            <w:pPr>
              <w:jc w:val="right"/>
            </w:pPr>
            <w:r>
              <w:rPr>
                <w:color w:val="000000"/>
                <w:sz w:val="24"/>
                <w:szCs w:val="24"/>
              </w:rPr>
              <w:t>500,000</w:t>
            </w:r>
          </w:p>
        </w:tc>
        <w:tc>
          <w:tcPr>
            <w:tcW w:w="1924" w:type="dxa"/>
            <w:vAlign w:val="center"/>
          </w:tcPr>
          <w:p w:rsidR="00A870AB" w:rsidRDefault="00B80361">
            <w:pPr>
              <w:jc w:val="right"/>
            </w:pPr>
            <w:r>
              <w:rPr>
                <w:color w:val="000000"/>
                <w:sz w:val="24"/>
                <w:szCs w:val="24"/>
              </w:rPr>
              <w:t>3,875,000.00</w:t>
            </w:r>
          </w:p>
        </w:tc>
        <w:tc>
          <w:tcPr>
            <w:tcW w:w="1644" w:type="dxa"/>
            <w:vAlign w:val="center"/>
          </w:tcPr>
          <w:p w:rsidR="00A870AB" w:rsidRDefault="00B80361">
            <w:pPr>
              <w:jc w:val="right"/>
            </w:pPr>
            <w:r>
              <w:rPr>
                <w:color w:val="000000"/>
                <w:sz w:val="24"/>
                <w:szCs w:val="24"/>
              </w:rPr>
              <w:t>1.16</w:t>
            </w:r>
          </w:p>
        </w:tc>
      </w:tr>
      <w:tr w:rsidR="00A870AB">
        <w:trPr>
          <w:jc w:val="center"/>
        </w:trPr>
        <w:tc>
          <w:tcPr>
            <w:tcW w:w="855" w:type="dxa"/>
            <w:vAlign w:val="center"/>
          </w:tcPr>
          <w:p w:rsidR="00A870AB" w:rsidRDefault="00B80361">
            <w:pPr>
              <w:jc w:val="center"/>
            </w:pPr>
            <w:r>
              <w:rPr>
                <w:color w:val="000000"/>
                <w:sz w:val="24"/>
                <w:szCs w:val="24"/>
              </w:rPr>
              <w:t>9</w:t>
            </w:r>
          </w:p>
        </w:tc>
        <w:tc>
          <w:tcPr>
            <w:tcW w:w="1334" w:type="dxa"/>
            <w:vAlign w:val="center"/>
          </w:tcPr>
          <w:p w:rsidR="00A870AB" w:rsidRDefault="00B80361">
            <w:pPr>
              <w:jc w:val="center"/>
            </w:pPr>
            <w:r>
              <w:rPr>
                <w:color w:val="000000"/>
                <w:sz w:val="24"/>
                <w:szCs w:val="24"/>
              </w:rPr>
              <w:t>600029</w:t>
            </w:r>
          </w:p>
        </w:tc>
        <w:tc>
          <w:tcPr>
            <w:tcW w:w="1777" w:type="dxa"/>
            <w:vAlign w:val="center"/>
          </w:tcPr>
          <w:p w:rsidR="00A870AB" w:rsidRDefault="00B80361">
            <w:pPr>
              <w:jc w:val="center"/>
            </w:pPr>
            <w:r>
              <w:rPr>
                <w:color w:val="000000"/>
                <w:sz w:val="24"/>
                <w:szCs w:val="24"/>
              </w:rPr>
              <w:t>南方航空</w:t>
            </w:r>
          </w:p>
        </w:tc>
        <w:tc>
          <w:tcPr>
            <w:tcW w:w="1334" w:type="dxa"/>
            <w:vAlign w:val="center"/>
          </w:tcPr>
          <w:p w:rsidR="00A870AB" w:rsidRDefault="00B80361">
            <w:pPr>
              <w:jc w:val="right"/>
            </w:pPr>
            <w:r>
              <w:rPr>
                <w:color w:val="000000"/>
                <w:sz w:val="24"/>
                <w:szCs w:val="24"/>
              </w:rPr>
              <w:t>300,000</w:t>
            </w:r>
          </w:p>
        </w:tc>
        <w:tc>
          <w:tcPr>
            <w:tcW w:w="1924" w:type="dxa"/>
            <w:vAlign w:val="center"/>
          </w:tcPr>
          <w:p w:rsidR="00A870AB" w:rsidRDefault="00B80361">
            <w:pPr>
              <w:jc w:val="right"/>
            </w:pPr>
            <w:r>
              <w:rPr>
                <w:color w:val="000000"/>
                <w:sz w:val="24"/>
                <w:szCs w:val="24"/>
              </w:rPr>
              <w:t>3,123,000.00</w:t>
            </w:r>
          </w:p>
        </w:tc>
        <w:tc>
          <w:tcPr>
            <w:tcW w:w="1644" w:type="dxa"/>
            <w:vAlign w:val="center"/>
          </w:tcPr>
          <w:p w:rsidR="00A870AB" w:rsidRDefault="00B80361">
            <w:pPr>
              <w:jc w:val="right"/>
            </w:pPr>
            <w:r>
              <w:rPr>
                <w:color w:val="000000"/>
                <w:sz w:val="24"/>
                <w:szCs w:val="24"/>
              </w:rPr>
              <w:t>0.94</w:t>
            </w:r>
          </w:p>
        </w:tc>
      </w:tr>
      <w:tr w:rsidR="00A870AB">
        <w:trPr>
          <w:jc w:val="center"/>
        </w:trPr>
        <w:tc>
          <w:tcPr>
            <w:tcW w:w="855" w:type="dxa"/>
            <w:vAlign w:val="center"/>
          </w:tcPr>
          <w:p w:rsidR="00A870AB" w:rsidRDefault="00B80361">
            <w:pPr>
              <w:jc w:val="center"/>
            </w:pPr>
            <w:r>
              <w:rPr>
                <w:color w:val="000000"/>
                <w:sz w:val="24"/>
                <w:szCs w:val="24"/>
              </w:rPr>
              <w:t>10</w:t>
            </w:r>
          </w:p>
        </w:tc>
        <w:tc>
          <w:tcPr>
            <w:tcW w:w="1334" w:type="dxa"/>
            <w:vAlign w:val="center"/>
          </w:tcPr>
          <w:p w:rsidR="00A870AB" w:rsidRDefault="00B80361">
            <w:pPr>
              <w:jc w:val="center"/>
            </w:pPr>
            <w:r>
              <w:rPr>
                <w:color w:val="000000"/>
                <w:sz w:val="24"/>
                <w:szCs w:val="24"/>
              </w:rPr>
              <w:t>601607</w:t>
            </w:r>
          </w:p>
        </w:tc>
        <w:tc>
          <w:tcPr>
            <w:tcW w:w="1777" w:type="dxa"/>
            <w:vAlign w:val="center"/>
          </w:tcPr>
          <w:p w:rsidR="00A870AB" w:rsidRDefault="00B80361">
            <w:pPr>
              <w:jc w:val="center"/>
            </w:pPr>
            <w:r>
              <w:rPr>
                <w:color w:val="000000"/>
                <w:sz w:val="24"/>
                <w:szCs w:val="24"/>
              </w:rPr>
              <w:t>上海医药</w:t>
            </w:r>
          </w:p>
        </w:tc>
        <w:tc>
          <w:tcPr>
            <w:tcW w:w="1334" w:type="dxa"/>
            <w:vAlign w:val="center"/>
          </w:tcPr>
          <w:p w:rsidR="00A870AB" w:rsidRDefault="00B80361">
            <w:pPr>
              <w:jc w:val="right"/>
            </w:pPr>
            <w:r>
              <w:rPr>
                <w:color w:val="000000"/>
                <w:sz w:val="24"/>
                <w:szCs w:val="24"/>
              </w:rPr>
              <w:t>119,919</w:t>
            </w:r>
          </w:p>
        </w:tc>
        <w:tc>
          <w:tcPr>
            <w:tcW w:w="1924" w:type="dxa"/>
            <w:vAlign w:val="center"/>
          </w:tcPr>
          <w:p w:rsidR="00A870AB" w:rsidRDefault="00B80361">
            <w:pPr>
              <w:jc w:val="right"/>
            </w:pPr>
            <w:r>
              <w:rPr>
                <w:color w:val="000000"/>
                <w:sz w:val="24"/>
                <w:szCs w:val="24"/>
              </w:rPr>
              <w:t>2,957,202.54</w:t>
            </w:r>
          </w:p>
        </w:tc>
        <w:tc>
          <w:tcPr>
            <w:tcW w:w="1644" w:type="dxa"/>
            <w:vAlign w:val="center"/>
          </w:tcPr>
          <w:p w:rsidR="00A870AB" w:rsidRDefault="00B80361">
            <w:pPr>
              <w:jc w:val="right"/>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125,312,190.20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37.53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146,322,000.00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43.82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328,424,190.20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98.36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870AB">
        <w:trPr>
          <w:jc w:val="center"/>
        </w:trPr>
        <w:tc>
          <w:tcPr>
            <w:tcW w:w="850" w:type="dxa"/>
            <w:vAlign w:val="center"/>
          </w:tcPr>
          <w:p w:rsidR="00A870AB" w:rsidRDefault="00B80361">
            <w:pPr>
              <w:jc w:val="center"/>
            </w:pPr>
            <w:r>
              <w:rPr>
                <w:color w:val="000000"/>
                <w:sz w:val="24"/>
                <w:szCs w:val="24"/>
              </w:rPr>
              <w:t>1</w:t>
            </w:r>
          </w:p>
        </w:tc>
        <w:tc>
          <w:tcPr>
            <w:tcW w:w="1475" w:type="dxa"/>
            <w:vAlign w:val="center"/>
          </w:tcPr>
          <w:p w:rsidR="00A870AB" w:rsidRDefault="00B80361">
            <w:pPr>
              <w:jc w:val="center"/>
            </w:pPr>
            <w:r>
              <w:rPr>
                <w:color w:val="000000"/>
                <w:sz w:val="24"/>
                <w:szCs w:val="24"/>
              </w:rPr>
              <w:t>170210</w:t>
            </w:r>
          </w:p>
        </w:tc>
        <w:tc>
          <w:tcPr>
            <w:tcW w:w="1769" w:type="dxa"/>
            <w:vAlign w:val="center"/>
          </w:tcPr>
          <w:p w:rsidR="00A870AB" w:rsidRDefault="00B80361">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A870AB" w:rsidRDefault="00B80361">
            <w:pPr>
              <w:jc w:val="right"/>
            </w:pPr>
            <w:r>
              <w:rPr>
                <w:color w:val="000000"/>
                <w:sz w:val="24"/>
                <w:szCs w:val="24"/>
              </w:rPr>
              <w:t>600,000</w:t>
            </w:r>
          </w:p>
        </w:tc>
        <w:tc>
          <w:tcPr>
            <w:tcW w:w="2150" w:type="dxa"/>
            <w:vAlign w:val="center"/>
          </w:tcPr>
          <w:p w:rsidR="00A870AB" w:rsidRDefault="00B80361">
            <w:pPr>
              <w:jc w:val="right"/>
            </w:pPr>
            <w:r>
              <w:rPr>
                <w:color w:val="000000"/>
                <w:sz w:val="24"/>
                <w:szCs w:val="24"/>
              </w:rPr>
              <w:t>56,790,000.00</w:t>
            </w:r>
          </w:p>
        </w:tc>
        <w:tc>
          <w:tcPr>
            <w:tcW w:w="1237" w:type="dxa"/>
            <w:vAlign w:val="center"/>
          </w:tcPr>
          <w:p w:rsidR="00A870AB" w:rsidRDefault="00B80361">
            <w:pPr>
              <w:jc w:val="right"/>
            </w:pPr>
            <w:r>
              <w:rPr>
                <w:color w:val="000000"/>
                <w:sz w:val="24"/>
                <w:szCs w:val="24"/>
              </w:rPr>
              <w:t>17.01</w:t>
            </w:r>
          </w:p>
        </w:tc>
      </w:tr>
      <w:tr w:rsidR="00A870AB">
        <w:trPr>
          <w:jc w:val="center"/>
        </w:trPr>
        <w:tc>
          <w:tcPr>
            <w:tcW w:w="850" w:type="dxa"/>
            <w:vAlign w:val="center"/>
          </w:tcPr>
          <w:p w:rsidR="00A870AB" w:rsidRDefault="00B80361">
            <w:pPr>
              <w:jc w:val="center"/>
            </w:pPr>
            <w:r>
              <w:rPr>
                <w:color w:val="000000"/>
                <w:sz w:val="24"/>
                <w:szCs w:val="24"/>
              </w:rPr>
              <w:t>2</w:t>
            </w:r>
          </w:p>
        </w:tc>
        <w:tc>
          <w:tcPr>
            <w:tcW w:w="1475" w:type="dxa"/>
            <w:vAlign w:val="center"/>
          </w:tcPr>
          <w:p w:rsidR="00A870AB" w:rsidRDefault="00B80361">
            <w:pPr>
              <w:jc w:val="center"/>
            </w:pPr>
            <w:r>
              <w:rPr>
                <w:color w:val="000000"/>
                <w:sz w:val="24"/>
                <w:szCs w:val="24"/>
              </w:rPr>
              <w:t>111813017</w:t>
            </w:r>
          </w:p>
        </w:tc>
        <w:tc>
          <w:tcPr>
            <w:tcW w:w="1769" w:type="dxa"/>
            <w:vAlign w:val="center"/>
          </w:tcPr>
          <w:p w:rsidR="00A870AB" w:rsidRDefault="00B80361">
            <w:pPr>
              <w:jc w:val="center"/>
            </w:pPr>
            <w:r>
              <w:rPr>
                <w:color w:val="000000"/>
                <w:sz w:val="24"/>
                <w:szCs w:val="24"/>
              </w:rPr>
              <w:t>18</w:t>
            </w:r>
            <w:r>
              <w:rPr>
                <w:color w:val="000000"/>
                <w:sz w:val="24"/>
                <w:szCs w:val="24"/>
              </w:rPr>
              <w:t>浙商银行</w:t>
            </w:r>
            <w:r>
              <w:rPr>
                <w:color w:val="000000"/>
                <w:sz w:val="24"/>
                <w:szCs w:val="24"/>
              </w:rPr>
              <w:t>CD017</w:t>
            </w:r>
          </w:p>
        </w:tc>
        <w:tc>
          <w:tcPr>
            <w:tcW w:w="1387" w:type="dxa"/>
            <w:vAlign w:val="center"/>
          </w:tcPr>
          <w:p w:rsidR="00A870AB" w:rsidRDefault="00B80361">
            <w:pPr>
              <w:jc w:val="right"/>
            </w:pPr>
            <w:r>
              <w:rPr>
                <w:color w:val="000000"/>
                <w:sz w:val="24"/>
                <w:szCs w:val="24"/>
              </w:rPr>
              <w:t>300,000</w:t>
            </w:r>
          </w:p>
        </w:tc>
        <w:tc>
          <w:tcPr>
            <w:tcW w:w="2150" w:type="dxa"/>
            <w:vAlign w:val="center"/>
          </w:tcPr>
          <w:p w:rsidR="00A870AB" w:rsidRDefault="00B80361">
            <w:pPr>
              <w:jc w:val="right"/>
            </w:pPr>
            <w:r>
              <w:rPr>
                <w:color w:val="000000"/>
                <w:sz w:val="24"/>
                <w:szCs w:val="24"/>
              </w:rPr>
              <w:t>29,340,000.00</w:t>
            </w:r>
          </w:p>
        </w:tc>
        <w:tc>
          <w:tcPr>
            <w:tcW w:w="1237" w:type="dxa"/>
            <w:vAlign w:val="center"/>
          </w:tcPr>
          <w:p w:rsidR="00A870AB" w:rsidRDefault="00B80361">
            <w:pPr>
              <w:jc w:val="right"/>
            </w:pPr>
            <w:r>
              <w:rPr>
                <w:color w:val="000000"/>
                <w:sz w:val="24"/>
                <w:szCs w:val="24"/>
              </w:rPr>
              <w:t>8.79</w:t>
            </w:r>
          </w:p>
        </w:tc>
      </w:tr>
      <w:tr w:rsidR="00A870AB">
        <w:trPr>
          <w:jc w:val="center"/>
        </w:trPr>
        <w:tc>
          <w:tcPr>
            <w:tcW w:w="850" w:type="dxa"/>
            <w:vAlign w:val="center"/>
          </w:tcPr>
          <w:p w:rsidR="00A870AB" w:rsidRDefault="00B80361">
            <w:pPr>
              <w:jc w:val="center"/>
            </w:pPr>
            <w:r>
              <w:rPr>
                <w:color w:val="000000"/>
                <w:sz w:val="24"/>
                <w:szCs w:val="24"/>
              </w:rPr>
              <w:t>3</w:t>
            </w:r>
          </w:p>
        </w:tc>
        <w:tc>
          <w:tcPr>
            <w:tcW w:w="1475" w:type="dxa"/>
            <w:vAlign w:val="center"/>
          </w:tcPr>
          <w:p w:rsidR="00A870AB" w:rsidRDefault="00B80361">
            <w:pPr>
              <w:jc w:val="center"/>
            </w:pPr>
            <w:r>
              <w:rPr>
                <w:color w:val="000000"/>
                <w:sz w:val="24"/>
                <w:szCs w:val="24"/>
              </w:rPr>
              <w:t>111718490</w:t>
            </w:r>
          </w:p>
        </w:tc>
        <w:tc>
          <w:tcPr>
            <w:tcW w:w="1769" w:type="dxa"/>
            <w:vAlign w:val="center"/>
          </w:tcPr>
          <w:p w:rsidR="00A870AB" w:rsidRDefault="00B80361">
            <w:pPr>
              <w:jc w:val="center"/>
            </w:pPr>
            <w:r>
              <w:rPr>
                <w:color w:val="000000"/>
                <w:sz w:val="24"/>
                <w:szCs w:val="24"/>
              </w:rPr>
              <w:t>17</w:t>
            </w:r>
            <w:r>
              <w:rPr>
                <w:color w:val="000000"/>
                <w:sz w:val="24"/>
                <w:szCs w:val="24"/>
              </w:rPr>
              <w:t>华夏银行</w:t>
            </w:r>
            <w:r>
              <w:rPr>
                <w:color w:val="000000"/>
                <w:sz w:val="24"/>
                <w:szCs w:val="24"/>
              </w:rPr>
              <w:lastRenderedPageBreak/>
              <w:t>CD490</w:t>
            </w:r>
          </w:p>
        </w:tc>
        <w:tc>
          <w:tcPr>
            <w:tcW w:w="1387" w:type="dxa"/>
            <w:vAlign w:val="center"/>
          </w:tcPr>
          <w:p w:rsidR="00A870AB" w:rsidRDefault="00B80361">
            <w:pPr>
              <w:jc w:val="right"/>
            </w:pPr>
            <w:r>
              <w:rPr>
                <w:color w:val="000000"/>
                <w:sz w:val="24"/>
                <w:szCs w:val="24"/>
              </w:rPr>
              <w:lastRenderedPageBreak/>
              <w:t>300,000</w:t>
            </w:r>
          </w:p>
        </w:tc>
        <w:tc>
          <w:tcPr>
            <w:tcW w:w="2150" w:type="dxa"/>
            <w:vAlign w:val="center"/>
          </w:tcPr>
          <w:p w:rsidR="00A870AB" w:rsidRDefault="00B80361">
            <w:pPr>
              <w:jc w:val="right"/>
            </w:pPr>
            <w:r>
              <w:rPr>
                <w:color w:val="000000"/>
                <w:sz w:val="24"/>
                <w:szCs w:val="24"/>
              </w:rPr>
              <w:t>29,316,000.00</w:t>
            </w:r>
          </w:p>
        </w:tc>
        <w:tc>
          <w:tcPr>
            <w:tcW w:w="1237" w:type="dxa"/>
            <w:vAlign w:val="center"/>
          </w:tcPr>
          <w:p w:rsidR="00A870AB" w:rsidRDefault="00B80361">
            <w:pPr>
              <w:jc w:val="right"/>
            </w:pPr>
            <w:r>
              <w:rPr>
                <w:color w:val="000000"/>
                <w:sz w:val="24"/>
                <w:szCs w:val="24"/>
              </w:rPr>
              <w:t>8.78</w:t>
            </w:r>
          </w:p>
        </w:tc>
      </w:tr>
      <w:tr w:rsidR="00A870AB">
        <w:trPr>
          <w:jc w:val="center"/>
        </w:trPr>
        <w:tc>
          <w:tcPr>
            <w:tcW w:w="850" w:type="dxa"/>
            <w:vAlign w:val="center"/>
          </w:tcPr>
          <w:p w:rsidR="00A870AB" w:rsidRDefault="00B80361">
            <w:pPr>
              <w:jc w:val="center"/>
            </w:pPr>
            <w:r>
              <w:rPr>
                <w:color w:val="000000"/>
                <w:sz w:val="24"/>
                <w:szCs w:val="24"/>
              </w:rPr>
              <w:t>4</w:t>
            </w:r>
          </w:p>
        </w:tc>
        <w:tc>
          <w:tcPr>
            <w:tcW w:w="1475" w:type="dxa"/>
            <w:vAlign w:val="center"/>
          </w:tcPr>
          <w:p w:rsidR="00A870AB" w:rsidRDefault="00B80361">
            <w:pPr>
              <w:jc w:val="center"/>
            </w:pPr>
            <w:r>
              <w:rPr>
                <w:color w:val="000000"/>
                <w:sz w:val="24"/>
                <w:szCs w:val="24"/>
              </w:rPr>
              <w:t>111711518</w:t>
            </w:r>
          </w:p>
        </w:tc>
        <w:tc>
          <w:tcPr>
            <w:tcW w:w="1769" w:type="dxa"/>
            <w:vAlign w:val="center"/>
          </w:tcPr>
          <w:p w:rsidR="00A870AB" w:rsidRDefault="00B80361">
            <w:pPr>
              <w:jc w:val="center"/>
            </w:pPr>
            <w:r>
              <w:rPr>
                <w:color w:val="000000"/>
                <w:sz w:val="24"/>
                <w:szCs w:val="24"/>
              </w:rPr>
              <w:t>17</w:t>
            </w:r>
            <w:r>
              <w:rPr>
                <w:color w:val="000000"/>
                <w:sz w:val="24"/>
                <w:szCs w:val="24"/>
              </w:rPr>
              <w:t>平安银行</w:t>
            </w:r>
            <w:r>
              <w:rPr>
                <w:color w:val="000000"/>
                <w:sz w:val="24"/>
                <w:szCs w:val="24"/>
              </w:rPr>
              <w:t>CD518</w:t>
            </w:r>
          </w:p>
        </w:tc>
        <w:tc>
          <w:tcPr>
            <w:tcW w:w="1387" w:type="dxa"/>
            <w:vAlign w:val="center"/>
          </w:tcPr>
          <w:p w:rsidR="00A870AB" w:rsidRDefault="00B80361">
            <w:pPr>
              <w:jc w:val="right"/>
            </w:pPr>
            <w:r>
              <w:rPr>
                <w:color w:val="000000"/>
                <w:sz w:val="24"/>
                <w:szCs w:val="24"/>
              </w:rPr>
              <w:t>300,000</w:t>
            </w:r>
          </w:p>
        </w:tc>
        <w:tc>
          <w:tcPr>
            <w:tcW w:w="2150" w:type="dxa"/>
            <w:vAlign w:val="center"/>
          </w:tcPr>
          <w:p w:rsidR="00A870AB" w:rsidRDefault="00B80361">
            <w:pPr>
              <w:jc w:val="right"/>
            </w:pPr>
            <w:r>
              <w:rPr>
                <w:color w:val="000000"/>
                <w:sz w:val="24"/>
                <w:szCs w:val="24"/>
              </w:rPr>
              <w:t>29,310,000.00</w:t>
            </w:r>
          </w:p>
        </w:tc>
        <w:tc>
          <w:tcPr>
            <w:tcW w:w="1237" w:type="dxa"/>
            <w:vAlign w:val="center"/>
          </w:tcPr>
          <w:p w:rsidR="00A870AB" w:rsidRDefault="00B80361">
            <w:pPr>
              <w:jc w:val="right"/>
            </w:pPr>
            <w:r>
              <w:rPr>
                <w:color w:val="000000"/>
                <w:sz w:val="24"/>
                <w:szCs w:val="24"/>
              </w:rPr>
              <w:t>8.78</w:t>
            </w:r>
          </w:p>
        </w:tc>
      </w:tr>
      <w:tr w:rsidR="00A870AB">
        <w:trPr>
          <w:jc w:val="center"/>
        </w:trPr>
        <w:tc>
          <w:tcPr>
            <w:tcW w:w="850" w:type="dxa"/>
            <w:vAlign w:val="center"/>
          </w:tcPr>
          <w:p w:rsidR="00A870AB" w:rsidRDefault="00B80361">
            <w:pPr>
              <w:jc w:val="center"/>
            </w:pPr>
            <w:r>
              <w:rPr>
                <w:color w:val="000000"/>
                <w:sz w:val="24"/>
                <w:szCs w:val="24"/>
              </w:rPr>
              <w:t>5</w:t>
            </w:r>
          </w:p>
        </w:tc>
        <w:tc>
          <w:tcPr>
            <w:tcW w:w="1475" w:type="dxa"/>
            <w:vAlign w:val="center"/>
          </w:tcPr>
          <w:p w:rsidR="00A870AB" w:rsidRDefault="00B80361">
            <w:pPr>
              <w:jc w:val="center"/>
            </w:pPr>
            <w:r>
              <w:rPr>
                <w:color w:val="000000"/>
                <w:sz w:val="24"/>
                <w:szCs w:val="24"/>
              </w:rPr>
              <w:t>122273</w:t>
            </w:r>
          </w:p>
        </w:tc>
        <w:tc>
          <w:tcPr>
            <w:tcW w:w="1769" w:type="dxa"/>
            <w:vAlign w:val="center"/>
          </w:tcPr>
          <w:p w:rsidR="00A870AB" w:rsidRDefault="00B80361">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A870AB" w:rsidRDefault="00B80361">
            <w:pPr>
              <w:jc w:val="right"/>
            </w:pPr>
            <w:r>
              <w:rPr>
                <w:color w:val="000000"/>
                <w:sz w:val="24"/>
                <w:szCs w:val="24"/>
              </w:rPr>
              <w:t>200,000</w:t>
            </w:r>
          </w:p>
        </w:tc>
        <w:tc>
          <w:tcPr>
            <w:tcW w:w="2150" w:type="dxa"/>
            <w:vAlign w:val="center"/>
          </w:tcPr>
          <w:p w:rsidR="00A870AB" w:rsidRDefault="00B80361">
            <w:pPr>
              <w:jc w:val="right"/>
            </w:pPr>
            <w:r>
              <w:rPr>
                <w:color w:val="000000"/>
                <w:sz w:val="24"/>
                <w:szCs w:val="24"/>
              </w:rPr>
              <w:t>20,022,000.00</w:t>
            </w:r>
          </w:p>
        </w:tc>
        <w:tc>
          <w:tcPr>
            <w:tcW w:w="1237" w:type="dxa"/>
            <w:vAlign w:val="center"/>
          </w:tcPr>
          <w:p w:rsidR="00A870AB" w:rsidRDefault="00B80361">
            <w:pPr>
              <w:jc w:val="right"/>
            </w:pPr>
            <w:r>
              <w:rPr>
                <w:color w:val="000000"/>
                <w:sz w:val="24"/>
                <w:szCs w:val="24"/>
              </w:rPr>
              <w:t>6.00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8,624.02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6,392,126.99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6,400,751.01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533E2F" w:rsidRDefault="00533E2F" w:rsidP="00533E2F">
      <w:pPr>
        <w:adjustRightInd w:val="0"/>
        <w:snapToGrid w:val="0"/>
        <w:spacing w:beforeLines="50" w:before="156" w:line="360" w:lineRule="auto"/>
        <w:rPr>
          <w:rFonts w:eastAsiaTheme="minorEastAsia"/>
          <w:b/>
          <w:color w:val="000000" w:themeColor="text1"/>
          <w:kern w:val="0"/>
          <w:sz w:val="24"/>
          <w:szCs w:val="24"/>
        </w:rPr>
      </w:pPr>
      <w:r>
        <w:rPr>
          <w:rFonts w:eastAsiaTheme="minorEastAsia"/>
          <w:b/>
          <w:color w:val="000000" w:themeColor="text1"/>
          <w:kern w:val="0"/>
          <w:sz w:val="24"/>
          <w:szCs w:val="24"/>
        </w:rPr>
        <w:t xml:space="preserve">6.3 </w:t>
      </w:r>
      <w:r>
        <w:rPr>
          <w:rFonts w:eastAsiaTheme="minorEastAsia" w:hint="eastAsia"/>
          <w:b/>
          <w:color w:val="000000" w:themeColor="text1"/>
          <w:kern w:val="0"/>
          <w:sz w:val="24"/>
          <w:szCs w:val="24"/>
        </w:rPr>
        <w:t>本报告期持有的基金发生的重大影响事件</w:t>
      </w:r>
    </w:p>
    <w:p w:rsidR="00533E2F" w:rsidRPr="00533E2F" w:rsidRDefault="00533E2F" w:rsidP="00533E2F">
      <w:pPr>
        <w:autoSpaceDE w:val="0"/>
        <w:autoSpaceDN w:val="0"/>
        <w:adjustRightInd w:val="0"/>
        <w:spacing w:line="360" w:lineRule="auto"/>
        <w:ind w:firstLineChars="200" w:firstLine="480"/>
        <w:jc w:val="left"/>
        <w:rPr>
          <w:rFonts w:eastAsiaTheme="minorEastAsia"/>
          <w:color w:val="000000" w:themeColor="text1"/>
          <w:sz w:val="24"/>
          <w:szCs w:val="24"/>
        </w:rPr>
      </w:pPr>
      <w:r>
        <w:rPr>
          <w:rFonts w:eastAsiaTheme="minorEastAsia" w:hint="eastAsia"/>
          <w:color w:val="000000" w:themeColor="text1"/>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300,044,256.77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139.23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300,044,117.54</w:t>
            </w:r>
          </w:p>
        </w:tc>
      </w:tr>
    </w:tbl>
    <w:p w:rsidR="00A870AB" w:rsidRDefault="00B8036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A870AB">
        <w:tc>
          <w:tcPr>
            <w:tcW w:w="993" w:type="dxa"/>
            <w:vMerge w:val="restart"/>
          </w:tcPr>
          <w:p w:rsidR="00A870AB" w:rsidRDefault="00A870AB"/>
          <w:p w:rsidR="00A870AB" w:rsidRDefault="00B80361">
            <w:r>
              <w:rPr>
                <w:rFonts w:ascii="宋体" w:hAnsi="宋体" w:hint="eastAsia"/>
                <w:bCs/>
                <w:color w:val="000000"/>
                <w:kern w:val="0"/>
              </w:rPr>
              <w:t>机构</w:t>
            </w:r>
          </w:p>
        </w:tc>
        <w:tc>
          <w:tcPr>
            <w:tcW w:w="992" w:type="dxa"/>
            <w:vAlign w:val="center"/>
          </w:tcPr>
          <w:p w:rsidR="00A870AB" w:rsidRDefault="00B80361">
            <w:pPr>
              <w:jc w:val="center"/>
            </w:pPr>
            <w:r>
              <w:rPr>
                <w:rFonts w:ascii="宋体" w:hAnsi="宋体"/>
                <w:color w:val="000000"/>
                <w:kern w:val="0"/>
              </w:rPr>
              <w:t>1</w:t>
            </w:r>
          </w:p>
        </w:tc>
        <w:tc>
          <w:tcPr>
            <w:tcW w:w="1843" w:type="dxa"/>
            <w:vAlign w:val="center"/>
          </w:tcPr>
          <w:p w:rsidR="00A870AB" w:rsidRDefault="00B80361">
            <w:pPr>
              <w:jc w:val="center"/>
            </w:pPr>
            <w:r>
              <w:rPr>
                <w:rFonts w:ascii="宋体" w:hAnsi="宋体"/>
                <w:color w:val="000000"/>
                <w:kern w:val="0"/>
              </w:rPr>
              <w:t>2018/1/1-2018/3/31</w:t>
            </w:r>
          </w:p>
        </w:tc>
        <w:tc>
          <w:tcPr>
            <w:tcW w:w="851" w:type="dxa"/>
            <w:vAlign w:val="center"/>
          </w:tcPr>
          <w:p w:rsidR="00A870AB" w:rsidRDefault="00B80361">
            <w:pPr>
              <w:jc w:val="center"/>
            </w:pPr>
            <w:r>
              <w:rPr>
                <w:rFonts w:ascii="宋体" w:hAnsi="宋体"/>
                <w:color w:val="000000"/>
                <w:kern w:val="0"/>
              </w:rPr>
              <w:t>300,039,500.00</w:t>
            </w:r>
          </w:p>
        </w:tc>
        <w:tc>
          <w:tcPr>
            <w:tcW w:w="850" w:type="dxa"/>
            <w:vAlign w:val="center"/>
          </w:tcPr>
          <w:p w:rsidR="00A870AB" w:rsidRDefault="00B80361">
            <w:pPr>
              <w:jc w:val="center"/>
            </w:pPr>
            <w:r>
              <w:rPr>
                <w:rFonts w:ascii="宋体" w:hAnsi="宋体"/>
                <w:color w:val="000000"/>
                <w:kern w:val="0"/>
              </w:rPr>
              <w:t>-</w:t>
            </w:r>
          </w:p>
        </w:tc>
        <w:tc>
          <w:tcPr>
            <w:tcW w:w="1134" w:type="dxa"/>
            <w:vAlign w:val="center"/>
          </w:tcPr>
          <w:p w:rsidR="00A870AB" w:rsidRDefault="00B80361">
            <w:pPr>
              <w:jc w:val="center"/>
            </w:pPr>
            <w:r>
              <w:rPr>
                <w:rFonts w:ascii="宋体" w:hAnsi="宋体"/>
                <w:color w:val="000000"/>
                <w:kern w:val="0"/>
              </w:rPr>
              <w:t>-</w:t>
            </w:r>
          </w:p>
        </w:tc>
        <w:tc>
          <w:tcPr>
            <w:tcW w:w="1419" w:type="dxa"/>
            <w:vAlign w:val="center"/>
          </w:tcPr>
          <w:p w:rsidR="00A870AB" w:rsidRDefault="00B80361">
            <w:pPr>
              <w:jc w:val="center"/>
            </w:pPr>
            <w:r>
              <w:rPr>
                <w:rFonts w:ascii="宋体" w:hAnsi="宋体"/>
                <w:color w:val="000000"/>
                <w:kern w:val="0"/>
              </w:rPr>
              <w:t>300,039,500.00</w:t>
            </w:r>
          </w:p>
        </w:tc>
        <w:tc>
          <w:tcPr>
            <w:tcW w:w="1130" w:type="dxa"/>
            <w:vAlign w:val="center"/>
          </w:tcPr>
          <w:p w:rsidR="00A870AB" w:rsidRDefault="00B80361">
            <w:pPr>
              <w:jc w:val="center"/>
            </w:pPr>
            <w:r>
              <w:rPr>
                <w:rFonts w:ascii="宋体" w:hAnsi="宋体"/>
                <w:color w:val="000000"/>
                <w:kern w:val="0"/>
              </w:rPr>
              <w:t>100.00%</w:t>
            </w:r>
          </w:p>
        </w:tc>
      </w:tr>
      <w:tr w:rsidR="003C50AD" w:rsidRPr="0013511B" w:rsidTr="00424D30">
        <w:tc>
          <w:tcPr>
            <w:tcW w:w="9212" w:type="dxa"/>
            <w:gridSpan w:val="8"/>
            <w:vAlign w:val="center"/>
          </w:tcPr>
          <w:p w:rsidR="003C50AD" w:rsidRPr="00C56A6E" w:rsidRDefault="003C50AD" w:rsidP="00424D30">
            <w:pPr>
              <w:autoSpaceDE w:val="0"/>
              <w:autoSpaceDN w:val="0"/>
              <w:adjustRightInd w:val="0"/>
              <w:jc w:val="center"/>
              <w:rPr>
                <w:rFonts w:ascii="宋体" w:hAnsi="宋体"/>
                <w:kern w:val="0"/>
                <w:sz w:val="24"/>
                <w:szCs w:val="24"/>
              </w:rPr>
            </w:pPr>
            <w:r w:rsidRPr="00C56A6E">
              <w:rPr>
                <w:rFonts w:ascii="宋体" w:hAnsi="宋体"/>
                <w:color w:val="000000"/>
                <w:kern w:val="0"/>
                <w:sz w:val="24"/>
                <w:szCs w:val="24"/>
              </w:rPr>
              <w:t>产品特有风险</w:t>
            </w:r>
          </w:p>
        </w:tc>
      </w:tr>
      <w:tr w:rsidR="003C50AD" w:rsidRPr="0013511B" w:rsidTr="00424D30">
        <w:tc>
          <w:tcPr>
            <w:tcW w:w="9212" w:type="dxa"/>
            <w:gridSpan w:val="8"/>
            <w:vAlign w:val="center"/>
          </w:tcPr>
          <w:p w:rsidR="003C50AD" w:rsidRPr="00C56A6E" w:rsidRDefault="003C50AD" w:rsidP="00424D30">
            <w:pPr>
              <w:autoSpaceDE w:val="0"/>
              <w:autoSpaceDN w:val="0"/>
              <w:adjustRightInd w:val="0"/>
              <w:jc w:val="left"/>
              <w:rPr>
                <w:rFonts w:ascii="宋体" w:hAnsi="宋体"/>
                <w:kern w:val="0"/>
                <w:sz w:val="24"/>
                <w:szCs w:val="24"/>
              </w:rPr>
            </w:pPr>
            <w:r w:rsidRPr="00C56A6E">
              <w:rPr>
                <w:rFonts w:ascii="宋体" w:hAnsi="宋体" w:hint="eastAsia"/>
                <w:kern w:val="0"/>
                <w:sz w:val="24"/>
                <w:szCs w:val="24"/>
              </w:rPr>
              <w:t>本基金本报告期内出现单一投资者持有基金份额比例超过基金总份额</w:t>
            </w:r>
            <w:r w:rsidRPr="00C56A6E">
              <w:rPr>
                <w:rFonts w:ascii="宋体" w:hAnsi="宋体"/>
                <w:kern w:val="0"/>
                <w:sz w:val="24"/>
                <w:szCs w:val="24"/>
              </w:rPr>
              <w:t>20%的情况。如该类投资者集中赎回，可能会对本基金带来流动性冲击，从而影响基金的投资运作和收益水平。基金管理人将加强流动性管理，防范相关风险，保护持有人利益。</w:t>
            </w:r>
          </w:p>
        </w:tc>
      </w:tr>
    </w:tbl>
    <w:p w:rsidR="0013511B" w:rsidRDefault="0013511B" w:rsidP="003C50AD">
      <w:pPr>
        <w:autoSpaceDE w:val="0"/>
        <w:autoSpaceDN w:val="0"/>
        <w:adjustRightInd w:val="0"/>
        <w:spacing w:line="360" w:lineRule="auto"/>
        <w:jc w:val="left"/>
        <w:rPr>
          <w:rFonts w:ascii="宋体" w:hAnsi="宋体"/>
          <w:b/>
          <w:bCs/>
          <w:color w:val="000000"/>
          <w:kern w:val="0"/>
          <w:sz w:val="24"/>
          <w:szCs w:val="24"/>
        </w:rPr>
      </w:pPr>
    </w:p>
    <w:p w:rsidR="003C50AD" w:rsidRPr="0013511B" w:rsidRDefault="003C50AD" w:rsidP="003C50AD">
      <w:pPr>
        <w:autoSpaceDE w:val="0"/>
        <w:autoSpaceDN w:val="0"/>
        <w:adjustRightInd w:val="0"/>
        <w:spacing w:line="360" w:lineRule="auto"/>
        <w:jc w:val="left"/>
        <w:rPr>
          <w:rFonts w:ascii="宋体" w:hAnsi="宋体"/>
          <w:b/>
          <w:bCs/>
          <w:color w:val="000000"/>
          <w:kern w:val="0"/>
          <w:sz w:val="24"/>
          <w:szCs w:val="24"/>
        </w:rPr>
      </w:pPr>
      <w:r w:rsidRPr="0013511B">
        <w:rPr>
          <w:rFonts w:ascii="宋体" w:hAnsi="宋体" w:hint="eastAsia"/>
          <w:b/>
          <w:bCs/>
          <w:color w:val="000000"/>
          <w:kern w:val="0"/>
          <w:sz w:val="24"/>
          <w:szCs w:val="24"/>
        </w:rPr>
        <w:t>9.2 影响投资者决策的其他重要信息</w:t>
      </w:r>
    </w:p>
    <w:p w:rsidR="00A870AB" w:rsidRPr="00C56A6E" w:rsidRDefault="00B80361">
      <w:pPr>
        <w:spacing w:line="360" w:lineRule="auto"/>
        <w:ind w:firstLineChars="200" w:firstLine="480"/>
        <w:rPr>
          <w:rFonts w:ascii="宋体" w:hAnsi="宋体"/>
          <w:color w:val="000000"/>
          <w:sz w:val="24"/>
          <w:szCs w:val="24"/>
        </w:rPr>
      </w:pPr>
      <w:r w:rsidRPr="00C56A6E">
        <w:rPr>
          <w:rFonts w:ascii="宋体" w:hAnsi="宋体"/>
          <w:color w:val="000000"/>
          <w:sz w:val="24"/>
          <w:szCs w:val="24"/>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w:t>
      </w:r>
      <w:r w:rsidRPr="00C56A6E">
        <w:rPr>
          <w:rFonts w:ascii="宋体" w:hAnsi="宋体"/>
          <w:color w:val="000000"/>
          <w:sz w:val="24"/>
          <w:szCs w:val="24"/>
        </w:rPr>
        <w:lastRenderedPageBreak/>
        <w:t>策作出补充规定的，基金管理人将及时根据所涉及的税收政策作出相应调整，切实履行基金管理人的职责。</w:t>
      </w:r>
    </w:p>
    <w:p w:rsidR="003C50AD" w:rsidRPr="00C56A6E" w:rsidRDefault="003C50AD" w:rsidP="003C50AD">
      <w:pPr>
        <w:spacing w:line="360" w:lineRule="auto"/>
        <w:ind w:firstLineChars="200" w:firstLine="480"/>
        <w:rPr>
          <w:rFonts w:ascii="宋体" w:hAnsi="宋体"/>
          <w:color w:val="000000"/>
          <w:sz w:val="24"/>
          <w:szCs w:val="24"/>
        </w:rPr>
      </w:pPr>
      <w:r w:rsidRPr="00C56A6E">
        <w:rPr>
          <w:rFonts w:ascii="宋体" w:hAnsi="宋体"/>
          <w:color w:val="000000"/>
          <w:sz w:val="24"/>
          <w:szCs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870AB" w:rsidRDefault="00B8036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、《交银施罗德瑞景定期开放灵活配置混合型证券投资基金招募说明书》；</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870AB" w:rsidRDefault="00B8036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870AB" w:rsidRDefault="00B8036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lastRenderedPageBreak/>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2CF" w:rsidRDefault="008D12CF" w:rsidP="00876D65">
      <w:r>
        <w:separator/>
      </w:r>
    </w:p>
  </w:endnote>
  <w:endnote w:type="continuationSeparator" w:id="0">
    <w:p w:rsidR="008D12CF" w:rsidRDefault="008D12C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C56A6E">
      <w:rPr>
        <w:noProof/>
        <w:kern w:val="0"/>
        <w:szCs w:val="21"/>
      </w:rPr>
      <w:t>3</w:t>
    </w:r>
    <w:r w:rsidR="00006A28">
      <w:rPr>
        <w:kern w:val="0"/>
        <w:szCs w:val="21"/>
      </w:rPr>
      <w:fldChar w:fldCharType="end"/>
    </w:r>
    <w:r>
      <w:rPr>
        <w:rFonts w:hint="eastAsia"/>
        <w:kern w:val="0"/>
        <w:szCs w:val="21"/>
      </w:rPr>
      <w:t>页共</w:t>
    </w:r>
    <w:r w:rsidR="00006A28">
      <w:rPr>
        <w:kern w:val="0"/>
        <w:szCs w:val="21"/>
      </w:rPr>
      <w:fldChar w:fldCharType="begin"/>
    </w:r>
    <w:r>
      <w:rPr>
        <w:kern w:val="0"/>
        <w:szCs w:val="21"/>
      </w:rPr>
      <w:instrText xml:space="preserve"> NUMPAGES </w:instrText>
    </w:r>
    <w:r w:rsidR="00006A28">
      <w:rPr>
        <w:kern w:val="0"/>
        <w:szCs w:val="21"/>
      </w:rPr>
      <w:fldChar w:fldCharType="separate"/>
    </w:r>
    <w:r w:rsidR="00C56A6E">
      <w:rPr>
        <w:noProof/>
        <w:kern w:val="0"/>
        <w:szCs w:val="21"/>
      </w:rPr>
      <w:t>15</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2CF" w:rsidRDefault="008D12CF" w:rsidP="00876D65">
      <w:r>
        <w:separator/>
      </w:r>
    </w:p>
  </w:footnote>
  <w:footnote w:type="continuationSeparator" w:id="0">
    <w:p w:rsidR="008D12CF" w:rsidRDefault="008D12C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交银施罗德瑞景定期开放灵活配置混合型证券投资基金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0DD1"/>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511B"/>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0665"/>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3E2F"/>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12CF"/>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0AB"/>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0361"/>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56A6E"/>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3787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809202554">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AB7EB-9301-4401-9D91-0E669959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15</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580</cp:revision>
  <dcterms:created xsi:type="dcterms:W3CDTF">2012-10-16T06:07:00Z</dcterms:created>
  <dcterms:modified xsi:type="dcterms:W3CDTF">2018-04-19T01:40:00Z</dcterms:modified>
</cp:coreProperties>
</file>