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交银施罗德沪港深价值精选灵活配置混合型证券投资基金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448E7" w:rsidRDefault="006928D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448E7" w:rsidRDefault="006928D0">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448E7" w:rsidRDefault="006928D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448E7" w:rsidRDefault="006928D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448E7" w:rsidRDefault="006928D0">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交银沪港深价值精选混合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481,522,026.67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本基金通过优化资产配置和灵活运用多种投资策略，把握沪港通及后续资本市场开放政策带来的投资机会，力争实现基金资产的长期稳定增值。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恒生指数收益率</w:t>
            </w:r>
            <w:r w:rsidRPr="00414345">
              <w:rPr>
                <w:color w:val="000000"/>
                <w:kern w:val="0"/>
                <w:sz w:val="24"/>
                <w:szCs w:val="24"/>
              </w:rPr>
              <w:t>×40%+</w:t>
            </w:r>
            <w:r w:rsidRPr="00414345">
              <w:rPr>
                <w:color w:val="000000"/>
                <w:kern w:val="0"/>
                <w:sz w:val="24"/>
                <w:szCs w:val="24"/>
              </w:rPr>
              <w:t>中证综合债券指数收益率</w:t>
            </w:r>
            <w:r w:rsidRPr="00414345">
              <w:rPr>
                <w:color w:val="000000"/>
                <w:kern w:val="0"/>
                <w:sz w:val="24"/>
                <w:szCs w:val="24"/>
              </w:rPr>
              <w:t>×20%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5448E7" w:rsidRDefault="006928D0">
            <w:pPr>
              <w:adjustRightInd w:val="0"/>
              <w:spacing w:before="29" w:line="288" w:lineRule="auto"/>
              <w:ind w:left="17"/>
              <w:jc w:val="left"/>
              <w:rPr>
                <w:color w:val="000000"/>
                <w:sz w:val="24"/>
                <w:szCs w:val="24"/>
              </w:rPr>
            </w:pPr>
            <w:r>
              <w:rPr>
                <w:color w:val="000000"/>
                <w:kern w:val="0"/>
                <w:sz w:val="24"/>
                <w:szCs w:val="24"/>
              </w:rPr>
              <w:t>本基金是一只混合型基金，其风险和预期收益高于债</w:t>
            </w:r>
            <w:r>
              <w:rPr>
                <w:color w:val="000000"/>
                <w:kern w:val="0"/>
                <w:sz w:val="24"/>
                <w:szCs w:val="24"/>
              </w:rPr>
              <w:lastRenderedPageBreak/>
              <w:t>券型基金和货币市场基金，低于股票型基金。属于承担较高风险、预期收益较高的证券投资基金品种。</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928D0" w:rsidRPr="00414345" w:rsidTr="006928D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928D0" w:rsidRPr="00414345" w:rsidTr="006928D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-7,300,813.11</w:t>
            </w:r>
          </w:p>
        </w:tc>
      </w:tr>
      <w:tr w:rsidR="006928D0" w:rsidRPr="00414345" w:rsidTr="006928D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-38,297,398.91</w:t>
            </w:r>
          </w:p>
        </w:tc>
      </w:tr>
      <w:tr w:rsidR="006928D0" w:rsidRPr="00414345" w:rsidTr="006928D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-0.1006</w:t>
            </w:r>
          </w:p>
        </w:tc>
      </w:tr>
      <w:tr w:rsidR="006928D0" w:rsidRPr="00414345" w:rsidTr="006928D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582,501,547.27</w:t>
            </w:r>
          </w:p>
        </w:tc>
      </w:tr>
      <w:tr w:rsidR="006928D0" w:rsidRPr="00414345" w:rsidTr="006928D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1.210</w:t>
            </w:r>
          </w:p>
        </w:tc>
      </w:tr>
    </w:tbl>
    <w:p w:rsidR="005448E7" w:rsidRDefault="006928D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448E7">
        <w:trPr>
          <w:jc w:val="center"/>
        </w:trPr>
        <w:tc>
          <w:tcPr>
            <w:tcW w:w="1701" w:type="dxa"/>
            <w:vAlign w:val="center"/>
          </w:tcPr>
          <w:p w:rsidR="005448E7" w:rsidRDefault="006928D0">
            <w:pPr>
              <w:jc w:val="left"/>
            </w:pPr>
            <w:r>
              <w:rPr>
                <w:color w:val="000000"/>
                <w:sz w:val="24"/>
                <w:szCs w:val="24"/>
              </w:rPr>
              <w:t>过去三个月</w:t>
            </w:r>
          </w:p>
        </w:tc>
        <w:tc>
          <w:tcPr>
            <w:tcW w:w="1045" w:type="dxa"/>
            <w:vAlign w:val="center"/>
          </w:tcPr>
          <w:p w:rsidR="005448E7" w:rsidRDefault="006928D0">
            <w:pPr>
              <w:jc w:val="center"/>
            </w:pPr>
            <w:r>
              <w:rPr>
                <w:color w:val="000000"/>
                <w:sz w:val="24"/>
                <w:szCs w:val="24"/>
              </w:rPr>
              <w:t>-3.95%</w:t>
            </w:r>
          </w:p>
        </w:tc>
        <w:tc>
          <w:tcPr>
            <w:tcW w:w="1344" w:type="dxa"/>
            <w:vAlign w:val="center"/>
          </w:tcPr>
          <w:p w:rsidR="005448E7" w:rsidRDefault="006928D0">
            <w:pPr>
              <w:jc w:val="center"/>
            </w:pPr>
            <w:r>
              <w:rPr>
                <w:color w:val="000000"/>
                <w:sz w:val="24"/>
                <w:szCs w:val="24"/>
              </w:rPr>
              <w:t>1.23%</w:t>
            </w:r>
          </w:p>
        </w:tc>
        <w:tc>
          <w:tcPr>
            <w:tcW w:w="1194" w:type="dxa"/>
            <w:vAlign w:val="center"/>
          </w:tcPr>
          <w:p w:rsidR="005448E7" w:rsidRDefault="006928D0">
            <w:pPr>
              <w:jc w:val="center"/>
            </w:pPr>
            <w:r>
              <w:rPr>
                <w:color w:val="000000"/>
                <w:sz w:val="24"/>
                <w:szCs w:val="24"/>
              </w:rPr>
              <w:t>-0.59%</w:t>
            </w:r>
          </w:p>
        </w:tc>
        <w:tc>
          <w:tcPr>
            <w:tcW w:w="1492" w:type="dxa"/>
            <w:vAlign w:val="center"/>
          </w:tcPr>
          <w:p w:rsidR="005448E7" w:rsidRDefault="006928D0">
            <w:pPr>
              <w:jc w:val="center"/>
            </w:pPr>
            <w:r>
              <w:rPr>
                <w:color w:val="000000"/>
                <w:sz w:val="24"/>
                <w:szCs w:val="24"/>
              </w:rPr>
              <w:t>0.96%</w:t>
            </w:r>
          </w:p>
        </w:tc>
        <w:tc>
          <w:tcPr>
            <w:tcW w:w="1194" w:type="dxa"/>
            <w:vAlign w:val="center"/>
          </w:tcPr>
          <w:p w:rsidR="005448E7" w:rsidRDefault="006928D0">
            <w:pPr>
              <w:jc w:val="center"/>
            </w:pPr>
            <w:r>
              <w:rPr>
                <w:color w:val="000000"/>
                <w:sz w:val="24"/>
                <w:szCs w:val="24"/>
              </w:rPr>
              <w:t>-3.36%</w:t>
            </w:r>
          </w:p>
        </w:tc>
        <w:tc>
          <w:tcPr>
            <w:tcW w:w="898" w:type="dxa"/>
            <w:vAlign w:val="center"/>
          </w:tcPr>
          <w:p w:rsidR="005448E7" w:rsidRDefault="006928D0">
            <w:pPr>
              <w:jc w:val="center"/>
            </w:pPr>
            <w:r>
              <w:rPr>
                <w:color w:val="000000"/>
                <w:sz w:val="24"/>
                <w:szCs w:val="24"/>
              </w:rPr>
              <w:t>0.27%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交银施罗德沪港深价值精选灵活配置混合型证券投资基金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6928D0"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25AF8907" wp14:editId="5A2892F4">
            <wp:extent cx="5731510" cy="3356610"/>
            <wp:effectExtent l="0" t="0" r="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11</w:t>
      </w:r>
      <w:r w:rsidRPr="00414345">
        <w:rPr>
          <w:color w:val="000000"/>
          <w:sz w:val="24"/>
          <w:szCs w:val="24"/>
        </w:rPr>
        <w:t>月</w:t>
      </w:r>
      <w:r w:rsidRPr="00414345">
        <w:rPr>
          <w:color w:val="000000"/>
          <w:sz w:val="24"/>
          <w:szCs w:val="24"/>
        </w:rPr>
        <w:t>7</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448E7">
        <w:trPr>
          <w:jc w:val="center"/>
        </w:trPr>
        <w:tc>
          <w:tcPr>
            <w:tcW w:w="846" w:type="dxa"/>
            <w:vAlign w:val="center"/>
          </w:tcPr>
          <w:p w:rsidR="005448E7" w:rsidRDefault="006928D0">
            <w:pPr>
              <w:jc w:val="center"/>
            </w:pPr>
            <w:r>
              <w:rPr>
                <w:color w:val="000000"/>
                <w:sz w:val="24"/>
                <w:szCs w:val="24"/>
              </w:rPr>
              <w:t>陈俊华</w:t>
            </w:r>
          </w:p>
        </w:tc>
        <w:tc>
          <w:tcPr>
            <w:tcW w:w="845" w:type="dxa"/>
            <w:vAlign w:val="center"/>
          </w:tcPr>
          <w:p w:rsidR="005448E7" w:rsidRDefault="006928D0">
            <w:pPr>
              <w:jc w:val="center"/>
            </w:pPr>
            <w:r>
              <w:rPr>
                <w:color w:val="000000"/>
                <w:sz w:val="24"/>
                <w:szCs w:val="24"/>
              </w:rPr>
              <w:t>交银环球精选混合</w:t>
            </w:r>
            <w:r>
              <w:rPr>
                <w:color w:val="000000"/>
                <w:sz w:val="24"/>
                <w:szCs w:val="24"/>
              </w:rPr>
              <w:t>(QDII)</w:t>
            </w:r>
            <w:r>
              <w:rPr>
                <w:color w:val="000000"/>
                <w:sz w:val="24"/>
                <w:szCs w:val="24"/>
              </w:rPr>
              <w:t>、交银全球资源混合</w:t>
            </w:r>
            <w:r>
              <w:rPr>
                <w:color w:val="000000"/>
                <w:sz w:val="24"/>
                <w:szCs w:val="24"/>
              </w:rPr>
              <w:lastRenderedPageBreak/>
              <w:t>(QDII)</w:t>
            </w:r>
            <w:r>
              <w:rPr>
                <w:color w:val="000000"/>
                <w:sz w:val="24"/>
                <w:szCs w:val="24"/>
              </w:rPr>
              <w:t>、交银沪港深价值精选混合的基金经理</w:t>
            </w:r>
          </w:p>
        </w:tc>
        <w:tc>
          <w:tcPr>
            <w:tcW w:w="1549" w:type="dxa"/>
            <w:vAlign w:val="center"/>
          </w:tcPr>
          <w:p w:rsidR="005448E7" w:rsidRDefault="006928D0">
            <w:pPr>
              <w:jc w:val="center"/>
            </w:pPr>
            <w:r>
              <w:rPr>
                <w:color w:val="000000"/>
                <w:sz w:val="24"/>
                <w:szCs w:val="24"/>
              </w:rPr>
              <w:lastRenderedPageBreak/>
              <w:t>2016-11-07</w:t>
            </w:r>
          </w:p>
        </w:tc>
        <w:tc>
          <w:tcPr>
            <w:tcW w:w="1548" w:type="dxa"/>
            <w:vAlign w:val="center"/>
          </w:tcPr>
          <w:p w:rsidR="005448E7" w:rsidRDefault="006928D0">
            <w:pPr>
              <w:jc w:val="center"/>
            </w:pPr>
            <w:r>
              <w:rPr>
                <w:color w:val="000000"/>
                <w:sz w:val="24"/>
                <w:szCs w:val="24"/>
              </w:rPr>
              <w:t>-</w:t>
            </w:r>
          </w:p>
        </w:tc>
        <w:tc>
          <w:tcPr>
            <w:tcW w:w="1407" w:type="dxa"/>
            <w:vAlign w:val="center"/>
          </w:tcPr>
          <w:p w:rsidR="005448E7" w:rsidRDefault="006928D0">
            <w:pPr>
              <w:jc w:val="center"/>
            </w:pPr>
            <w:r>
              <w:rPr>
                <w:color w:val="000000"/>
                <w:sz w:val="24"/>
                <w:szCs w:val="24"/>
              </w:rPr>
              <w:t>13</w:t>
            </w:r>
            <w:r>
              <w:rPr>
                <w:color w:val="000000"/>
                <w:sz w:val="24"/>
                <w:szCs w:val="24"/>
              </w:rPr>
              <w:t>年</w:t>
            </w:r>
          </w:p>
        </w:tc>
        <w:tc>
          <w:tcPr>
            <w:tcW w:w="2673" w:type="dxa"/>
            <w:vAlign w:val="center"/>
          </w:tcPr>
          <w:p w:rsidR="005448E7" w:rsidRDefault="006928D0">
            <w:r>
              <w:rPr>
                <w:color w:val="000000"/>
                <w:sz w:val="24"/>
                <w:szCs w:val="24"/>
              </w:rPr>
              <w:t>陈俊华女士，中国国籍，上海交通大学金融学硕士。历任国泰君安证券研究部研究员、中国国际金融有限公司研究部公用事业组负责人。</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448E7" w:rsidRDefault="006928D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448E7" w:rsidRDefault="006928D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448E7" w:rsidRDefault="006928D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448E7" w:rsidRDefault="006928D0">
      <w:pPr>
        <w:spacing w:before="29" w:line="288" w:lineRule="auto"/>
        <w:ind w:firstLineChars="200" w:firstLine="480"/>
        <w:rPr>
          <w:color w:val="000000"/>
          <w:sz w:val="24"/>
          <w:szCs w:val="24"/>
        </w:rPr>
      </w:pPr>
      <w:r>
        <w:rPr>
          <w:color w:val="000000"/>
          <w:sz w:val="24"/>
          <w:szCs w:val="24"/>
        </w:rPr>
        <w:t>2018</w:t>
      </w:r>
      <w:r>
        <w:rPr>
          <w:color w:val="000000"/>
          <w:sz w:val="24"/>
          <w:szCs w:val="24"/>
        </w:rPr>
        <w:t>年年初，全球资本市场波动率快速加大。美股市场一季度两次大幅下挫，对全球市场造成了负面影响。</w:t>
      </w:r>
      <w:r>
        <w:rPr>
          <w:color w:val="000000"/>
          <w:sz w:val="24"/>
          <w:szCs w:val="24"/>
        </w:rPr>
        <w:t>A</w:t>
      </w:r>
      <w:r>
        <w:rPr>
          <w:color w:val="000000"/>
          <w:sz w:val="24"/>
          <w:szCs w:val="24"/>
        </w:rPr>
        <w:t>股、港股更是市场经历了从基建、周期为主的上涨市场快速回调，热点迅速切换至医药和创新的震荡行情。相对而言，港股受到美国市场下跌的影响更大，叠加人民币汇率升值的影响，港股操作难度较</w:t>
      </w:r>
      <w:r>
        <w:rPr>
          <w:color w:val="000000"/>
          <w:sz w:val="24"/>
          <w:szCs w:val="24"/>
        </w:rPr>
        <w:t>2017</w:t>
      </w:r>
      <w:r>
        <w:rPr>
          <w:color w:val="000000"/>
          <w:sz w:val="24"/>
          <w:szCs w:val="24"/>
        </w:rPr>
        <w:t>年有所增加。</w:t>
      </w:r>
    </w:p>
    <w:p w:rsidR="005448E7" w:rsidRDefault="006928D0">
      <w:pPr>
        <w:spacing w:before="29" w:line="288" w:lineRule="auto"/>
        <w:ind w:firstLineChars="200" w:firstLine="480"/>
        <w:rPr>
          <w:color w:val="000000"/>
          <w:sz w:val="24"/>
          <w:szCs w:val="24"/>
        </w:rPr>
      </w:pPr>
      <w:r>
        <w:rPr>
          <w:color w:val="000000"/>
          <w:sz w:val="24"/>
          <w:szCs w:val="24"/>
        </w:rPr>
        <w:t>一季度，本基金</w:t>
      </w:r>
      <w:r w:rsidR="00986DC2">
        <w:rPr>
          <w:rFonts w:hint="eastAsia"/>
          <w:color w:val="000000"/>
          <w:sz w:val="24"/>
          <w:szCs w:val="24"/>
        </w:rPr>
        <w:t>继</w:t>
      </w:r>
      <w:r>
        <w:rPr>
          <w:color w:val="000000"/>
          <w:sz w:val="24"/>
          <w:szCs w:val="24"/>
        </w:rPr>
        <w:t>续维持中高仓位配置，以港股为主，</w:t>
      </w:r>
      <w:r>
        <w:rPr>
          <w:color w:val="000000"/>
          <w:sz w:val="24"/>
          <w:szCs w:val="24"/>
        </w:rPr>
        <w:t>A</w:t>
      </w:r>
      <w:r>
        <w:rPr>
          <w:color w:val="000000"/>
          <w:sz w:val="24"/>
          <w:szCs w:val="24"/>
        </w:rPr>
        <w:t>股为辅。我们增持了博彩、公用事业类板块，减持了汽车、家电板块，对周期板块进行了调整。</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展望二季度及下半年，我们认为全球流动性收紧仍是首要需要考虑的大前提。如我们在</w:t>
      </w:r>
      <w:r w:rsidRPr="00414345">
        <w:rPr>
          <w:color w:val="000000"/>
          <w:sz w:val="24"/>
          <w:szCs w:val="24"/>
        </w:rPr>
        <w:t>2017</w:t>
      </w:r>
      <w:r w:rsidRPr="00414345">
        <w:rPr>
          <w:color w:val="000000"/>
          <w:sz w:val="24"/>
          <w:szCs w:val="24"/>
        </w:rPr>
        <w:t>年年报所述，</w:t>
      </w:r>
      <w:r w:rsidRPr="00414345">
        <w:rPr>
          <w:color w:val="000000"/>
          <w:sz w:val="24"/>
          <w:szCs w:val="24"/>
        </w:rPr>
        <w:t>“</w:t>
      </w:r>
      <w:r w:rsidRPr="00414345">
        <w:rPr>
          <w:color w:val="000000"/>
          <w:sz w:val="24"/>
          <w:szCs w:val="24"/>
        </w:rPr>
        <w:t>全球范围内的流动性环境从之前的量化宽松、负利率隐忧走向加息、收缩银根。海外市场的持续上扬也增加了投资者获利了结的需求，短期市场的波动会加大</w:t>
      </w:r>
      <w:r w:rsidRPr="00414345">
        <w:rPr>
          <w:color w:val="000000"/>
          <w:sz w:val="24"/>
          <w:szCs w:val="24"/>
        </w:rPr>
        <w:t>”</w:t>
      </w:r>
      <w:r w:rsidRPr="00414345">
        <w:rPr>
          <w:color w:val="000000"/>
          <w:sz w:val="24"/>
          <w:szCs w:val="24"/>
        </w:rPr>
        <w:t>。我们需要进一步完善的是，做好投资结构的调整</w:t>
      </w:r>
      <w:r w:rsidRPr="00414345">
        <w:rPr>
          <w:color w:val="000000"/>
          <w:sz w:val="24"/>
          <w:szCs w:val="24"/>
        </w:rPr>
        <w:t>.</w:t>
      </w:r>
      <w:r w:rsidRPr="00414345">
        <w:rPr>
          <w:color w:val="000000"/>
          <w:sz w:val="24"/>
          <w:szCs w:val="24"/>
        </w:rPr>
        <w:t>一方面严控回撤风险，另一方面做好更加扎实详尽的基本面判断，当股票价格到达有性价比、可买进的时点，能够坚定地选择个股。在市场剧烈波动的时候，我们关注风险，更关注潜在机会。从中长期来看，我们仍看好消费升级和中国的制造业在全世界范围内的产业集群效应。我们将继续勤勉尽责地积极调研，自下而上挖掘相关标的，努力为投资人赚取稳健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本报告期末，本基金份额净值为</w:t>
      </w:r>
      <w:r w:rsidRPr="00414345">
        <w:rPr>
          <w:color w:val="000000"/>
          <w:sz w:val="24"/>
          <w:szCs w:val="24"/>
        </w:rPr>
        <w:t>1.210</w:t>
      </w:r>
      <w:r w:rsidRPr="00414345">
        <w:rPr>
          <w:color w:val="000000"/>
          <w:sz w:val="24"/>
          <w:szCs w:val="24"/>
        </w:rPr>
        <w:t>元，本报告期份额净值增长率为</w:t>
      </w:r>
      <w:r w:rsidRPr="00414345">
        <w:rPr>
          <w:color w:val="000000"/>
          <w:sz w:val="24"/>
          <w:szCs w:val="24"/>
        </w:rPr>
        <w:t>-3.95%</w:t>
      </w:r>
      <w:r w:rsidRPr="00414345">
        <w:rPr>
          <w:color w:val="000000"/>
          <w:sz w:val="24"/>
          <w:szCs w:val="24"/>
        </w:rPr>
        <w:t>，同期业绩比较基准增长率为</w:t>
      </w:r>
      <w:r w:rsidRPr="00414345">
        <w:rPr>
          <w:color w:val="000000"/>
          <w:sz w:val="24"/>
          <w:szCs w:val="24"/>
        </w:rPr>
        <w:t>-0.59%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452,969,523.14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77.04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452,969,523.14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77.04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102,385,177.82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17.41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32,623,172.74</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5.55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587,977,873.70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138,983,350.00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6,550,000.00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41,767,000.00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10,312,000.00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197,612,350.00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33.92</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5448E7">
        <w:trPr>
          <w:jc w:val="center"/>
        </w:trPr>
        <w:tc>
          <w:tcPr>
            <w:tcW w:w="2397" w:type="dxa"/>
            <w:vAlign w:val="center"/>
          </w:tcPr>
          <w:p w:rsidR="005448E7" w:rsidRDefault="006928D0">
            <w:pPr>
              <w:jc w:val="center"/>
            </w:pPr>
            <w:r>
              <w:rPr>
                <w:color w:val="000000"/>
                <w:sz w:val="24"/>
              </w:rPr>
              <w:t>非必需消费品</w:t>
            </w:r>
          </w:p>
        </w:tc>
        <w:tc>
          <w:tcPr>
            <w:tcW w:w="3119" w:type="dxa"/>
            <w:vAlign w:val="center"/>
          </w:tcPr>
          <w:p w:rsidR="005448E7" w:rsidRDefault="006928D0">
            <w:pPr>
              <w:jc w:val="center"/>
            </w:pPr>
            <w:r>
              <w:rPr>
                <w:color w:val="000000"/>
                <w:sz w:val="24"/>
              </w:rPr>
              <w:t>52,810,387.51</w:t>
            </w:r>
          </w:p>
        </w:tc>
        <w:tc>
          <w:tcPr>
            <w:tcW w:w="3118" w:type="dxa"/>
            <w:vAlign w:val="center"/>
          </w:tcPr>
          <w:p w:rsidR="005448E7" w:rsidRDefault="006928D0">
            <w:pPr>
              <w:jc w:val="center"/>
            </w:pPr>
            <w:r>
              <w:rPr>
                <w:color w:val="000000"/>
                <w:sz w:val="24"/>
              </w:rPr>
              <w:t>9.07</w:t>
            </w:r>
          </w:p>
        </w:tc>
      </w:tr>
      <w:tr w:rsidR="005448E7">
        <w:trPr>
          <w:jc w:val="center"/>
        </w:trPr>
        <w:tc>
          <w:tcPr>
            <w:tcW w:w="2397" w:type="dxa"/>
            <w:vAlign w:val="center"/>
          </w:tcPr>
          <w:p w:rsidR="005448E7" w:rsidRDefault="006928D0">
            <w:pPr>
              <w:jc w:val="center"/>
            </w:pPr>
            <w:r>
              <w:rPr>
                <w:color w:val="000000"/>
                <w:sz w:val="24"/>
              </w:rPr>
              <w:t>必需消费品</w:t>
            </w:r>
          </w:p>
        </w:tc>
        <w:tc>
          <w:tcPr>
            <w:tcW w:w="3119" w:type="dxa"/>
            <w:vAlign w:val="center"/>
          </w:tcPr>
          <w:p w:rsidR="005448E7" w:rsidRDefault="006928D0">
            <w:pPr>
              <w:jc w:val="center"/>
            </w:pPr>
            <w:r>
              <w:rPr>
                <w:color w:val="000000"/>
                <w:sz w:val="24"/>
              </w:rPr>
              <w:t>-</w:t>
            </w:r>
          </w:p>
        </w:tc>
        <w:tc>
          <w:tcPr>
            <w:tcW w:w="3118" w:type="dxa"/>
            <w:vAlign w:val="center"/>
          </w:tcPr>
          <w:p w:rsidR="005448E7" w:rsidRDefault="006928D0">
            <w:pPr>
              <w:jc w:val="center"/>
            </w:pPr>
            <w:r>
              <w:rPr>
                <w:color w:val="000000"/>
                <w:sz w:val="24"/>
              </w:rPr>
              <w:t>-</w:t>
            </w:r>
          </w:p>
        </w:tc>
      </w:tr>
      <w:tr w:rsidR="005448E7">
        <w:trPr>
          <w:jc w:val="center"/>
        </w:trPr>
        <w:tc>
          <w:tcPr>
            <w:tcW w:w="2397" w:type="dxa"/>
            <w:vAlign w:val="center"/>
          </w:tcPr>
          <w:p w:rsidR="005448E7" w:rsidRDefault="006928D0">
            <w:pPr>
              <w:jc w:val="center"/>
            </w:pPr>
            <w:r>
              <w:rPr>
                <w:color w:val="000000"/>
                <w:sz w:val="24"/>
              </w:rPr>
              <w:t>能源</w:t>
            </w:r>
          </w:p>
        </w:tc>
        <w:tc>
          <w:tcPr>
            <w:tcW w:w="3119" w:type="dxa"/>
            <w:vAlign w:val="center"/>
          </w:tcPr>
          <w:p w:rsidR="005448E7" w:rsidRDefault="006928D0">
            <w:pPr>
              <w:jc w:val="center"/>
            </w:pPr>
            <w:r>
              <w:rPr>
                <w:color w:val="000000"/>
                <w:sz w:val="24"/>
              </w:rPr>
              <w:t>16,025,000.00</w:t>
            </w:r>
          </w:p>
        </w:tc>
        <w:tc>
          <w:tcPr>
            <w:tcW w:w="3118" w:type="dxa"/>
            <w:vAlign w:val="center"/>
          </w:tcPr>
          <w:p w:rsidR="005448E7" w:rsidRDefault="006928D0">
            <w:pPr>
              <w:jc w:val="center"/>
            </w:pPr>
            <w:r>
              <w:rPr>
                <w:color w:val="000000"/>
                <w:sz w:val="24"/>
              </w:rPr>
              <w:t>2.75</w:t>
            </w:r>
          </w:p>
        </w:tc>
      </w:tr>
      <w:tr w:rsidR="005448E7">
        <w:trPr>
          <w:jc w:val="center"/>
        </w:trPr>
        <w:tc>
          <w:tcPr>
            <w:tcW w:w="2397" w:type="dxa"/>
            <w:vAlign w:val="center"/>
          </w:tcPr>
          <w:p w:rsidR="005448E7" w:rsidRDefault="006928D0">
            <w:pPr>
              <w:jc w:val="center"/>
            </w:pPr>
            <w:r>
              <w:rPr>
                <w:color w:val="000000"/>
                <w:sz w:val="24"/>
              </w:rPr>
              <w:t>金融</w:t>
            </w:r>
          </w:p>
        </w:tc>
        <w:tc>
          <w:tcPr>
            <w:tcW w:w="3119" w:type="dxa"/>
            <w:vAlign w:val="center"/>
          </w:tcPr>
          <w:p w:rsidR="005448E7" w:rsidRDefault="006928D0">
            <w:pPr>
              <w:jc w:val="center"/>
            </w:pPr>
            <w:r>
              <w:rPr>
                <w:color w:val="000000"/>
                <w:sz w:val="24"/>
              </w:rPr>
              <w:t>42,362,087.50</w:t>
            </w:r>
          </w:p>
        </w:tc>
        <w:tc>
          <w:tcPr>
            <w:tcW w:w="3118" w:type="dxa"/>
            <w:vAlign w:val="center"/>
          </w:tcPr>
          <w:p w:rsidR="005448E7" w:rsidRDefault="006928D0">
            <w:pPr>
              <w:jc w:val="center"/>
            </w:pPr>
            <w:r>
              <w:rPr>
                <w:color w:val="000000"/>
                <w:sz w:val="24"/>
              </w:rPr>
              <w:t>7.27</w:t>
            </w:r>
          </w:p>
        </w:tc>
      </w:tr>
      <w:tr w:rsidR="005448E7">
        <w:trPr>
          <w:jc w:val="center"/>
        </w:trPr>
        <w:tc>
          <w:tcPr>
            <w:tcW w:w="2397" w:type="dxa"/>
            <w:vAlign w:val="center"/>
          </w:tcPr>
          <w:p w:rsidR="005448E7" w:rsidRDefault="006928D0">
            <w:pPr>
              <w:jc w:val="center"/>
            </w:pPr>
            <w:r>
              <w:rPr>
                <w:color w:val="000000"/>
                <w:sz w:val="24"/>
              </w:rPr>
              <w:t>医疗保健</w:t>
            </w:r>
          </w:p>
        </w:tc>
        <w:tc>
          <w:tcPr>
            <w:tcW w:w="3119" w:type="dxa"/>
            <w:vAlign w:val="center"/>
          </w:tcPr>
          <w:p w:rsidR="005448E7" w:rsidRDefault="006928D0">
            <w:pPr>
              <w:jc w:val="center"/>
            </w:pPr>
            <w:r>
              <w:rPr>
                <w:color w:val="000000"/>
                <w:sz w:val="24"/>
              </w:rPr>
              <w:t>-</w:t>
            </w:r>
          </w:p>
        </w:tc>
        <w:tc>
          <w:tcPr>
            <w:tcW w:w="3118" w:type="dxa"/>
            <w:vAlign w:val="center"/>
          </w:tcPr>
          <w:p w:rsidR="005448E7" w:rsidRDefault="006928D0">
            <w:pPr>
              <w:jc w:val="center"/>
            </w:pPr>
            <w:r>
              <w:rPr>
                <w:color w:val="000000"/>
                <w:sz w:val="24"/>
              </w:rPr>
              <w:t>-</w:t>
            </w:r>
          </w:p>
        </w:tc>
      </w:tr>
      <w:tr w:rsidR="005448E7">
        <w:trPr>
          <w:jc w:val="center"/>
        </w:trPr>
        <w:tc>
          <w:tcPr>
            <w:tcW w:w="2397" w:type="dxa"/>
            <w:vAlign w:val="center"/>
          </w:tcPr>
          <w:p w:rsidR="005448E7" w:rsidRDefault="006928D0">
            <w:pPr>
              <w:jc w:val="center"/>
            </w:pPr>
            <w:r>
              <w:rPr>
                <w:color w:val="000000"/>
                <w:sz w:val="24"/>
              </w:rPr>
              <w:t>工业</w:t>
            </w:r>
          </w:p>
        </w:tc>
        <w:tc>
          <w:tcPr>
            <w:tcW w:w="3119" w:type="dxa"/>
            <w:vAlign w:val="center"/>
          </w:tcPr>
          <w:p w:rsidR="005448E7" w:rsidRDefault="006928D0">
            <w:pPr>
              <w:jc w:val="center"/>
            </w:pPr>
            <w:r>
              <w:rPr>
                <w:color w:val="000000"/>
                <w:sz w:val="24"/>
              </w:rPr>
              <w:t>27,695,206.25</w:t>
            </w:r>
          </w:p>
        </w:tc>
        <w:tc>
          <w:tcPr>
            <w:tcW w:w="3118" w:type="dxa"/>
            <w:vAlign w:val="center"/>
          </w:tcPr>
          <w:p w:rsidR="005448E7" w:rsidRDefault="006928D0">
            <w:pPr>
              <w:jc w:val="center"/>
            </w:pPr>
            <w:r>
              <w:rPr>
                <w:color w:val="000000"/>
                <w:sz w:val="24"/>
              </w:rPr>
              <w:t>4.75</w:t>
            </w:r>
          </w:p>
        </w:tc>
      </w:tr>
      <w:tr w:rsidR="005448E7">
        <w:trPr>
          <w:jc w:val="center"/>
        </w:trPr>
        <w:tc>
          <w:tcPr>
            <w:tcW w:w="2397" w:type="dxa"/>
            <w:vAlign w:val="center"/>
          </w:tcPr>
          <w:p w:rsidR="005448E7" w:rsidRDefault="006928D0">
            <w:pPr>
              <w:jc w:val="center"/>
            </w:pPr>
            <w:r>
              <w:rPr>
                <w:color w:val="000000"/>
                <w:sz w:val="24"/>
              </w:rPr>
              <w:t>信息技术</w:t>
            </w:r>
          </w:p>
        </w:tc>
        <w:tc>
          <w:tcPr>
            <w:tcW w:w="3119" w:type="dxa"/>
            <w:vAlign w:val="center"/>
          </w:tcPr>
          <w:p w:rsidR="005448E7" w:rsidRDefault="006928D0">
            <w:pPr>
              <w:jc w:val="center"/>
            </w:pPr>
            <w:r>
              <w:rPr>
                <w:color w:val="000000"/>
                <w:sz w:val="24"/>
              </w:rPr>
              <w:t>47,892,315.00</w:t>
            </w:r>
          </w:p>
        </w:tc>
        <w:tc>
          <w:tcPr>
            <w:tcW w:w="3118" w:type="dxa"/>
            <w:vAlign w:val="center"/>
          </w:tcPr>
          <w:p w:rsidR="005448E7" w:rsidRDefault="006928D0">
            <w:pPr>
              <w:jc w:val="center"/>
            </w:pPr>
            <w:r>
              <w:rPr>
                <w:color w:val="000000"/>
                <w:sz w:val="24"/>
              </w:rPr>
              <w:t>8.22</w:t>
            </w:r>
          </w:p>
        </w:tc>
      </w:tr>
      <w:tr w:rsidR="005448E7">
        <w:trPr>
          <w:jc w:val="center"/>
        </w:trPr>
        <w:tc>
          <w:tcPr>
            <w:tcW w:w="2397" w:type="dxa"/>
            <w:vAlign w:val="center"/>
          </w:tcPr>
          <w:p w:rsidR="005448E7" w:rsidRDefault="006928D0">
            <w:pPr>
              <w:jc w:val="center"/>
            </w:pPr>
            <w:r>
              <w:rPr>
                <w:color w:val="000000"/>
                <w:sz w:val="24"/>
              </w:rPr>
              <w:t>材料</w:t>
            </w:r>
          </w:p>
        </w:tc>
        <w:tc>
          <w:tcPr>
            <w:tcW w:w="3119" w:type="dxa"/>
            <w:vAlign w:val="center"/>
          </w:tcPr>
          <w:p w:rsidR="005448E7" w:rsidRDefault="006928D0">
            <w:pPr>
              <w:jc w:val="center"/>
            </w:pPr>
            <w:r>
              <w:rPr>
                <w:color w:val="000000"/>
                <w:sz w:val="24"/>
              </w:rPr>
              <w:t>5,756,981.25</w:t>
            </w:r>
          </w:p>
        </w:tc>
        <w:tc>
          <w:tcPr>
            <w:tcW w:w="3118" w:type="dxa"/>
            <w:vAlign w:val="center"/>
          </w:tcPr>
          <w:p w:rsidR="005448E7" w:rsidRDefault="006928D0">
            <w:pPr>
              <w:jc w:val="center"/>
            </w:pPr>
            <w:r>
              <w:rPr>
                <w:color w:val="000000"/>
                <w:sz w:val="24"/>
              </w:rPr>
              <w:t>0.99</w:t>
            </w:r>
          </w:p>
        </w:tc>
      </w:tr>
      <w:tr w:rsidR="005448E7">
        <w:trPr>
          <w:jc w:val="center"/>
        </w:trPr>
        <w:tc>
          <w:tcPr>
            <w:tcW w:w="2397" w:type="dxa"/>
            <w:vAlign w:val="center"/>
          </w:tcPr>
          <w:p w:rsidR="005448E7" w:rsidRDefault="006928D0">
            <w:pPr>
              <w:jc w:val="center"/>
            </w:pPr>
            <w:r>
              <w:rPr>
                <w:color w:val="000000"/>
                <w:sz w:val="24"/>
              </w:rPr>
              <w:t>房地产</w:t>
            </w:r>
          </w:p>
        </w:tc>
        <w:tc>
          <w:tcPr>
            <w:tcW w:w="3119" w:type="dxa"/>
            <w:vAlign w:val="center"/>
          </w:tcPr>
          <w:p w:rsidR="005448E7" w:rsidRDefault="006928D0">
            <w:pPr>
              <w:jc w:val="center"/>
            </w:pPr>
            <w:r>
              <w:rPr>
                <w:color w:val="000000"/>
                <w:sz w:val="24"/>
              </w:rPr>
              <w:t>54,682,508.13</w:t>
            </w:r>
          </w:p>
        </w:tc>
        <w:tc>
          <w:tcPr>
            <w:tcW w:w="3118" w:type="dxa"/>
            <w:vAlign w:val="center"/>
          </w:tcPr>
          <w:p w:rsidR="005448E7" w:rsidRDefault="006928D0">
            <w:pPr>
              <w:jc w:val="center"/>
            </w:pPr>
            <w:r>
              <w:rPr>
                <w:color w:val="000000"/>
                <w:sz w:val="24"/>
              </w:rPr>
              <w:t>9.39</w:t>
            </w:r>
          </w:p>
        </w:tc>
      </w:tr>
      <w:tr w:rsidR="005448E7">
        <w:trPr>
          <w:jc w:val="center"/>
        </w:trPr>
        <w:tc>
          <w:tcPr>
            <w:tcW w:w="2397" w:type="dxa"/>
            <w:vAlign w:val="center"/>
          </w:tcPr>
          <w:p w:rsidR="005448E7" w:rsidRDefault="006928D0">
            <w:pPr>
              <w:jc w:val="center"/>
            </w:pPr>
            <w:r>
              <w:rPr>
                <w:color w:val="000000"/>
                <w:sz w:val="24"/>
              </w:rPr>
              <w:t>电信业务</w:t>
            </w:r>
          </w:p>
        </w:tc>
        <w:tc>
          <w:tcPr>
            <w:tcW w:w="3119" w:type="dxa"/>
            <w:vAlign w:val="center"/>
          </w:tcPr>
          <w:p w:rsidR="005448E7" w:rsidRDefault="006928D0">
            <w:pPr>
              <w:jc w:val="center"/>
            </w:pPr>
            <w:r>
              <w:rPr>
                <w:color w:val="000000"/>
                <w:sz w:val="24"/>
              </w:rPr>
              <w:t>-</w:t>
            </w:r>
          </w:p>
        </w:tc>
        <w:tc>
          <w:tcPr>
            <w:tcW w:w="3118" w:type="dxa"/>
            <w:vAlign w:val="center"/>
          </w:tcPr>
          <w:p w:rsidR="005448E7" w:rsidRDefault="006928D0">
            <w:pPr>
              <w:jc w:val="center"/>
            </w:pPr>
            <w:r>
              <w:rPr>
                <w:color w:val="000000"/>
                <w:sz w:val="24"/>
              </w:rPr>
              <w:t>-</w:t>
            </w:r>
          </w:p>
        </w:tc>
      </w:tr>
      <w:tr w:rsidR="005448E7">
        <w:trPr>
          <w:jc w:val="center"/>
        </w:trPr>
        <w:tc>
          <w:tcPr>
            <w:tcW w:w="2397" w:type="dxa"/>
            <w:vAlign w:val="center"/>
          </w:tcPr>
          <w:p w:rsidR="005448E7" w:rsidRDefault="006928D0">
            <w:pPr>
              <w:jc w:val="center"/>
            </w:pPr>
            <w:r>
              <w:rPr>
                <w:color w:val="000000"/>
                <w:sz w:val="24"/>
              </w:rPr>
              <w:t>公用事业</w:t>
            </w:r>
          </w:p>
        </w:tc>
        <w:tc>
          <w:tcPr>
            <w:tcW w:w="3119" w:type="dxa"/>
            <w:vAlign w:val="center"/>
          </w:tcPr>
          <w:p w:rsidR="005448E7" w:rsidRDefault="006928D0">
            <w:pPr>
              <w:jc w:val="center"/>
            </w:pPr>
            <w:r>
              <w:rPr>
                <w:color w:val="000000"/>
                <w:sz w:val="24"/>
              </w:rPr>
              <w:t>8,132,687.50</w:t>
            </w:r>
          </w:p>
        </w:tc>
        <w:tc>
          <w:tcPr>
            <w:tcW w:w="3118" w:type="dxa"/>
            <w:vAlign w:val="center"/>
          </w:tcPr>
          <w:p w:rsidR="005448E7" w:rsidRDefault="006928D0">
            <w:pPr>
              <w:jc w:val="center"/>
            </w:pPr>
            <w:r>
              <w:rPr>
                <w:color w:val="000000"/>
                <w:sz w:val="24"/>
              </w:rPr>
              <w:t>1.40</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255,357,173.14</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43.84</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448E7">
        <w:trPr>
          <w:jc w:val="center"/>
        </w:trPr>
        <w:tc>
          <w:tcPr>
            <w:tcW w:w="855" w:type="dxa"/>
            <w:vAlign w:val="center"/>
          </w:tcPr>
          <w:p w:rsidR="005448E7" w:rsidRDefault="006928D0">
            <w:pPr>
              <w:jc w:val="center"/>
            </w:pPr>
            <w:r>
              <w:rPr>
                <w:color w:val="000000"/>
                <w:sz w:val="24"/>
                <w:szCs w:val="24"/>
              </w:rPr>
              <w:t>1</w:t>
            </w:r>
          </w:p>
        </w:tc>
        <w:tc>
          <w:tcPr>
            <w:tcW w:w="1334" w:type="dxa"/>
            <w:vAlign w:val="center"/>
          </w:tcPr>
          <w:p w:rsidR="005448E7" w:rsidRDefault="006928D0">
            <w:pPr>
              <w:jc w:val="center"/>
            </w:pPr>
            <w:r>
              <w:rPr>
                <w:color w:val="000000"/>
                <w:sz w:val="24"/>
                <w:szCs w:val="24"/>
              </w:rPr>
              <w:t>H00700</w:t>
            </w:r>
          </w:p>
        </w:tc>
        <w:tc>
          <w:tcPr>
            <w:tcW w:w="1777" w:type="dxa"/>
            <w:vAlign w:val="center"/>
          </w:tcPr>
          <w:p w:rsidR="005448E7" w:rsidRDefault="006928D0">
            <w:pPr>
              <w:jc w:val="center"/>
            </w:pPr>
            <w:r>
              <w:rPr>
                <w:color w:val="000000"/>
                <w:sz w:val="24"/>
                <w:szCs w:val="24"/>
              </w:rPr>
              <w:t>腾讯控股</w:t>
            </w:r>
          </w:p>
        </w:tc>
        <w:tc>
          <w:tcPr>
            <w:tcW w:w="1334" w:type="dxa"/>
            <w:vAlign w:val="center"/>
          </w:tcPr>
          <w:p w:rsidR="005448E7" w:rsidRDefault="006928D0">
            <w:pPr>
              <w:jc w:val="right"/>
            </w:pPr>
            <w:r>
              <w:rPr>
                <w:color w:val="000000"/>
                <w:sz w:val="24"/>
                <w:szCs w:val="24"/>
              </w:rPr>
              <w:t>120,000</w:t>
            </w:r>
          </w:p>
        </w:tc>
        <w:tc>
          <w:tcPr>
            <w:tcW w:w="1924" w:type="dxa"/>
            <w:vAlign w:val="center"/>
          </w:tcPr>
          <w:p w:rsidR="005448E7" w:rsidRDefault="006928D0">
            <w:pPr>
              <w:jc w:val="right"/>
            </w:pPr>
            <w:r>
              <w:rPr>
                <w:color w:val="000000"/>
                <w:sz w:val="24"/>
                <w:szCs w:val="24"/>
              </w:rPr>
              <w:t>39,383,040.00</w:t>
            </w:r>
          </w:p>
        </w:tc>
        <w:tc>
          <w:tcPr>
            <w:tcW w:w="1644" w:type="dxa"/>
            <w:vAlign w:val="center"/>
          </w:tcPr>
          <w:p w:rsidR="005448E7" w:rsidRDefault="006928D0">
            <w:pPr>
              <w:jc w:val="right"/>
            </w:pPr>
            <w:r>
              <w:rPr>
                <w:color w:val="000000"/>
                <w:sz w:val="24"/>
                <w:szCs w:val="24"/>
              </w:rPr>
              <w:t>6.76</w:t>
            </w:r>
          </w:p>
        </w:tc>
      </w:tr>
      <w:tr w:rsidR="005448E7">
        <w:trPr>
          <w:jc w:val="center"/>
        </w:trPr>
        <w:tc>
          <w:tcPr>
            <w:tcW w:w="855" w:type="dxa"/>
            <w:vAlign w:val="center"/>
          </w:tcPr>
          <w:p w:rsidR="005448E7" w:rsidRDefault="006928D0">
            <w:pPr>
              <w:jc w:val="center"/>
            </w:pPr>
            <w:r>
              <w:rPr>
                <w:color w:val="000000"/>
                <w:sz w:val="24"/>
                <w:szCs w:val="24"/>
              </w:rPr>
              <w:t>2</w:t>
            </w:r>
          </w:p>
        </w:tc>
        <w:tc>
          <w:tcPr>
            <w:tcW w:w="1334" w:type="dxa"/>
            <w:vAlign w:val="center"/>
          </w:tcPr>
          <w:p w:rsidR="005448E7" w:rsidRDefault="006928D0">
            <w:pPr>
              <w:jc w:val="center"/>
            </w:pPr>
            <w:r>
              <w:rPr>
                <w:color w:val="000000"/>
                <w:sz w:val="24"/>
                <w:szCs w:val="24"/>
              </w:rPr>
              <w:t>000725</w:t>
            </w:r>
          </w:p>
        </w:tc>
        <w:tc>
          <w:tcPr>
            <w:tcW w:w="1777" w:type="dxa"/>
            <w:vAlign w:val="center"/>
          </w:tcPr>
          <w:p w:rsidR="005448E7" w:rsidRDefault="006928D0">
            <w:pPr>
              <w:jc w:val="center"/>
            </w:pPr>
            <w:r>
              <w:rPr>
                <w:color w:val="000000"/>
                <w:sz w:val="24"/>
                <w:szCs w:val="24"/>
              </w:rPr>
              <w:t>京东方</w:t>
            </w:r>
            <w:r>
              <w:rPr>
                <w:color w:val="000000"/>
                <w:sz w:val="24"/>
                <w:szCs w:val="24"/>
              </w:rPr>
              <w:t>A</w:t>
            </w:r>
          </w:p>
        </w:tc>
        <w:tc>
          <w:tcPr>
            <w:tcW w:w="1334" w:type="dxa"/>
            <w:vAlign w:val="center"/>
          </w:tcPr>
          <w:p w:rsidR="005448E7" w:rsidRDefault="006928D0">
            <w:pPr>
              <w:jc w:val="right"/>
            </w:pPr>
            <w:r>
              <w:rPr>
                <w:color w:val="000000"/>
                <w:sz w:val="24"/>
                <w:szCs w:val="24"/>
              </w:rPr>
              <w:t>5,000,000</w:t>
            </w:r>
          </w:p>
        </w:tc>
        <w:tc>
          <w:tcPr>
            <w:tcW w:w="1924" w:type="dxa"/>
            <w:vAlign w:val="center"/>
          </w:tcPr>
          <w:p w:rsidR="005448E7" w:rsidRDefault="006928D0">
            <w:pPr>
              <w:jc w:val="right"/>
            </w:pPr>
            <w:r>
              <w:rPr>
                <w:color w:val="000000"/>
                <w:sz w:val="24"/>
                <w:szCs w:val="24"/>
              </w:rPr>
              <w:t>26,600,000.00</w:t>
            </w:r>
          </w:p>
        </w:tc>
        <w:tc>
          <w:tcPr>
            <w:tcW w:w="1644" w:type="dxa"/>
            <w:vAlign w:val="center"/>
          </w:tcPr>
          <w:p w:rsidR="005448E7" w:rsidRDefault="006928D0">
            <w:pPr>
              <w:jc w:val="right"/>
            </w:pPr>
            <w:r>
              <w:rPr>
                <w:color w:val="000000"/>
                <w:sz w:val="24"/>
                <w:szCs w:val="24"/>
              </w:rPr>
              <w:t>4.57</w:t>
            </w:r>
          </w:p>
        </w:tc>
      </w:tr>
      <w:tr w:rsidR="005448E7">
        <w:trPr>
          <w:jc w:val="center"/>
        </w:trPr>
        <w:tc>
          <w:tcPr>
            <w:tcW w:w="855" w:type="dxa"/>
            <w:vAlign w:val="center"/>
          </w:tcPr>
          <w:p w:rsidR="005448E7" w:rsidRDefault="006928D0">
            <w:pPr>
              <w:jc w:val="center"/>
            </w:pPr>
            <w:r>
              <w:rPr>
                <w:color w:val="000000"/>
                <w:sz w:val="24"/>
                <w:szCs w:val="24"/>
              </w:rPr>
              <w:t>3</w:t>
            </w:r>
          </w:p>
        </w:tc>
        <w:tc>
          <w:tcPr>
            <w:tcW w:w="1334" w:type="dxa"/>
            <w:vAlign w:val="center"/>
          </w:tcPr>
          <w:p w:rsidR="005448E7" w:rsidRDefault="006928D0">
            <w:pPr>
              <w:jc w:val="center"/>
            </w:pPr>
            <w:r>
              <w:rPr>
                <w:color w:val="000000"/>
                <w:sz w:val="24"/>
                <w:szCs w:val="24"/>
              </w:rPr>
              <w:t>H00027</w:t>
            </w:r>
          </w:p>
        </w:tc>
        <w:tc>
          <w:tcPr>
            <w:tcW w:w="1777" w:type="dxa"/>
            <w:vAlign w:val="center"/>
          </w:tcPr>
          <w:p w:rsidR="005448E7" w:rsidRDefault="006928D0">
            <w:pPr>
              <w:jc w:val="center"/>
            </w:pPr>
            <w:r>
              <w:rPr>
                <w:color w:val="000000"/>
                <w:sz w:val="24"/>
                <w:szCs w:val="24"/>
              </w:rPr>
              <w:t>银河娱乐</w:t>
            </w:r>
          </w:p>
        </w:tc>
        <w:tc>
          <w:tcPr>
            <w:tcW w:w="1334" w:type="dxa"/>
            <w:vAlign w:val="center"/>
          </w:tcPr>
          <w:p w:rsidR="005448E7" w:rsidRDefault="006928D0">
            <w:pPr>
              <w:jc w:val="right"/>
            </w:pPr>
            <w:r>
              <w:rPr>
                <w:color w:val="000000"/>
                <w:sz w:val="24"/>
                <w:szCs w:val="24"/>
              </w:rPr>
              <w:t>450,000</w:t>
            </w:r>
          </w:p>
        </w:tc>
        <w:tc>
          <w:tcPr>
            <w:tcW w:w="1924" w:type="dxa"/>
            <w:vAlign w:val="center"/>
          </w:tcPr>
          <w:p w:rsidR="005448E7" w:rsidRDefault="006928D0">
            <w:pPr>
              <w:jc w:val="right"/>
            </w:pPr>
            <w:r>
              <w:rPr>
                <w:color w:val="000000"/>
                <w:sz w:val="24"/>
                <w:szCs w:val="24"/>
              </w:rPr>
              <w:t>25,690,078.13</w:t>
            </w:r>
          </w:p>
        </w:tc>
        <w:tc>
          <w:tcPr>
            <w:tcW w:w="1644" w:type="dxa"/>
            <w:vAlign w:val="center"/>
          </w:tcPr>
          <w:p w:rsidR="005448E7" w:rsidRDefault="006928D0">
            <w:pPr>
              <w:jc w:val="right"/>
            </w:pPr>
            <w:r>
              <w:rPr>
                <w:color w:val="000000"/>
                <w:sz w:val="24"/>
                <w:szCs w:val="24"/>
              </w:rPr>
              <w:t>4.41</w:t>
            </w:r>
          </w:p>
        </w:tc>
      </w:tr>
      <w:tr w:rsidR="005448E7">
        <w:trPr>
          <w:jc w:val="center"/>
        </w:trPr>
        <w:tc>
          <w:tcPr>
            <w:tcW w:w="855" w:type="dxa"/>
            <w:vAlign w:val="center"/>
          </w:tcPr>
          <w:p w:rsidR="005448E7" w:rsidRDefault="006928D0">
            <w:pPr>
              <w:jc w:val="center"/>
            </w:pPr>
            <w:r>
              <w:rPr>
                <w:color w:val="000000"/>
                <w:sz w:val="24"/>
                <w:szCs w:val="24"/>
              </w:rPr>
              <w:t>4</w:t>
            </w:r>
          </w:p>
        </w:tc>
        <w:tc>
          <w:tcPr>
            <w:tcW w:w="1334" w:type="dxa"/>
            <w:vAlign w:val="center"/>
          </w:tcPr>
          <w:p w:rsidR="005448E7" w:rsidRDefault="006928D0">
            <w:pPr>
              <w:jc w:val="center"/>
            </w:pPr>
            <w:r>
              <w:rPr>
                <w:color w:val="000000"/>
                <w:sz w:val="24"/>
                <w:szCs w:val="24"/>
              </w:rPr>
              <w:t>600885</w:t>
            </w:r>
          </w:p>
        </w:tc>
        <w:tc>
          <w:tcPr>
            <w:tcW w:w="1777" w:type="dxa"/>
            <w:vAlign w:val="center"/>
          </w:tcPr>
          <w:p w:rsidR="005448E7" w:rsidRDefault="006928D0">
            <w:pPr>
              <w:jc w:val="center"/>
            </w:pPr>
            <w:r>
              <w:rPr>
                <w:color w:val="000000"/>
                <w:sz w:val="24"/>
                <w:szCs w:val="24"/>
              </w:rPr>
              <w:t>宏发股份</w:t>
            </w:r>
          </w:p>
        </w:tc>
        <w:tc>
          <w:tcPr>
            <w:tcW w:w="1334" w:type="dxa"/>
            <w:vAlign w:val="center"/>
          </w:tcPr>
          <w:p w:rsidR="005448E7" w:rsidRDefault="006928D0">
            <w:pPr>
              <w:jc w:val="right"/>
            </w:pPr>
            <w:r>
              <w:rPr>
                <w:color w:val="000000"/>
                <w:sz w:val="24"/>
                <w:szCs w:val="24"/>
              </w:rPr>
              <w:t>600,000</w:t>
            </w:r>
          </w:p>
        </w:tc>
        <w:tc>
          <w:tcPr>
            <w:tcW w:w="1924" w:type="dxa"/>
            <w:vAlign w:val="center"/>
          </w:tcPr>
          <w:p w:rsidR="005448E7" w:rsidRDefault="006928D0">
            <w:pPr>
              <w:jc w:val="right"/>
            </w:pPr>
            <w:r>
              <w:rPr>
                <w:color w:val="000000"/>
                <w:sz w:val="24"/>
                <w:szCs w:val="24"/>
              </w:rPr>
              <w:t>25,362,000.00</w:t>
            </w:r>
          </w:p>
        </w:tc>
        <w:tc>
          <w:tcPr>
            <w:tcW w:w="1644" w:type="dxa"/>
            <w:vAlign w:val="center"/>
          </w:tcPr>
          <w:p w:rsidR="005448E7" w:rsidRDefault="006928D0">
            <w:pPr>
              <w:jc w:val="right"/>
            </w:pPr>
            <w:r>
              <w:rPr>
                <w:color w:val="000000"/>
                <w:sz w:val="24"/>
                <w:szCs w:val="24"/>
              </w:rPr>
              <w:t>4.35</w:t>
            </w:r>
          </w:p>
        </w:tc>
      </w:tr>
      <w:tr w:rsidR="005448E7">
        <w:trPr>
          <w:jc w:val="center"/>
        </w:trPr>
        <w:tc>
          <w:tcPr>
            <w:tcW w:w="855" w:type="dxa"/>
            <w:vAlign w:val="center"/>
          </w:tcPr>
          <w:p w:rsidR="005448E7" w:rsidRDefault="006928D0">
            <w:pPr>
              <w:jc w:val="center"/>
            </w:pPr>
            <w:r>
              <w:rPr>
                <w:color w:val="000000"/>
                <w:sz w:val="24"/>
                <w:szCs w:val="24"/>
              </w:rPr>
              <w:t>5</w:t>
            </w:r>
          </w:p>
        </w:tc>
        <w:tc>
          <w:tcPr>
            <w:tcW w:w="1334" w:type="dxa"/>
            <w:vAlign w:val="center"/>
          </w:tcPr>
          <w:p w:rsidR="005448E7" w:rsidRDefault="006928D0">
            <w:pPr>
              <w:jc w:val="center"/>
            </w:pPr>
            <w:r>
              <w:rPr>
                <w:color w:val="000000"/>
                <w:sz w:val="24"/>
                <w:szCs w:val="24"/>
              </w:rPr>
              <w:t>H00960</w:t>
            </w:r>
          </w:p>
        </w:tc>
        <w:tc>
          <w:tcPr>
            <w:tcW w:w="1777" w:type="dxa"/>
            <w:vAlign w:val="center"/>
          </w:tcPr>
          <w:p w:rsidR="005448E7" w:rsidRDefault="006928D0">
            <w:pPr>
              <w:jc w:val="center"/>
            </w:pPr>
            <w:r>
              <w:rPr>
                <w:color w:val="000000"/>
                <w:sz w:val="24"/>
                <w:szCs w:val="24"/>
              </w:rPr>
              <w:t>龙湖地产</w:t>
            </w:r>
          </w:p>
        </w:tc>
        <w:tc>
          <w:tcPr>
            <w:tcW w:w="1334" w:type="dxa"/>
            <w:vAlign w:val="center"/>
          </w:tcPr>
          <w:p w:rsidR="005448E7" w:rsidRDefault="006928D0">
            <w:pPr>
              <w:jc w:val="right"/>
            </w:pPr>
            <w:r>
              <w:rPr>
                <w:color w:val="000000"/>
                <w:sz w:val="24"/>
                <w:szCs w:val="24"/>
              </w:rPr>
              <w:t>1,300,000</w:t>
            </w:r>
          </w:p>
        </w:tc>
        <w:tc>
          <w:tcPr>
            <w:tcW w:w="1924" w:type="dxa"/>
            <w:vAlign w:val="center"/>
          </w:tcPr>
          <w:p w:rsidR="005448E7" w:rsidRDefault="006928D0">
            <w:pPr>
              <w:jc w:val="right"/>
            </w:pPr>
            <w:r>
              <w:rPr>
                <w:color w:val="000000"/>
                <w:sz w:val="24"/>
                <w:szCs w:val="24"/>
              </w:rPr>
              <w:t>24,999,000.00</w:t>
            </w:r>
          </w:p>
        </w:tc>
        <w:tc>
          <w:tcPr>
            <w:tcW w:w="1644" w:type="dxa"/>
            <w:vAlign w:val="center"/>
          </w:tcPr>
          <w:p w:rsidR="005448E7" w:rsidRDefault="006928D0">
            <w:pPr>
              <w:jc w:val="right"/>
            </w:pPr>
            <w:r>
              <w:rPr>
                <w:color w:val="000000"/>
                <w:sz w:val="24"/>
                <w:szCs w:val="24"/>
              </w:rPr>
              <w:t>4.29</w:t>
            </w:r>
          </w:p>
        </w:tc>
      </w:tr>
      <w:tr w:rsidR="005448E7">
        <w:trPr>
          <w:jc w:val="center"/>
        </w:trPr>
        <w:tc>
          <w:tcPr>
            <w:tcW w:w="855" w:type="dxa"/>
            <w:vAlign w:val="center"/>
          </w:tcPr>
          <w:p w:rsidR="005448E7" w:rsidRDefault="006928D0">
            <w:pPr>
              <w:jc w:val="center"/>
            </w:pPr>
            <w:r>
              <w:rPr>
                <w:color w:val="000000"/>
                <w:sz w:val="24"/>
                <w:szCs w:val="24"/>
              </w:rPr>
              <w:t>6</w:t>
            </w:r>
          </w:p>
        </w:tc>
        <w:tc>
          <w:tcPr>
            <w:tcW w:w="1334" w:type="dxa"/>
            <w:vAlign w:val="center"/>
          </w:tcPr>
          <w:p w:rsidR="005448E7" w:rsidRDefault="006928D0">
            <w:pPr>
              <w:jc w:val="center"/>
            </w:pPr>
            <w:r>
              <w:rPr>
                <w:color w:val="000000"/>
                <w:sz w:val="24"/>
                <w:szCs w:val="24"/>
              </w:rPr>
              <w:t>601318</w:t>
            </w:r>
          </w:p>
        </w:tc>
        <w:tc>
          <w:tcPr>
            <w:tcW w:w="1777" w:type="dxa"/>
            <w:vAlign w:val="center"/>
          </w:tcPr>
          <w:p w:rsidR="005448E7" w:rsidRDefault="006928D0">
            <w:pPr>
              <w:jc w:val="center"/>
            </w:pPr>
            <w:r>
              <w:rPr>
                <w:color w:val="000000"/>
                <w:sz w:val="24"/>
                <w:szCs w:val="24"/>
              </w:rPr>
              <w:t>中国平安</w:t>
            </w:r>
          </w:p>
        </w:tc>
        <w:tc>
          <w:tcPr>
            <w:tcW w:w="1334" w:type="dxa"/>
            <w:vAlign w:val="center"/>
          </w:tcPr>
          <w:p w:rsidR="005448E7" w:rsidRDefault="006928D0">
            <w:pPr>
              <w:jc w:val="right"/>
            </w:pPr>
            <w:r>
              <w:rPr>
                <w:color w:val="000000"/>
                <w:sz w:val="24"/>
                <w:szCs w:val="24"/>
              </w:rPr>
              <w:t>350,000</w:t>
            </w:r>
          </w:p>
        </w:tc>
        <w:tc>
          <w:tcPr>
            <w:tcW w:w="1924" w:type="dxa"/>
            <w:vAlign w:val="center"/>
          </w:tcPr>
          <w:p w:rsidR="005448E7" w:rsidRDefault="006928D0">
            <w:pPr>
              <w:jc w:val="right"/>
            </w:pPr>
            <w:r>
              <w:rPr>
                <w:color w:val="000000"/>
                <w:sz w:val="24"/>
                <w:szCs w:val="24"/>
              </w:rPr>
              <w:t>22,858,500.00</w:t>
            </w:r>
          </w:p>
        </w:tc>
        <w:tc>
          <w:tcPr>
            <w:tcW w:w="1644" w:type="dxa"/>
            <w:vAlign w:val="center"/>
          </w:tcPr>
          <w:p w:rsidR="005448E7" w:rsidRDefault="006928D0">
            <w:pPr>
              <w:jc w:val="right"/>
            </w:pPr>
            <w:r>
              <w:rPr>
                <w:color w:val="000000"/>
                <w:sz w:val="24"/>
                <w:szCs w:val="24"/>
              </w:rPr>
              <w:t>3.92</w:t>
            </w:r>
          </w:p>
        </w:tc>
      </w:tr>
      <w:tr w:rsidR="005448E7">
        <w:trPr>
          <w:jc w:val="center"/>
        </w:trPr>
        <w:tc>
          <w:tcPr>
            <w:tcW w:w="855" w:type="dxa"/>
            <w:vAlign w:val="center"/>
          </w:tcPr>
          <w:p w:rsidR="005448E7" w:rsidRDefault="006928D0">
            <w:pPr>
              <w:jc w:val="center"/>
            </w:pPr>
            <w:r>
              <w:rPr>
                <w:color w:val="000000"/>
                <w:sz w:val="24"/>
                <w:szCs w:val="24"/>
              </w:rPr>
              <w:lastRenderedPageBreak/>
              <w:t>7</w:t>
            </w:r>
          </w:p>
        </w:tc>
        <w:tc>
          <w:tcPr>
            <w:tcW w:w="1334" w:type="dxa"/>
            <w:vAlign w:val="center"/>
          </w:tcPr>
          <w:p w:rsidR="005448E7" w:rsidRDefault="006928D0">
            <w:pPr>
              <w:jc w:val="center"/>
            </w:pPr>
            <w:r>
              <w:rPr>
                <w:color w:val="000000"/>
                <w:sz w:val="24"/>
                <w:szCs w:val="24"/>
              </w:rPr>
              <w:t>H01398</w:t>
            </w:r>
          </w:p>
        </w:tc>
        <w:tc>
          <w:tcPr>
            <w:tcW w:w="1777" w:type="dxa"/>
            <w:vAlign w:val="center"/>
          </w:tcPr>
          <w:p w:rsidR="005448E7" w:rsidRDefault="006928D0">
            <w:pPr>
              <w:jc w:val="center"/>
            </w:pPr>
            <w:r>
              <w:rPr>
                <w:color w:val="000000"/>
                <w:sz w:val="24"/>
                <w:szCs w:val="24"/>
              </w:rPr>
              <w:t>工商银行</w:t>
            </w:r>
          </w:p>
        </w:tc>
        <w:tc>
          <w:tcPr>
            <w:tcW w:w="1334" w:type="dxa"/>
            <w:vAlign w:val="center"/>
          </w:tcPr>
          <w:p w:rsidR="005448E7" w:rsidRDefault="006928D0">
            <w:pPr>
              <w:jc w:val="right"/>
            </w:pPr>
            <w:r>
              <w:rPr>
                <w:color w:val="000000"/>
                <w:sz w:val="24"/>
                <w:szCs w:val="24"/>
              </w:rPr>
              <w:t>4,000,000</w:t>
            </w:r>
          </w:p>
        </w:tc>
        <w:tc>
          <w:tcPr>
            <w:tcW w:w="1924" w:type="dxa"/>
            <w:vAlign w:val="center"/>
          </w:tcPr>
          <w:p w:rsidR="005448E7" w:rsidRDefault="006928D0">
            <w:pPr>
              <w:jc w:val="right"/>
            </w:pPr>
            <w:r>
              <w:rPr>
                <w:color w:val="000000"/>
                <w:sz w:val="24"/>
                <w:szCs w:val="24"/>
              </w:rPr>
              <w:t>21,569,650.00</w:t>
            </w:r>
          </w:p>
        </w:tc>
        <w:tc>
          <w:tcPr>
            <w:tcW w:w="1644" w:type="dxa"/>
            <w:vAlign w:val="center"/>
          </w:tcPr>
          <w:p w:rsidR="005448E7" w:rsidRDefault="006928D0">
            <w:pPr>
              <w:jc w:val="right"/>
            </w:pPr>
            <w:r>
              <w:rPr>
                <w:color w:val="000000"/>
                <w:sz w:val="24"/>
                <w:szCs w:val="24"/>
              </w:rPr>
              <w:t>3.70</w:t>
            </w:r>
          </w:p>
        </w:tc>
      </w:tr>
      <w:tr w:rsidR="005448E7">
        <w:trPr>
          <w:jc w:val="center"/>
        </w:trPr>
        <w:tc>
          <w:tcPr>
            <w:tcW w:w="855" w:type="dxa"/>
            <w:vAlign w:val="center"/>
          </w:tcPr>
          <w:p w:rsidR="005448E7" w:rsidRDefault="006928D0">
            <w:pPr>
              <w:jc w:val="center"/>
            </w:pPr>
            <w:r>
              <w:rPr>
                <w:color w:val="000000"/>
                <w:sz w:val="24"/>
                <w:szCs w:val="24"/>
              </w:rPr>
              <w:t>8</w:t>
            </w:r>
          </w:p>
        </w:tc>
        <w:tc>
          <w:tcPr>
            <w:tcW w:w="1334" w:type="dxa"/>
            <w:vAlign w:val="center"/>
          </w:tcPr>
          <w:p w:rsidR="005448E7" w:rsidRDefault="006928D0">
            <w:pPr>
              <w:jc w:val="center"/>
            </w:pPr>
            <w:r>
              <w:rPr>
                <w:color w:val="000000"/>
                <w:sz w:val="24"/>
                <w:szCs w:val="24"/>
              </w:rPr>
              <w:t>H00966</w:t>
            </w:r>
          </w:p>
        </w:tc>
        <w:tc>
          <w:tcPr>
            <w:tcW w:w="1777" w:type="dxa"/>
            <w:vAlign w:val="center"/>
          </w:tcPr>
          <w:p w:rsidR="005448E7" w:rsidRDefault="006928D0">
            <w:pPr>
              <w:jc w:val="center"/>
            </w:pPr>
            <w:r>
              <w:rPr>
                <w:color w:val="000000"/>
                <w:sz w:val="24"/>
                <w:szCs w:val="24"/>
              </w:rPr>
              <w:t>中国太平</w:t>
            </w:r>
          </w:p>
        </w:tc>
        <w:tc>
          <w:tcPr>
            <w:tcW w:w="1334" w:type="dxa"/>
            <w:vAlign w:val="center"/>
          </w:tcPr>
          <w:p w:rsidR="005448E7" w:rsidRDefault="006928D0">
            <w:pPr>
              <w:jc w:val="right"/>
            </w:pPr>
            <w:r>
              <w:rPr>
                <w:color w:val="000000"/>
                <w:sz w:val="24"/>
                <w:szCs w:val="24"/>
              </w:rPr>
              <w:t>1,000,000</w:t>
            </w:r>
          </w:p>
        </w:tc>
        <w:tc>
          <w:tcPr>
            <w:tcW w:w="1924" w:type="dxa"/>
            <w:vAlign w:val="center"/>
          </w:tcPr>
          <w:p w:rsidR="005448E7" w:rsidRDefault="006928D0">
            <w:pPr>
              <w:jc w:val="right"/>
            </w:pPr>
            <w:r>
              <w:rPr>
                <w:color w:val="000000"/>
                <w:sz w:val="24"/>
                <w:szCs w:val="24"/>
              </w:rPr>
              <w:t>20,792,437.50</w:t>
            </w:r>
          </w:p>
        </w:tc>
        <w:tc>
          <w:tcPr>
            <w:tcW w:w="1644" w:type="dxa"/>
            <w:vAlign w:val="center"/>
          </w:tcPr>
          <w:p w:rsidR="005448E7" w:rsidRDefault="006928D0">
            <w:pPr>
              <w:jc w:val="right"/>
            </w:pPr>
            <w:r>
              <w:rPr>
                <w:color w:val="000000"/>
                <w:sz w:val="24"/>
                <w:szCs w:val="24"/>
              </w:rPr>
              <w:t>3.57</w:t>
            </w:r>
          </w:p>
        </w:tc>
      </w:tr>
      <w:tr w:rsidR="005448E7">
        <w:trPr>
          <w:jc w:val="center"/>
        </w:trPr>
        <w:tc>
          <w:tcPr>
            <w:tcW w:w="855" w:type="dxa"/>
            <w:vAlign w:val="center"/>
          </w:tcPr>
          <w:p w:rsidR="005448E7" w:rsidRDefault="006928D0">
            <w:pPr>
              <w:jc w:val="center"/>
            </w:pPr>
            <w:r>
              <w:rPr>
                <w:color w:val="000000"/>
                <w:sz w:val="24"/>
                <w:szCs w:val="24"/>
              </w:rPr>
              <w:t>9</w:t>
            </w:r>
          </w:p>
        </w:tc>
        <w:tc>
          <w:tcPr>
            <w:tcW w:w="1334" w:type="dxa"/>
            <w:vAlign w:val="center"/>
          </w:tcPr>
          <w:p w:rsidR="005448E7" w:rsidRDefault="006928D0">
            <w:pPr>
              <w:jc w:val="center"/>
            </w:pPr>
            <w:r>
              <w:rPr>
                <w:color w:val="000000"/>
                <w:sz w:val="24"/>
                <w:szCs w:val="24"/>
              </w:rPr>
              <w:t>603986</w:t>
            </w:r>
          </w:p>
        </w:tc>
        <w:tc>
          <w:tcPr>
            <w:tcW w:w="1777" w:type="dxa"/>
            <w:vAlign w:val="center"/>
          </w:tcPr>
          <w:p w:rsidR="005448E7" w:rsidRDefault="006928D0">
            <w:pPr>
              <w:jc w:val="center"/>
            </w:pPr>
            <w:r>
              <w:rPr>
                <w:color w:val="000000"/>
                <w:sz w:val="24"/>
                <w:szCs w:val="24"/>
              </w:rPr>
              <w:t>兆易创新</w:t>
            </w:r>
          </w:p>
        </w:tc>
        <w:tc>
          <w:tcPr>
            <w:tcW w:w="1334" w:type="dxa"/>
            <w:vAlign w:val="center"/>
          </w:tcPr>
          <w:p w:rsidR="005448E7" w:rsidRDefault="006928D0">
            <w:pPr>
              <w:jc w:val="right"/>
            </w:pPr>
            <w:r>
              <w:rPr>
                <w:color w:val="000000"/>
                <w:sz w:val="24"/>
                <w:szCs w:val="24"/>
              </w:rPr>
              <w:t>100,000</w:t>
            </w:r>
          </w:p>
        </w:tc>
        <w:tc>
          <w:tcPr>
            <w:tcW w:w="1924" w:type="dxa"/>
            <w:vAlign w:val="center"/>
          </w:tcPr>
          <w:p w:rsidR="005448E7" w:rsidRDefault="006928D0">
            <w:pPr>
              <w:jc w:val="right"/>
            </w:pPr>
            <w:r>
              <w:rPr>
                <w:color w:val="000000"/>
                <w:sz w:val="24"/>
                <w:szCs w:val="24"/>
              </w:rPr>
              <w:t>19,680,000.00</w:t>
            </w:r>
          </w:p>
        </w:tc>
        <w:tc>
          <w:tcPr>
            <w:tcW w:w="1644" w:type="dxa"/>
            <w:vAlign w:val="center"/>
          </w:tcPr>
          <w:p w:rsidR="005448E7" w:rsidRDefault="006928D0">
            <w:pPr>
              <w:jc w:val="right"/>
            </w:pPr>
            <w:r>
              <w:rPr>
                <w:color w:val="000000"/>
                <w:sz w:val="24"/>
                <w:szCs w:val="24"/>
              </w:rPr>
              <w:t>3.38</w:t>
            </w:r>
          </w:p>
        </w:tc>
      </w:tr>
      <w:tr w:rsidR="005448E7">
        <w:trPr>
          <w:jc w:val="center"/>
        </w:trPr>
        <w:tc>
          <w:tcPr>
            <w:tcW w:w="855" w:type="dxa"/>
            <w:vAlign w:val="center"/>
          </w:tcPr>
          <w:p w:rsidR="005448E7" w:rsidRDefault="006928D0">
            <w:pPr>
              <w:jc w:val="center"/>
            </w:pPr>
            <w:r>
              <w:rPr>
                <w:color w:val="000000"/>
                <w:sz w:val="24"/>
                <w:szCs w:val="24"/>
              </w:rPr>
              <w:t>10</w:t>
            </w:r>
          </w:p>
        </w:tc>
        <w:tc>
          <w:tcPr>
            <w:tcW w:w="1334" w:type="dxa"/>
            <w:vAlign w:val="center"/>
          </w:tcPr>
          <w:p w:rsidR="005448E7" w:rsidRDefault="006928D0">
            <w:pPr>
              <w:jc w:val="center"/>
            </w:pPr>
            <w:r>
              <w:rPr>
                <w:color w:val="000000"/>
                <w:sz w:val="24"/>
                <w:szCs w:val="24"/>
              </w:rPr>
              <w:t>600690</w:t>
            </w:r>
          </w:p>
        </w:tc>
        <w:tc>
          <w:tcPr>
            <w:tcW w:w="1777" w:type="dxa"/>
            <w:vAlign w:val="center"/>
          </w:tcPr>
          <w:p w:rsidR="005448E7" w:rsidRDefault="006928D0">
            <w:pPr>
              <w:jc w:val="center"/>
            </w:pPr>
            <w:r>
              <w:rPr>
                <w:color w:val="000000"/>
                <w:sz w:val="24"/>
                <w:szCs w:val="24"/>
              </w:rPr>
              <w:t>青岛海尔</w:t>
            </w:r>
          </w:p>
        </w:tc>
        <w:tc>
          <w:tcPr>
            <w:tcW w:w="1334" w:type="dxa"/>
            <w:vAlign w:val="center"/>
          </w:tcPr>
          <w:p w:rsidR="005448E7" w:rsidRDefault="006928D0">
            <w:pPr>
              <w:jc w:val="right"/>
            </w:pPr>
            <w:r>
              <w:rPr>
                <w:color w:val="000000"/>
                <w:sz w:val="24"/>
                <w:szCs w:val="24"/>
              </w:rPr>
              <w:t>1,100,000</w:t>
            </w:r>
          </w:p>
        </w:tc>
        <w:tc>
          <w:tcPr>
            <w:tcW w:w="1924" w:type="dxa"/>
            <w:vAlign w:val="center"/>
          </w:tcPr>
          <w:p w:rsidR="005448E7" w:rsidRDefault="006928D0">
            <w:pPr>
              <w:jc w:val="right"/>
            </w:pPr>
            <w:r>
              <w:rPr>
                <w:color w:val="000000"/>
                <w:sz w:val="24"/>
                <w:szCs w:val="24"/>
              </w:rPr>
              <w:t>19,382,000.00</w:t>
            </w:r>
          </w:p>
        </w:tc>
        <w:tc>
          <w:tcPr>
            <w:tcW w:w="1644" w:type="dxa"/>
            <w:vAlign w:val="center"/>
          </w:tcPr>
          <w:p w:rsidR="005448E7" w:rsidRDefault="006928D0">
            <w:pPr>
              <w:jc w:val="right"/>
            </w:pPr>
            <w:r>
              <w:rPr>
                <w:color w:val="000000"/>
                <w:sz w:val="24"/>
                <w:szCs w:val="24"/>
              </w:rPr>
              <w:t>3.33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120,331.39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31,961,005.50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118,996.60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23,755.84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399,083.41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32,623,172.74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8D4EB5" w:rsidRPr="002156CC" w:rsidRDefault="008D4EB5" w:rsidP="008D4EB5">
      <w:pPr>
        <w:autoSpaceDE w:val="0"/>
        <w:autoSpaceDN w:val="0"/>
        <w:adjustRightInd w:val="0"/>
        <w:spacing w:line="360" w:lineRule="auto"/>
        <w:jc w:val="left"/>
        <w:rPr>
          <w:rFonts w:eastAsiaTheme="minorEastAsia"/>
          <w:b/>
          <w:color w:val="000000" w:themeColor="text1"/>
          <w:sz w:val="24"/>
          <w:szCs w:val="24"/>
        </w:rPr>
      </w:pPr>
      <w:r w:rsidRPr="002156CC">
        <w:rPr>
          <w:rFonts w:eastAsiaTheme="minorEastAsia"/>
          <w:b/>
          <w:color w:val="000000" w:themeColor="text1"/>
          <w:sz w:val="24"/>
          <w:szCs w:val="24"/>
        </w:rPr>
        <w:t xml:space="preserve">6.3 </w:t>
      </w:r>
      <w:r w:rsidRPr="002156CC">
        <w:rPr>
          <w:rFonts w:eastAsiaTheme="minorEastAsia" w:hint="eastAsia"/>
          <w:b/>
          <w:color w:val="000000" w:themeColor="text1"/>
          <w:sz w:val="24"/>
          <w:szCs w:val="24"/>
        </w:rPr>
        <w:t>本报告期持有的基金发生的重大影响事件</w:t>
      </w:r>
    </w:p>
    <w:p w:rsidR="008D4EB5" w:rsidRPr="008D4EB5" w:rsidRDefault="008D4EB5" w:rsidP="008D4EB5">
      <w:pPr>
        <w:autoSpaceDE w:val="0"/>
        <w:autoSpaceDN w:val="0"/>
        <w:adjustRightInd w:val="0"/>
        <w:spacing w:line="360" w:lineRule="auto"/>
        <w:ind w:firstLineChars="200" w:firstLine="480"/>
        <w:jc w:val="left"/>
        <w:rPr>
          <w:rFonts w:eastAsiaTheme="minorEastAsia"/>
          <w:color w:val="000000" w:themeColor="text1"/>
          <w:sz w:val="24"/>
          <w:szCs w:val="24"/>
        </w:rPr>
      </w:pPr>
      <w:r w:rsidRPr="008D4EB5">
        <w:rPr>
          <w:rFonts w:eastAsiaTheme="minorEastAsia" w:hint="eastAsia"/>
          <w:color w:val="000000" w:themeColor="text1"/>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182,263,775.44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411,233,165.88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111,974,914.65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481,522,026.67</w:t>
            </w:r>
          </w:p>
        </w:tc>
      </w:tr>
    </w:tbl>
    <w:p w:rsidR="005448E7" w:rsidRDefault="006928D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5448E7">
        <w:tc>
          <w:tcPr>
            <w:tcW w:w="993" w:type="dxa"/>
            <w:vMerge w:val="restart"/>
          </w:tcPr>
          <w:p w:rsidR="005448E7" w:rsidRDefault="005448E7"/>
          <w:p w:rsidR="005448E7" w:rsidRDefault="006928D0">
            <w:r>
              <w:rPr>
                <w:rFonts w:ascii="宋体" w:hAnsi="宋体" w:hint="eastAsia"/>
                <w:bCs/>
                <w:color w:val="000000"/>
                <w:kern w:val="0"/>
              </w:rPr>
              <w:t>机构</w:t>
            </w:r>
          </w:p>
        </w:tc>
        <w:tc>
          <w:tcPr>
            <w:tcW w:w="992" w:type="dxa"/>
            <w:vAlign w:val="center"/>
          </w:tcPr>
          <w:p w:rsidR="005448E7" w:rsidRDefault="006928D0">
            <w:pPr>
              <w:jc w:val="center"/>
            </w:pPr>
            <w:r>
              <w:rPr>
                <w:rFonts w:ascii="宋体" w:hAnsi="宋体"/>
                <w:color w:val="000000"/>
                <w:kern w:val="0"/>
              </w:rPr>
              <w:t>1</w:t>
            </w:r>
          </w:p>
        </w:tc>
        <w:tc>
          <w:tcPr>
            <w:tcW w:w="1843" w:type="dxa"/>
            <w:vAlign w:val="center"/>
          </w:tcPr>
          <w:p w:rsidR="005448E7" w:rsidRDefault="006928D0">
            <w:pPr>
              <w:jc w:val="center"/>
            </w:pPr>
            <w:r>
              <w:rPr>
                <w:rFonts w:ascii="宋体" w:hAnsi="宋体"/>
                <w:color w:val="000000"/>
                <w:kern w:val="0"/>
              </w:rPr>
              <w:t>2018/1/1-2018/3/31</w:t>
            </w:r>
          </w:p>
        </w:tc>
        <w:tc>
          <w:tcPr>
            <w:tcW w:w="851" w:type="dxa"/>
            <w:vAlign w:val="center"/>
          </w:tcPr>
          <w:p w:rsidR="005448E7" w:rsidRDefault="006928D0">
            <w:pPr>
              <w:jc w:val="center"/>
            </w:pPr>
            <w:r>
              <w:rPr>
                <w:rFonts w:ascii="宋体" w:hAnsi="宋体"/>
                <w:color w:val="000000"/>
                <w:kern w:val="0"/>
              </w:rPr>
              <w:t>-</w:t>
            </w:r>
          </w:p>
        </w:tc>
        <w:tc>
          <w:tcPr>
            <w:tcW w:w="850" w:type="dxa"/>
            <w:vAlign w:val="center"/>
          </w:tcPr>
          <w:p w:rsidR="005448E7" w:rsidRDefault="006928D0">
            <w:pPr>
              <w:jc w:val="center"/>
            </w:pPr>
            <w:r>
              <w:rPr>
                <w:rFonts w:ascii="宋体" w:hAnsi="宋体"/>
                <w:color w:val="000000"/>
                <w:kern w:val="0"/>
              </w:rPr>
              <w:t>156,993,386.51</w:t>
            </w:r>
          </w:p>
        </w:tc>
        <w:tc>
          <w:tcPr>
            <w:tcW w:w="1134" w:type="dxa"/>
            <w:vAlign w:val="center"/>
          </w:tcPr>
          <w:p w:rsidR="005448E7" w:rsidRDefault="006928D0">
            <w:pPr>
              <w:jc w:val="center"/>
            </w:pPr>
            <w:r>
              <w:rPr>
                <w:rFonts w:ascii="宋体" w:hAnsi="宋体"/>
                <w:color w:val="000000"/>
                <w:kern w:val="0"/>
              </w:rPr>
              <w:t>-</w:t>
            </w:r>
          </w:p>
        </w:tc>
        <w:tc>
          <w:tcPr>
            <w:tcW w:w="1419" w:type="dxa"/>
            <w:vAlign w:val="center"/>
          </w:tcPr>
          <w:p w:rsidR="005448E7" w:rsidRDefault="006928D0">
            <w:pPr>
              <w:jc w:val="center"/>
            </w:pPr>
            <w:r>
              <w:rPr>
                <w:rFonts w:ascii="宋体" w:hAnsi="宋体"/>
                <w:color w:val="000000"/>
                <w:kern w:val="0"/>
              </w:rPr>
              <w:t>156,993,386.51</w:t>
            </w:r>
          </w:p>
        </w:tc>
        <w:tc>
          <w:tcPr>
            <w:tcW w:w="1130" w:type="dxa"/>
            <w:vAlign w:val="center"/>
          </w:tcPr>
          <w:p w:rsidR="005448E7" w:rsidRDefault="006928D0">
            <w:pPr>
              <w:jc w:val="center"/>
            </w:pPr>
            <w:r>
              <w:rPr>
                <w:rFonts w:ascii="宋体" w:hAnsi="宋体"/>
                <w:color w:val="000000"/>
                <w:kern w:val="0"/>
              </w:rPr>
              <w:t>32.60%</w:t>
            </w:r>
          </w:p>
        </w:tc>
      </w:tr>
      <w:tr w:rsidR="005448E7">
        <w:tc>
          <w:tcPr>
            <w:tcW w:w="993" w:type="dxa"/>
            <w:vMerge/>
          </w:tcPr>
          <w:p w:rsidR="005448E7" w:rsidRDefault="005448E7"/>
        </w:tc>
        <w:tc>
          <w:tcPr>
            <w:tcW w:w="992" w:type="dxa"/>
            <w:vAlign w:val="center"/>
          </w:tcPr>
          <w:p w:rsidR="005448E7" w:rsidRDefault="006928D0">
            <w:pPr>
              <w:jc w:val="center"/>
            </w:pPr>
            <w:r>
              <w:rPr>
                <w:rFonts w:ascii="宋体" w:hAnsi="宋体"/>
                <w:color w:val="000000"/>
                <w:kern w:val="0"/>
              </w:rPr>
              <w:t>2</w:t>
            </w:r>
          </w:p>
        </w:tc>
        <w:tc>
          <w:tcPr>
            <w:tcW w:w="1843" w:type="dxa"/>
            <w:vAlign w:val="center"/>
          </w:tcPr>
          <w:p w:rsidR="005448E7" w:rsidRDefault="006928D0">
            <w:pPr>
              <w:jc w:val="center"/>
            </w:pPr>
            <w:r>
              <w:rPr>
                <w:rFonts w:ascii="宋体" w:hAnsi="宋体"/>
                <w:color w:val="000000"/>
                <w:kern w:val="0"/>
              </w:rPr>
              <w:t>2018/1/1-2018/3/31</w:t>
            </w:r>
          </w:p>
        </w:tc>
        <w:tc>
          <w:tcPr>
            <w:tcW w:w="851" w:type="dxa"/>
            <w:vAlign w:val="center"/>
          </w:tcPr>
          <w:p w:rsidR="005448E7" w:rsidRDefault="006928D0">
            <w:pPr>
              <w:jc w:val="center"/>
            </w:pPr>
            <w:r>
              <w:rPr>
                <w:rFonts w:ascii="宋体" w:hAnsi="宋体"/>
                <w:color w:val="000000"/>
                <w:kern w:val="0"/>
              </w:rPr>
              <w:t>-</w:t>
            </w:r>
          </w:p>
        </w:tc>
        <w:tc>
          <w:tcPr>
            <w:tcW w:w="850" w:type="dxa"/>
            <w:vAlign w:val="center"/>
          </w:tcPr>
          <w:p w:rsidR="005448E7" w:rsidRDefault="006928D0">
            <w:pPr>
              <w:jc w:val="center"/>
            </w:pPr>
            <w:r>
              <w:rPr>
                <w:rFonts w:ascii="宋体" w:hAnsi="宋体"/>
                <w:color w:val="000000"/>
                <w:kern w:val="0"/>
              </w:rPr>
              <w:t>75,470,188.68</w:t>
            </w:r>
          </w:p>
        </w:tc>
        <w:tc>
          <w:tcPr>
            <w:tcW w:w="1134" w:type="dxa"/>
            <w:vAlign w:val="center"/>
          </w:tcPr>
          <w:p w:rsidR="005448E7" w:rsidRDefault="006928D0">
            <w:pPr>
              <w:jc w:val="center"/>
            </w:pPr>
            <w:r>
              <w:rPr>
                <w:rFonts w:ascii="宋体" w:hAnsi="宋体"/>
                <w:color w:val="000000"/>
                <w:kern w:val="0"/>
              </w:rPr>
              <w:t>37,735,094.34</w:t>
            </w:r>
          </w:p>
        </w:tc>
        <w:tc>
          <w:tcPr>
            <w:tcW w:w="1419" w:type="dxa"/>
            <w:vAlign w:val="center"/>
          </w:tcPr>
          <w:p w:rsidR="005448E7" w:rsidRDefault="006928D0">
            <w:pPr>
              <w:jc w:val="center"/>
            </w:pPr>
            <w:r>
              <w:rPr>
                <w:rFonts w:ascii="宋体" w:hAnsi="宋体"/>
                <w:color w:val="000000"/>
                <w:kern w:val="0"/>
              </w:rPr>
              <w:t>37,735,094.34</w:t>
            </w:r>
          </w:p>
        </w:tc>
        <w:tc>
          <w:tcPr>
            <w:tcW w:w="1130" w:type="dxa"/>
            <w:vAlign w:val="center"/>
          </w:tcPr>
          <w:p w:rsidR="005448E7" w:rsidRDefault="006928D0">
            <w:pPr>
              <w:jc w:val="center"/>
            </w:pPr>
            <w:r>
              <w:rPr>
                <w:rFonts w:ascii="宋体" w:hAnsi="宋体"/>
                <w:color w:val="000000"/>
                <w:kern w:val="0"/>
              </w:rPr>
              <w:t>7.84%</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9.2 影响投资者决策的其他重要信息</w:t>
      </w:r>
    </w:p>
    <w:p w:rsidR="005448E7" w:rsidRDefault="006928D0">
      <w:pPr>
        <w:spacing w:line="360" w:lineRule="auto"/>
        <w:ind w:firstLineChars="200" w:firstLine="420"/>
        <w:rPr>
          <w:rFonts w:ascii="宋体" w:hAnsi="宋体"/>
          <w:color w:val="000000"/>
        </w:rPr>
      </w:pPr>
      <w:r>
        <w:rPr>
          <w:rFonts w:ascii="宋体" w:hAnsi="宋体"/>
          <w:color w:val="000000"/>
        </w:rPr>
        <w:t>1、根据财政部和国家税务总局于2016年12月21日联合发布的《关于明确金融、房地产开发、</w:t>
      </w:r>
      <w:r>
        <w:rPr>
          <w:rFonts w:ascii="宋体" w:hAnsi="宋体"/>
          <w:color w:val="000000"/>
        </w:rPr>
        <w:lastRenderedPageBreak/>
        <w:t>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448E7" w:rsidRDefault="006928D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、中国证监会准予交银施罗德沪港深价值精选灵活配置混合型证券投资基金募集注册的文件；</w:t>
      </w:r>
      <w:r>
        <w:rPr>
          <w:color w:val="000000"/>
          <w:sz w:val="24"/>
          <w:szCs w:val="24"/>
        </w:rPr>
        <w:t xml:space="preserve"> </w:t>
      </w:r>
    </w:p>
    <w:p w:rsidR="005448E7" w:rsidRDefault="006928D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、《交银施罗德沪港深价值精选灵活配置混合型证券投资基金基金合同》；</w:t>
      </w:r>
      <w:r>
        <w:rPr>
          <w:color w:val="000000"/>
          <w:sz w:val="24"/>
          <w:szCs w:val="24"/>
        </w:rPr>
        <w:t xml:space="preserve"> </w:t>
      </w:r>
    </w:p>
    <w:p w:rsidR="005448E7" w:rsidRDefault="006928D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、《交银施罗德沪港深价值精选灵活配置混合型证券投资基金招募说明书》；</w:t>
      </w:r>
      <w:r>
        <w:rPr>
          <w:color w:val="000000"/>
          <w:sz w:val="24"/>
          <w:szCs w:val="24"/>
        </w:rPr>
        <w:t xml:space="preserve"> </w:t>
      </w:r>
    </w:p>
    <w:p w:rsidR="005448E7" w:rsidRDefault="006928D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、《交银施罗德沪港深价值精选灵活配置混合型证券投资基金托管协议》；</w:t>
      </w:r>
      <w:r>
        <w:rPr>
          <w:color w:val="000000"/>
          <w:sz w:val="24"/>
          <w:szCs w:val="24"/>
        </w:rPr>
        <w:t xml:space="preserve"> </w:t>
      </w:r>
    </w:p>
    <w:p w:rsidR="005448E7" w:rsidRDefault="006928D0">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、关于申请募集注册交银施罗德沪港深价值精选灵活配置混合型证券投资基金的法律意见书；</w:t>
      </w:r>
      <w:r>
        <w:rPr>
          <w:color w:val="000000"/>
          <w:sz w:val="24"/>
          <w:szCs w:val="24"/>
        </w:rPr>
        <w:t xml:space="preserve"> </w:t>
      </w:r>
    </w:p>
    <w:p w:rsidR="005448E7" w:rsidRDefault="006928D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448E7" w:rsidRDefault="006928D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、报告期内交银施罗德沪港深价值精选灵活配置混合型证券投资基金在指定报刊上各项公告的原稿。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5448E7" w:rsidRDefault="006928D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9C3" w:rsidRDefault="000B59C3" w:rsidP="00876D65">
      <w:r>
        <w:separator/>
      </w:r>
    </w:p>
  </w:endnote>
  <w:endnote w:type="continuationSeparator" w:id="0">
    <w:p w:rsidR="000B59C3" w:rsidRDefault="000B59C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2156CC">
      <w:rPr>
        <w:noProof/>
        <w:kern w:val="0"/>
        <w:szCs w:val="21"/>
      </w:rPr>
      <w:t>2</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2156CC">
      <w:rPr>
        <w:noProof/>
        <w:kern w:val="0"/>
        <w:szCs w:val="21"/>
      </w:rPr>
      <w:t>13</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9C3" w:rsidRDefault="000B59C3" w:rsidP="00876D65">
      <w:r>
        <w:separator/>
      </w:r>
    </w:p>
  </w:footnote>
  <w:footnote w:type="continuationSeparator" w:id="0">
    <w:p w:rsidR="000B59C3" w:rsidRDefault="000B59C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交银施罗德沪港深价值精选灵活配置混合型证券投资基金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9C3"/>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56CC"/>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307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48E7"/>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D0"/>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4EB5"/>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86DC2"/>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3C53"/>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2156CC"/>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86595-9B34-4C09-AED7-47CFC07C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Pages>
  <Words>1178</Words>
  <Characters>6721</Characters>
  <Application>Microsoft Office Word</Application>
  <DocSecurity>0</DocSecurity>
  <Lines>56</Lines>
  <Paragraphs>15</Paragraphs>
  <ScaleCrop>false</ScaleCrop>
  <Company/>
  <LinksUpToDate>false</LinksUpToDate>
  <CharactersWithSpaces>7884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581</cp:revision>
  <dcterms:created xsi:type="dcterms:W3CDTF">2012-10-16T06:07:00Z</dcterms:created>
  <dcterms:modified xsi:type="dcterms:W3CDTF">2018-04-19T02:31:00Z</dcterms:modified>
</cp:coreProperties>
</file>