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交银施罗德裕兴纯债债券型证券投资基金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交银裕兴纯债债券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11,964,530.60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本基金在控制风险和保持资产流动性的基础上，通过积极主动的投资管理，追求基金资产的长期稳健增值，力争较高的投资回报。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519774</w:t>
            </w:r>
          </w:p>
        </w:tc>
        <w:tc>
          <w:tcPr>
            <w:tcW w:w="3048" w:type="dxa"/>
            <w:vAlign w:val="center"/>
          </w:tcPr>
          <w:p w:rsidR="00C23B30" w:rsidRPr="000E4C40" w:rsidRDefault="00C23B30" w:rsidP="00A52A9E">
            <w:pPr>
              <w:spacing w:before="29" w:line="288" w:lineRule="auto"/>
              <w:jc w:val="left"/>
              <w:rPr>
                <w:sz w:val="24"/>
              </w:rPr>
            </w:pPr>
            <w:r w:rsidRPr="000E4C40">
              <w:rPr>
                <w:sz w:val="24"/>
              </w:rPr>
              <w:t>519775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3,955,832.28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8,008,698.32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交银裕兴纯债债券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交银裕兴纯债债券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32,251.04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54,902.83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22,169.72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26,859.06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4,166,562.21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8,152,348.44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1.018</w:t>
            </w:r>
          </w:p>
        </w:tc>
      </w:tr>
    </w:tbl>
    <w:p w:rsidR="00651F25" w:rsidRDefault="00F1536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交银裕兴纯债债券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51F25">
        <w:trPr>
          <w:jc w:val="center"/>
        </w:trPr>
        <w:tc>
          <w:tcPr>
            <w:tcW w:w="1266" w:type="dxa"/>
            <w:vAlign w:val="center"/>
          </w:tcPr>
          <w:p w:rsidR="00651F25" w:rsidRDefault="00F15367">
            <w:pPr>
              <w:jc w:val="left"/>
            </w:pPr>
            <w:r>
              <w:rPr>
                <w:color w:val="000000"/>
                <w:sz w:val="24"/>
              </w:rPr>
              <w:lastRenderedPageBreak/>
              <w:t>过去三个月</w:t>
            </w:r>
          </w:p>
        </w:tc>
        <w:tc>
          <w:tcPr>
            <w:tcW w:w="1267" w:type="dxa"/>
            <w:vAlign w:val="center"/>
          </w:tcPr>
          <w:p w:rsidR="00651F25" w:rsidRDefault="00F15367">
            <w:pPr>
              <w:jc w:val="center"/>
            </w:pPr>
            <w:r>
              <w:rPr>
                <w:color w:val="000000"/>
                <w:sz w:val="24"/>
              </w:rPr>
              <w:t>0.48%</w:t>
            </w:r>
          </w:p>
        </w:tc>
        <w:tc>
          <w:tcPr>
            <w:tcW w:w="1267" w:type="dxa"/>
            <w:vAlign w:val="center"/>
          </w:tcPr>
          <w:p w:rsidR="00651F25" w:rsidRDefault="00F15367">
            <w:pPr>
              <w:jc w:val="center"/>
            </w:pPr>
            <w:r>
              <w:rPr>
                <w:color w:val="000000"/>
                <w:sz w:val="24"/>
              </w:rPr>
              <w:t>0.04%</w:t>
            </w:r>
          </w:p>
        </w:tc>
        <w:tc>
          <w:tcPr>
            <w:tcW w:w="1267" w:type="dxa"/>
            <w:vAlign w:val="center"/>
          </w:tcPr>
          <w:p w:rsidR="00651F25" w:rsidRDefault="00F15367">
            <w:pPr>
              <w:jc w:val="center"/>
            </w:pPr>
            <w:r>
              <w:rPr>
                <w:color w:val="000000"/>
                <w:sz w:val="24"/>
              </w:rPr>
              <w:t>1.14%</w:t>
            </w:r>
          </w:p>
        </w:tc>
        <w:tc>
          <w:tcPr>
            <w:tcW w:w="1267" w:type="dxa"/>
            <w:vAlign w:val="center"/>
          </w:tcPr>
          <w:p w:rsidR="00651F25" w:rsidRDefault="00F15367">
            <w:pPr>
              <w:jc w:val="center"/>
            </w:pPr>
            <w:r>
              <w:rPr>
                <w:color w:val="000000"/>
                <w:sz w:val="24"/>
              </w:rPr>
              <w:t>0.04%</w:t>
            </w:r>
          </w:p>
        </w:tc>
        <w:tc>
          <w:tcPr>
            <w:tcW w:w="1267" w:type="dxa"/>
            <w:vAlign w:val="center"/>
          </w:tcPr>
          <w:p w:rsidR="00651F25" w:rsidRDefault="00F15367">
            <w:pPr>
              <w:jc w:val="center"/>
            </w:pPr>
            <w:r>
              <w:rPr>
                <w:color w:val="000000"/>
                <w:sz w:val="24"/>
              </w:rPr>
              <w:t>-0.66%</w:t>
            </w:r>
          </w:p>
        </w:tc>
        <w:tc>
          <w:tcPr>
            <w:tcW w:w="1267" w:type="dxa"/>
            <w:vAlign w:val="center"/>
          </w:tcPr>
          <w:p w:rsidR="00651F25" w:rsidRDefault="00F15367">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交银裕兴纯债债券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51F25">
        <w:trPr>
          <w:jc w:val="center"/>
        </w:trPr>
        <w:tc>
          <w:tcPr>
            <w:tcW w:w="1266" w:type="dxa"/>
            <w:vAlign w:val="center"/>
          </w:tcPr>
          <w:p w:rsidR="00651F25" w:rsidRDefault="00F15367">
            <w:pPr>
              <w:jc w:val="left"/>
            </w:pPr>
            <w:r>
              <w:rPr>
                <w:color w:val="000000"/>
                <w:sz w:val="24"/>
              </w:rPr>
              <w:t>过去三个月</w:t>
            </w:r>
          </w:p>
        </w:tc>
        <w:tc>
          <w:tcPr>
            <w:tcW w:w="1267" w:type="dxa"/>
            <w:vAlign w:val="center"/>
          </w:tcPr>
          <w:p w:rsidR="00651F25" w:rsidRDefault="00F15367">
            <w:pPr>
              <w:jc w:val="center"/>
            </w:pPr>
            <w:r>
              <w:rPr>
                <w:color w:val="000000"/>
                <w:sz w:val="24"/>
              </w:rPr>
              <w:t>0.30%</w:t>
            </w:r>
          </w:p>
        </w:tc>
        <w:tc>
          <w:tcPr>
            <w:tcW w:w="1267" w:type="dxa"/>
            <w:vAlign w:val="center"/>
          </w:tcPr>
          <w:p w:rsidR="00651F25" w:rsidRDefault="00F15367">
            <w:pPr>
              <w:jc w:val="center"/>
            </w:pPr>
            <w:r>
              <w:rPr>
                <w:color w:val="000000"/>
                <w:sz w:val="24"/>
              </w:rPr>
              <w:t>0.04%</w:t>
            </w:r>
          </w:p>
        </w:tc>
        <w:tc>
          <w:tcPr>
            <w:tcW w:w="1267" w:type="dxa"/>
            <w:vAlign w:val="center"/>
          </w:tcPr>
          <w:p w:rsidR="00651F25" w:rsidRDefault="00F15367">
            <w:pPr>
              <w:jc w:val="center"/>
            </w:pPr>
            <w:r>
              <w:rPr>
                <w:color w:val="000000"/>
                <w:sz w:val="24"/>
              </w:rPr>
              <w:t>1.14%</w:t>
            </w:r>
          </w:p>
        </w:tc>
        <w:tc>
          <w:tcPr>
            <w:tcW w:w="1267" w:type="dxa"/>
            <w:vAlign w:val="center"/>
          </w:tcPr>
          <w:p w:rsidR="00651F25" w:rsidRDefault="00F15367">
            <w:pPr>
              <w:jc w:val="center"/>
            </w:pPr>
            <w:r>
              <w:rPr>
                <w:color w:val="000000"/>
                <w:sz w:val="24"/>
              </w:rPr>
              <w:t>0.04%</w:t>
            </w:r>
          </w:p>
        </w:tc>
        <w:tc>
          <w:tcPr>
            <w:tcW w:w="1267" w:type="dxa"/>
            <w:vAlign w:val="center"/>
          </w:tcPr>
          <w:p w:rsidR="00651F25" w:rsidRDefault="00F15367">
            <w:pPr>
              <w:jc w:val="center"/>
            </w:pPr>
            <w:r>
              <w:rPr>
                <w:color w:val="000000"/>
                <w:sz w:val="24"/>
              </w:rPr>
              <w:t>-0.84%</w:t>
            </w:r>
          </w:p>
        </w:tc>
        <w:tc>
          <w:tcPr>
            <w:tcW w:w="1267" w:type="dxa"/>
            <w:vAlign w:val="center"/>
          </w:tcPr>
          <w:p w:rsidR="00651F25" w:rsidRDefault="00F15367">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交银施罗德裕兴纯债债券型证券投资基金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交银裕兴纯债债券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交银裕兴纯债债券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51F25">
        <w:trPr>
          <w:jc w:val="center"/>
        </w:trPr>
        <w:tc>
          <w:tcPr>
            <w:tcW w:w="946" w:type="dxa"/>
            <w:vAlign w:val="center"/>
          </w:tcPr>
          <w:p w:rsidR="00651F25" w:rsidRDefault="00F15367">
            <w:pPr>
              <w:jc w:val="center"/>
            </w:pPr>
            <w:r>
              <w:rPr>
                <w:color w:val="000000"/>
                <w:sz w:val="24"/>
              </w:rPr>
              <w:t>连端清</w:t>
            </w:r>
          </w:p>
        </w:tc>
        <w:tc>
          <w:tcPr>
            <w:tcW w:w="924" w:type="dxa"/>
            <w:vAlign w:val="center"/>
          </w:tcPr>
          <w:p w:rsidR="00651F25" w:rsidRDefault="00F15367">
            <w:pPr>
              <w:jc w:val="center"/>
            </w:pPr>
            <w:r>
              <w:rPr>
                <w:color w:val="000000"/>
                <w:sz w:val="24"/>
              </w:rPr>
              <w:t>交银货币、交银理财</w:t>
            </w:r>
            <w:r>
              <w:rPr>
                <w:color w:val="000000"/>
                <w:sz w:val="24"/>
              </w:rPr>
              <w:t>60</w:t>
            </w:r>
            <w:r>
              <w:rPr>
                <w:color w:val="000000"/>
                <w:sz w:val="24"/>
              </w:rPr>
              <w:t>天债券、交银丰盈收益债券、交银</w:t>
            </w:r>
            <w:r>
              <w:rPr>
                <w:color w:val="000000"/>
                <w:sz w:val="24"/>
              </w:rPr>
              <w:lastRenderedPageBreak/>
              <w:t>现金宝货币、交银丰润收益债券、交银活期通货币、交银天利宝货币、交银裕兴纯债债券、交银裕盈纯债债券、交银裕利纯债债券、交银裕隆纯债债券、交银天鑫宝货币、交银天益宝货币、交银境尚收益债券、交银天运宝货币</w:t>
            </w:r>
            <w:r>
              <w:rPr>
                <w:color w:val="000000"/>
                <w:sz w:val="24"/>
              </w:rPr>
              <w:lastRenderedPageBreak/>
              <w:t>的基金经理</w:t>
            </w:r>
          </w:p>
        </w:tc>
        <w:tc>
          <w:tcPr>
            <w:tcW w:w="1202" w:type="dxa"/>
            <w:vAlign w:val="center"/>
          </w:tcPr>
          <w:p w:rsidR="00651F25" w:rsidRDefault="00F15367">
            <w:pPr>
              <w:jc w:val="center"/>
            </w:pPr>
            <w:r>
              <w:rPr>
                <w:color w:val="000000"/>
                <w:sz w:val="24"/>
              </w:rPr>
              <w:lastRenderedPageBreak/>
              <w:t>2017-03-31</w:t>
            </w:r>
          </w:p>
        </w:tc>
        <w:tc>
          <w:tcPr>
            <w:tcW w:w="1300" w:type="dxa"/>
            <w:vAlign w:val="center"/>
          </w:tcPr>
          <w:p w:rsidR="00651F25" w:rsidRDefault="00F15367">
            <w:pPr>
              <w:jc w:val="center"/>
            </w:pPr>
            <w:r>
              <w:rPr>
                <w:color w:val="000000"/>
                <w:sz w:val="24"/>
              </w:rPr>
              <w:t>-</w:t>
            </w:r>
          </w:p>
        </w:tc>
        <w:tc>
          <w:tcPr>
            <w:tcW w:w="1245" w:type="dxa"/>
            <w:vAlign w:val="center"/>
          </w:tcPr>
          <w:p w:rsidR="00651F25" w:rsidRDefault="00F15367">
            <w:pPr>
              <w:jc w:val="center"/>
            </w:pPr>
            <w:r>
              <w:rPr>
                <w:color w:val="000000"/>
                <w:sz w:val="24"/>
              </w:rPr>
              <w:t>5</w:t>
            </w:r>
            <w:r>
              <w:rPr>
                <w:color w:val="000000"/>
                <w:sz w:val="24"/>
              </w:rPr>
              <w:t>年</w:t>
            </w:r>
          </w:p>
        </w:tc>
        <w:tc>
          <w:tcPr>
            <w:tcW w:w="3251" w:type="dxa"/>
            <w:vAlign w:val="center"/>
          </w:tcPr>
          <w:p w:rsidR="00651F25" w:rsidRDefault="00F1536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651F25" w:rsidRDefault="00F15367">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651F25" w:rsidRDefault="00F1536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51F25" w:rsidRDefault="00F1536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51F25" w:rsidRDefault="00F1536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51F25" w:rsidRDefault="00F1536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51F25" w:rsidRDefault="00F15367">
      <w:pPr>
        <w:spacing w:before="29" w:line="288" w:lineRule="auto"/>
        <w:ind w:firstLineChars="200" w:firstLine="480"/>
        <w:rPr>
          <w:color w:val="000000"/>
          <w:sz w:val="24"/>
        </w:rPr>
      </w:pPr>
      <w:r>
        <w:rPr>
          <w:color w:val="000000"/>
          <w:sz w:val="24"/>
        </w:rPr>
        <w:t>2018</w:t>
      </w:r>
      <w:r>
        <w:rPr>
          <w:color w:val="000000"/>
          <w:sz w:val="24"/>
        </w:rPr>
        <w:t>年一季度，国内经济整体上延续平稳态势。一至二月份固定资产投资与工业增加值出现反弹，且出口保持较快增长，但是持续性尚待进一步观察，制造业景气度维持在较高的扩张区间。</w:t>
      </w:r>
      <w:r>
        <w:rPr>
          <w:color w:val="000000"/>
          <w:sz w:val="24"/>
        </w:rPr>
        <w:t>2018</w:t>
      </w:r>
      <w:r>
        <w:rPr>
          <w:color w:val="000000"/>
          <w:sz w:val="24"/>
        </w:rPr>
        <w:t>年一至二月，固定资产投资累计同比增速为</w:t>
      </w:r>
      <w:r>
        <w:rPr>
          <w:color w:val="000000"/>
          <w:sz w:val="24"/>
        </w:rPr>
        <w:t>7.9%</w:t>
      </w:r>
      <w:r>
        <w:rPr>
          <w:color w:val="000000"/>
          <w:sz w:val="24"/>
        </w:rPr>
        <w:t>，工业增加值累计同比增速为</w:t>
      </w:r>
      <w:r>
        <w:rPr>
          <w:color w:val="000000"/>
          <w:sz w:val="24"/>
        </w:rPr>
        <w:t>7.2%</w:t>
      </w:r>
      <w:r>
        <w:rPr>
          <w:color w:val="000000"/>
          <w:sz w:val="24"/>
        </w:rPr>
        <w:t>，一月与二月出口季调后同比增速分别为</w:t>
      </w:r>
      <w:r>
        <w:rPr>
          <w:color w:val="000000"/>
          <w:sz w:val="24"/>
        </w:rPr>
        <w:t>5.6%</w:t>
      </w:r>
      <w:r>
        <w:rPr>
          <w:color w:val="000000"/>
          <w:sz w:val="24"/>
        </w:rPr>
        <w:t>与</w:t>
      </w:r>
      <w:r>
        <w:rPr>
          <w:color w:val="000000"/>
          <w:sz w:val="24"/>
        </w:rPr>
        <w:t>15.4%</w:t>
      </w:r>
      <w:r>
        <w:rPr>
          <w:color w:val="000000"/>
          <w:sz w:val="24"/>
        </w:rPr>
        <w:t>，中采</w:t>
      </w:r>
      <w:r>
        <w:rPr>
          <w:color w:val="000000"/>
          <w:sz w:val="24"/>
        </w:rPr>
        <w:t>PMI</w:t>
      </w:r>
      <w:r>
        <w:rPr>
          <w:color w:val="000000"/>
          <w:sz w:val="24"/>
        </w:rPr>
        <w:t>尽管二月份受春节等因素影响出现回落，但三月份反弹至</w:t>
      </w:r>
      <w:r>
        <w:rPr>
          <w:color w:val="000000"/>
          <w:sz w:val="24"/>
        </w:rPr>
        <w:t>51.5%</w:t>
      </w:r>
      <w:r>
        <w:rPr>
          <w:color w:val="000000"/>
          <w:sz w:val="24"/>
        </w:rPr>
        <w:t>。一季度央行货币政策操作上中性偏松，尽管央行通过公开市场及</w:t>
      </w:r>
      <w:r>
        <w:rPr>
          <w:color w:val="000000"/>
          <w:sz w:val="24"/>
        </w:rPr>
        <w:t>MLF</w:t>
      </w:r>
      <w:r>
        <w:rPr>
          <w:color w:val="000000"/>
          <w:sz w:val="24"/>
        </w:rPr>
        <w:t>在一季度实现净回笼</w:t>
      </w:r>
      <w:r>
        <w:rPr>
          <w:color w:val="000000"/>
          <w:sz w:val="24"/>
        </w:rPr>
        <w:t>5645</w:t>
      </w:r>
      <w:r>
        <w:rPr>
          <w:color w:val="000000"/>
          <w:sz w:val="24"/>
        </w:rPr>
        <w:t>亿元，但是定向降准落地以及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释放了大量流动性，为二月份跨春节及三月份跨季提供了充沛的流动性。</w:t>
      </w:r>
    </w:p>
    <w:p w:rsidR="00651F25" w:rsidRDefault="00F15367">
      <w:pPr>
        <w:spacing w:before="29" w:line="288" w:lineRule="auto"/>
        <w:ind w:firstLineChars="200" w:firstLine="480"/>
        <w:rPr>
          <w:color w:val="000000"/>
          <w:sz w:val="24"/>
        </w:rPr>
      </w:pPr>
      <w:r>
        <w:rPr>
          <w:color w:val="000000"/>
          <w:sz w:val="24"/>
        </w:rPr>
        <w:t>资金面上，一季度市场资金面非常宽松，一季度</w:t>
      </w:r>
      <w:r>
        <w:rPr>
          <w:color w:val="000000"/>
          <w:sz w:val="24"/>
        </w:rPr>
        <w:t>R001</w:t>
      </w:r>
      <w:r>
        <w:rPr>
          <w:color w:val="000000"/>
          <w:sz w:val="24"/>
        </w:rPr>
        <w:t>均值较</w:t>
      </w:r>
      <w:r>
        <w:rPr>
          <w:color w:val="000000"/>
          <w:sz w:val="24"/>
        </w:rPr>
        <w:t>2017</w:t>
      </w:r>
      <w:r>
        <w:rPr>
          <w:color w:val="000000"/>
          <w:sz w:val="24"/>
        </w:rPr>
        <w:t>年第四季度下降</w:t>
      </w:r>
      <w:r>
        <w:rPr>
          <w:color w:val="000000"/>
          <w:sz w:val="24"/>
        </w:rPr>
        <w:t>11</w:t>
      </w:r>
      <w:r>
        <w:rPr>
          <w:color w:val="000000"/>
          <w:sz w:val="24"/>
        </w:rPr>
        <w:t>个</w:t>
      </w:r>
      <w:r>
        <w:rPr>
          <w:color w:val="000000"/>
          <w:sz w:val="24"/>
        </w:rPr>
        <w:t>BP</w:t>
      </w:r>
      <w:r>
        <w:rPr>
          <w:color w:val="000000"/>
          <w:sz w:val="24"/>
        </w:rPr>
        <w:t>以上。受资金持续宽松等因素影响，三月下旬同业存款及存单一级发行利率大幅下行。受资金面宽松及中美贸易战等影响，一季度债市大幅上涨，三月底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17</w:t>
      </w:r>
      <w:r>
        <w:rPr>
          <w:color w:val="000000"/>
          <w:sz w:val="24"/>
        </w:rPr>
        <w:t>个</w:t>
      </w:r>
      <w:r>
        <w:rPr>
          <w:color w:val="000000"/>
          <w:sz w:val="24"/>
        </w:rPr>
        <w:t>BP</w:t>
      </w:r>
      <w:r>
        <w:rPr>
          <w:color w:val="000000"/>
          <w:sz w:val="24"/>
        </w:rPr>
        <w:t>以上。</w:t>
      </w:r>
    </w:p>
    <w:p w:rsidR="00651F25" w:rsidRDefault="00F15367">
      <w:pPr>
        <w:spacing w:before="29" w:line="288" w:lineRule="auto"/>
        <w:ind w:firstLineChars="200" w:firstLine="480"/>
        <w:rPr>
          <w:color w:val="000000"/>
          <w:sz w:val="24"/>
        </w:rPr>
      </w:pPr>
      <w:r>
        <w:rPr>
          <w:color w:val="000000"/>
          <w:sz w:val="24"/>
        </w:rPr>
        <w:t>基金操作方面，报告期内本基金顺应市场走势调整持仓债券，调整组合杠杆与久期，管控信用风险，为持有人创造稳健的回报。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我们预计短期内经济韧劲依旧较强，且金融防风险是今年的重要任务，因此短期内货币政策可能不具备趋势性转松的条件。我们预计短期内央行将以中性的货币政策为主。此外，我们将密切关注美国引发的贸易战对经济走势的影响。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日，交银裕兴纯债</w:t>
      </w:r>
      <w:r w:rsidRPr="007F52FA">
        <w:rPr>
          <w:color w:val="000000"/>
          <w:sz w:val="24"/>
        </w:rPr>
        <w:t>A</w:t>
      </w:r>
      <w:r w:rsidRPr="007F52FA">
        <w:rPr>
          <w:color w:val="000000"/>
          <w:sz w:val="24"/>
        </w:rPr>
        <w:t>份额净值为</w:t>
      </w:r>
      <w:r w:rsidRPr="007F52FA">
        <w:rPr>
          <w:color w:val="000000"/>
          <w:sz w:val="24"/>
        </w:rPr>
        <w:t>1.053</w:t>
      </w:r>
      <w:r w:rsidRPr="007F52FA">
        <w:rPr>
          <w:color w:val="000000"/>
          <w:sz w:val="24"/>
        </w:rPr>
        <w:t>元，本报告期份额净值增长率为</w:t>
      </w:r>
      <w:r w:rsidRPr="007F52FA">
        <w:rPr>
          <w:color w:val="000000"/>
          <w:sz w:val="24"/>
        </w:rPr>
        <w:t>0.48%</w:t>
      </w:r>
      <w:r w:rsidRPr="007F52FA">
        <w:rPr>
          <w:color w:val="000000"/>
          <w:sz w:val="24"/>
        </w:rPr>
        <w:t>，同期业绩比较基准增长率为</w:t>
      </w:r>
      <w:r w:rsidRPr="007F52FA">
        <w:rPr>
          <w:color w:val="000000"/>
          <w:sz w:val="24"/>
        </w:rPr>
        <w:t>1.1</w:t>
      </w:r>
      <w:r w:rsidR="00ED75A7">
        <w:rPr>
          <w:color w:val="000000"/>
          <w:sz w:val="24"/>
        </w:rPr>
        <w:t>4</w:t>
      </w:r>
      <w:r w:rsidRPr="007F52FA">
        <w:rPr>
          <w:color w:val="000000"/>
          <w:sz w:val="24"/>
        </w:rPr>
        <w:t>%</w:t>
      </w:r>
      <w:r w:rsidRPr="007F52FA">
        <w:rPr>
          <w:color w:val="000000"/>
          <w:sz w:val="24"/>
        </w:rPr>
        <w:t>；交银裕兴纯债</w:t>
      </w:r>
      <w:r w:rsidRPr="007F52FA">
        <w:rPr>
          <w:color w:val="000000"/>
          <w:sz w:val="24"/>
        </w:rPr>
        <w:t>C</w:t>
      </w:r>
      <w:r w:rsidRPr="007F52FA">
        <w:rPr>
          <w:color w:val="000000"/>
          <w:sz w:val="24"/>
        </w:rPr>
        <w:t>份额净值为</w:t>
      </w:r>
      <w:r w:rsidRPr="007F52FA">
        <w:rPr>
          <w:color w:val="000000"/>
          <w:sz w:val="24"/>
        </w:rPr>
        <w:t>1.018</w:t>
      </w:r>
      <w:r w:rsidRPr="007F52FA">
        <w:rPr>
          <w:color w:val="000000"/>
          <w:sz w:val="24"/>
        </w:rPr>
        <w:t>元，本报告期份额净值增长率为</w:t>
      </w:r>
      <w:r w:rsidRPr="007F52FA">
        <w:rPr>
          <w:color w:val="000000"/>
          <w:sz w:val="24"/>
        </w:rPr>
        <w:t>0.30%</w:t>
      </w:r>
      <w:r w:rsidRPr="007F52FA">
        <w:rPr>
          <w:color w:val="000000"/>
          <w:sz w:val="24"/>
        </w:rPr>
        <w:t>，同期业绩比较基准增长率为</w:t>
      </w:r>
      <w:r w:rsidRPr="007F52FA">
        <w:rPr>
          <w:color w:val="000000"/>
          <w:sz w:val="24"/>
        </w:rPr>
        <w:t>1.1</w:t>
      </w:r>
      <w:r w:rsidR="00ED75A7">
        <w:rPr>
          <w:color w:val="000000"/>
          <w:sz w:val="24"/>
        </w:rPr>
        <w:t>4</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bookmarkStart w:id="0" w:name="_GoBack"/>
      <w:bookmarkEnd w:id="0"/>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万元、连续二十个工作日以上出现基金份额持有人数量不满</w:t>
      </w:r>
      <w:r w:rsidRPr="002070B4">
        <w:rPr>
          <w:color w:val="000000"/>
          <w:sz w:val="24"/>
        </w:rPr>
        <w:t>200</w:t>
      </w:r>
      <w:r w:rsidRPr="002070B4">
        <w:rPr>
          <w:color w:val="000000"/>
          <w:sz w:val="24"/>
        </w:rPr>
        <w:t>人的情形，截至本报告期末，本基金基金资产净值仍低于</w:t>
      </w:r>
      <w:r w:rsidRPr="002070B4">
        <w:rPr>
          <w:color w:val="000000"/>
          <w:sz w:val="24"/>
        </w:rPr>
        <w:t>5000</w:t>
      </w:r>
      <w:r w:rsidRPr="002070B4">
        <w:rPr>
          <w:color w:val="000000"/>
          <w:sz w:val="24"/>
        </w:rPr>
        <w:t>万元、基金份额持有人数量仍不满</w:t>
      </w:r>
      <w:r w:rsidRPr="002070B4">
        <w:rPr>
          <w:color w:val="000000"/>
          <w:sz w:val="24"/>
        </w:rPr>
        <w:t>200</w:t>
      </w:r>
      <w:r w:rsidRPr="002070B4">
        <w:rPr>
          <w:color w:val="000000"/>
          <w:sz w:val="24"/>
        </w:rPr>
        <w:t>人。基金管理人已向中国证券监督管理委员会进行了报告，拟通过终止基金合同的方式解决。</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12,004,800.00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96.19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12,004,800.00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96.19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182,562.04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293,297.25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12,480,659.29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12,004,800.00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12,004,800.00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12,004,800.00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51F25">
        <w:trPr>
          <w:jc w:val="center"/>
        </w:trPr>
        <w:tc>
          <w:tcPr>
            <w:tcW w:w="1075" w:type="dxa"/>
            <w:vAlign w:val="center"/>
          </w:tcPr>
          <w:p w:rsidR="00651F25" w:rsidRDefault="00F15367">
            <w:pPr>
              <w:jc w:val="center"/>
            </w:pPr>
            <w:r>
              <w:rPr>
                <w:color w:val="000000"/>
                <w:sz w:val="24"/>
              </w:rPr>
              <w:t>1</w:t>
            </w:r>
          </w:p>
        </w:tc>
        <w:tc>
          <w:tcPr>
            <w:tcW w:w="1533" w:type="dxa"/>
            <w:vAlign w:val="center"/>
          </w:tcPr>
          <w:p w:rsidR="00651F25" w:rsidRDefault="00F15367">
            <w:pPr>
              <w:jc w:val="center"/>
            </w:pPr>
            <w:r>
              <w:rPr>
                <w:color w:val="000000"/>
                <w:sz w:val="24"/>
              </w:rPr>
              <w:t>170410</w:t>
            </w:r>
          </w:p>
        </w:tc>
        <w:tc>
          <w:tcPr>
            <w:tcW w:w="1533" w:type="dxa"/>
            <w:vAlign w:val="center"/>
          </w:tcPr>
          <w:p w:rsidR="00651F25" w:rsidRDefault="00F15367">
            <w:pPr>
              <w:jc w:val="center"/>
            </w:pPr>
            <w:r>
              <w:rPr>
                <w:color w:val="000000"/>
                <w:sz w:val="24"/>
              </w:rPr>
              <w:t>17</w:t>
            </w:r>
            <w:r>
              <w:rPr>
                <w:color w:val="000000"/>
                <w:sz w:val="24"/>
              </w:rPr>
              <w:t>农发</w:t>
            </w:r>
            <w:r>
              <w:rPr>
                <w:color w:val="000000"/>
                <w:sz w:val="24"/>
              </w:rPr>
              <w:t>10</w:t>
            </w:r>
          </w:p>
        </w:tc>
        <w:tc>
          <w:tcPr>
            <w:tcW w:w="1394" w:type="dxa"/>
            <w:vAlign w:val="center"/>
          </w:tcPr>
          <w:p w:rsidR="00651F25" w:rsidRDefault="00F15367">
            <w:pPr>
              <w:jc w:val="right"/>
            </w:pPr>
            <w:r>
              <w:rPr>
                <w:color w:val="000000"/>
                <w:sz w:val="24"/>
              </w:rPr>
              <w:t>120,000</w:t>
            </w:r>
          </w:p>
        </w:tc>
        <w:tc>
          <w:tcPr>
            <w:tcW w:w="1944" w:type="dxa"/>
            <w:vAlign w:val="center"/>
          </w:tcPr>
          <w:p w:rsidR="00651F25" w:rsidRDefault="00F15367">
            <w:pPr>
              <w:jc w:val="right"/>
            </w:pPr>
            <w:r>
              <w:rPr>
                <w:color w:val="000000"/>
                <w:sz w:val="24"/>
              </w:rPr>
              <w:t>12,004,800.00</w:t>
            </w:r>
          </w:p>
        </w:tc>
        <w:tc>
          <w:tcPr>
            <w:tcW w:w="1389" w:type="dxa"/>
            <w:vAlign w:val="center"/>
          </w:tcPr>
          <w:p w:rsidR="00651F25" w:rsidRDefault="00F15367">
            <w:pPr>
              <w:jc w:val="right"/>
            </w:pPr>
            <w:r>
              <w:rPr>
                <w:color w:val="000000"/>
                <w:sz w:val="24"/>
              </w:rPr>
              <w:t>97.45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293,297.25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293,297.25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6C239B"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6C239B">
        <w:rPr>
          <w:rFonts w:eastAsiaTheme="minorEastAsia"/>
          <w:color w:val="000000" w:themeColor="text1"/>
          <w:kern w:val="0"/>
          <w:sz w:val="24"/>
          <w:szCs w:val="24"/>
        </w:rPr>
        <w:t>§6</w:t>
      </w:r>
      <w:r w:rsidRPr="006C239B">
        <w:rPr>
          <w:rFonts w:eastAsiaTheme="minorEastAsia" w:hint="eastAsia"/>
          <w:color w:val="000000" w:themeColor="text1"/>
          <w:kern w:val="0"/>
          <w:sz w:val="24"/>
          <w:szCs w:val="24"/>
        </w:rPr>
        <w:t xml:space="preserve">  </w:t>
      </w:r>
      <w:r w:rsidRPr="006C239B">
        <w:rPr>
          <w:rFonts w:eastAsiaTheme="minorEastAsia" w:hint="eastAsia"/>
          <w:color w:val="000000" w:themeColor="text1"/>
          <w:kern w:val="0"/>
          <w:sz w:val="24"/>
          <w:szCs w:val="24"/>
        </w:rPr>
        <w:t>基金中基金</w:t>
      </w:r>
    </w:p>
    <w:p w:rsidR="00C51B4E" w:rsidRPr="006C239B" w:rsidRDefault="00C51B4E" w:rsidP="00C51B4E">
      <w:pPr>
        <w:adjustRightInd w:val="0"/>
        <w:snapToGrid w:val="0"/>
        <w:spacing w:line="360" w:lineRule="auto"/>
        <w:rPr>
          <w:rFonts w:eastAsiaTheme="minorEastAsia"/>
          <w:b/>
          <w:color w:val="000000" w:themeColor="text1"/>
          <w:kern w:val="0"/>
          <w:sz w:val="24"/>
        </w:rPr>
      </w:pPr>
      <w:r w:rsidRPr="006C239B">
        <w:rPr>
          <w:rFonts w:eastAsiaTheme="minorEastAsia"/>
          <w:b/>
          <w:color w:val="000000" w:themeColor="text1"/>
          <w:kern w:val="0"/>
          <w:sz w:val="24"/>
        </w:rPr>
        <w:t>6.1</w:t>
      </w:r>
      <w:r w:rsidRPr="006C239B">
        <w:rPr>
          <w:rFonts w:eastAsiaTheme="minorEastAsia" w:hint="eastAsia"/>
          <w:b/>
          <w:color w:val="000000" w:themeColor="text1"/>
          <w:kern w:val="0"/>
          <w:sz w:val="24"/>
        </w:rPr>
        <w:t xml:space="preserve"> </w:t>
      </w:r>
      <w:r w:rsidRPr="006C239B">
        <w:rPr>
          <w:rFonts w:eastAsiaTheme="minorEastAsia" w:hint="eastAsia"/>
          <w:b/>
          <w:color w:val="000000" w:themeColor="text1"/>
          <w:kern w:val="0"/>
          <w:sz w:val="24"/>
        </w:rPr>
        <w:t>报告期末按公允价值占基金资产净值比例大小排序的前十名基金投资明细</w:t>
      </w:r>
    </w:p>
    <w:p w:rsidR="00C51B4E" w:rsidRPr="006C239B"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C239B">
        <w:rPr>
          <w:rFonts w:eastAsiaTheme="minorEastAsia"/>
          <w:color w:val="000000" w:themeColor="text1"/>
          <w:sz w:val="24"/>
        </w:rPr>
        <w:lastRenderedPageBreak/>
        <w:t>本基金本报告期末未持有基金。</w:t>
      </w:r>
    </w:p>
    <w:p w:rsidR="00C51B4E" w:rsidRPr="006C239B" w:rsidRDefault="00C51B4E" w:rsidP="0028293E">
      <w:pPr>
        <w:adjustRightInd w:val="0"/>
        <w:snapToGrid w:val="0"/>
        <w:spacing w:beforeLines="50" w:before="156" w:line="360" w:lineRule="auto"/>
        <w:rPr>
          <w:rFonts w:eastAsiaTheme="minorEastAsia"/>
          <w:b/>
          <w:color w:val="000000" w:themeColor="text1"/>
          <w:kern w:val="0"/>
          <w:sz w:val="24"/>
        </w:rPr>
      </w:pPr>
      <w:r w:rsidRPr="006C239B">
        <w:rPr>
          <w:rFonts w:eastAsiaTheme="minorEastAsia"/>
          <w:b/>
          <w:color w:val="000000" w:themeColor="text1"/>
          <w:kern w:val="0"/>
          <w:sz w:val="24"/>
        </w:rPr>
        <w:t>6.2</w:t>
      </w:r>
      <w:r w:rsidRPr="006C239B">
        <w:rPr>
          <w:rFonts w:eastAsiaTheme="minorEastAsia" w:hint="eastAsia"/>
          <w:b/>
          <w:color w:val="000000" w:themeColor="text1"/>
          <w:kern w:val="0"/>
          <w:sz w:val="24"/>
        </w:rPr>
        <w:t xml:space="preserve"> </w:t>
      </w:r>
      <w:r w:rsidRPr="006C239B">
        <w:rPr>
          <w:rFonts w:eastAsiaTheme="minorEastAsia" w:hint="eastAsia"/>
          <w:b/>
          <w:color w:val="000000" w:themeColor="text1"/>
          <w:kern w:val="0"/>
          <w:sz w:val="24"/>
        </w:rPr>
        <w:t>当期交易及持有基金产生的费用</w:t>
      </w:r>
    </w:p>
    <w:p w:rsidR="00C51B4E" w:rsidRPr="006C239B"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6C239B">
        <w:rPr>
          <w:rFonts w:eastAsiaTheme="minorEastAsia"/>
          <w:color w:val="000000" w:themeColor="text1"/>
          <w:sz w:val="24"/>
        </w:rPr>
        <w:t>本基金本报告期内未交易或持有基金。</w:t>
      </w:r>
    </w:p>
    <w:p w:rsidR="006C239B" w:rsidRPr="006C239B" w:rsidRDefault="006C239B" w:rsidP="006C239B">
      <w:pPr>
        <w:adjustRightInd w:val="0"/>
        <w:snapToGrid w:val="0"/>
        <w:spacing w:beforeLines="50" w:before="156" w:line="360" w:lineRule="auto"/>
        <w:rPr>
          <w:rFonts w:eastAsiaTheme="minorEastAsia"/>
          <w:b/>
          <w:color w:val="000000" w:themeColor="text1"/>
          <w:kern w:val="0"/>
          <w:sz w:val="24"/>
        </w:rPr>
      </w:pPr>
      <w:r w:rsidRPr="006C239B">
        <w:rPr>
          <w:rFonts w:eastAsiaTheme="minorEastAsia" w:hint="eastAsia"/>
          <w:b/>
          <w:color w:val="000000" w:themeColor="text1"/>
          <w:kern w:val="0"/>
          <w:sz w:val="24"/>
        </w:rPr>
        <w:t xml:space="preserve">6.3 </w:t>
      </w:r>
      <w:r w:rsidRPr="006C239B">
        <w:rPr>
          <w:rFonts w:eastAsiaTheme="minorEastAsia" w:hint="eastAsia"/>
          <w:b/>
          <w:color w:val="000000" w:themeColor="text1"/>
          <w:kern w:val="0"/>
          <w:sz w:val="24"/>
        </w:rPr>
        <w:t>本报告期持有的基金发生的重大影响事件</w:t>
      </w:r>
    </w:p>
    <w:p w:rsidR="006C239B" w:rsidRPr="006C239B" w:rsidRDefault="006C239B" w:rsidP="006C239B">
      <w:pPr>
        <w:autoSpaceDE w:val="0"/>
        <w:autoSpaceDN w:val="0"/>
        <w:adjustRightInd w:val="0"/>
        <w:spacing w:line="360" w:lineRule="auto"/>
        <w:ind w:firstLineChars="200" w:firstLine="480"/>
        <w:jc w:val="left"/>
        <w:rPr>
          <w:rFonts w:eastAsiaTheme="minorEastAsia"/>
          <w:color w:val="000000" w:themeColor="text1"/>
          <w:sz w:val="24"/>
        </w:rPr>
      </w:pPr>
      <w:r w:rsidRPr="006C239B">
        <w:rPr>
          <w:rFonts w:eastAsiaTheme="minorEastAsia" w:hint="eastAsia"/>
          <w:color w:val="000000" w:themeColor="text1"/>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5,944,658.51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8,008,946.64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2,374.15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374,829.08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1,991,200.38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375,077.40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3,955,832.28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8,008,698.32</w:t>
            </w:r>
          </w:p>
        </w:tc>
      </w:tr>
    </w:tbl>
    <w:p w:rsidR="00651F25" w:rsidRDefault="00F1536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51F25">
        <w:tc>
          <w:tcPr>
            <w:tcW w:w="992" w:type="dxa"/>
            <w:vMerge w:val="restart"/>
          </w:tcPr>
          <w:p w:rsidR="00651F25" w:rsidRDefault="00651F25"/>
          <w:p w:rsidR="00651F25" w:rsidRDefault="00F15367">
            <w:r>
              <w:rPr>
                <w:rFonts w:ascii="宋体" w:hAnsi="宋体" w:hint="eastAsia"/>
                <w:bCs/>
                <w:color w:val="000000"/>
                <w:kern w:val="0"/>
                <w:szCs w:val="21"/>
              </w:rPr>
              <w:t>机构</w:t>
            </w:r>
          </w:p>
        </w:tc>
        <w:tc>
          <w:tcPr>
            <w:tcW w:w="991" w:type="dxa"/>
            <w:vAlign w:val="center"/>
          </w:tcPr>
          <w:p w:rsidR="00651F25" w:rsidRDefault="00F15367">
            <w:pPr>
              <w:jc w:val="center"/>
            </w:pPr>
            <w:r>
              <w:rPr>
                <w:rFonts w:ascii="宋体" w:hAnsi="宋体" w:hint="eastAsia"/>
                <w:color w:val="000000"/>
                <w:kern w:val="0"/>
                <w:szCs w:val="21"/>
              </w:rPr>
              <w:t>1</w:t>
            </w:r>
          </w:p>
        </w:tc>
        <w:tc>
          <w:tcPr>
            <w:tcW w:w="1843" w:type="dxa"/>
            <w:vAlign w:val="center"/>
          </w:tcPr>
          <w:p w:rsidR="00651F25" w:rsidRDefault="00F15367">
            <w:pPr>
              <w:jc w:val="center"/>
            </w:pPr>
            <w:r>
              <w:rPr>
                <w:rFonts w:ascii="宋体" w:hAnsi="宋体" w:hint="eastAsia"/>
                <w:color w:val="000000"/>
                <w:kern w:val="0"/>
                <w:szCs w:val="21"/>
              </w:rPr>
              <w:t>2018/1/1-2018/3/31</w:t>
            </w:r>
          </w:p>
        </w:tc>
        <w:tc>
          <w:tcPr>
            <w:tcW w:w="851" w:type="dxa"/>
            <w:vAlign w:val="center"/>
          </w:tcPr>
          <w:p w:rsidR="00651F25" w:rsidRDefault="00F15367">
            <w:pPr>
              <w:jc w:val="center"/>
            </w:pPr>
            <w:r>
              <w:rPr>
                <w:rFonts w:ascii="宋体" w:hAnsi="宋体" w:hint="eastAsia"/>
                <w:color w:val="000000"/>
                <w:kern w:val="0"/>
                <w:szCs w:val="21"/>
              </w:rPr>
              <w:t>8,008,008.01</w:t>
            </w:r>
          </w:p>
        </w:tc>
        <w:tc>
          <w:tcPr>
            <w:tcW w:w="850" w:type="dxa"/>
            <w:vAlign w:val="center"/>
          </w:tcPr>
          <w:p w:rsidR="00651F25" w:rsidRDefault="00F15367">
            <w:pPr>
              <w:jc w:val="center"/>
            </w:pPr>
            <w:r>
              <w:rPr>
                <w:rFonts w:ascii="宋体" w:hAnsi="宋体" w:hint="eastAsia"/>
                <w:color w:val="000000"/>
                <w:kern w:val="0"/>
                <w:szCs w:val="21"/>
              </w:rPr>
              <w:t>-</w:t>
            </w:r>
          </w:p>
        </w:tc>
        <w:tc>
          <w:tcPr>
            <w:tcW w:w="1134" w:type="dxa"/>
            <w:vAlign w:val="center"/>
          </w:tcPr>
          <w:p w:rsidR="00651F25" w:rsidRDefault="00F15367">
            <w:pPr>
              <w:jc w:val="center"/>
            </w:pPr>
            <w:r>
              <w:rPr>
                <w:rFonts w:ascii="宋体" w:hAnsi="宋体" w:hint="eastAsia"/>
                <w:color w:val="000000"/>
                <w:kern w:val="0"/>
                <w:szCs w:val="21"/>
              </w:rPr>
              <w:t>-</w:t>
            </w:r>
          </w:p>
        </w:tc>
        <w:tc>
          <w:tcPr>
            <w:tcW w:w="1419" w:type="dxa"/>
            <w:vAlign w:val="center"/>
          </w:tcPr>
          <w:p w:rsidR="00651F25" w:rsidRDefault="00F15367">
            <w:pPr>
              <w:jc w:val="center"/>
            </w:pPr>
            <w:r>
              <w:rPr>
                <w:rFonts w:ascii="宋体" w:hAnsi="宋体" w:hint="eastAsia"/>
                <w:color w:val="000000"/>
                <w:kern w:val="0"/>
                <w:szCs w:val="21"/>
              </w:rPr>
              <w:t>8,008,008.01</w:t>
            </w:r>
          </w:p>
        </w:tc>
        <w:tc>
          <w:tcPr>
            <w:tcW w:w="1130" w:type="dxa"/>
            <w:vAlign w:val="center"/>
          </w:tcPr>
          <w:p w:rsidR="00651F25" w:rsidRDefault="00F15367">
            <w:pPr>
              <w:jc w:val="center"/>
            </w:pPr>
            <w:r>
              <w:rPr>
                <w:rFonts w:ascii="宋体" w:hAnsi="宋体" w:hint="eastAsia"/>
                <w:color w:val="000000"/>
                <w:kern w:val="0"/>
                <w:szCs w:val="21"/>
              </w:rPr>
              <w:t>66.93%</w:t>
            </w:r>
          </w:p>
        </w:tc>
      </w:tr>
      <w:tr w:rsidR="00651F25">
        <w:tc>
          <w:tcPr>
            <w:tcW w:w="992" w:type="dxa"/>
            <w:vMerge/>
          </w:tcPr>
          <w:p w:rsidR="00651F25" w:rsidRDefault="00651F25"/>
        </w:tc>
        <w:tc>
          <w:tcPr>
            <w:tcW w:w="991" w:type="dxa"/>
            <w:vAlign w:val="center"/>
          </w:tcPr>
          <w:p w:rsidR="00651F25" w:rsidRDefault="00F15367">
            <w:pPr>
              <w:jc w:val="center"/>
            </w:pPr>
            <w:r>
              <w:rPr>
                <w:rFonts w:ascii="宋体" w:hAnsi="宋体" w:hint="eastAsia"/>
                <w:color w:val="000000"/>
                <w:kern w:val="0"/>
                <w:szCs w:val="21"/>
              </w:rPr>
              <w:t>2</w:t>
            </w:r>
          </w:p>
        </w:tc>
        <w:tc>
          <w:tcPr>
            <w:tcW w:w="1843" w:type="dxa"/>
            <w:vAlign w:val="center"/>
          </w:tcPr>
          <w:p w:rsidR="00651F25" w:rsidRDefault="00F15367">
            <w:pPr>
              <w:jc w:val="center"/>
            </w:pPr>
            <w:r>
              <w:rPr>
                <w:rFonts w:ascii="宋体" w:hAnsi="宋体" w:hint="eastAsia"/>
                <w:color w:val="000000"/>
                <w:kern w:val="0"/>
                <w:szCs w:val="21"/>
              </w:rPr>
              <w:t>2018/1/1-2018/3/31</w:t>
            </w:r>
          </w:p>
        </w:tc>
        <w:tc>
          <w:tcPr>
            <w:tcW w:w="851" w:type="dxa"/>
            <w:vAlign w:val="center"/>
          </w:tcPr>
          <w:p w:rsidR="00651F25" w:rsidRDefault="00F15367">
            <w:pPr>
              <w:jc w:val="center"/>
            </w:pPr>
            <w:r>
              <w:rPr>
                <w:rFonts w:ascii="宋体" w:hAnsi="宋体" w:hint="eastAsia"/>
                <w:color w:val="000000"/>
                <w:kern w:val="0"/>
                <w:szCs w:val="21"/>
              </w:rPr>
              <w:t>3,878,564.85</w:t>
            </w:r>
          </w:p>
        </w:tc>
        <w:tc>
          <w:tcPr>
            <w:tcW w:w="850" w:type="dxa"/>
            <w:vAlign w:val="center"/>
          </w:tcPr>
          <w:p w:rsidR="00651F25" w:rsidRDefault="00F15367">
            <w:pPr>
              <w:jc w:val="center"/>
            </w:pPr>
            <w:r>
              <w:rPr>
                <w:rFonts w:ascii="宋体" w:hAnsi="宋体" w:hint="eastAsia"/>
                <w:color w:val="000000"/>
                <w:kern w:val="0"/>
                <w:szCs w:val="21"/>
              </w:rPr>
              <w:t>-</w:t>
            </w:r>
          </w:p>
        </w:tc>
        <w:tc>
          <w:tcPr>
            <w:tcW w:w="1134" w:type="dxa"/>
            <w:vAlign w:val="center"/>
          </w:tcPr>
          <w:p w:rsidR="00651F25" w:rsidRDefault="00F15367">
            <w:pPr>
              <w:jc w:val="center"/>
            </w:pPr>
            <w:r>
              <w:rPr>
                <w:rFonts w:ascii="宋体" w:hAnsi="宋体" w:hint="eastAsia"/>
                <w:color w:val="000000"/>
                <w:kern w:val="0"/>
                <w:szCs w:val="21"/>
              </w:rPr>
              <w:t>-</w:t>
            </w:r>
          </w:p>
        </w:tc>
        <w:tc>
          <w:tcPr>
            <w:tcW w:w="1419" w:type="dxa"/>
            <w:vAlign w:val="center"/>
          </w:tcPr>
          <w:p w:rsidR="00651F25" w:rsidRDefault="00F15367">
            <w:pPr>
              <w:jc w:val="center"/>
            </w:pPr>
            <w:r>
              <w:rPr>
                <w:rFonts w:ascii="宋体" w:hAnsi="宋体" w:hint="eastAsia"/>
                <w:color w:val="000000"/>
                <w:kern w:val="0"/>
                <w:szCs w:val="21"/>
              </w:rPr>
              <w:t>3,878,564.85</w:t>
            </w:r>
          </w:p>
        </w:tc>
        <w:tc>
          <w:tcPr>
            <w:tcW w:w="1130" w:type="dxa"/>
            <w:vAlign w:val="center"/>
          </w:tcPr>
          <w:p w:rsidR="00651F25" w:rsidRDefault="00F15367">
            <w:pPr>
              <w:jc w:val="center"/>
            </w:pPr>
            <w:r>
              <w:rPr>
                <w:rFonts w:ascii="宋体" w:hAnsi="宋体" w:hint="eastAsia"/>
                <w:color w:val="000000"/>
                <w:kern w:val="0"/>
                <w:szCs w:val="21"/>
              </w:rPr>
              <w:t>32.42%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651F25" w:rsidRPr="003E1311" w:rsidRDefault="00F15367" w:rsidP="003E1311">
      <w:pPr>
        <w:spacing w:before="29" w:line="288" w:lineRule="auto"/>
        <w:ind w:firstLineChars="200" w:firstLine="480"/>
        <w:rPr>
          <w:rFonts w:eastAsiaTheme="minorEastAsia"/>
          <w:color w:val="000000"/>
          <w:sz w:val="24"/>
        </w:rPr>
      </w:pPr>
      <w:r w:rsidRPr="003E1311">
        <w:rPr>
          <w:rFonts w:eastAsiaTheme="minorEastAsia" w:hint="eastAsia"/>
          <w:color w:val="000000"/>
          <w:sz w:val="24"/>
        </w:rPr>
        <w:t>1</w:t>
      </w:r>
      <w:r w:rsidRPr="003E1311">
        <w:rPr>
          <w:rFonts w:eastAsiaTheme="minorEastAsia" w:hint="eastAsia"/>
          <w:color w:val="000000"/>
          <w:sz w:val="24"/>
        </w:rPr>
        <w:t>、根据财政部和国家税务总局于</w:t>
      </w:r>
      <w:r w:rsidRPr="003E1311">
        <w:rPr>
          <w:rFonts w:eastAsiaTheme="minorEastAsia" w:hint="eastAsia"/>
          <w:color w:val="000000"/>
          <w:sz w:val="24"/>
        </w:rPr>
        <w:t>2016</w:t>
      </w:r>
      <w:r w:rsidRPr="003E1311">
        <w:rPr>
          <w:rFonts w:eastAsiaTheme="minorEastAsia" w:hint="eastAsia"/>
          <w:color w:val="000000"/>
          <w:sz w:val="24"/>
        </w:rPr>
        <w:t>年</w:t>
      </w:r>
      <w:r w:rsidRPr="003E1311">
        <w:rPr>
          <w:rFonts w:eastAsiaTheme="minorEastAsia" w:hint="eastAsia"/>
          <w:color w:val="000000"/>
          <w:sz w:val="24"/>
        </w:rPr>
        <w:t>12</w:t>
      </w:r>
      <w:r w:rsidRPr="003E1311">
        <w:rPr>
          <w:rFonts w:eastAsiaTheme="minorEastAsia" w:hint="eastAsia"/>
          <w:color w:val="000000"/>
          <w:sz w:val="24"/>
        </w:rPr>
        <w:t>月</w:t>
      </w:r>
      <w:r w:rsidRPr="003E1311">
        <w:rPr>
          <w:rFonts w:eastAsiaTheme="minorEastAsia" w:hint="eastAsia"/>
          <w:color w:val="000000"/>
          <w:sz w:val="24"/>
        </w:rPr>
        <w:t>21</w:t>
      </w:r>
      <w:r w:rsidRPr="003E1311">
        <w:rPr>
          <w:rFonts w:eastAsiaTheme="minorEastAsia" w:hint="eastAsia"/>
          <w:color w:val="000000"/>
          <w:sz w:val="24"/>
        </w:rPr>
        <w:t>日联合发布的《关于明确金融、房地产开发、教育辅助服务等增值税政策的通知》（财税</w:t>
      </w:r>
      <w:r w:rsidRPr="003E1311">
        <w:rPr>
          <w:rFonts w:eastAsiaTheme="minorEastAsia" w:hint="eastAsia"/>
          <w:color w:val="000000"/>
          <w:sz w:val="24"/>
        </w:rPr>
        <w:t>[2016]140</w:t>
      </w:r>
      <w:r w:rsidRPr="003E1311">
        <w:rPr>
          <w:rFonts w:eastAsiaTheme="minorEastAsia" w:hint="eastAsia"/>
          <w:color w:val="000000"/>
          <w:sz w:val="24"/>
        </w:rPr>
        <w:t>号）以及于</w:t>
      </w:r>
      <w:r w:rsidRPr="003E1311">
        <w:rPr>
          <w:rFonts w:eastAsiaTheme="minorEastAsia" w:hint="eastAsia"/>
          <w:color w:val="000000"/>
          <w:sz w:val="24"/>
        </w:rPr>
        <w:t>2017</w:t>
      </w:r>
      <w:r w:rsidRPr="003E1311">
        <w:rPr>
          <w:rFonts w:eastAsiaTheme="minorEastAsia" w:hint="eastAsia"/>
          <w:color w:val="000000"/>
          <w:sz w:val="24"/>
        </w:rPr>
        <w:t>年</w:t>
      </w:r>
      <w:r w:rsidRPr="003E1311">
        <w:rPr>
          <w:rFonts w:eastAsiaTheme="minorEastAsia" w:hint="eastAsia"/>
          <w:color w:val="000000"/>
          <w:sz w:val="24"/>
        </w:rPr>
        <w:t>6</w:t>
      </w:r>
      <w:r w:rsidRPr="003E1311">
        <w:rPr>
          <w:rFonts w:eastAsiaTheme="minorEastAsia" w:hint="eastAsia"/>
          <w:color w:val="000000"/>
          <w:sz w:val="24"/>
        </w:rPr>
        <w:t>月</w:t>
      </w:r>
      <w:r w:rsidRPr="003E1311">
        <w:rPr>
          <w:rFonts w:eastAsiaTheme="minorEastAsia" w:hint="eastAsia"/>
          <w:color w:val="000000"/>
          <w:sz w:val="24"/>
        </w:rPr>
        <w:t>30</w:t>
      </w:r>
      <w:r w:rsidRPr="003E1311">
        <w:rPr>
          <w:rFonts w:eastAsiaTheme="minorEastAsia" w:hint="eastAsia"/>
          <w:color w:val="000000"/>
          <w:sz w:val="24"/>
        </w:rPr>
        <w:t>日联合发布的《财政部、税务总局关于资管产品增值税有关问题的通知》（财税</w:t>
      </w:r>
      <w:r w:rsidRPr="003E1311">
        <w:rPr>
          <w:rFonts w:eastAsiaTheme="minorEastAsia" w:hint="eastAsia"/>
          <w:color w:val="000000"/>
          <w:sz w:val="24"/>
        </w:rPr>
        <w:t>[2017]56</w:t>
      </w:r>
      <w:r w:rsidRPr="003E1311">
        <w:rPr>
          <w:rFonts w:eastAsiaTheme="minorEastAsia" w:hint="eastAsia"/>
          <w:color w:val="000000"/>
          <w:sz w:val="24"/>
        </w:rPr>
        <w:t>号）等规定，自</w:t>
      </w:r>
      <w:r w:rsidRPr="003E1311">
        <w:rPr>
          <w:rFonts w:eastAsiaTheme="minorEastAsia" w:hint="eastAsia"/>
          <w:color w:val="000000"/>
          <w:sz w:val="24"/>
        </w:rPr>
        <w:t>2018</w:t>
      </w:r>
      <w:r w:rsidRPr="003E1311">
        <w:rPr>
          <w:rFonts w:eastAsiaTheme="minorEastAsia" w:hint="eastAsia"/>
          <w:color w:val="000000"/>
          <w:sz w:val="24"/>
        </w:rPr>
        <w:t>年</w:t>
      </w:r>
      <w:r w:rsidRPr="003E1311">
        <w:rPr>
          <w:rFonts w:eastAsiaTheme="minorEastAsia" w:hint="eastAsia"/>
          <w:color w:val="000000"/>
          <w:sz w:val="24"/>
        </w:rPr>
        <w:t>1</w:t>
      </w:r>
      <w:r w:rsidRPr="003E1311">
        <w:rPr>
          <w:rFonts w:eastAsiaTheme="minorEastAsia" w:hint="eastAsia"/>
          <w:color w:val="000000"/>
          <w:sz w:val="24"/>
        </w:rPr>
        <w:t>月</w:t>
      </w:r>
      <w:r w:rsidRPr="003E1311">
        <w:rPr>
          <w:rFonts w:eastAsiaTheme="minorEastAsia" w:hint="eastAsia"/>
          <w:color w:val="000000"/>
          <w:sz w:val="24"/>
        </w:rPr>
        <w:t>1</w:t>
      </w:r>
      <w:r w:rsidRPr="003E1311">
        <w:rPr>
          <w:rFonts w:eastAsiaTheme="minorEastAsia"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3E1311" w:rsidRDefault="00ED0E09" w:rsidP="003E1311">
      <w:pPr>
        <w:spacing w:before="29" w:line="288" w:lineRule="auto"/>
        <w:ind w:firstLineChars="200" w:firstLine="480"/>
        <w:rPr>
          <w:rFonts w:eastAsiaTheme="minorEastAsia"/>
          <w:color w:val="000000"/>
          <w:sz w:val="24"/>
        </w:rPr>
      </w:pPr>
      <w:r w:rsidRPr="003E1311">
        <w:rPr>
          <w:rFonts w:eastAsiaTheme="minorEastAsia" w:hint="eastAsia"/>
          <w:color w:val="000000"/>
          <w:sz w:val="24"/>
        </w:rPr>
        <w:t>2</w:t>
      </w:r>
      <w:r w:rsidRPr="003E1311">
        <w:rPr>
          <w:rFonts w:eastAsiaTheme="minorEastAsia"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w:t>
      </w:r>
      <w:r w:rsidRPr="003E1311">
        <w:rPr>
          <w:rFonts w:eastAsiaTheme="minorEastAsia" w:hint="eastAsia"/>
          <w:color w:val="000000"/>
          <w:sz w:val="24"/>
        </w:rPr>
        <w:t>7</w:t>
      </w:r>
      <w:r w:rsidRPr="003E1311">
        <w:rPr>
          <w:rFonts w:eastAsiaTheme="minorEastAsia" w:hint="eastAsia"/>
          <w:color w:val="000000"/>
          <w:sz w:val="24"/>
        </w:rPr>
        <w:t>日的基金份额持有人收取不低于</w:t>
      </w:r>
      <w:r w:rsidRPr="003E1311">
        <w:rPr>
          <w:rFonts w:eastAsiaTheme="minorEastAsia" w:hint="eastAsia"/>
          <w:color w:val="000000"/>
          <w:sz w:val="24"/>
        </w:rPr>
        <w:t>1.5%</w:t>
      </w:r>
      <w:r w:rsidRPr="003E1311">
        <w:rPr>
          <w:rFonts w:eastAsiaTheme="minorEastAsia" w:hint="eastAsia"/>
          <w:color w:val="000000"/>
          <w:sz w:val="24"/>
        </w:rPr>
        <w:t>的赎回费并全额计入基金财产”的条款已于</w:t>
      </w:r>
      <w:r w:rsidRPr="003E1311">
        <w:rPr>
          <w:rFonts w:eastAsiaTheme="minorEastAsia" w:hint="eastAsia"/>
          <w:color w:val="000000"/>
          <w:sz w:val="24"/>
        </w:rPr>
        <w:t>2018</w:t>
      </w:r>
      <w:r w:rsidRPr="003E1311">
        <w:rPr>
          <w:rFonts w:eastAsiaTheme="minorEastAsia" w:hint="eastAsia"/>
          <w:color w:val="000000"/>
          <w:sz w:val="24"/>
        </w:rPr>
        <w:t>年</w:t>
      </w:r>
      <w:r w:rsidRPr="003E1311">
        <w:rPr>
          <w:rFonts w:eastAsiaTheme="minorEastAsia" w:hint="eastAsia"/>
          <w:color w:val="000000"/>
          <w:sz w:val="24"/>
        </w:rPr>
        <w:t>3</w:t>
      </w:r>
      <w:r w:rsidRPr="003E1311">
        <w:rPr>
          <w:rFonts w:eastAsiaTheme="minorEastAsia" w:hint="eastAsia"/>
          <w:color w:val="000000"/>
          <w:sz w:val="24"/>
        </w:rPr>
        <w:t>月</w:t>
      </w:r>
      <w:r w:rsidRPr="003E1311">
        <w:rPr>
          <w:rFonts w:eastAsiaTheme="minorEastAsia" w:hint="eastAsia"/>
          <w:color w:val="000000"/>
          <w:sz w:val="24"/>
        </w:rPr>
        <w:t>31</w:t>
      </w:r>
      <w:r w:rsidRPr="003E1311">
        <w:rPr>
          <w:rFonts w:eastAsiaTheme="minorEastAsia" w:hint="eastAsia"/>
          <w:color w:val="000000"/>
          <w:sz w:val="24"/>
        </w:rPr>
        <w:t>日起正式实施。欲知详情请查阅本基金管理人于</w:t>
      </w:r>
      <w:r w:rsidRPr="003E1311">
        <w:rPr>
          <w:rFonts w:eastAsiaTheme="minorEastAsia" w:hint="eastAsia"/>
          <w:color w:val="000000"/>
          <w:sz w:val="24"/>
        </w:rPr>
        <w:t>2018</w:t>
      </w:r>
      <w:r w:rsidRPr="003E1311">
        <w:rPr>
          <w:rFonts w:eastAsiaTheme="minorEastAsia" w:hint="eastAsia"/>
          <w:color w:val="000000"/>
          <w:sz w:val="24"/>
        </w:rPr>
        <w:t>年</w:t>
      </w:r>
      <w:r w:rsidRPr="003E1311">
        <w:rPr>
          <w:rFonts w:eastAsiaTheme="minorEastAsia" w:hint="eastAsia"/>
          <w:color w:val="000000"/>
          <w:sz w:val="24"/>
        </w:rPr>
        <w:t>3</w:t>
      </w:r>
      <w:r w:rsidRPr="003E1311">
        <w:rPr>
          <w:rFonts w:eastAsiaTheme="minorEastAsia" w:hint="eastAsia"/>
          <w:color w:val="000000"/>
          <w:sz w:val="24"/>
        </w:rPr>
        <w:t>月</w:t>
      </w:r>
      <w:r w:rsidRPr="003E1311">
        <w:rPr>
          <w:rFonts w:eastAsiaTheme="minorEastAsia" w:hint="eastAsia"/>
          <w:color w:val="000000"/>
          <w:sz w:val="24"/>
        </w:rPr>
        <w:t>22</w:t>
      </w:r>
      <w:r w:rsidRPr="003E1311">
        <w:rPr>
          <w:rFonts w:eastAsiaTheme="minorEastAsia" w:hint="eastAsia"/>
          <w:color w:val="000000"/>
          <w:sz w:val="24"/>
        </w:rPr>
        <w:t>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、中国证监会准予交银施罗德裕兴纯债债券型证券投资基金募集注册的文件；</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、《交银施罗德裕兴纯债债券型证券投资基金基金合同》；</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、《交银施罗德裕兴纯债债券型证券投资基金招募说明书》；</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、《交银施罗德裕兴纯债债券型证券投资基金托管协议》；</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、关于申请募集注册交银施罗德裕兴纯债债券型证券投资基金的法律意见书；</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lastRenderedPageBreak/>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、报告期内交银施罗德裕兴纯债债券型证券投资基金在指定报刊上各项公告的原稿。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651F25" w:rsidRDefault="00F1536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B33" w:rsidRDefault="002B7B33">
      <w:r>
        <w:separator/>
      </w:r>
    </w:p>
  </w:endnote>
  <w:endnote w:type="continuationSeparator" w:id="0">
    <w:p w:rsidR="002B7B33" w:rsidRDefault="002B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ED75A7">
      <w:rPr>
        <w:noProof/>
        <w:kern w:val="0"/>
        <w:szCs w:val="21"/>
      </w:rPr>
      <w:t>8</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ED75A7">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B33" w:rsidRDefault="002B7B33">
      <w:r>
        <w:separator/>
      </w:r>
    </w:p>
  </w:footnote>
  <w:footnote w:type="continuationSeparator" w:id="0">
    <w:p w:rsidR="002B7B33" w:rsidRDefault="002B7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交银施罗德裕兴纯债债券型证券投资基金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B7B3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1311"/>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1F25"/>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39B"/>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5A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15367"/>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1D3B-6DAE-4A56-BEB0-E2B896C9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14</Pages>
  <Words>1160</Words>
  <Characters>6614</Characters>
  <Application>Microsoft Office Word</Application>
  <DocSecurity>0</DocSecurity>
  <Lines>55</Lines>
  <Paragraphs>15</Paragraphs>
  <ScaleCrop>false</ScaleCrop>
  <Company>TRT. Ltd. Co.</Company>
  <LinksUpToDate>false</LinksUpToDate>
  <CharactersWithSpaces>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378</cp:revision>
  <cp:lastPrinted>2007-07-19T00:46:00Z</cp:lastPrinted>
  <dcterms:created xsi:type="dcterms:W3CDTF">2014-01-17T06:19:00Z</dcterms:created>
  <dcterms:modified xsi:type="dcterms:W3CDTF">2018-04-18T10:39:00Z</dcterms:modified>
</cp:coreProperties>
</file>