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693,689,139.37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519770</w:t>
            </w:r>
          </w:p>
        </w:tc>
        <w:tc>
          <w:tcPr>
            <w:tcW w:w="3048" w:type="dxa"/>
            <w:vAlign w:val="center"/>
          </w:tcPr>
          <w:p w:rsidR="00C23B30" w:rsidRPr="000E4C40" w:rsidRDefault="00C23B30" w:rsidP="00A52A9E">
            <w:pPr>
              <w:spacing w:before="29" w:line="288" w:lineRule="auto"/>
              <w:jc w:val="left"/>
              <w:rPr>
                <w:sz w:val="24"/>
              </w:rPr>
            </w:pPr>
            <w:r w:rsidRPr="000E4C40">
              <w:rPr>
                <w:sz w:val="24"/>
              </w:rPr>
              <w:t>519771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693,683,258.79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5,880.58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10,831,520.96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127.57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10,123,325.67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197.25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0.0206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744,482,147.91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6,286.73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1.069</w:t>
            </w:r>
          </w:p>
        </w:tc>
      </w:tr>
    </w:tbl>
    <w:p w:rsidR="002C1561" w:rsidRDefault="00E577A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交银优择回报灵活配置混合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C1561">
        <w:trPr>
          <w:jc w:val="center"/>
        </w:trPr>
        <w:tc>
          <w:tcPr>
            <w:tcW w:w="1266" w:type="dxa"/>
            <w:vAlign w:val="center"/>
          </w:tcPr>
          <w:p w:rsidR="002C1561" w:rsidRDefault="00E577AE">
            <w:pPr>
              <w:jc w:val="left"/>
            </w:pPr>
            <w:r>
              <w:rPr>
                <w:color w:val="000000"/>
                <w:sz w:val="24"/>
              </w:rPr>
              <w:t>过去三个月</w:t>
            </w:r>
          </w:p>
        </w:tc>
        <w:tc>
          <w:tcPr>
            <w:tcW w:w="1267" w:type="dxa"/>
            <w:vAlign w:val="center"/>
          </w:tcPr>
          <w:p w:rsidR="002C1561" w:rsidRDefault="00E577AE">
            <w:pPr>
              <w:jc w:val="center"/>
            </w:pPr>
            <w:r>
              <w:rPr>
                <w:color w:val="000000"/>
                <w:sz w:val="24"/>
              </w:rPr>
              <w:t>1.29%</w:t>
            </w:r>
          </w:p>
        </w:tc>
        <w:tc>
          <w:tcPr>
            <w:tcW w:w="1267" w:type="dxa"/>
            <w:vAlign w:val="center"/>
          </w:tcPr>
          <w:p w:rsidR="002C1561" w:rsidRDefault="00E577AE">
            <w:pPr>
              <w:jc w:val="center"/>
            </w:pPr>
            <w:r>
              <w:rPr>
                <w:color w:val="000000"/>
                <w:sz w:val="24"/>
              </w:rPr>
              <w:t>0.11%</w:t>
            </w:r>
          </w:p>
        </w:tc>
        <w:tc>
          <w:tcPr>
            <w:tcW w:w="1267" w:type="dxa"/>
            <w:vAlign w:val="center"/>
          </w:tcPr>
          <w:p w:rsidR="002C1561" w:rsidRDefault="00E577AE">
            <w:pPr>
              <w:jc w:val="center"/>
            </w:pPr>
            <w:r>
              <w:rPr>
                <w:color w:val="000000"/>
                <w:sz w:val="24"/>
              </w:rPr>
              <w:t>-0.99%</w:t>
            </w:r>
          </w:p>
        </w:tc>
        <w:tc>
          <w:tcPr>
            <w:tcW w:w="1267" w:type="dxa"/>
            <w:vAlign w:val="center"/>
          </w:tcPr>
          <w:p w:rsidR="002C1561" w:rsidRDefault="00E577AE">
            <w:pPr>
              <w:jc w:val="center"/>
            </w:pPr>
            <w:r>
              <w:rPr>
                <w:color w:val="000000"/>
                <w:sz w:val="24"/>
              </w:rPr>
              <w:t>0.58%</w:t>
            </w:r>
          </w:p>
        </w:tc>
        <w:tc>
          <w:tcPr>
            <w:tcW w:w="1267" w:type="dxa"/>
            <w:vAlign w:val="center"/>
          </w:tcPr>
          <w:p w:rsidR="002C1561" w:rsidRDefault="00E577AE">
            <w:pPr>
              <w:jc w:val="center"/>
            </w:pPr>
            <w:r>
              <w:rPr>
                <w:color w:val="000000"/>
                <w:sz w:val="24"/>
              </w:rPr>
              <w:t>2.28%</w:t>
            </w:r>
          </w:p>
        </w:tc>
        <w:tc>
          <w:tcPr>
            <w:tcW w:w="1267" w:type="dxa"/>
            <w:vAlign w:val="center"/>
          </w:tcPr>
          <w:p w:rsidR="002C1561" w:rsidRDefault="00E577AE">
            <w:pPr>
              <w:jc w:val="center"/>
            </w:pPr>
            <w:r>
              <w:rPr>
                <w:color w:val="000000"/>
                <w:sz w:val="24"/>
              </w:rPr>
              <w:t>-0.47%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交银优择回报灵活配置混合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C1561">
        <w:trPr>
          <w:jc w:val="center"/>
        </w:trPr>
        <w:tc>
          <w:tcPr>
            <w:tcW w:w="1266" w:type="dxa"/>
            <w:vAlign w:val="center"/>
          </w:tcPr>
          <w:p w:rsidR="002C1561" w:rsidRDefault="00E577AE">
            <w:pPr>
              <w:jc w:val="left"/>
            </w:pPr>
            <w:r>
              <w:rPr>
                <w:color w:val="000000"/>
                <w:sz w:val="24"/>
              </w:rPr>
              <w:t>过去三个月</w:t>
            </w:r>
          </w:p>
        </w:tc>
        <w:tc>
          <w:tcPr>
            <w:tcW w:w="1267" w:type="dxa"/>
            <w:vAlign w:val="center"/>
          </w:tcPr>
          <w:p w:rsidR="002C1561" w:rsidRDefault="00E577AE">
            <w:pPr>
              <w:jc w:val="center"/>
            </w:pPr>
            <w:r>
              <w:rPr>
                <w:color w:val="000000"/>
                <w:sz w:val="24"/>
              </w:rPr>
              <w:t>1.30%</w:t>
            </w:r>
          </w:p>
        </w:tc>
        <w:tc>
          <w:tcPr>
            <w:tcW w:w="1267" w:type="dxa"/>
            <w:vAlign w:val="center"/>
          </w:tcPr>
          <w:p w:rsidR="002C1561" w:rsidRDefault="00E577AE">
            <w:pPr>
              <w:jc w:val="center"/>
            </w:pPr>
            <w:r>
              <w:rPr>
                <w:color w:val="000000"/>
                <w:sz w:val="24"/>
              </w:rPr>
              <w:t>0.11%</w:t>
            </w:r>
          </w:p>
        </w:tc>
        <w:tc>
          <w:tcPr>
            <w:tcW w:w="1267" w:type="dxa"/>
            <w:vAlign w:val="center"/>
          </w:tcPr>
          <w:p w:rsidR="002C1561" w:rsidRDefault="00E577AE">
            <w:pPr>
              <w:jc w:val="center"/>
            </w:pPr>
            <w:r>
              <w:rPr>
                <w:color w:val="000000"/>
                <w:sz w:val="24"/>
              </w:rPr>
              <w:t>-0.99%</w:t>
            </w:r>
          </w:p>
        </w:tc>
        <w:tc>
          <w:tcPr>
            <w:tcW w:w="1267" w:type="dxa"/>
            <w:vAlign w:val="center"/>
          </w:tcPr>
          <w:p w:rsidR="002C1561" w:rsidRDefault="00E577AE">
            <w:pPr>
              <w:jc w:val="center"/>
            </w:pPr>
            <w:r>
              <w:rPr>
                <w:color w:val="000000"/>
                <w:sz w:val="24"/>
              </w:rPr>
              <w:t>0.58%</w:t>
            </w:r>
          </w:p>
        </w:tc>
        <w:tc>
          <w:tcPr>
            <w:tcW w:w="1267" w:type="dxa"/>
            <w:vAlign w:val="center"/>
          </w:tcPr>
          <w:p w:rsidR="002C1561" w:rsidRDefault="00E577AE">
            <w:pPr>
              <w:jc w:val="center"/>
            </w:pPr>
            <w:r>
              <w:rPr>
                <w:color w:val="000000"/>
                <w:sz w:val="24"/>
              </w:rPr>
              <w:t>2.29%</w:t>
            </w:r>
          </w:p>
        </w:tc>
        <w:tc>
          <w:tcPr>
            <w:tcW w:w="1267" w:type="dxa"/>
            <w:vAlign w:val="center"/>
          </w:tcPr>
          <w:p w:rsidR="002C1561" w:rsidRDefault="00E577AE">
            <w:pPr>
              <w:jc w:val="center"/>
            </w:pPr>
            <w:r>
              <w:rPr>
                <w:color w:val="000000"/>
                <w:sz w:val="24"/>
              </w:rPr>
              <w:t>-0.47%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交银施罗德优择回报灵活配置混合型证券投资基金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交银优择回报灵活配置混合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C1561">
        <w:trPr>
          <w:jc w:val="center"/>
        </w:trPr>
        <w:tc>
          <w:tcPr>
            <w:tcW w:w="946" w:type="dxa"/>
            <w:vAlign w:val="center"/>
          </w:tcPr>
          <w:p w:rsidR="002C1561" w:rsidRDefault="00E577AE">
            <w:pPr>
              <w:jc w:val="center"/>
            </w:pPr>
            <w:r>
              <w:rPr>
                <w:color w:val="000000"/>
                <w:sz w:val="24"/>
              </w:rPr>
              <w:t>李娜</w:t>
            </w:r>
          </w:p>
        </w:tc>
        <w:tc>
          <w:tcPr>
            <w:tcW w:w="924" w:type="dxa"/>
            <w:vAlign w:val="center"/>
          </w:tcPr>
          <w:p w:rsidR="002C1561" w:rsidRDefault="00E577AE">
            <w:pPr>
              <w:jc w:val="center"/>
            </w:pPr>
            <w:r>
              <w:rPr>
                <w:color w:val="000000"/>
                <w:sz w:val="24"/>
              </w:rPr>
              <w:t>交银周期回报灵活配置混合、交银新回报灵</w:t>
            </w:r>
            <w:r>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混合、交银瑞景定期开放</w:t>
            </w:r>
            <w:r>
              <w:rPr>
                <w:color w:val="000000"/>
                <w:sz w:val="24"/>
              </w:rPr>
              <w:lastRenderedPageBreak/>
              <w:t>灵活配置混合、交银启通灵活配置混合、交银瑞利定期开放灵活配置混合、交银瑞安定期开放灵活配置混合的基金经理</w:t>
            </w:r>
          </w:p>
        </w:tc>
        <w:tc>
          <w:tcPr>
            <w:tcW w:w="1202" w:type="dxa"/>
            <w:vAlign w:val="center"/>
          </w:tcPr>
          <w:p w:rsidR="002C1561" w:rsidRDefault="00E577AE">
            <w:pPr>
              <w:jc w:val="center"/>
            </w:pPr>
            <w:r>
              <w:rPr>
                <w:color w:val="000000"/>
                <w:sz w:val="24"/>
              </w:rPr>
              <w:lastRenderedPageBreak/>
              <w:t>2016-04-22</w:t>
            </w:r>
          </w:p>
        </w:tc>
        <w:tc>
          <w:tcPr>
            <w:tcW w:w="1300" w:type="dxa"/>
            <w:vAlign w:val="center"/>
          </w:tcPr>
          <w:p w:rsidR="002C1561" w:rsidRDefault="00E577AE">
            <w:pPr>
              <w:jc w:val="center"/>
            </w:pPr>
            <w:r>
              <w:rPr>
                <w:color w:val="000000"/>
                <w:sz w:val="24"/>
              </w:rPr>
              <w:t>-</w:t>
            </w:r>
          </w:p>
        </w:tc>
        <w:tc>
          <w:tcPr>
            <w:tcW w:w="1245" w:type="dxa"/>
            <w:vAlign w:val="center"/>
          </w:tcPr>
          <w:p w:rsidR="002C1561" w:rsidRDefault="00E577AE">
            <w:pPr>
              <w:jc w:val="center"/>
            </w:pPr>
            <w:r>
              <w:rPr>
                <w:color w:val="000000"/>
                <w:sz w:val="24"/>
              </w:rPr>
              <w:t>8</w:t>
            </w:r>
            <w:r>
              <w:rPr>
                <w:color w:val="000000"/>
                <w:sz w:val="24"/>
              </w:rPr>
              <w:t>年</w:t>
            </w:r>
          </w:p>
        </w:tc>
        <w:tc>
          <w:tcPr>
            <w:tcW w:w="3251" w:type="dxa"/>
            <w:vAlign w:val="center"/>
          </w:tcPr>
          <w:p w:rsidR="002C1561" w:rsidRDefault="00E577A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2C1561" w:rsidRDefault="00E577A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C1561" w:rsidRDefault="00E577AE">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C1561" w:rsidRDefault="00E577A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C1561" w:rsidRDefault="00E577AE">
      <w:pPr>
        <w:spacing w:before="29" w:line="288" w:lineRule="auto"/>
        <w:ind w:firstLineChars="200" w:firstLine="480"/>
        <w:rPr>
          <w:color w:val="000000"/>
          <w:sz w:val="24"/>
        </w:rPr>
      </w:pPr>
      <w:r>
        <w:rPr>
          <w:color w:val="000000"/>
          <w:sz w:val="24"/>
        </w:rPr>
        <w:t>本报告期内，经济增长数据受节假日等季节性因素影响，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w:t>
      </w:r>
      <w:r>
        <w:rPr>
          <w:color w:val="000000"/>
          <w:sz w:val="24"/>
        </w:rPr>
        <w:t>行。股票市场则在海外市场回调、风险偏好摆动和流动性边际宽松等因素带动下，出现了风格切换。同期债券收益率在一月中后旬触及历史高点后，开启了一波下行，其中经济增长态势趋缓、美联储加息靴子落地、狭义流动性边际宽松等因素成为债券市场收益率变动的主要原因。报告期内，上证综指和创业板指分别下行</w:t>
      </w:r>
      <w:r>
        <w:rPr>
          <w:color w:val="000000"/>
          <w:sz w:val="24"/>
        </w:rPr>
        <w:t>4.18%</w:t>
      </w:r>
      <w:r>
        <w:rPr>
          <w:color w:val="000000"/>
          <w:sz w:val="24"/>
        </w:rPr>
        <w:t>和上行</w:t>
      </w:r>
      <w:r>
        <w:rPr>
          <w:color w:val="000000"/>
          <w:sz w:val="24"/>
        </w:rPr>
        <w:t>8.43%</w:t>
      </w:r>
      <w:r>
        <w:rPr>
          <w:color w:val="000000"/>
          <w:sz w:val="24"/>
        </w:rPr>
        <w:t>，</w:t>
      </w:r>
      <w:r>
        <w:rPr>
          <w:color w:val="000000"/>
          <w:sz w:val="24"/>
        </w:rPr>
        <w:t>10</w:t>
      </w:r>
      <w:r>
        <w:rPr>
          <w:color w:val="000000"/>
          <w:sz w:val="24"/>
        </w:rPr>
        <w:t>年期国债收益率下行</w:t>
      </w:r>
      <w:r>
        <w:rPr>
          <w:color w:val="000000"/>
          <w:sz w:val="24"/>
        </w:rPr>
        <w:t>14BP</w:t>
      </w:r>
      <w:r>
        <w:rPr>
          <w:color w:val="000000"/>
          <w:sz w:val="24"/>
        </w:rPr>
        <w:t>至</w:t>
      </w:r>
      <w:r>
        <w:rPr>
          <w:color w:val="000000"/>
          <w:sz w:val="24"/>
        </w:rPr>
        <w:t>3.74%</w:t>
      </w:r>
      <w:r>
        <w:rPr>
          <w:color w:val="000000"/>
          <w:sz w:val="24"/>
        </w:rPr>
        <w:t>，</w:t>
      </w:r>
      <w:r>
        <w:rPr>
          <w:color w:val="000000"/>
          <w:sz w:val="24"/>
        </w:rPr>
        <w:t>10</w:t>
      </w:r>
      <w:r>
        <w:rPr>
          <w:color w:val="000000"/>
          <w:sz w:val="24"/>
        </w:rPr>
        <w:t>年期国开债收益率下行</w:t>
      </w:r>
      <w:r>
        <w:rPr>
          <w:color w:val="000000"/>
          <w:sz w:val="24"/>
        </w:rPr>
        <w:t>18BP</w:t>
      </w:r>
      <w:r>
        <w:rPr>
          <w:color w:val="000000"/>
          <w:sz w:val="24"/>
        </w:rPr>
        <w:t>到</w:t>
      </w:r>
      <w:r>
        <w:rPr>
          <w:color w:val="000000"/>
          <w:sz w:val="24"/>
        </w:rPr>
        <w:t>4.65%</w:t>
      </w:r>
      <w:r>
        <w:rPr>
          <w:color w:val="000000"/>
          <w:sz w:val="24"/>
        </w:rPr>
        <w:t>。</w:t>
      </w:r>
    </w:p>
    <w:p w:rsidR="002C1561" w:rsidRDefault="00E577AE">
      <w:pPr>
        <w:spacing w:before="29" w:line="288" w:lineRule="auto"/>
        <w:ind w:firstLineChars="200" w:firstLine="480"/>
        <w:rPr>
          <w:color w:val="000000"/>
          <w:sz w:val="24"/>
        </w:rPr>
      </w:pPr>
      <w:r>
        <w:rPr>
          <w:color w:val="000000"/>
          <w:sz w:val="24"/>
        </w:rPr>
        <w:t>策略层面，本基金重点关注短久期信用债以及同业存单的配置价值，适度加大配置力度，同时保持组合流动性。积极关注新股</w:t>
      </w:r>
      <w:r>
        <w:rPr>
          <w:color w:val="000000"/>
          <w:sz w:val="24"/>
        </w:rPr>
        <w:t>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年二季度，基本面在一季度的复杂分化或将逐步清晰，通胀在春节后的回落确定性虽高，但仍需关注原油走势和中美贸易摩擦带来的预期变化，警惕中美贸易战升级带来的风险发酵。在货币政策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的基调下，短端利率或受益于狭义流动性改善维持中低位，但长端收益率的进一步下行需要基本面和政策面的进一步支持。我</w:t>
      </w:r>
      <w:r w:rsidRPr="007F52FA">
        <w:rPr>
          <w:color w:val="000000"/>
          <w:sz w:val="24"/>
        </w:rPr>
        <w:lastRenderedPageBreak/>
        <w:t>们将密切关注资管新规的落地实施、中美贸易摩擦发展、通胀预期变化、海外货币政策变化等因素对市场的影响。股票方面，力争继续保持稳健、审慎投资，积极关注一级市场动态。债券方面，在保持组合流动性的前提下积极关注交易窗口，把握适度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日，交银优择回报灵活配置混合</w:t>
      </w:r>
      <w:r w:rsidRPr="007F52FA">
        <w:rPr>
          <w:color w:val="000000"/>
          <w:sz w:val="24"/>
        </w:rPr>
        <w:t>A</w:t>
      </w:r>
      <w:r w:rsidRPr="007F52FA">
        <w:rPr>
          <w:color w:val="000000"/>
          <w:sz w:val="24"/>
        </w:rPr>
        <w:t>份额净值为</w:t>
      </w:r>
      <w:r w:rsidRPr="007F52FA">
        <w:rPr>
          <w:color w:val="000000"/>
          <w:sz w:val="24"/>
        </w:rPr>
        <w:t>1.073</w:t>
      </w:r>
      <w:r w:rsidRPr="007F52FA">
        <w:rPr>
          <w:color w:val="000000"/>
          <w:sz w:val="24"/>
        </w:rPr>
        <w:t>元，本报告期份额净值增长率为</w:t>
      </w:r>
      <w:r w:rsidRPr="007F52FA">
        <w:rPr>
          <w:color w:val="000000"/>
          <w:sz w:val="24"/>
        </w:rPr>
        <w:t>1.29%</w:t>
      </w:r>
      <w:r w:rsidRPr="007F52FA">
        <w:rPr>
          <w:color w:val="000000"/>
          <w:sz w:val="24"/>
        </w:rPr>
        <w:t>，同期业绩比较基准增长率为</w:t>
      </w:r>
      <w:r w:rsidRPr="007F52FA">
        <w:rPr>
          <w:color w:val="000000"/>
          <w:sz w:val="24"/>
        </w:rPr>
        <w:t>-0.99%</w:t>
      </w:r>
      <w:r w:rsidRPr="007F52FA">
        <w:rPr>
          <w:color w:val="000000"/>
          <w:sz w:val="24"/>
        </w:rPr>
        <w:t>；交银优择回报灵活配置混合</w:t>
      </w:r>
      <w:r w:rsidRPr="007F52FA">
        <w:rPr>
          <w:color w:val="000000"/>
          <w:sz w:val="24"/>
        </w:rPr>
        <w:t>C</w:t>
      </w:r>
      <w:r w:rsidRPr="007F52FA">
        <w:rPr>
          <w:color w:val="000000"/>
          <w:sz w:val="24"/>
        </w:rPr>
        <w:t>份额净值为</w:t>
      </w:r>
      <w:r w:rsidRPr="007F52FA">
        <w:rPr>
          <w:color w:val="000000"/>
          <w:sz w:val="24"/>
        </w:rPr>
        <w:t>1.069</w:t>
      </w:r>
      <w:r w:rsidRPr="007F52FA">
        <w:rPr>
          <w:color w:val="000000"/>
          <w:sz w:val="24"/>
        </w:rPr>
        <w:t>元，本报告期份额净值增长率为</w:t>
      </w:r>
      <w:r w:rsidRPr="007F52FA">
        <w:rPr>
          <w:color w:val="000000"/>
          <w:sz w:val="24"/>
        </w:rPr>
        <w:t>1.30%</w:t>
      </w:r>
      <w:r w:rsidRPr="007F52FA">
        <w:rPr>
          <w:color w:val="000000"/>
          <w:sz w:val="24"/>
        </w:rPr>
        <w:t>，同期业绩比较基准增长率为</w:t>
      </w:r>
      <w:r w:rsidRPr="007F52FA">
        <w:rPr>
          <w:color w:val="000000"/>
          <w:sz w:val="24"/>
        </w:rPr>
        <w:t>-0.99%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63,352,859.70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63,352,859.70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655,069,760.60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655,069,760.60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1,359,536.55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25,539,590.99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753,821,747.84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39,748,059.70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5.34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1,470,000.00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2,466,000.00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16,545,800.00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2.22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63,352,859.70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8.51</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lastRenderedPageBreak/>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C1561">
        <w:trPr>
          <w:jc w:val="center"/>
        </w:trPr>
        <w:tc>
          <w:tcPr>
            <w:tcW w:w="850" w:type="dxa"/>
            <w:vAlign w:val="center"/>
          </w:tcPr>
          <w:p w:rsidR="002C1561" w:rsidRDefault="00E577AE">
            <w:pPr>
              <w:jc w:val="center"/>
            </w:pPr>
            <w:r>
              <w:rPr>
                <w:color w:val="000000"/>
                <w:sz w:val="24"/>
              </w:rPr>
              <w:t>1</w:t>
            </w:r>
          </w:p>
        </w:tc>
        <w:tc>
          <w:tcPr>
            <w:tcW w:w="1327" w:type="dxa"/>
            <w:vAlign w:val="center"/>
          </w:tcPr>
          <w:p w:rsidR="002C1561" w:rsidRDefault="00E577AE">
            <w:pPr>
              <w:jc w:val="center"/>
            </w:pPr>
            <w:r>
              <w:rPr>
                <w:color w:val="000000"/>
                <w:sz w:val="24"/>
              </w:rPr>
              <w:t>600887</w:t>
            </w:r>
          </w:p>
        </w:tc>
        <w:tc>
          <w:tcPr>
            <w:tcW w:w="1769" w:type="dxa"/>
            <w:vAlign w:val="center"/>
          </w:tcPr>
          <w:p w:rsidR="002C1561" w:rsidRDefault="00E577AE">
            <w:pPr>
              <w:jc w:val="center"/>
            </w:pPr>
            <w:r>
              <w:rPr>
                <w:color w:val="000000"/>
                <w:sz w:val="24"/>
              </w:rPr>
              <w:t>伊利股份</w:t>
            </w:r>
          </w:p>
        </w:tc>
        <w:tc>
          <w:tcPr>
            <w:tcW w:w="1327" w:type="dxa"/>
            <w:vAlign w:val="center"/>
          </w:tcPr>
          <w:p w:rsidR="002C1561" w:rsidRDefault="00E577AE">
            <w:pPr>
              <w:jc w:val="right"/>
            </w:pPr>
            <w:r>
              <w:rPr>
                <w:color w:val="000000"/>
                <w:sz w:val="24"/>
              </w:rPr>
              <w:t>250,000</w:t>
            </w:r>
          </w:p>
        </w:tc>
        <w:tc>
          <w:tcPr>
            <w:tcW w:w="1915" w:type="dxa"/>
            <w:vAlign w:val="center"/>
          </w:tcPr>
          <w:p w:rsidR="002C1561" w:rsidRDefault="00E577AE">
            <w:pPr>
              <w:jc w:val="right"/>
            </w:pPr>
            <w:r>
              <w:rPr>
                <w:color w:val="000000"/>
                <w:sz w:val="24"/>
              </w:rPr>
              <w:t>7,122,500.00</w:t>
            </w:r>
          </w:p>
        </w:tc>
        <w:tc>
          <w:tcPr>
            <w:tcW w:w="1680" w:type="dxa"/>
            <w:vAlign w:val="center"/>
          </w:tcPr>
          <w:p w:rsidR="002C1561" w:rsidRDefault="00E577AE">
            <w:pPr>
              <w:jc w:val="right"/>
            </w:pPr>
            <w:r>
              <w:rPr>
                <w:color w:val="000000"/>
                <w:sz w:val="24"/>
              </w:rPr>
              <w:t>0.96</w:t>
            </w:r>
          </w:p>
        </w:tc>
      </w:tr>
      <w:tr w:rsidR="002C1561">
        <w:trPr>
          <w:jc w:val="center"/>
        </w:trPr>
        <w:tc>
          <w:tcPr>
            <w:tcW w:w="850" w:type="dxa"/>
            <w:vAlign w:val="center"/>
          </w:tcPr>
          <w:p w:rsidR="002C1561" w:rsidRDefault="00E577AE">
            <w:pPr>
              <w:jc w:val="center"/>
            </w:pPr>
            <w:r>
              <w:rPr>
                <w:color w:val="000000"/>
                <w:sz w:val="24"/>
              </w:rPr>
              <w:t>2</w:t>
            </w:r>
          </w:p>
        </w:tc>
        <w:tc>
          <w:tcPr>
            <w:tcW w:w="1327" w:type="dxa"/>
            <w:vAlign w:val="center"/>
          </w:tcPr>
          <w:p w:rsidR="002C1561" w:rsidRDefault="00E577AE">
            <w:pPr>
              <w:jc w:val="center"/>
            </w:pPr>
            <w:r>
              <w:rPr>
                <w:color w:val="000000"/>
                <w:sz w:val="24"/>
              </w:rPr>
              <w:t>600276</w:t>
            </w:r>
          </w:p>
        </w:tc>
        <w:tc>
          <w:tcPr>
            <w:tcW w:w="1769" w:type="dxa"/>
            <w:vAlign w:val="center"/>
          </w:tcPr>
          <w:p w:rsidR="002C1561" w:rsidRDefault="00E577AE">
            <w:pPr>
              <w:jc w:val="center"/>
            </w:pPr>
            <w:r>
              <w:rPr>
                <w:color w:val="000000"/>
                <w:sz w:val="24"/>
              </w:rPr>
              <w:t>恒瑞医药</w:t>
            </w:r>
          </w:p>
        </w:tc>
        <w:tc>
          <w:tcPr>
            <w:tcW w:w="1327" w:type="dxa"/>
            <w:vAlign w:val="center"/>
          </w:tcPr>
          <w:p w:rsidR="002C1561" w:rsidRDefault="00E577AE">
            <w:pPr>
              <w:jc w:val="right"/>
            </w:pPr>
            <w:r>
              <w:rPr>
                <w:color w:val="000000"/>
                <w:sz w:val="24"/>
              </w:rPr>
              <w:t>80,000</w:t>
            </w:r>
          </w:p>
        </w:tc>
        <w:tc>
          <w:tcPr>
            <w:tcW w:w="1915" w:type="dxa"/>
            <w:vAlign w:val="center"/>
          </w:tcPr>
          <w:p w:rsidR="002C1561" w:rsidRDefault="00E577AE">
            <w:pPr>
              <w:jc w:val="right"/>
            </w:pPr>
            <w:r>
              <w:rPr>
                <w:color w:val="000000"/>
                <w:sz w:val="24"/>
              </w:rPr>
              <w:t>6,960,800.00</w:t>
            </w:r>
          </w:p>
        </w:tc>
        <w:tc>
          <w:tcPr>
            <w:tcW w:w="1680" w:type="dxa"/>
            <w:vAlign w:val="center"/>
          </w:tcPr>
          <w:p w:rsidR="002C1561" w:rsidRDefault="00E577AE">
            <w:pPr>
              <w:jc w:val="right"/>
            </w:pPr>
            <w:r>
              <w:rPr>
                <w:color w:val="000000"/>
                <w:sz w:val="24"/>
              </w:rPr>
              <w:t>0.93</w:t>
            </w:r>
          </w:p>
        </w:tc>
      </w:tr>
      <w:tr w:rsidR="002C1561">
        <w:trPr>
          <w:jc w:val="center"/>
        </w:trPr>
        <w:tc>
          <w:tcPr>
            <w:tcW w:w="850" w:type="dxa"/>
            <w:vAlign w:val="center"/>
          </w:tcPr>
          <w:p w:rsidR="002C1561" w:rsidRDefault="00E577AE">
            <w:pPr>
              <w:jc w:val="center"/>
            </w:pPr>
            <w:r>
              <w:rPr>
                <w:color w:val="000000"/>
                <w:sz w:val="24"/>
              </w:rPr>
              <w:t>3</w:t>
            </w:r>
          </w:p>
        </w:tc>
        <w:tc>
          <w:tcPr>
            <w:tcW w:w="1327" w:type="dxa"/>
            <w:vAlign w:val="center"/>
          </w:tcPr>
          <w:p w:rsidR="002C1561" w:rsidRDefault="00E577AE">
            <w:pPr>
              <w:jc w:val="center"/>
            </w:pPr>
            <w:r>
              <w:rPr>
                <w:color w:val="000000"/>
                <w:sz w:val="24"/>
              </w:rPr>
              <w:t>600056</w:t>
            </w:r>
          </w:p>
        </w:tc>
        <w:tc>
          <w:tcPr>
            <w:tcW w:w="1769" w:type="dxa"/>
            <w:vAlign w:val="center"/>
          </w:tcPr>
          <w:p w:rsidR="002C1561" w:rsidRDefault="00E577AE">
            <w:pPr>
              <w:jc w:val="center"/>
            </w:pPr>
            <w:r>
              <w:rPr>
                <w:color w:val="000000"/>
                <w:sz w:val="24"/>
              </w:rPr>
              <w:t>中国医药</w:t>
            </w:r>
          </w:p>
        </w:tc>
        <w:tc>
          <w:tcPr>
            <w:tcW w:w="1327" w:type="dxa"/>
            <w:vAlign w:val="center"/>
          </w:tcPr>
          <w:p w:rsidR="002C1561" w:rsidRDefault="00E577AE">
            <w:pPr>
              <w:jc w:val="right"/>
            </w:pPr>
            <w:r>
              <w:rPr>
                <w:color w:val="000000"/>
                <w:sz w:val="24"/>
              </w:rPr>
              <w:t>250,000</w:t>
            </w:r>
          </w:p>
        </w:tc>
        <w:tc>
          <w:tcPr>
            <w:tcW w:w="1915" w:type="dxa"/>
            <w:vAlign w:val="center"/>
          </w:tcPr>
          <w:p w:rsidR="002C1561" w:rsidRDefault="00E577AE">
            <w:pPr>
              <w:jc w:val="right"/>
            </w:pPr>
            <w:r>
              <w:rPr>
                <w:color w:val="000000"/>
                <w:sz w:val="24"/>
              </w:rPr>
              <w:t>5,942,500.00</w:t>
            </w:r>
          </w:p>
        </w:tc>
        <w:tc>
          <w:tcPr>
            <w:tcW w:w="1680" w:type="dxa"/>
            <w:vAlign w:val="center"/>
          </w:tcPr>
          <w:p w:rsidR="002C1561" w:rsidRDefault="00E577AE">
            <w:pPr>
              <w:jc w:val="right"/>
            </w:pPr>
            <w:r>
              <w:rPr>
                <w:color w:val="000000"/>
                <w:sz w:val="24"/>
              </w:rPr>
              <w:t>0.80</w:t>
            </w:r>
          </w:p>
        </w:tc>
      </w:tr>
      <w:tr w:rsidR="002C1561">
        <w:trPr>
          <w:jc w:val="center"/>
        </w:trPr>
        <w:tc>
          <w:tcPr>
            <w:tcW w:w="850" w:type="dxa"/>
            <w:vAlign w:val="center"/>
          </w:tcPr>
          <w:p w:rsidR="002C1561" w:rsidRDefault="00E577AE">
            <w:pPr>
              <w:jc w:val="center"/>
            </w:pPr>
            <w:r>
              <w:rPr>
                <w:color w:val="000000"/>
                <w:sz w:val="24"/>
              </w:rPr>
              <w:t>4</w:t>
            </w:r>
          </w:p>
        </w:tc>
        <w:tc>
          <w:tcPr>
            <w:tcW w:w="1327" w:type="dxa"/>
            <w:vAlign w:val="center"/>
          </w:tcPr>
          <w:p w:rsidR="002C1561" w:rsidRDefault="00E577AE">
            <w:pPr>
              <w:jc w:val="center"/>
            </w:pPr>
            <w:r>
              <w:rPr>
                <w:color w:val="000000"/>
                <w:sz w:val="24"/>
              </w:rPr>
              <w:t>601398</w:t>
            </w:r>
          </w:p>
        </w:tc>
        <w:tc>
          <w:tcPr>
            <w:tcW w:w="1769" w:type="dxa"/>
            <w:vAlign w:val="center"/>
          </w:tcPr>
          <w:p w:rsidR="002C1561" w:rsidRDefault="00E577AE">
            <w:pPr>
              <w:jc w:val="center"/>
            </w:pPr>
            <w:r>
              <w:rPr>
                <w:color w:val="000000"/>
                <w:sz w:val="24"/>
              </w:rPr>
              <w:t>工商银行</w:t>
            </w:r>
          </w:p>
        </w:tc>
        <w:tc>
          <w:tcPr>
            <w:tcW w:w="1327" w:type="dxa"/>
            <w:vAlign w:val="center"/>
          </w:tcPr>
          <w:p w:rsidR="002C1561" w:rsidRDefault="00E577AE">
            <w:pPr>
              <w:jc w:val="right"/>
            </w:pPr>
            <w:r>
              <w:rPr>
                <w:color w:val="000000"/>
                <w:sz w:val="24"/>
              </w:rPr>
              <w:t>900,000</w:t>
            </w:r>
          </w:p>
        </w:tc>
        <w:tc>
          <w:tcPr>
            <w:tcW w:w="1915" w:type="dxa"/>
            <w:vAlign w:val="center"/>
          </w:tcPr>
          <w:p w:rsidR="002C1561" w:rsidRDefault="00E577AE">
            <w:pPr>
              <w:jc w:val="right"/>
            </w:pPr>
            <w:r>
              <w:rPr>
                <w:color w:val="000000"/>
                <w:sz w:val="24"/>
              </w:rPr>
              <w:t>5,481,000.00</w:t>
            </w:r>
          </w:p>
        </w:tc>
        <w:tc>
          <w:tcPr>
            <w:tcW w:w="1680" w:type="dxa"/>
            <w:vAlign w:val="center"/>
          </w:tcPr>
          <w:p w:rsidR="002C1561" w:rsidRDefault="00E577AE">
            <w:pPr>
              <w:jc w:val="right"/>
            </w:pPr>
            <w:r>
              <w:rPr>
                <w:color w:val="000000"/>
                <w:sz w:val="24"/>
              </w:rPr>
              <w:t>0.74</w:t>
            </w:r>
          </w:p>
        </w:tc>
      </w:tr>
      <w:tr w:rsidR="002C1561">
        <w:trPr>
          <w:jc w:val="center"/>
        </w:trPr>
        <w:tc>
          <w:tcPr>
            <w:tcW w:w="850" w:type="dxa"/>
            <w:vAlign w:val="center"/>
          </w:tcPr>
          <w:p w:rsidR="002C1561" w:rsidRDefault="00E577AE">
            <w:pPr>
              <w:jc w:val="center"/>
            </w:pPr>
            <w:r>
              <w:rPr>
                <w:color w:val="000000"/>
                <w:sz w:val="24"/>
              </w:rPr>
              <w:t>5</w:t>
            </w:r>
          </w:p>
        </w:tc>
        <w:tc>
          <w:tcPr>
            <w:tcW w:w="1327" w:type="dxa"/>
            <w:vAlign w:val="center"/>
          </w:tcPr>
          <w:p w:rsidR="002C1561" w:rsidRDefault="00E577AE">
            <w:pPr>
              <w:jc w:val="center"/>
            </w:pPr>
            <w:r>
              <w:rPr>
                <w:color w:val="000000"/>
                <w:sz w:val="24"/>
              </w:rPr>
              <w:t>600519</w:t>
            </w:r>
          </w:p>
        </w:tc>
        <w:tc>
          <w:tcPr>
            <w:tcW w:w="1769" w:type="dxa"/>
            <w:vAlign w:val="center"/>
          </w:tcPr>
          <w:p w:rsidR="002C1561" w:rsidRDefault="00E577AE">
            <w:pPr>
              <w:jc w:val="center"/>
            </w:pPr>
            <w:r>
              <w:rPr>
                <w:color w:val="000000"/>
                <w:sz w:val="24"/>
              </w:rPr>
              <w:t>贵州茅台</w:t>
            </w:r>
          </w:p>
        </w:tc>
        <w:tc>
          <w:tcPr>
            <w:tcW w:w="1327" w:type="dxa"/>
            <w:vAlign w:val="center"/>
          </w:tcPr>
          <w:p w:rsidR="002C1561" w:rsidRDefault="00E577AE">
            <w:pPr>
              <w:jc w:val="right"/>
            </w:pPr>
            <w:r>
              <w:rPr>
                <w:color w:val="000000"/>
                <w:sz w:val="24"/>
              </w:rPr>
              <w:t>8,000</w:t>
            </w:r>
          </w:p>
        </w:tc>
        <w:tc>
          <w:tcPr>
            <w:tcW w:w="1915" w:type="dxa"/>
            <w:vAlign w:val="center"/>
          </w:tcPr>
          <w:p w:rsidR="002C1561" w:rsidRDefault="00E577AE">
            <w:pPr>
              <w:jc w:val="right"/>
            </w:pPr>
            <w:r>
              <w:rPr>
                <w:color w:val="000000"/>
                <w:sz w:val="24"/>
              </w:rPr>
              <w:t>5,468,960.00</w:t>
            </w:r>
          </w:p>
        </w:tc>
        <w:tc>
          <w:tcPr>
            <w:tcW w:w="1680" w:type="dxa"/>
            <w:vAlign w:val="center"/>
          </w:tcPr>
          <w:p w:rsidR="002C1561" w:rsidRDefault="00E577AE">
            <w:pPr>
              <w:jc w:val="right"/>
            </w:pPr>
            <w:r>
              <w:rPr>
                <w:color w:val="000000"/>
                <w:sz w:val="24"/>
              </w:rPr>
              <w:t>0.73</w:t>
            </w:r>
          </w:p>
        </w:tc>
      </w:tr>
      <w:tr w:rsidR="002C1561">
        <w:trPr>
          <w:jc w:val="center"/>
        </w:trPr>
        <w:tc>
          <w:tcPr>
            <w:tcW w:w="850" w:type="dxa"/>
            <w:vAlign w:val="center"/>
          </w:tcPr>
          <w:p w:rsidR="002C1561" w:rsidRDefault="00E577AE">
            <w:pPr>
              <w:jc w:val="center"/>
            </w:pPr>
            <w:r>
              <w:rPr>
                <w:color w:val="000000"/>
                <w:sz w:val="24"/>
              </w:rPr>
              <w:t>6</w:t>
            </w:r>
          </w:p>
        </w:tc>
        <w:tc>
          <w:tcPr>
            <w:tcW w:w="1327" w:type="dxa"/>
            <w:vAlign w:val="center"/>
          </w:tcPr>
          <w:p w:rsidR="002C1561" w:rsidRDefault="00E577AE">
            <w:pPr>
              <w:jc w:val="center"/>
            </w:pPr>
            <w:r>
              <w:rPr>
                <w:color w:val="000000"/>
                <w:sz w:val="24"/>
              </w:rPr>
              <w:t>601318</w:t>
            </w:r>
          </w:p>
        </w:tc>
        <w:tc>
          <w:tcPr>
            <w:tcW w:w="1769" w:type="dxa"/>
            <w:vAlign w:val="center"/>
          </w:tcPr>
          <w:p w:rsidR="002C1561" w:rsidRDefault="00E577AE">
            <w:pPr>
              <w:jc w:val="center"/>
            </w:pPr>
            <w:r>
              <w:rPr>
                <w:color w:val="000000"/>
                <w:sz w:val="24"/>
              </w:rPr>
              <w:t>中国平安</w:t>
            </w:r>
          </w:p>
        </w:tc>
        <w:tc>
          <w:tcPr>
            <w:tcW w:w="1327" w:type="dxa"/>
            <w:vAlign w:val="center"/>
          </w:tcPr>
          <w:p w:rsidR="002C1561" w:rsidRDefault="00E577AE">
            <w:pPr>
              <w:jc w:val="right"/>
            </w:pPr>
            <w:r>
              <w:rPr>
                <w:color w:val="000000"/>
                <w:sz w:val="24"/>
              </w:rPr>
              <w:t>80,000</w:t>
            </w:r>
          </w:p>
        </w:tc>
        <w:tc>
          <w:tcPr>
            <w:tcW w:w="1915" w:type="dxa"/>
            <w:vAlign w:val="center"/>
          </w:tcPr>
          <w:p w:rsidR="002C1561" w:rsidRDefault="00E577AE">
            <w:pPr>
              <w:jc w:val="right"/>
            </w:pPr>
            <w:r>
              <w:rPr>
                <w:color w:val="000000"/>
                <w:sz w:val="24"/>
              </w:rPr>
              <w:t>5,224,800.00</w:t>
            </w:r>
          </w:p>
        </w:tc>
        <w:tc>
          <w:tcPr>
            <w:tcW w:w="1680" w:type="dxa"/>
            <w:vAlign w:val="center"/>
          </w:tcPr>
          <w:p w:rsidR="002C1561" w:rsidRDefault="00E577AE">
            <w:pPr>
              <w:jc w:val="right"/>
            </w:pPr>
            <w:r>
              <w:rPr>
                <w:color w:val="000000"/>
                <w:sz w:val="24"/>
              </w:rPr>
              <w:t>0.70</w:t>
            </w:r>
          </w:p>
        </w:tc>
      </w:tr>
      <w:tr w:rsidR="002C1561">
        <w:trPr>
          <w:jc w:val="center"/>
        </w:trPr>
        <w:tc>
          <w:tcPr>
            <w:tcW w:w="850" w:type="dxa"/>
            <w:vAlign w:val="center"/>
          </w:tcPr>
          <w:p w:rsidR="002C1561" w:rsidRDefault="00E577AE">
            <w:pPr>
              <w:jc w:val="center"/>
            </w:pPr>
            <w:r>
              <w:rPr>
                <w:color w:val="000000"/>
                <w:sz w:val="24"/>
              </w:rPr>
              <w:t>7</w:t>
            </w:r>
          </w:p>
        </w:tc>
        <w:tc>
          <w:tcPr>
            <w:tcW w:w="1327" w:type="dxa"/>
            <w:vAlign w:val="center"/>
          </w:tcPr>
          <w:p w:rsidR="002C1561" w:rsidRDefault="00E577AE">
            <w:pPr>
              <w:jc w:val="center"/>
            </w:pPr>
            <w:r>
              <w:rPr>
                <w:color w:val="000000"/>
                <w:sz w:val="24"/>
              </w:rPr>
              <w:t>600062</w:t>
            </w:r>
          </w:p>
        </w:tc>
        <w:tc>
          <w:tcPr>
            <w:tcW w:w="1769" w:type="dxa"/>
            <w:vAlign w:val="center"/>
          </w:tcPr>
          <w:p w:rsidR="002C1561" w:rsidRDefault="00E577AE">
            <w:pPr>
              <w:jc w:val="center"/>
            </w:pPr>
            <w:r>
              <w:rPr>
                <w:color w:val="000000"/>
                <w:sz w:val="24"/>
              </w:rPr>
              <w:t>华润双鹤</w:t>
            </w:r>
          </w:p>
        </w:tc>
        <w:tc>
          <w:tcPr>
            <w:tcW w:w="1327" w:type="dxa"/>
            <w:vAlign w:val="center"/>
          </w:tcPr>
          <w:p w:rsidR="002C1561" w:rsidRDefault="00E577AE">
            <w:pPr>
              <w:jc w:val="right"/>
            </w:pPr>
            <w:r>
              <w:rPr>
                <w:color w:val="000000"/>
                <w:sz w:val="24"/>
              </w:rPr>
              <w:t>200,000</w:t>
            </w:r>
          </w:p>
        </w:tc>
        <w:tc>
          <w:tcPr>
            <w:tcW w:w="1915" w:type="dxa"/>
            <w:vAlign w:val="center"/>
          </w:tcPr>
          <w:p w:rsidR="002C1561" w:rsidRDefault="00E577AE">
            <w:pPr>
              <w:jc w:val="right"/>
            </w:pPr>
            <w:r>
              <w:rPr>
                <w:color w:val="000000"/>
                <w:sz w:val="24"/>
              </w:rPr>
              <w:t>4,782,000.00</w:t>
            </w:r>
          </w:p>
        </w:tc>
        <w:tc>
          <w:tcPr>
            <w:tcW w:w="1680" w:type="dxa"/>
            <w:vAlign w:val="center"/>
          </w:tcPr>
          <w:p w:rsidR="002C1561" w:rsidRDefault="00E577AE">
            <w:pPr>
              <w:jc w:val="right"/>
            </w:pPr>
            <w:r>
              <w:rPr>
                <w:color w:val="000000"/>
                <w:sz w:val="24"/>
              </w:rPr>
              <w:t>0.64</w:t>
            </w:r>
          </w:p>
        </w:tc>
      </w:tr>
      <w:tr w:rsidR="002C1561">
        <w:trPr>
          <w:jc w:val="center"/>
        </w:trPr>
        <w:tc>
          <w:tcPr>
            <w:tcW w:w="850" w:type="dxa"/>
            <w:vAlign w:val="center"/>
          </w:tcPr>
          <w:p w:rsidR="002C1561" w:rsidRDefault="00E577AE">
            <w:pPr>
              <w:jc w:val="center"/>
            </w:pPr>
            <w:r>
              <w:rPr>
                <w:color w:val="000000"/>
                <w:sz w:val="24"/>
              </w:rPr>
              <w:t>8</w:t>
            </w:r>
          </w:p>
        </w:tc>
        <w:tc>
          <w:tcPr>
            <w:tcW w:w="1327" w:type="dxa"/>
            <w:vAlign w:val="center"/>
          </w:tcPr>
          <w:p w:rsidR="002C1561" w:rsidRDefault="00E577AE">
            <w:pPr>
              <w:jc w:val="center"/>
            </w:pPr>
            <w:r>
              <w:rPr>
                <w:color w:val="000000"/>
                <w:sz w:val="24"/>
              </w:rPr>
              <w:t>601939</w:t>
            </w:r>
          </w:p>
        </w:tc>
        <w:tc>
          <w:tcPr>
            <w:tcW w:w="1769" w:type="dxa"/>
            <w:vAlign w:val="center"/>
          </w:tcPr>
          <w:p w:rsidR="002C1561" w:rsidRDefault="00E577AE">
            <w:pPr>
              <w:jc w:val="center"/>
            </w:pPr>
            <w:r>
              <w:rPr>
                <w:color w:val="000000"/>
                <w:sz w:val="24"/>
              </w:rPr>
              <w:t>建设银行</w:t>
            </w:r>
          </w:p>
        </w:tc>
        <w:tc>
          <w:tcPr>
            <w:tcW w:w="1327" w:type="dxa"/>
            <w:vAlign w:val="center"/>
          </w:tcPr>
          <w:p w:rsidR="002C1561" w:rsidRDefault="00E577AE">
            <w:pPr>
              <w:jc w:val="right"/>
            </w:pPr>
            <w:r>
              <w:rPr>
                <w:color w:val="000000"/>
                <w:sz w:val="24"/>
              </w:rPr>
              <w:t>500,000</w:t>
            </w:r>
          </w:p>
        </w:tc>
        <w:tc>
          <w:tcPr>
            <w:tcW w:w="1915" w:type="dxa"/>
            <w:vAlign w:val="center"/>
          </w:tcPr>
          <w:p w:rsidR="002C1561" w:rsidRDefault="00E577AE">
            <w:pPr>
              <w:jc w:val="right"/>
            </w:pPr>
            <w:r>
              <w:rPr>
                <w:color w:val="000000"/>
                <w:sz w:val="24"/>
              </w:rPr>
              <w:t>3,875,000.00</w:t>
            </w:r>
          </w:p>
        </w:tc>
        <w:tc>
          <w:tcPr>
            <w:tcW w:w="1680" w:type="dxa"/>
            <w:vAlign w:val="center"/>
          </w:tcPr>
          <w:p w:rsidR="002C1561" w:rsidRDefault="00E577AE">
            <w:pPr>
              <w:jc w:val="right"/>
            </w:pPr>
            <w:r>
              <w:rPr>
                <w:color w:val="000000"/>
                <w:sz w:val="24"/>
              </w:rPr>
              <w:t>0.52</w:t>
            </w:r>
          </w:p>
        </w:tc>
      </w:tr>
      <w:tr w:rsidR="002C1561">
        <w:trPr>
          <w:jc w:val="center"/>
        </w:trPr>
        <w:tc>
          <w:tcPr>
            <w:tcW w:w="850" w:type="dxa"/>
            <w:vAlign w:val="center"/>
          </w:tcPr>
          <w:p w:rsidR="002C1561" w:rsidRDefault="00E577AE">
            <w:pPr>
              <w:jc w:val="center"/>
            </w:pPr>
            <w:r>
              <w:rPr>
                <w:color w:val="000000"/>
                <w:sz w:val="24"/>
              </w:rPr>
              <w:t>9</w:t>
            </w:r>
          </w:p>
        </w:tc>
        <w:tc>
          <w:tcPr>
            <w:tcW w:w="1327" w:type="dxa"/>
            <w:vAlign w:val="center"/>
          </w:tcPr>
          <w:p w:rsidR="002C1561" w:rsidRDefault="00E577AE">
            <w:pPr>
              <w:jc w:val="center"/>
            </w:pPr>
            <w:r>
              <w:rPr>
                <w:color w:val="000000"/>
                <w:sz w:val="24"/>
              </w:rPr>
              <w:t>600029</w:t>
            </w:r>
          </w:p>
        </w:tc>
        <w:tc>
          <w:tcPr>
            <w:tcW w:w="1769" w:type="dxa"/>
            <w:vAlign w:val="center"/>
          </w:tcPr>
          <w:p w:rsidR="002C1561" w:rsidRDefault="00E577AE">
            <w:pPr>
              <w:jc w:val="center"/>
            </w:pPr>
            <w:r>
              <w:rPr>
                <w:color w:val="000000"/>
                <w:sz w:val="24"/>
              </w:rPr>
              <w:t>南方航空</w:t>
            </w:r>
          </w:p>
        </w:tc>
        <w:tc>
          <w:tcPr>
            <w:tcW w:w="1327" w:type="dxa"/>
            <w:vAlign w:val="center"/>
          </w:tcPr>
          <w:p w:rsidR="002C1561" w:rsidRDefault="00E577AE">
            <w:pPr>
              <w:jc w:val="right"/>
            </w:pPr>
            <w:r>
              <w:rPr>
                <w:color w:val="000000"/>
                <w:sz w:val="24"/>
              </w:rPr>
              <w:t>300,000</w:t>
            </w:r>
          </w:p>
        </w:tc>
        <w:tc>
          <w:tcPr>
            <w:tcW w:w="1915" w:type="dxa"/>
            <w:vAlign w:val="center"/>
          </w:tcPr>
          <w:p w:rsidR="002C1561" w:rsidRDefault="00E577AE">
            <w:pPr>
              <w:jc w:val="right"/>
            </w:pPr>
            <w:r>
              <w:rPr>
                <w:color w:val="000000"/>
                <w:sz w:val="24"/>
              </w:rPr>
              <w:t>3,123,000.00</w:t>
            </w:r>
          </w:p>
        </w:tc>
        <w:tc>
          <w:tcPr>
            <w:tcW w:w="1680" w:type="dxa"/>
            <w:vAlign w:val="center"/>
          </w:tcPr>
          <w:p w:rsidR="002C1561" w:rsidRDefault="00E577AE">
            <w:pPr>
              <w:jc w:val="right"/>
            </w:pPr>
            <w:r>
              <w:rPr>
                <w:color w:val="000000"/>
                <w:sz w:val="24"/>
              </w:rPr>
              <w:t>0.42</w:t>
            </w:r>
          </w:p>
        </w:tc>
      </w:tr>
      <w:tr w:rsidR="002C1561">
        <w:trPr>
          <w:jc w:val="center"/>
        </w:trPr>
        <w:tc>
          <w:tcPr>
            <w:tcW w:w="850" w:type="dxa"/>
            <w:vAlign w:val="center"/>
          </w:tcPr>
          <w:p w:rsidR="002C1561" w:rsidRDefault="00E577AE">
            <w:pPr>
              <w:jc w:val="center"/>
            </w:pPr>
            <w:r>
              <w:rPr>
                <w:color w:val="000000"/>
                <w:sz w:val="24"/>
              </w:rPr>
              <w:t>10</w:t>
            </w:r>
          </w:p>
        </w:tc>
        <w:tc>
          <w:tcPr>
            <w:tcW w:w="1327" w:type="dxa"/>
            <w:vAlign w:val="center"/>
          </w:tcPr>
          <w:p w:rsidR="002C1561" w:rsidRDefault="00E577AE">
            <w:pPr>
              <w:jc w:val="center"/>
            </w:pPr>
            <w:r>
              <w:rPr>
                <w:color w:val="000000"/>
                <w:sz w:val="24"/>
              </w:rPr>
              <w:t>601607</w:t>
            </w:r>
          </w:p>
        </w:tc>
        <w:tc>
          <w:tcPr>
            <w:tcW w:w="1769" w:type="dxa"/>
            <w:vAlign w:val="center"/>
          </w:tcPr>
          <w:p w:rsidR="002C1561" w:rsidRDefault="00E577AE">
            <w:pPr>
              <w:jc w:val="center"/>
            </w:pPr>
            <w:r>
              <w:rPr>
                <w:color w:val="000000"/>
                <w:sz w:val="24"/>
              </w:rPr>
              <w:t>上海医药</w:t>
            </w:r>
          </w:p>
        </w:tc>
        <w:tc>
          <w:tcPr>
            <w:tcW w:w="1327" w:type="dxa"/>
            <w:vAlign w:val="center"/>
          </w:tcPr>
          <w:p w:rsidR="002C1561" w:rsidRDefault="00E577AE">
            <w:pPr>
              <w:jc w:val="right"/>
            </w:pPr>
            <w:r>
              <w:rPr>
                <w:color w:val="000000"/>
                <w:sz w:val="24"/>
              </w:rPr>
              <w:t>100,000</w:t>
            </w:r>
          </w:p>
        </w:tc>
        <w:tc>
          <w:tcPr>
            <w:tcW w:w="1915" w:type="dxa"/>
            <w:vAlign w:val="center"/>
          </w:tcPr>
          <w:p w:rsidR="002C1561" w:rsidRDefault="00E577AE">
            <w:pPr>
              <w:jc w:val="right"/>
            </w:pPr>
            <w:r>
              <w:rPr>
                <w:color w:val="000000"/>
                <w:sz w:val="24"/>
              </w:rPr>
              <w:t>2,466,000.00</w:t>
            </w:r>
          </w:p>
        </w:tc>
        <w:tc>
          <w:tcPr>
            <w:tcW w:w="1680" w:type="dxa"/>
            <w:vAlign w:val="center"/>
          </w:tcPr>
          <w:p w:rsidR="002C1561" w:rsidRDefault="00E577AE">
            <w:pPr>
              <w:jc w:val="right"/>
            </w:pPr>
            <w:r>
              <w:rPr>
                <w:color w:val="000000"/>
                <w:sz w:val="24"/>
              </w:rPr>
              <w:t>0.33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15,556,110.60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195,413,950.00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195,413,950.00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79,477,700.00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10.68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60,534,000.00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8.13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70,293,000.00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9.44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233,795,000.00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31.40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655,069,760.60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87.99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C1561">
        <w:trPr>
          <w:jc w:val="center"/>
        </w:trPr>
        <w:tc>
          <w:tcPr>
            <w:tcW w:w="1075" w:type="dxa"/>
            <w:vAlign w:val="center"/>
          </w:tcPr>
          <w:p w:rsidR="002C1561" w:rsidRDefault="00E577AE">
            <w:pPr>
              <w:jc w:val="center"/>
            </w:pPr>
            <w:r>
              <w:rPr>
                <w:color w:val="000000"/>
                <w:sz w:val="24"/>
              </w:rPr>
              <w:t>1</w:t>
            </w:r>
          </w:p>
        </w:tc>
        <w:tc>
          <w:tcPr>
            <w:tcW w:w="1533" w:type="dxa"/>
            <w:vAlign w:val="center"/>
          </w:tcPr>
          <w:p w:rsidR="002C1561" w:rsidRDefault="00E577AE">
            <w:pPr>
              <w:jc w:val="center"/>
            </w:pPr>
            <w:r>
              <w:rPr>
                <w:color w:val="000000"/>
                <w:sz w:val="24"/>
              </w:rPr>
              <w:t>170210</w:t>
            </w:r>
          </w:p>
        </w:tc>
        <w:tc>
          <w:tcPr>
            <w:tcW w:w="1533" w:type="dxa"/>
            <w:vAlign w:val="center"/>
          </w:tcPr>
          <w:p w:rsidR="002C1561" w:rsidRDefault="00E577AE">
            <w:pPr>
              <w:jc w:val="center"/>
            </w:pPr>
            <w:r>
              <w:rPr>
                <w:color w:val="000000"/>
                <w:sz w:val="24"/>
              </w:rPr>
              <w:t>17</w:t>
            </w:r>
            <w:r>
              <w:rPr>
                <w:color w:val="000000"/>
                <w:sz w:val="24"/>
              </w:rPr>
              <w:t>国开</w:t>
            </w:r>
            <w:r>
              <w:rPr>
                <w:color w:val="000000"/>
                <w:sz w:val="24"/>
              </w:rPr>
              <w:t>10</w:t>
            </w:r>
          </w:p>
        </w:tc>
        <w:tc>
          <w:tcPr>
            <w:tcW w:w="1394" w:type="dxa"/>
            <w:vAlign w:val="center"/>
          </w:tcPr>
          <w:p w:rsidR="002C1561" w:rsidRDefault="00E577AE">
            <w:pPr>
              <w:jc w:val="right"/>
            </w:pPr>
            <w:r>
              <w:rPr>
                <w:color w:val="000000"/>
                <w:sz w:val="24"/>
              </w:rPr>
              <w:t>1,500,000</w:t>
            </w:r>
          </w:p>
        </w:tc>
        <w:tc>
          <w:tcPr>
            <w:tcW w:w="1944" w:type="dxa"/>
            <w:vAlign w:val="center"/>
          </w:tcPr>
          <w:p w:rsidR="002C1561" w:rsidRDefault="00E577AE">
            <w:pPr>
              <w:jc w:val="right"/>
            </w:pPr>
            <w:r>
              <w:rPr>
                <w:color w:val="000000"/>
                <w:sz w:val="24"/>
              </w:rPr>
              <w:t>141,975,000.00</w:t>
            </w:r>
          </w:p>
        </w:tc>
        <w:tc>
          <w:tcPr>
            <w:tcW w:w="1389" w:type="dxa"/>
            <w:vAlign w:val="center"/>
          </w:tcPr>
          <w:p w:rsidR="002C1561" w:rsidRDefault="00E577AE">
            <w:pPr>
              <w:jc w:val="right"/>
            </w:pPr>
            <w:r>
              <w:rPr>
                <w:color w:val="000000"/>
                <w:sz w:val="24"/>
              </w:rPr>
              <w:t>19.07</w:t>
            </w:r>
          </w:p>
        </w:tc>
      </w:tr>
      <w:tr w:rsidR="002C1561">
        <w:trPr>
          <w:jc w:val="center"/>
        </w:trPr>
        <w:tc>
          <w:tcPr>
            <w:tcW w:w="1075" w:type="dxa"/>
            <w:vAlign w:val="center"/>
          </w:tcPr>
          <w:p w:rsidR="002C1561" w:rsidRDefault="00E577AE">
            <w:pPr>
              <w:jc w:val="center"/>
            </w:pPr>
            <w:r>
              <w:rPr>
                <w:color w:val="000000"/>
                <w:sz w:val="24"/>
              </w:rPr>
              <w:lastRenderedPageBreak/>
              <w:t>2</w:t>
            </w:r>
          </w:p>
        </w:tc>
        <w:tc>
          <w:tcPr>
            <w:tcW w:w="1533" w:type="dxa"/>
            <w:vAlign w:val="center"/>
          </w:tcPr>
          <w:p w:rsidR="002C1561" w:rsidRDefault="00E577AE">
            <w:pPr>
              <w:jc w:val="center"/>
            </w:pPr>
            <w:r>
              <w:rPr>
                <w:color w:val="000000"/>
                <w:sz w:val="24"/>
              </w:rPr>
              <w:t>111710649</w:t>
            </w:r>
          </w:p>
        </w:tc>
        <w:tc>
          <w:tcPr>
            <w:tcW w:w="1533" w:type="dxa"/>
            <w:vAlign w:val="center"/>
          </w:tcPr>
          <w:p w:rsidR="002C1561" w:rsidRDefault="00E577AE">
            <w:pPr>
              <w:jc w:val="center"/>
            </w:pPr>
            <w:r>
              <w:rPr>
                <w:color w:val="000000"/>
                <w:sz w:val="24"/>
              </w:rPr>
              <w:t>17</w:t>
            </w:r>
            <w:r>
              <w:rPr>
                <w:color w:val="000000"/>
                <w:sz w:val="24"/>
              </w:rPr>
              <w:t>兴业银行</w:t>
            </w:r>
            <w:r>
              <w:rPr>
                <w:color w:val="000000"/>
                <w:sz w:val="24"/>
              </w:rPr>
              <w:t>CD649</w:t>
            </w:r>
          </w:p>
        </w:tc>
        <w:tc>
          <w:tcPr>
            <w:tcW w:w="1394" w:type="dxa"/>
            <w:vAlign w:val="center"/>
          </w:tcPr>
          <w:p w:rsidR="002C1561" w:rsidRDefault="00E577AE">
            <w:pPr>
              <w:jc w:val="right"/>
            </w:pPr>
            <w:r>
              <w:rPr>
                <w:color w:val="000000"/>
                <w:sz w:val="24"/>
              </w:rPr>
              <w:t>500,000</w:t>
            </w:r>
          </w:p>
        </w:tc>
        <w:tc>
          <w:tcPr>
            <w:tcW w:w="1944" w:type="dxa"/>
            <w:vAlign w:val="center"/>
          </w:tcPr>
          <w:p w:rsidR="002C1561" w:rsidRDefault="00E577AE">
            <w:pPr>
              <w:jc w:val="right"/>
            </w:pPr>
            <w:r>
              <w:rPr>
                <w:color w:val="000000"/>
                <w:sz w:val="24"/>
              </w:rPr>
              <w:t>48,860,000.00</w:t>
            </w:r>
          </w:p>
        </w:tc>
        <w:tc>
          <w:tcPr>
            <w:tcW w:w="1389" w:type="dxa"/>
            <w:vAlign w:val="center"/>
          </w:tcPr>
          <w:p w:rsidR="002C1561" w:rsidRDefault="00E577AE">
            <w:pPr>
              <w:jc w:val="right"/>
            </w:pPr>
            <w:r>
              <w:rPr>
                <w:color w:val="000000"/>
                <w:sz w:val="24"/>
              </w:rPr>
              <w:t>6.56</w:t>
            </w:r>
          </w:p>
        </w:tc>
      </w:tr>
      <w:tr w:rsidR="002C1561">
        <w:trPr>
          <w:jc w:val="center"/>
        </w:trPr>
        <w:tc>
          <w:tcPr>
            <w:tcW w:w="1075" w:type="dxa"/>
            <w:vAlign w:val="center"/>
          </w:tcPr>
          <w:p w:rsidR="002C1561" w:rsidRDefault="00E577AE">
            <w:pPr>
              <w:jc w:val="center"/>
            </w:pPr>
            <w:r>
              <w:rPr>
                <w:color w:val="000000"/>
                <w:sz w:val="24"/>
              </w:rPr>
              <w:t>3</w:t>
            </w:r>
          </w:p>
        </w:tc>
        <w:tc>
          <w:tcPr>
            <w:tcW w:w="1533" w:type="dxa"/>
            <w:vAlign w:val="center"/>
          </w:tcPr>
          <w:p w:rsidR="002C1561" w:rsidRDefault="00E577AE">
            <w:pPr>
              <w:jc w:val="center"/>
            </w:pPr>
            <w:r>
              <w:rPr>
                <w:color w:val="000000"/>
                <w:sz w:val="24"/>
              </w:rPr>
              <w:t>111714335</w:t>
            </w:r>
          </w:p>
        </w:tc>
        <w:tc>
          <w:tcPr>
            <w:tcW w:w="1533" w:type="dxa"/>
            <w:vAlign w:val="center"/>
          </w:tcPr>
          <w:p w:rsidR="002C1561" w:rsidRDefault="00E577AE">
            <w:pPr>
              <w:jc w:val="center"/>
            </w:pPr>
            <w:r>
              <w:rPr>
                <w:color w:val="000000"/>
                <w:sz w:val="24"/>
              </w:rPr>
              <w:t>17</w:t>
            </w:r>
            <w:r>
              <w:rPr>
                <w:color w:val="000000"/>
                <w:sz w:val="24"/>
              </w:rPr>
              <w:t>江苏银行</w:t>
            </w:r>
            <w:r>
              <w:rPr>
                <w:color w:val="000000"/>
                <w:sz w:val="24"/>
              </w:rPr>
              <w:t>CD335</w:t>
            </w:r>
          </w:p>
        </w:tc>
        <w:tc>
          <w:tcPr>
            <w:tcW w:w="1394" w:type="dxa"/>
            <w:vAlign w:val="center"/>
          </w:tcPr>
          <w:p w:rsidR="002C1561" w:rsidRDefault="00E577AE">
            <w:pPr>
              <w:jc w:val="right"/>
            </w:pPr>
            <w:r>
              <w:rPr>
                <w:color w:val="000000"/>
                <w:sz w:val="24"/>
              </w:rPr>
              <w:t>500,000</w:t>
            </w:r>
          </w:p>
        </w:tc>
        <w:tc>
          <w:tcPr>
            <w:tcW w:w="1944" w:type="dxa"/>
            <w:vAlign w:val="center"/>
          </w:tcPr>
          <w:p w:rsidR="002C1561" w:rsidRDefault="00E577AE">
            <w:pPr>
              <w:jc w:val="right"/>
            </w:pPr>
            <w:r>
              <w:rPr>
                <w:color w:val="000000"/>
                <w:sz w:val="24"/>
              </w:rPr>
              <w:t>48,850,000.00</w:t>
            </w:r>
          </w:p>
        </w:tc>
        <w:tc>
          <w:tcPr>
            <w:tcW w:w="1389" w:type="dxa"/>
            <w:vAlign w:val="center"/>
          </w:tcPr>
          <w:p w:rsidR="002C1561" w:rsidRDefault="00E577AE">
            <w:pPr>
              <w:jc w:val="right"/>
            </w:pPr>
            <w:r>
              <w:rPr>
                <w:color w:val="000000"/>
                <w:sz w:val="24"/>
              </w:rPr>
              <w:t>6.56</w:t>
            </w:r>
          </w:p>
        </w:tc>
      </w:tr>
      <w:tr w:rsidR="002C1561">
        <w:trPr>
          <w:jc w:val="center"/>
        </w:trPr>
        <w:tc>
          <w:tcPr>
            <w:tcW w:w="1075" w:type="dxa"/>
            <w:vAlign w:val="center"/>
          </w:tcPr>
          <w:p w:rsidR="002C1561" w:rsidRDefault="00E577AE">
            <w:pPr>
              <w:jc w:val="center"/>
            </w:pPr>
            <w:r>
              <w:rPr>
                <w:color w:val="000000"/>
                <w:sz w:val="24"/>
              </w:rPr>
              <w:t>4</w:t>
            </w:r>
          </w:p>
        </w:tc>
        <w:tc>
          <w:tcPr>
            <w:tcW w:w="1533" w:type="dxa"/>
            <w:vAlign w:val="center"/>
          </w:tcPr>
          <w:p w:rsidR="002C1561" w:rsidRDefault="00E577AE">
            <w:pPr>
              <w:jc w:val="center"/>
            </w:pPr>
            <w:r>
              <w:rPr>
                <w:color w:val="000000"/>
                <w:sz w:val="24"/>
              </w:rPr>
              <w:t>018005</w:t>
            </w:r>
          </w:p>
        </w:tc>
        <w:tc>
          <w:tcPr>
            <w:tcW w:w="1533" w:type="dxa"/>
            <w:vAlign w:val="center"/>
          </w:tcPr>
          <w:p w:rsidR="002C1561" w:rsidRDefault="00E577AE">
            <w:pPr>
              <w:jc w:val="center"/>
            </w:pPr>
            <w:r>
              <w:rPr>
                <w:color w:val="000000"/>
                <w:sz w:val="24"/>
              </w:rPr>
              <w:t>国开</w:t>
            </w:r>
            <w:r>
              <w:rPr>
                <w:color w:val="000000"/>
                <w:sz w:val="24"/>
              </w:rPr>
              <w:t>1701</w:t>
            </w:r>
          </w:p>
        </w:tc>
        <w:tc>
          <w:tcPr>
            <w:tcW w:w="1394" w:type="dxa"/>
            <w:vAlign w:val="center"/>
          </w:tcPr>
          <w:p w:rsidR="002C1561" w:rsidRDefault="00E577AE">
            <w:pPr>
              <w:jc w:val="right"/>
            </w:pPr>
            <w:r>
              <w:rPr>
                <w:color w:val="000000"/>
                <w:sz w:val="24"/>
              </w:rPr>
              <w:t>300,000</w:t>
            </w:r>
          </w:p>
        </w:tc>
        <w:tc>
          <w:tcPr>
            <w:tcW w:w="1944" w:type="dxa"/>
            <w:vAlign w:val="center"/>
          </w:tcPr>
          <w:p w:rsidR="002C1561" w:rsidRDefault="00E577AE">
            <w:pPr>
              <w:jc w:val="right"/>
            </w:pPr>
            <w:r>
              <w:rPr>
                <w:color w:val="000000"/>
                <w:sz w:val="24"/>
              </w:rPr>
              <w:t>29,946,000.00</w:t>
            </w:r>
          </w:p>
        </w:tc>
        <w:tc>
          <w:tcPr>
            <w:tcW w:w="1389" w:type="dxa"/>
            <w:vAlign w:val="center"/>
          </w:tcPr>
          <w:p w:rsidR="002C1561" w:rsidRDefault="00E577AE">
            <w:pPr>
              <w:jc w:val="right"/>
            </w:pPr>
            <w:r>
              <w:rPr>
                <w:color w:val="000000"/>
                <w:sz w:val="24"/>
              </w:rPr>
              <w:t>4.02</w:t>
            </w:r>
          </w:p>
        </w:tc>
      </w:tr>
      <w:tr w:rsidR="002C1561">
        <w:trPr>
          <w:jc w:val="center"/>
        </w:trPr>
        <w:tc>
          <w:tcPr>
            <w:tcW w:w="1075" w:type="dxa"/>
            <w:vAlign w:val="center"/>
          </w:tcPr>
          <w:p w:rsidR="002C1561" w:rsidRDefault="00E577AE">
            <w:pPr>
              <w:jc w:val="center"/>
            </w:pPr>
            <w:r>
              <w:rPr>
                <w:color w:val="000000"/>
                <w:sz w:val="24"/>
              </w:rPr>
              <w:t>5</w:t>
            </w:r>
          </w:p>
        </w:tc>
        <w:tc>
          <w:tcPr>
            <w:tcW w:w="1533" w:type="dxa"/>
            <w:vAlign w:val="center"/>
          </w:tcPr>
          <w:p w:rsidR="002C1561" w:rsidRDefault="00E577AE">
            <w:pPr>
              <w:jc w:val="center"/>
            </w:pPr>
            <w:r>
              <w:rPr>
                <w:color w:val="000000"/>
                <w:sz w:val="24"/>
              </w:rPr>
              <w:t>101654057</w:t>
            </w:r>
          </w:p>
        </w:tc>
        <w:tc>
          <w:tcPr>
            <w:tcW w:w="1533" w:type="dxa"/>
            <w:vAlign w:val="center"/>
          </w:tcPr>
          <w:p w:rsidR="002C1561" w:rsidRDefault="00E577AE">
            <w:pPr>
              <w:jc w:val="center"/>
            </w:pPr>
            <w:r>
              <w:rPr>
                <w:color w:val="000000"/>
                <w:sz w:val="24"/>
              </w:rPr>
              <w:t>16</w:t>
            </w:r>
            <w:r>
              <w:rPr>
                <w:color w:val="000000"/>
                <w:sz w:val="24"/>
              </w:rPr>
              <w:t>沪国际</w:t>
            </w:r>
            <w:r>
              <w:rPr>
                <w:color w:val="000000"/>
                <w:sz w:val="24"/>
              </w:rPr>
              <w:t>MTN001</w:t>
            </w:r>
          </w:p>
        </w:tc>
        <w:tc>
          <w:tcPr>
            <w:tcW w:w="1394" w:type="dxa"/>
            <w:vAlign w:val="center"/>
          </w:tcPr>
          <w:p w:rsidR="002C1561" w:rsidRDefault="00E577AE">
            <w:pPr>
              <w:jc w:val="right"/>
            </w:pPr>
            <w:r>
              <w:rPr>
                <w:color w:val="000000"/>
                <w:sz w:val="24"/>
              </w:rPr>
              <w:t>300,000</w:t>
            </w:r>
          </w:p>
        </w:tc>
        <w:tc>
          <w:tcPr>
            <w:tcW w:w="1944" w:type="dxa"/>
            <w:vAlign w:val="center"/>
          </w:tcPr>
          <w:p w:rsidR="002C1561" w:rsidRDefault="00E577AE">
            <w:pPr>
              <w:jc w:val="right"/>
            </w:pPr>
            <w:r>
              <w:rPr>
                <w:color w:val="000000"/>
                <w:sz w:val="24"/>
              </w:rPr>
              <w:t>29,487,000.00</w:t>
            </w:r>
          </w:p>
        </w:tc>
        <w:tc>
          <w:tcPr>
            <w:tcW w:w="1389" w:type="dxa"/>
            <w:vAlign w:val="center"/>
          </w:tcPr>
          <w:p w:rsidR="002C1561" w:rsidRDefault="00E577AE">
            <w:pPr>
              <w:jc w:val="right"/>
            </w:pPr>
            <w:r>
              <w:rPr>
                <w:color w:val="000000"/>
                <w:sz w:val="24"/>
              </w:rPr>
              <w:t>3.96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9,299.24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8,512,016.44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17,018,275.31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25,539,590.99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FB42AE"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FB42AE">
        <w:rPr>
          <w:rFonts w:eastAsiaTheme="minorEastAsia"/>
          <w:color w:val="000000" w:themeColor="text1"/>
          <w:kern w:val="0"/>
          <w:sz w:val="24"/>
          <w:szCs w:val="24"/>
        </w:rPr>
        <w:t>§6</w:t>
      </w:r>
      <w:r w:rsidRPr="00FB42AE">
        <w:rPr>
          <w:rFonts w:eastAsiaTheme="minorEastAsia" w:hint="eastAsia"/>
          <w:color w:val="000000" w:themeColor="text1"/>
          <w:kern w:val="0"/>
          <w:sz w:val="24"/>
          <w:szCs w:val="24"/>
        </w:rPr>
        <w:t xml:space="preserve">  </w:t>
      </w:r>
      <w:r w:rsidRPr="00FB42AE">
        <w:rPr>
          <w:rFonts w:eastAsiaTheme="minorEastAsia" w:hint="eastAsia"/>
          <w:color w:val="000000" w:themeColor="text1"/>
          <w:kern w:val="0"/>
          <w:sz w:val="24"/>
          <w:szCs w:val="24"/>
        </w:rPr>
        <w:t>基金中基金</w:t>
      </w:r>
    </w:p>
    <w:p w:rsidR="00C51B4E" w:rsidRPr="00FB42AE" w:rsidRDefault="00C51B4E" w:rsidP="00C51B4E">
      <w:pPr>
        <w:adjustRightInd w:val="0"/>
        <w:snapToGrid w:val="0"/>
        <w:spacing w:line="360" w:lineRule="auto"/>
        <w:rPr>
          <w:rFonts w:eastAsiaTheme="minorEastAsia"/>
          <w:b/>
          <w:color w:val="000000" w:themeColor="text1"/>
          <w:kern w:val="0"/>
          <w:sz w:val="24"/>
        </w:rPr>
      </w:pPr>
      <w:r w:rsidRPr="00FB42AE">
        <w:rPr>
          <w:rFonts w:eastAsiaTheme="minorEastAsia"/>
          <w:b/>
          <w:color w:val="000000" w:themeColor="text1"/>
          <w:kern w:val="0"/>
          <w:sz w:val="24"/>
        </w:rPr>
        <w:t>6.1</w:t>
      </w:r>
      <w:r w:rsidRPr="00FB42AE">
        <w:rPr>
          <w:rFonts w:eastAsiaTheme="minorEastAsia" w:hint="eastAsia"/>
          <w:b/>
          <w:color w:val="000000" w:themeColor="text1"/>
          <w:kern w:val="0"/>
          <w:sz w:val="24"/>
        </w:rPr>
        <w:t xml:space="preserve"> </w:t>
      </w:r>
      <w:r w:rsidRPr="00FB42AE">
        <w:rPr>
          <w:rFonts w:eastAsiaTheme="minorEastAsia" w:hint="eastAsia"/>
          <w:b/>
          <w:color w:val="000000" w:themeColor="text1"/>
          <w:kern w:val="0"/>
          <w:sz w:val="24"/>
        </w:rPr>
        <w:t>报告期末按公允价值占基金资产净值比例大小排序的前十名基金投资明细</w:t>
      </w:r>
    </w:p>
    <w:p w:rsidR="00C51B4E" w:rsidRPr="00FB42AE"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B42AE">
        <w:rPr>
          <w:rFonts w:eastAsiaTheme="minorEastAsia"/>
          <w:color w:val="000000" w:themeColor="text1"/>
          <w:sz w:val="24"/>
        </w:rPr>
        <w:t>本基金本报告期末未持有基金。</w:t>
      </w:r>
    </w:p>
    <w:p w:rsidR="00C51B4E" w:rsidRPr="00FB42AE" w:rsidRDefault="00C51B4E" w:rsidP="0028293E">
      <w:pPr>
        <w:adjustRightInd w:val="0"/>
        <w:snapToGrid w:val="0"/>
        <w:spacing w:beforeLines="50" w:before="156" w:line="360" w:lineRule="auto"/>
        <w:rPr>
          <w:rFonts w:eastAsiaTheme="minorEastAsia"/>
          <w:b/>
          <w:color w:val="000000" w:themeColor="text1"/>
          <w:kern w:val="0"/>
          <w:sz w:val="24"/>
        </w:rPr>
      </w:pPr>
      <w:r w:rsidRPr="00FB42AE">
        <w:rPr>
          <w:rFonts w:eastAsiaTheme="minorEastAsia"/>
          <w:b/>
          <w:color w:val="000000" w:themeColor="text1"/>
          <w:kern w:val="0"/>
          <w:sz w:val="24"/>
        </w:rPr>
        <w:t>6.2</w:t>
      </w:r>
      <w:r w:rsidRPr="00FB42AE">
        <w:rPr>
          <w:rFonts w:eastAsiaTheme="minorEastAsia" w:hint="eastAsia"/>
          <w:b/>
          <w:color w:val="000000" w:themeColor="text1"/>
          <w:kern w:val="0"/>
          <w:sz w:val="24"/>
        </w:rPr>
        <w:t xml:space="preserve"> </w:t>
      </w:r>
      <w:r w:rsidRPr="00FB42AE">
        <w:rPr>
          <w:rFonts w:eastAsiaTheme="minorEastAsia" w:hint="eastAsia"/>
          <w:b/>
          <w:color w:val="000000" w:themeColor="text1"/>
          <w:kern w:val="0"/>
          <w:sz w:val="24"/>
        </w:rPr>
        <w:t>当期交易及持有基金产生的费用</w:t>
      </w:r>
    </w:p>
    <w:p w:rsidR="00C51B4E" w:rsidRPr="00FB42AE"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B42AE">
        <w:rPr>
          <w:rFonts w:eastAsiaTheme="minorEastAsia"/>
          <w:color w:val="000000" w:themeColor="text1"/>
          <w:sz w:val="24"/>
        </w:rPr>
        <w:t>本基金本报告期内未交易或持有基金。</w:t>
      </w:r>
    </w:p>
    <w:p w:rsidR="00FB42AE" w:rsidRPr="000E2A08" w:rsidRDefault="00FB42AE" w:rsidP="00FB42AE">
      <w:pPr>
        <w:adjustRightInd w:val="0"/>
        <w:snapToGrid w:val="0"/>
        <w:spacing w:beforeLines="50" w:before="156" w:line="360" w:lineRule="auto"/>
        <w:rPr>
          <w:rFonts w:eastAsiaTheme="minorEastAsia"/>
          <w:b/>
          <w:color w:val="000000" w:themeColor="text1"/>
          <w:kern w:val="0"/>
          <w:sz w:val="24"/>
        </w:rPr>
      </w:pPr>
      <w:r w:rsidRPr="000E2A08">
        <w:rPr>
          <w:rFonts w:eastAsiaTheme="minorEastAsia"/>
          <w:b/>
          <w:color w:val="000000" w:themeColor="text1"/>
          <w:kern w:val="0"/>
          <w:sz w:val="24"/>
        </w:rPr>
        <w:t xml:space="preserve">6.3 </w:t>
      </w:r>
      <w:r w:rsidRPr="000E2A08">
        <w:rPr>
          <w:rFonts w:eastAsiaTheme="minorEastAsia" w:hint="eastAsia"/>
          <w:b/>
          <w:color w:val="000000" w:themeColor="text1"/>
          <w:kern w:val="0"/>
          <w:sz w:val="24"/>
        </w:rPr>
        <w:t>本报告期持有的基金发生的重大影响事件</w:t>
      </w:r>
    </w:p>
    <w:p w:rsidR="00FB42AE" w:rsidRPr="000E2A08" w:rsidRDefault="00FB42AE" w:rsidP="00FB42AE">
      <w:pPr>
        <w:autoSpaceDE w:val="0"/>
        <w:autoSpaceDN w:val="0"/>
        <w:adjustRightInd w:val="0"/>
        <w:spacing w:line="360" w:lineRule="auto"/>
        <w:ind w:firstLineChars="200" w:firstLine="480"/>
        <w:jc w:val="left"/>
        <w:rPr>
          <w:rFonts w:eastAsiaTheme="minorEastAsia"/>
          <w:color w:val="000000" w:themeColor="text1"/>
          <w:sz w:val="24"/>
        </w:rPr>
      </w:pPr>
      <w:r w:rsidRPr="000E2A08">
        <w:rPr>
          <w:rFonts w:eastAsiaTheme="minorEastAsia" w:hint="eastAsia"/>
          <w:color w:val="000000" w:themeColor="text1"/>
          <w:sz w:val="24"/>
        </w:rPr>
        <w:t>无。</w:t>
      </w:r>
    </w:p>
    <w:p w:rsidR="00FB42AE" w:rsidRPr="00FB42AE" w:rsidRDefault="00FB42AE" w:rsidP="00C51B4E">
      <w:pPr>
        <w:autoSpaceDE w:val="0"/>
        <w:autoSpaceDN w:val="0"/>
        <w:adjustRightInd w:val="0"/>
        <w:spacing w:line="360" w:lineRule="auto"/>
        <w:ind w:firstLineChars="200" w:firstLine="420"/>
        <w:jc w:val="left"/>
        <w:rPr>
          <w:rFonts w:eastAsiaTheme="minorEastAsia" w:hint="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w:t>
            </w:r>
            <w:r w:rsidRPr="007F52FA">
              <w:rPr>
                <w:rFonts w:eastAsiaTheme="minorEastAsia"/>
                <w:sz w:val="24"/>
              </w:rPr>
              <w:lastRenderedPageBreak/>
              <w:t>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lastRenderedPageBreak/>
              <w:t>交银优择回报灵活配</w:t>
            </w:r>
            <w:r w:rsidRPr="007F52FA">
              <w:rPr>
                <w:rFonts w:eastAsiaTheme="minorEastAsia"/>
                <w:sz w:val="24"/>
              </w:rPr>
              <w:lastRenderedPageBreak/>
              <w:t>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693,705,821.28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27,970.07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2,197.00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1,930.00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24,759.49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24,019.49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693,683,258.79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5,880.58</w:t>
            </w:r>
          </w:p>
        </w:tc>
      </w:tr>
    </w:tbl>
    <w:p w:rsidR="002C1561" w:rsidRDefault="00E577A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FB42AE" w:rsidRDefault="00ED0E09" w:rsidP="0028293E">
      <w:pPr>
        <w:pStyle w:val="1"/>
        <w:spacing w:beforeLines="100" w:before="312" w:afterLines="100" w:after="312" w:line="360" w:lineRule="auto"/>
        <w:jc w:val="center"/>
        <w:rPr>
          <w:rFonts w:eastAsiaTheme="minorEastAsia"/>
          <w:color w:val="000000" w:themeColor="text1"/>
          <w:kern w:val="0"/>
          <w:sz w:val="24"/>
          <w:szCs w:val="24"/>
        </w:rPr>
      </w:pPr>
      <w:r w:rsidRPr="00FB42AE">
        <w:rPr>
          <w:rFonts w:eastAsiaTheme="minorEastAsia"/>
          <w:color w:val="000000" w:themeColor="text1"/>
          <w:kern w:val="0"/>
          <w:sz w:val="24"/>
          <w:szCs w:val="24"/>
        </w:rPr>
        <w:t xml:space="preserve">§9 </w:t>
      </w:r>
      <w:r w:rsidR="00F139D5" w:rsidRPr="00FB42AE">
        <w:rPr>
          <w:rFonts w:eastAsiaTheme="minorEastAsia"/>
          <w:color w:val="000000" w:themeColor="text1"/>
          <w:kern w:val="0"/>
          <w:sz w:val="24"/>
          <w:szCs w:val="24"/>
        </w:rPr>
        <w:t xml:space="preserve"> </w:t>
      </w:r>
      <w:r w:rsidRPr="00FB42AE">
        <w:rPr>
          <w:rFonts w:eastAsiaTheme="minorEastAsia" w:hint="eastAsia"/>
          <w:color w:val="000000" w:themeColor="text1"/>
          <w:kern w:val="0"/>
          <w:sz w:val="24"/>
          <w:szCs w:val="24"/>
        </w:rPr>
        <w:t>影响投资者决策的其他重要信息</w:t>
      </w:r>
    </w:p>
    <w:p w:rsidR="00ED0E09" w:rsidRPr="00FB42AE" w:rsidRDefault="00ED0E09" w:rsidP="00ED0E09">
      <w:pPr>
        <w:autoSpaceDE w:val="0"/>
        <w:autoSpaceDN w:val="0"/>
        <w:adjustRightInd w:val="0"/>
        <w:spacing w:line="360" w:lineRule="auto"/>
        <w:jc w:val="left"/>
        <w:rPr>
          <w:rFonts w:ascii="宋体" w:hAnsi="宋体"/>
          <w:b/>
          <w:bCs/>
          <w:color w:val="000000"/>
          <w:kern w:val="0"/>
          <w:sz w:val="24"/>
        </w:rPr>
      </w:pPr>
      <w:r w:rsidRPr="00FB42AE">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C1561">
        <w:tc>
          <w:tcPr>
            <w:tcW w:w="992" w:type="dxa"/>
            <w:vMerge w:val="restart"/>
          </w:tcPr>
          <w:p w:rsidR="002C1561" w:rsidRDefault="002C1561"/>
          <w:p w:rsidR="002C1561" w:rsidRDefault="00E577AE">
            <w:r>
              <w:rPr>
                <w:rFonts w:ascii="宋体" w:hAnsi="宋体" w:hint="eastAsia"/>
                <w:bCs/>
                <w:color w:val="000000"/>
                <w:kern w:val="0"/>
                <w:szCs w:val="21"/>
              </w:rPr>
              <w:t>机构</w:t>
            </w:r>
          </w:p>
        </w:tc>
        <w:tc>
          <w:tcPr>
            <w:tcW w:w="991" w:type="dxa"/>
            <w:vAlign w:val="center"/>
          </w:tcPr>
          <w:p w:rsidR="002C1561" w:rsidRDefault="00E577AE">
            <w:pPr>
              <w:jc w:val="center"/>
            </w:pPr>
            <w:r>
              <w:rPr>
                <w:rFonts w:ascii="宋体" w:hAnsi="宋体" w:hint="eastAsia"/>
                <w:color w:val="000000"/>
                <w:kern w:val="0"/>
                <w:szCs w:val="21"/>
              </w:rPr>
              <w:t>1</w:t>
            </w:r>
          </w:p>
        </w:tc>
        <w:tc>
          <w:tcPr>
            <w:tcW w:w="1843" w:type="dxa"/>
            <w:vAlign w:val="center"/>
          </w:tcPr>
          <w:p w:rsidR="002C1561" w:rsidRDefault="00E577AE">
            <w:pPr>
              <w:jc w:val="center"/>
            </w:pPr>
            <w:r>
              <w:rPr>
                <w:rFonts w:ascii="宋体" w:hAnsi="宋体" w:hint="eastAsia"/>
                <w:color w:val="000000"/>
                <w:kern w:val="0"/>
                <w:szCs w:val="21"/>
              </w:rPr>
              <w:t>2018/1/1-2018/3/31</w:t>
            </w:r>
          </w:p>
        </w:tc>
        <w:tc>
          <w:tcPr>
            <w:tcW w:w="851" w:type="dxa"/>
            <w:vAlign w:val="center"/>
          </w:tcPr>
          <w:p w:rsidR="002C1561" w:rsidRDefault="00E577AE">
            <w:pPr>
              <w:jc w:val="center"/>
            </w:pPr>
            <w:r>
              <w:rPr>
                <w:rFonts w:ascii="宋体" w:hAnsi="宋体" w:hint="eastAsia"/>
                <w:color w:val="000000"/>
                <w:kern w:val="0"/>
                <w:szCs w:val="21"/>
              </w:rPr>
              <w:t>500,044,000.00</w:t>
            </w:r>
          </w:p>
        </w:tc>
        <w:tc>
          <w:tcPr>
            <w:tcW w:w="850" w:type="dxa"/>
            <w:vAlign w:val="center"/>
          </w:tcPr>
          <w:p w:rsidR="002C1561" w:rsidRDefault="00E577AE">
            <w:pPr>
              <w:jc w:val="center"/>
            </w:pPr>
            <w:r>
              <w:rPr>
                <w:rFonts w:ascii="宋体" w:hAnsi="宋体" w:hint="eastAsia"/>
                <w:color w:val="000000"/>
                <w:kern w:val="0"/>
                <w:szCs w:val="21"/>
              </w:rPr>
              <w:t>-</w:t>
            </w:r>
          </w:p>
        </w:tc>
        <w:tc>
          <w:tcPr>
            <w:tcW w:w="1134" w:type="dxa"/>
            <w:vAlign w:val="center"/>
          </w:tcPr>
          <w:p w:rsidR="002C1561" w:rsidRDefault="00E577AE">
            <w:pPr>
              <w:jc w:val="center"/>
            </w:pPr>
            <w:r>
              <w:rPr>
                <w:rFonts w:ascii="宋体" w:hAnsi="宋体" w:hint="eastAsia"/>
                <w:color w:val="000000"/>
                <w:kern w:val="0"/>
                <w:szCs w:val="21"/>
              </w:rPr>
              <w:t>-</w:t>
            </w:r>
          </w:p>
        </w:tc>
        <w:tc>
          <w:tcPr>
            <w:tcW w:w="1419" w:type="dxa"/>
            <w:vAlign w:val="center"/>
          </w:tcPr>
          <w:p w:rsidR="002C1561" w:rsidRDefault="00E577AE">
            <w:pPr>
              <w:jc w:val="center"/>
            </w:pPr>
            <w:r>
              <w:rPr>
                <w:rFonts w:ascii="宋体" w:hAnsi="宋体" w:hint="eastAsia"/>
                <w:color w:val="000000"/>
                <w:kern w:val="0"/>
                <w:szCs w:val="21"/>
              </w:rPr>
              <w:t>500,044,000.00</w:t>
            </w:r>
          </w:p>
        </w:tc>
        <w:tc>
          <w:tcPr>
            <w:tcW w:w="1130" w:type="dxa"/>
            <w:vAlign w:val="center"/>
          </w:tcPr>
          <w:p w:rsidR="002C1561" w:rsidRDefault="00E577AE">
            <w:pPr>
              <w:jc w:val="center"/>
            </w:pPr>
            <w:r>
              <w:rPr>
                <w:rFonts w:ascii="宋体" w:hAnsi="宋体" w:hint="eastAsia"/>
                <w:color w:val="000000"/>
                <w:kern w:val="0"/>
                <w:szCs w:val="21"/>
              </w:rPr>
              <w:t>72.08%</w:t>
            </w:r>
          </w:p>
        </w:tc>
      </w:tr>
      <w:tr w:rsidR="002C1561">
        <w:tc>
          <w:tcPr>
            <w:tcW w:w="992" w:type="dxa"/>
            <w:vMerge/>
          </w:tcPr>
          <w:p w:rsidR="002C1561" w:rsidRDefault="002C1561"/>
        </w:tc>
        <w:tc>
          <w:tcPr>
            <w:tcW w:w="991" w:type="dxa"/>
            <w:vAlign w:val="center"/>
          </w:tcPr>
          <w:p w:rsidR="002C1561" w:rsidRDefault="00E577AE">
            <w:pPr>
              <w:jc w:val="center"/>
            </w:pPr>
            <w:r>
              <w:rPr>
                <w:rFonts w:ascii="宋体" w:hAnsi="宋体" w:hint="eastAsia"/>
                <w:color w:val="000000"/>
                <w:kern w:val="0"/>
                <w:szCs w:val="21"/>
              </w:rPr>
              <w:t>2</w:t>
            </w:r>
          </w:p>
        </w:tc>
        <w:tc>
          <w:tcPr>
            <w:tcW w:w="1843" w:type="dxa"/>
            <w:vAlign w:val="center"/>
          </w:tcPr>
          <w:p w:rsidR="002C1561" w:rsidRDefault="00E577AE">
            <w:pPr>
              <w:jc w:val="center"/>
            </w:pPr>
            <w:r>
              <w:rPr>
                <w:rFonts w:ascii="宋体" w:hAnsi="宋体" w:hint="eastAsia"/>
                <w:color w:val="000000"/>
                <w:kern w:val="0"/>
                <w:szCs w:val="21"/>
              </w:rPr>
              <w:t>2018/1/1-2018/3/31</w:t>
            </w:r>
          </w:p>
        </w:tc>
        <w:tc>
          <w:tcPr>
            <w:tcW w:w="851" w:type="dxa"/>
            <w:vAlign w:val="center"/>
          </w:tcPr>
          <w:p w:rsidR="002C1561" w:rsidRDefault="00E577AE">
            <w:pPr>
              <w:jc w:val="center"/>
            </w:pPr>
            <w:r>
              <w:rPr>
                <w:rFonts w:ascii="宋体" w:hAnsi="宋体" w:hint="eastAsia"/>
                <w:color w:val="000000"/>
                <w:kern w:val="0"/>
                <w:szCs w:val="21"/>
              </w:rPr>
              <w:t>193,609,874.15</w:t>
            </w:r>
          </w:p>
        </w:tc>
        <w:tc>
          <w:tcPr>
            <w:tcW w:w="850" w:type="dxa"/>
            <w:vAlign w:val="center"/>
          </w:tcPr>
          <w:p w:rsidR="002C1561" w:rsidRDefault="00E577AE">
            <w:pPr>
              <w:jc w:val="center"/>
            </w:pPr>
            <w:r>
              <w:rPr>
                <w:rFonts w:ascii="宋体" w:hAnsi="宋体" w:hint="eastAsia"/>
                <w:color w:val="000000"/>
                <w:kern w:val="0"/>
                <w:szCs w:val="21"/>
              </w:rPr>
              <w:t>-</w:t>
            </w:r>
          </w:p>
        </w:tc>
        <w:tc>
          <w:tcPr>
            <w:tcW w:w="1134" w:type="dxa"/>
            <w:vAlign w:val="center"/>
          </w:tcPr>
          <w:p w:rsidR="002C1561" w:rsidRDefault="00E577AE">
            <w:pPr>
              <w:jc w:val="center"/>
            </w:pPr>
            <w:r>
              <w:rPr>
                <w:rFonts w:ascii="宋体" w:hAnsi="宋体" w:hint="eastAsia"/>
                <w:color w:val="000000"/>
                <w:kern w:val="0"/>
                <w:szCs w:val="21"/>
              </w:rPr>
              <w:t>-</w:t>
            </w:r>
          </w:p>
        </w:tc>
        <w:tc>
          <w:tcPr>
            <w:tcW w:w="1419" w:type="dxa"/>
            <w:vAlign w:val="center"/>
          </w:tcPr>
          <w:p w:rsidR="002C1561" w:rsidRDefault="00E577AE">
            <w:pPr>
              <w:jc w:val="center"/>
            </w:pPr>
            <w:r>
              <w:rPr>
                <w:rFonts w:ascii="宋体" w:hAnsi="宋体" w:hint="eastAsia"/>
                <w:color w:val="000000"/>
                <w:kern w:val="0"/>
                <w:szCs w:val="21"/>
              </w:rPr>
              <w:t>193,609,874.15</w:t>
            </w:r>
          </w:p>
        </w:tc>
        <w:tc>
          <w:tcPr>
            <w:tcW w:w="1130" w:type="dxa"/>
            <w:vAlign w:val="center"/>
          </w:tcPr>
          <w:p w:rsidR="002C1561" w:rsidRDefault="00E577AE">
            <w:pPr>
              <w:jc w:val="center"/>
            </w:pPr>
            <w:r>
              <w:rPr>
                <w:rFonts w:ascii="宋体" w:hAnsi="宋体" w:hint="eastAsia"/>
                <w:color w:val="000000"/>
                <w:kern w:val="0"/>
                <w:szCs w:val="21"/>
              </w:rPr>
              <w:t>27.91%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Pr="00FB42AE" w:rsidRDefault="00ED0E09" w:rsidP="00ED0E09">
      <w:pPr>
        <w:autoSpaceDE w:val="0"/>
        <w:autoSpaceDN w:val="0"/>
        <w:adjustRightInd w:val="0"/>
        <w:spacing w:line="360" w:lineRule="auto"/>
        <w:jc w:val="left"/>
        <w:rPr>
          <w:rFonts w:ascii="宋体" w:hAnsi="宋体"/>
          <w:b/>
          <w:bCs/>
          <w:color w:val="000000"/>
          <w:kern w:val="0"/>
          <w:sz w:val="24"/>
        </w:rPr>
      </w:pPr>
      <w:bookmarkStart w:id="0" w:name="_GoBack"/>
      <w:r w:rsidRPr="00FB42AE">
        <w:rPr>
          <w:rFonts w:ascii="宋体" w:hAnsi="宋体" w:hint="eastAsia"/>
          <w:b/>
          <w:bCs/>
          <w:color w:val="000000"/>
          <w:kern w:val="0"/>
          <w:sz w:val="24"/>
        </w:rPr>
        <w:t>9.2 影响投资者决策的其他重要信息</w:t>
      </w:r>
    </w:p>
    <w:p w:rsidR="002C1561" w:rsidRPr="00FB42AE" w:rsidRDefault="00E577AE">
      <w:pPr>
        <w:spacing w:line="360" w:lineRule="auto"/>
        <w:ind w:firstLineChars="200" w:firstLine="480"/>
        <w:rPr>
          <w:rFonts w:ascii="宋体" w:hAnsi="宋体"/>
          <w:color w:val="000000"/>
          <w:sz w:val="24"/>
        </w:rPr>
      </w:pPr>
      <w:r w:rsidRPr="00FB42AE">
        <w:rPr>
          <w:rFonts w:ascii="宋体" w:hAnsi="宋体" w:hint="eastAsia"/>
          <w:color w:val="000000"/>
          <w:sz w:val="24"/>
        </w:rPr>
        <w:lastRenderedPageBreak/>
        <w:t>1</w:t>
      </w:r>
      <w:r w:rsidRPr="00FB42AE">
        <w:rPr>
          <w:rFonts w:ascii="宋体" w:hAnsi="宋体" w:hint="eastAsia"/>
          <w:color w:val="000000"/>
          <w:sz w:val="24"/>
        </w:rPr>
        <w:t>、根据财政部和国家税务总局于</w:t>
      </w:r>
      <w:r w:rsidRPr="00FB42AE">
        <w:rPr>
          <w:rFonts w:ascii="宋体" w:hAnsi="宋体" w:hint="eastAsia"/>
          <w:color w:val="000000"/>
          <w:sz w:val="24"/>
        </w:rPr>
        <w:t>2016</w:t>
      </w:r>
      <w:r w:rsidRPr="00FB42AE">
        <w:rPr>
          <w:rFonts w:ascii="宋体" w:hAnsi="宋体" w:hint="eastAsia"/>
          <w:color w:val="000000"/>
          <w:sz w:val="24"/>
        </w:rPr>
        <w:t>年</w:t>
      </w:r>
      <w:r w:rsidRPr="00FB42AE">
        <w:rPr>
          <w:rFonts w:ascii="宋体" w:hAnsi="宋体" w:hint="eastAsia"/>
          <w:color w:val="000000"/>
          <w:sz w:val="24"/>
        </w:rPr>
        <w:t>12</w:t>
      </w:r>
      <w:r w:rsidRPr="00FB42AE">
        <w:rPr>
          <w:rFonts w:ascii="宋体" w:hAnsi="宋体" w:hint="eastAsia"/>
          <w:color w:val="000000"/>
          <w:sz w:val="24"/>
        </w:rPr>
        <w:t>月</w:t>
      </w:r>
      <w:r w:rsidRPr="00FB42AE">
        <w:rPr>
          <w:rFonts w:ascii="宋体" w:hAnsi="宋体" w:hint="eastAsia"/>
          <w:color w:val="000000"/>
          <w:sz w:val="24"/>
        </w:rPr>
        <w:t>21</w:t>
      </w:r>
      <w:r w:rsidRPr="00FB42AE">
        <w:rPr>
          <w:rFonts w:ascii="宋体" w:hAnsi="宋体" w:hint="eastAsia"/>
          <w:color w:val="000000"/>
          <w:sz w:val="24"/>
        </w:rPr>
        <w:t>日联合发布的《关于明确金融、房地产开发、教育辅助服务等增值税政策的通知》（财税</w:t>
      </w:r>
      <w:r w:rsidRPr="00FB42AE">
        <w:rPr>
          <w:rFonts w:ascii="宋体" w:hAnsi="宋体" w:hint="eastAsia"/>
          <w:color w:val="000000"/>
          <w:sz w:val="24"/>
        </w:rPr>
        <w:t>[2016]140</w:t>
      </w:r>
      <w:r w:rsidRPr="00FB42AE">
        <w:rPr>
          <w:rFonts w:ascii="宋体" w:hAnsi="宋体" w:hint="eastAsia"/>
          <w:color w:val="000000"/>
          <w:sz w:val="24"/>
        </w:rPr>
        <w:t>号）以及于</w:t>
      </w:r>
      <w:r w:rsidRPr="00FB42AE">
        <w:rPr>
          <w:rFonts w:ascii="宋体" w:hAnsi="宋体" w:hint="eastAsia"/>
          <w:color w:val="000000"/>
          <w:sz w:val="24"/>
        </w:rPr>
        <w:t>2017</w:t>
      </w:r>
      <w:r w:rsidRPr="00FB42AE">
        <w:rPr>
          <w:rFonts w:ascii="宋体" w:hAnsi="宋体" w:hint="eastAsia"/>
          <w:color w:val="000000"/>
          <w:sz w:val="24"/>
        </w:rPr>
        <w:t>年</w:t>
      </w:r>
      <w:r w:rsidRPr="00FB42AE">
        <w:rPr>
          <w:rFonts w:ascii="宋体" w:hAnsi="宋体" w:hint="eastAsia"/>
          <w:color w:val="000000"/>
          <w:sz w:val="24"/>
        </w:rPr>
        <w:t>6</w:t>
      </w:r>
      <w:r w:rsidRPr="00FB42AE">
        <w:rPr>
          <w:rFonts w:ascii="宋体" w:hAnsi="宋体" w:hint="eastAsia"/>
          <w:color w:val="000000"/>
          <w:sz w:val="24"/>
        </w:rPr>
        <w:t>月</w:t>
      </w:r>
      <w:r w:rsidRPr="00FB42AE">
        <w:rPr>
          <w:rFonts w:ascii="宋体" w:hAnsi="宋体" w:hint="eastAsia"/>
          <w:color w:val="000000"/>
          <w:sz w:val="24"/>
        </w:rPr>
        <w:t>30</w:t>
      </w:r>
      <w:r w:rsidRPr="00FB42AE">
        <w:rPr>
          <w:rFonts w:ascii="宋体" w:hAnsi="宋体" w:hint="eastAsia"/>
          <w:color w:val="000000"/>
          <w:sz w:val="24"/>
        </w:rPr>
        <w:t>日联合发布的《财政部、税务总局关于资管产品增值税有关问题的通知》（财税</w:t>
      </w:r>
      <w:r w:rsidRPr="00FB42AE">
        <w:rPr>
          <w:rFonts w:ascii="宋体" w:hAnsi="宋体" w:hint="eastAsia"/>
          <w:color w:val="000000"/>
          <w:sz w:val="24"/>
        </w:rPr>
        <w:t>[2017]56</w:t>
      </w:r>
      <w:r w:rsidRPr="00FB42AE">
        <w:rPr>
          <w:rFonts w:ascii="宋体" w:hAnsi="宋体" w:hint="eastAsia"/>
          <w:color w:val="000000"/>
          <w:sz w:val="24"/>
        </w:rPr>
        <w:t>号）等规定，自</w:t>
      </w:r>
      <w:r w:rsidRPr="00FB42AE">
        <w:rPr>
          <w:rFonts w:ascii="宋体" w:hAnsi="宋体" w:hint="eastAsia"/>
          <w:color w:val="000000"/>
          <w:sz w:val="24"/>
        </w:rPr>
        <w:t>2018</w:t>
      </w:r>
      <w:r w:rsidRPr="00FB42AE">
        <w:rPr>
          <w:rFonts w:ascii="宋体" w:hAnsi="宋体" w:hint="eastAsia"/>
          <w:color w:val="000000"/>
          <w:sz w:val="24"/>
        </w:rPr>
        <w:t>年</w:t>
      </w:r>
      <w:r w:rsidRPr="00FB42AE">
        <w:rPr>
          <w:rFonts w:ascii="宋体" w:hAnsi="宋体" w:hint="eastAsia"/>
          <w:color w:val="000000"/>
          <w:sz w:val="24"/>
        </w:rPr>
        <w:t>1</w:t>
      </w:r>
      <w:r w:rsidRPr="00FB42AE">
        <w:rPr>
          <w:rFonts w:ascii="宋体" w:hAnsi="宋体" w:hint="eastAsia"/>
          <w:color w:val="000000"/>
          <w:sz w:val="24"/>
        </w:rPr>
        <w:t>月</w:t>
      </w:r>
      <w:r w:rsidRPr="00FB42AE">
        <w:rPr>
          <w:rFonts w:ascii="宋体" w:hAnsi="宋体" w:hint="eastAsia"/>
          <w:color w:val="000000"/>
          <w:sz w:val="24"/>
        </w:rPr>
        <w:t>1</w:t>
      </w:r>
      <w:r w:rsidRPr="00FB42AE">
        <w:rPr>
          <w:rFonts w:ascii="宋体" w:hAnsi="宋体"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w:t>
      </w:r>
      <w:r w:rsidRPr="00FB42AE">
        <w:rPr>
          <w:rFonts w:ascii="宋体" w:hAnsi="宋体" w:hint="eastAsia"/>
          <w:color w:val="000000"/>
          <w:sz w:val="24"/>
        </w:rPr>
        <w:t>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FB42AE" w:rsidRDefault="00ED0E09" w:rsidP="00ED0E09">
      <w:pPr>
        <w:spacing w:line="360" w:lineRule="auto"/>
        <w:ind w:firstLineChars="200" w:firstLine="480"/>
        <w:rPr>
          <w:rFonts w:ascii="宋体" w:hAnsi="宋体"/>
          <w:color w:val="000000"/>
          <w:sz w:val="24"/>
        </w:rPr>
      </w:pPr>
      <w:r w:rsidRPr="00FB42AE">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bookmarkEnd w:id="0"/>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、中国证监会准予交银施罗德优择回报灵活配置混合型证券投资基金募集注册的文件；</w:t>
      </w:r>
      <w:r>
        <w:rPr>
          <w:rFonts w:eastAsiaTheme="minorEastAsia"/>
          <w:color w:val="000000"/>
          <w:sz w:val="24"/>
        </w:rPr>
        <w:t xml:space="preserve"> </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、《交银施罗德优择回报灵活配置混合型证券投资基金基金合同》；</w:t>
      </w:r>
      <w:r>
        <w:rPr>
          <w:rFonts w:eastAsiaTheme="minorEastAsia"/>
          <w:color w:val="000000"/>
          <w:sz w:val="24"/>
        </w:rPr>
        <w:t xml:space="preserve"> </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、《交银施罗德优择回报灵活配置混合型证券投资基金招募说明书》；</w:t>
      </w:r>
      <w:r>
        <w:rPr>
          <w:rFonts w:eastAsiaTheme="minorEastAsia"/>
          <w:color w:val="000000"/>
          <w:sz w:val="24"/>
        </w:rPr>
        <w:t xml:space="preserve"> </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、《交银施罗德优择回报灵活配置混合型证券投资基金托管协议》；</w:t>
      </w:r>
      <w:r>
        <w:rPr>
          <w:rFonts w:eastAsiaTheme="minorEastAsia"/>
          <w:color w:val="000000"/>
          <w:sz w:val="24"/>
        </w:rPr>
        <w:t xml:space="preserve">  </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、关于申请募集注册交银施罗德优择回报灵活配置混合型证券投资基金的法律意见书；</w:t>
      </w:r>
      <w:r>
        <w:rPr>
          <w:rFonts w:eastAsiaTheme="minorEastAsia"/>
          <w:color w:val="000000"/>
          <w:sz w:val="24"/>
        </w:rPr>
        <w:t xml:space="preserve"> </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、报告期内交银施罗德优择回报灵活配置混合型证券投资基金在指定报刊上各项公告的原稿。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2C1561" w:rsidRDefault="00E577A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7AE" w:rsidRDefault="00E577AE">
      <w:r>
        <w:separator/>
      </w:r>
    </w:p>
  </w:endnote>
  <w:endnote w:type="continuationSeparator" w:id="0">
    <w:p w:rsidR="00E577AE" w:rsidRDefault="00E5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FB42AE">
      <w:rPr>
        <w:noProof/>
        <w:kern w:val="0"/>
        <w:szCs w:val="21"/>
      </w:rPr>
      <w:t>14</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FB42AE">
      <w:rPr>
        <w:noProof/>
        <w:kern w:val="0"/>
        <w:szCs w:val="21"/>
      </w:rPr>
      <w:t>16</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7AE" w:rsidRDefault="00E577AE">
      <w:r>
        <w:separator/>
      </w:r>
    </w:p>
  </w:footnote>
  <w:footnote w:type="continuationSeparator" w:id="0">
    <w:p w:rsidR="00E577AE" w:rsidRDefault="00E57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交银施罗德优择回报灵活配置混合型证券投资基金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561"/>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577AE"/>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2AE"/>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B043-FF8D-4445-A335-960F684B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207</TotalTime>
  <Pages>16</Pages>
  <Words>1345</Words>
  <Characters>7671</Characters>
  <Application>Microsoft Office Word</Application>
  <DocSecurity>0</DocSecurity>
  <Lines>63</Lines>
  <Paragraphs>17</Paragraphs>
  <ScaleCrop>false</ScaleCrop>
  <Company>TRT. Ltd. Co.</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376</cp:revision>
  <cp:lastPrinted>2007-07-19T00:46:00Z</cp:lastPrinted>
  <dcterms:created xsi:type="dcterms:W3CDTF">2014-01-17T06:19:00Z</dcterms:created>
  <dcterms:modified xsi:type="dcterms:W3CDTF">2018-04-18T09:45:00Z</dcterms:modified>
</cp:coreProperties>
</file>