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proofErr w:type="gramStart"/>
      <w:r w:rsidRPr="005858C2">
        <w:rPr>
          <w:rFonts w:eastAsiaTheme="minorEastAsia"/>
          <w:b/>
          <w:sz w:val="36"/>
          <w:szCs w:val="36"/>
        </w:rPr>
        <w:t>交银施罗</w:t>
      </w:r>
      <w:proofErr w:type="gramEnd"/>
      <w:r w:rsidRPr="005858C2">
        <w:rPr>
          <w:rFonts w:eastAsiaTheme="minorEastAsia"/>
          <w:b/>
          <w:sz w:val="36"/>
          <w:szCs w:val="36"/>
        </w:rPr>
        <w:t>德裕</w:t>
      </w:r>
      <w:proofErr w:type="gramStart"/>
      <w:r w:rsidRPr="005858C2">
        <w:rPr>
          <w:rFonts w:eastAsiaTheme="minorEastAsia"/>
          <w:b/>
          <w:sz w:val="36"/>
          <w:szCs w:val="36"/>
        </w:rPr>
        <w:t>通纯债</w:t>
      </w:r>
      <w:proofErr w:type="gramEnd"/>
      <w:r w:rsidRPr="005858C2">
        <w:rPr>
          <w:rFonts w:eastAsiaTheme="minorEastAsia"/>
          <w:b/>
          <w:sz w:val="36"/>
          <w:szCs w:val="36"/>
        </w:rPr>
        <w:t>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0C0744" w:rsidRDefault="00EB0FEB">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0C0744" w:rsidRDefault="00EB0FEB">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0C0744" w:rsidRDefault="00EB0FEB">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0C0744" w:rsidRDefault="00EB0FEB">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0C0744" w:rsidRDefault="00EB0FEB">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w:t>
            </w:r>
            <w:proofErr w:type="gramStart"/>
            <w:r w:rsidRPr="007F52FA">
              <w:rPr>
                <w:color w:val="000000"/>
                <w:kern w:val="0"/>
                <w:sz w:val="24"/>
              </w:rPr>
              <w:t>银裕通纯债</w:t>
            </w:r>
            <w:proofErr w:type="gramEnd"/>
            <w:r w:rsidRPr="007F52FA">
              <w:rPr>
                <w:color w:val="000000"/>
                <w:kern w:val="0"/>
                <w:sz w:val="24"/>
              </w:rPr>
              <w:t>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519762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12</w:t>
            </w:r>
            <w:r w:rsidRPr="007F52FA">
              <w:rPr>
                <w:color w:val="000000"/>
                <w:kern w:val="0"/>
                <w:sz w:val="24"/>
              </w:rPr>
              <w:t>月</w:t>
            </w:r>
            <w:r w:rsidRPr="007F52FA">
              <w:rPr>
                <w:color w:val="000000"/>
                <w:kern w:val="0"/>
                <w:sz w:val="24"/>
              </w:rPr>
              <w:t>29</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1,195,039,827.32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在严格控制风险的基础上，通过积极主动的投资管理，追求基金资产的长期稳健增值，力争实现超越业绩比较基准的投资回报。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w:t>
            </w:r>
            <w:proofErr w:type="gramStart"/>
            <w:r w:rsidRPr="007F52FA">
              <w:rPr>
                <w:color w:val="000000"/>
                <w:kern w:val="0"/>
                <w:sz w:val="24"/>
              </w:rPr>
              <w:t>考量</w:t>
            </w:r>
            <w:proofErr w:type="gramEnd"/>
            <w:r w:rsidRPr="007F52FA">
              <w:rPr>
                <w:color w:val="000000"/>
                <w:kern w:val="0"/>
                <w:sz w:val="24"/>
              </w:rPr>
              <w:t>各类债券的流动性、供求关系和收益率水平等，深入挖掘价值被低估的标的券种。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w:t>
            </w:r>
            <w:proofErr w:type="gramStart"/>
            <w:r w:rsidRPr="007F52FA">
              <w:rPr>
                <w:color w:val="000000"/>
                <w:kern w:val="0"/>
                <w:sz w:val="24"/>
              </w:rPr>
              <w:t>债综合全价指数</w:t>
            </w:r>
            <w:proofErr w:type="gramEnd"/>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w:t>
            </w:r>
            <w:r w:rsidRPr="007F52FA">
              <w:rPr>
                <w:color w:val="000000"/>
                <w:kern w:val="0"/>
                <w:sz w:val="24"/>
              </w:rPr>
              <w:lastRenderedPageBreak/>
              <w:t>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proofErr w:type="gramStart"/>
            <w:r w:rsidRPr="007F52FA">
              <w:rPr>
                <w:sz w:val="24"/>
              </w:rPr>
              <w:t>交银裕通</w:t>
            </w:r>
            <w:proofErr w:type="gramEnd"/>
            <w:r w:rsidRPr="007F52FA">
              <w:rPr>
                <w:sz w:val="24"/>
              </w:rPr>
              <w:t>纯</w:t>
            </w:r>
            <w:proofErr w:type="gramStart"/>
            <w:r w:rsidRPr="007F52FA">
              <w:rPr>
                <w:sz w:val="24"/>
              </w:rPr>
              <w:t>债</w:t>
            </w:r>
            <w:proofErr w:type="gramEnd"/>
            <w:r w:rsidRPr="007F52FA">
              <w:rPr>
                <w:sz w:val="24"/>
              </w:rPr>
              <w:t>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proofErr w:type="gramStart"/>
            <w:r w:rsidRPr="007F52FA">
              <w:rPr>
                <w:sz w:val="24"/>
              </w:rPr>
              <w:t>交银裕通</w:t>
            </w:r>
            <w:proofErr w:type="gramEnd"/>
            <w:r w:rsidRPr="007F52FA">
              <w:rPr>
                <w:sz w:val="24"/>
              </w:rPr>
              <w:t>纯</w:t>
            </w:r>
            <w:proofErr w:type="gramStart"/>
            <w:r w:rsidRPr="007F52FA">
              <w:rPr>
                <w:sz w:val="24"/>
              </w:rPr>
              <w:t>债</w:t>
            </w:r>
            <w:proofErr w:type="gramEnd"/>
            <w:r w:rsidRPr="007F52FA">
              <w:rPr>
                <w:sz w:val="24"/>
              </w:rPr>
              <w:t>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519762</w:t>
            </w:r>
          </w:p>
        </w:tc>
        <w:tc>
          <w:tcPr>
            <w:tcW w:w="3048" w:type="dxa"/>
            <w:vAlign w:val="center"/>
          </w:tcPr>
          <w:p w:rsidR="00C23B30" w:rsidRPr="000E4C40" w:rsidRDefault="00C23B30" w:rsidP="00A52A9E">
            <w:pPr>
              <w:spacing w:before="29" w:line="288" w:lineRule="auto"/>
              <w:jc w:val="left"/>
              <w:rPr>
                <w:sz w:val="24"/>
              </w:rPr>
            </w:pPr>
            <w:r w:rsidRPr="000E4C40">
              <w:rPr>
                <w:sz w:val="24"/>
              </w:rPr>
              <w:t>519763</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1,194,801,625.49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238,201.83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proofErr w:type="gramStart"/>
            <w:r w:rsidRPr="007F52FA">
              <w:rPr>
                <w:sz w:val="24"/>
              </w:rPr>
              <w:t>交银裕通</w:t>
            </w:r>
            <w:proofErr w:type="gramEnd"/>
            <w:r w:rsidRPr="007F52FA">
              <w:rPr>
                <w:sz w:val="24"/>
              </w:rPr>
              <w:t>纯</w:t>
            </w:r>
            <w:proofErr w:type="gramStart"/>
            <w:r w:rsidRPr="007F52FA">
              <w:rPr>
                <w:sz w:val="24"/>
              </w:rPr>
              <w:t>债</w:t>
            </w:r>
            <w:proofErr w:type="gramEnd"/>
            <w:r w:rsidRPr="007F52FA">
              <w:rPr>
                <w:sz w:val="24"/>
              </w:rPr>
              <w:t>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proofErr w:type="gramStart"/>
            <w:r w:rsidRPr="007F52FA">
              <w:rPr>
                <w:sz w:val="24"/>
              </w:rPr>
              <w:t>交银裕通</w:t>
            </w:r>
            <w:proofErr w:type="gramEnd"/>
            <w:r w:rsidRPr="007F52FA">
              <w:rPr>
                <w:sz w:val="24"/>
              </w:rPr>
              <w:t>纯</w:t>
            </w:r>
            <w:proofErr w:type="gramStart"/>
            <w:r w:rsidRPr="007F52FA">
              <w:rPr>
                <w:sz w:val="24"/>
              </w:rPr>
              <w:t>债</w:t>
            </w:r>
            <w:proofErr w:type="gramEnd"/>
            <w:r w:rsidRPr="007F52FA">
              <w:rPr>
                <w:sz w:val="24"/>
              </w:rPr>
              <w:t>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12,611,164.92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2,574.96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22,301,738.70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4,888.05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0.0187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0.0172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1,226,033,955.82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242,099.09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1.016</w:t>
            </w:r>
          </w:p>
        </w:tc>
      </w:tr>
    </w:tbl>
    <w:p w:rsidR="000C0744" w:rsidRDefault="00EB0FE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交银裕通纯债债券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C0744">
        <w:trPr>
          <w:jc w:val="center"/>
        </w:trPr>
        <w:tc>
          <w:tcPr>
            <w:tcW w:w="1266" w:type="dxa"/>
            <w:vAlign w:val="center"/>
          </w:tcPr>
          <w:p w:rsidR="000C0744" w:rsidRDefault="00EB0FEB">
            <w:pPr>
              <w:jc w:val="left"/>
            </w:pPr>
            <w:r>
              <w:rPr>
                <w:color w:val="000000"/>
                <w:sz w:val="24"/>
              </w:rPr>
              <w:lastRenderedPageBreak/>
              <w:t>过去三个月</w:t>
            </w:r>
          </w:p>
        </w:tc>
        <w:tc>
          <w:tcPr>
            <w:tcW w:w="1267" w:type="dxa"/>
            <w:vAlign w:val="center"/>
          </w:tcPr>
          <w:p w:rsidR="000C0744" w:rsidRDefault="00EB0FEB">
            <w:pPr>
              <w:jc w:val="center"/>
            </w:pPr>
            <w:r>
              <w:rPr>
                <w:color w:val="000000"/>
                <w:sz w:val="24"/>
              </w:rPr>
              <w:t>1.89%</w:t>
            </w:r>
          </w:p>
        </w:tc>
        <w:tc>
          <w:tcPr>
            <w:tcW w:w="1267" w:type="dxa"/>
            <w:vAlign w:val="center"/>
          </w:tcPr>
          <w:p w:rsidR="000C0744" w:rsidRDefault="00EB0FEB">
            <w:pPr>
              <w:jc w:val="center"/>
            </w:pPr>
            <w:r>
              <w:rPr>
                <w:color w:val="000000"/>
                <w:sz w:val="24"/>
              </w:rPr>
              <w:t>0.05%</w:t>
            </w:r>
          </w:p>
        </w:tc>
        <w:tc>
          <w:tcPr>
            <w:tcW w:w="1267" w:type="dxa"/>
            <w:vAlign w:val="center"/>
          </w:tcPr>
          <w:p w:rsidR="000C0744" w:rsidRDefault="00EB0FEB">
            <w:pPr>
              <w:jc w:val="center"/>
            </w:pPr>
            <w:r>
              <w:rPr>
                <w:color w:val="000000"/>
                <w:sz w:val="24"/>
              </w:rPr>
              <w:t>1.14%</w:t>
            </w:r>
          </w:p>
        </w:tc>
        <w:tc>
          <w:tcPr>
            <w:tcW w:w="1267" w:type="dxa"/>
            <w:vAlign w:val="center"/>
          </w:tcPr>
          <w:p w:rsidR="000C0744" w:rsidRDefault="00EB0FEB">
            <w:pPr>
              <w:jc w:val="center"/>
            </w:pPr>
            <w:r>
              <w:rPr>
                <w:color w:val="000000"/>
                <w:sz w:val="24"/>
              </w:rPr>
              <w:t>0.04%</w:t>
            </w:r>
          </w:p>
        </w:tc>
        <w:tc>
          <w:tcPr>
            <w:tcW w:w="1267" w:type="dxa"/>
            <w:vAlign w:val="center"/>
          </w:tcPr>
          <w:p w:rsidR="000C0744" w:rsidRDefault="00EB0FEB">
            <w:pPr>
              <w:jc w:val="center"/>
            </w:pPr>
            <w:r>
              <w:rPr>
                <w:color w:val="000000"/>
                <w:sz w:val="24"/>
              </w:rPr>
              <w:t>0.75%</w:t>
            </w:r>
          </w:p>
        </w:tc>
        <w:tc>
          <w:tcPr>
            <w:tcW w:w="1267" w:type="dxa"/>
            <w:vAlign w:val="center"/>
          </w:tcPr>
          <w:p w:rsidR="000C0744" w:rsidRDefault="00EB0FEB">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交银裕通纯债债券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0C0744">
        <w:trPr>
          <w:jc w:val="center"/>
        </w:trPr>
        <w:tc>
          <w:tcPr>
            <w:tcW w:w="1266" w:type="dxa"/>
            <w:vAlign w:val="center"/>
          </w:tcPr>
          <w:p w:rsidR="000C0744" w:rsidRDefault="00EB0FEB">
            <w:pPr>
              <w:jc w:val="left"/>
            </w:pPr>
            <w:r>
              <w:rPr>
                <w:color w:val="000000"/>
                <w:sz w:val="24"/>
              </w:rPr>
              <w:t>过去三个月</w:t>
            </w:r>
          </w:p>
        </w:tc>
        <w:tc>
          <w:tcPr>
            <w:tcW w:w="1267" w:type="dxa"/>
            <w:vAlign w:val="center"/>
          </w:tcPr>
          <w:p w:rsidR="000C0744" w:rsidRDefault="00EB0FEB">
            <w:pPr>
              <w:jc w:val="center"/>
            </w:pPr>
            <w:r>
              <w:rPr>
                <w:color w:val="000000"/>
                <w:sz w:val="24"/>
              </w:rPr>
              <w:t>1.70%</w:t>
            </w:r>
          </w:p>
        </w:tc>
        <w:tc>
          <w:tcPr>
            <w:tcW w:w="1267" w:type="dxa"/>
            <w:vAlign w:val="center"/>
          </w:tcPr>
          <w:p w:rsidR="000C0744" w:rsidRDefault="00EB0FEB">
            <w:pPr>
              <w:jc w:val="center"/>
            </w:pPr>
            <w:r>
              <w:rPr>
                <w:color w:val="000000"/>
                <w:sz w:val="24"/>
              </w:rPr>
              <w:t>0.05%</w:t>
            </w:r>
          </w:p>
        </w:tc>
        <w:tc>
          <w:tcPr>
            <w:tcW w:w="1267" w:type="dxa"/>
            <w:vAlign w:val="center"/>
          </w:tcPr>
          <w:p w:rsidR="000C0744" w:rsidRDefault="00EB0FEB">
            <w:pPr>
              <w:jc w:val="center"/>
            </w:pPr>
            <w:r>
              <w:rPr>
                <w:color w:val="000000"/>
                <w:sz w:val="24"/>
              </w:rPr>
              <w:t>1.14%</w:t>
            </w:r>
          </w:p>
        </w:tc>
        <w:tc>
          <w:tcPr>
            <w:tcW w:w="1267" w:type="dxa"/>
            <w:vAlign w:val="center"/>
          </w:tcPr>
          <w:p w:rsidR="000C0744" w:rsidRDefault="00EB0FEB">
            <w:pPr>
              <w:jc w:val="center"/>
            </w:pPr>
            <w:r>
              <w:rPr>
                <w:color w:val="000000"/>
                <w:sz w:val="24"/>
              </w:rPr>
              <w:t>0.04%</w:t>
            </w:r>
          </w:p>
        </w:tc>
        <w:tc>
          <w:tcPr>
            <w:tcW w:w="1267" w:type="dxa"/>
            <w:vAlign w:val="center"/>
          </w:tcPr>
          <w:p w:rsidR="000C0744" w:rsidRDefault="00EB0FEB">
            <w:pPr>
              <w:jc w:val="center"/>
            </w:pPr>
            <w:r>
              <w:rPr>
                <w:color w:val="000000"/>
                <w:sz w:val="24"/>
              </w:rPr>
              <w:t>0.56%</w:t>
            </w:r>
          </w:p>
        </w:tc>
        <w:tc>
          <w:tcPr>
            <w:tcW w:w="1267" w:type="dxa"/>
            <w:vAlign w:val="center"/>
          </w:tcPr>
          <w:p w:rsidR="000C0744" w:rsidRDefault="00EB0FEB">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交银施罗德裕通纯债债券型证券投资基金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12</w:t>
      </w:r>
      <w:r w:rsidR="00D04410" w:rsidRPr="007F52FA">
        <w:rPr>
          <w:rFonts w:ascii="Times New Roman" w:hAnsi="Times New Roman"/>
          <w:sz w:val="24"/>
          <w:szCs w:val="24"/>
        </w:rPr>
        <w:t>月</w:t>
      </w:r>
      <w:r w:rsidR="00D04410" w:rsidRPr="007F52FA">
        <w:rPr>
          <w:rFonts w:ascii="Times New Roman" w:hAnsi="Times New Roman"/>
          <w:sz w:val="24"/>
          <w:szCs w:val="24"/>
        </w:rPr>
        <w:t>29</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交银裕通纯债债券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交银裕通纯债债券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0C0744">
        <w:trPr>
          <w:jc w:val="center"/>
        </w:trPr>
        <w:tc>
          <w:tcPr>
            <w:tcW w:w="946" w:type="dxa"/>
            <w:vAlign w:val="center"/>
          </w:tcPr>
          <w:p w:rsidR="000C0744" w:rsidRDefault="00EB0FEB">
            <w:pPr>
              <w:jc w:val="center"/>
            </w:pPr>
            <w:r>
              <w:rPr>
                <w:color w:val="000000"/>
                <w:sz w:val="24"/>
              </w:rPr>
              <w:t>黄莹洁</w:t>
            </w:r>
          </w:p>
        </w:tc>
        <w:tc>
          <w:tcPr>
            <w:tcW w:w="924" w:type="dxa"/>
            <w:vAlign w:val="center"/>
          </w:tcPr>
          <w:p w:rsidR="000C0744" w:rsidRDefault="00EB0FEB" w:rsidP="00CE25B1">
            <w:pPr>
              <w:jc w:val="center"/>
            </w:pPr>
            <w:r>
              <w:rPr>
                <w:color w:val="000000"/>
                <w:sz w:val="24"/>
              </w:rPr>
              <w:t>交银货币、交银理财</w:t>
            </w:r>
            <w:r>
              <w:rPr>
                <w:color w:val="000000"/>
                <w:sz w:val="24"/>
              </w:rPr>
              <w:t>21</w:t>
            </w:r>
            <w:r>
              <w:rPr>
                <w:color w:val="000000"/>
                <w:sz w:val="24"/>
              </w:rPr>
              <w:t>天债券、交银现金宝货币、交</w:t>
            </w:r>
            <w:proofErr w:type="gramStart"/>
            <w:r>
              <w:rPr>
                <w:color w:val="000000"/>
                <w:sz w:val="24"/>
              </w:rPr>
              <w:t>银丰</w:t>
            </w:r>
            <w:r>
              <w:rPr>
                <w:color w:val="000000"/>
                <w:sz w:val="24"/>
              </w:rPr>
              <w:lastRenderedPageBreak/>
              <w:t>享收益债券</w:t>
            </w:r>
            <w:proofErr w:type="gramEnd"/>
            <w:r>
              <w:rPr>
                <w:color w:val="000000"/>
                <w:sz w:val="24"/>
              </w:rPr>
              <w:t>、交</w:t>
            </w:r>
            <w:proofErr w:type="gramStart"/>
            <w:r>
              <w:rPr>
                <w:color w:val="000000"/>
                <w:sz w:val="24"/>
              </w:rPr>
              <w:t>银裕通纯债</w:t>
            </w:r>
            <w:proofErr w:type="gramEnd"/>
            <w:r>
              <w:rPr>
                <w:color w:val="000000"/>
                <w:sz w:val="24"/>
              </w:rPr>
              <w:t>债券、交银活期通货币、交银天利宝货币、交</w:t>
            </w:r>
            <w:proofErr w:type="gramStart"/>
            <w:r>
              <w:rPr>
                <w:color w:val="000000"/>
                <w:sz w:val="24"/>
              </w:rPr>
              <w:t>银裕隆纯债</w:t>
            </w:r>
            <w:proofErr w:type="gramEnd"/>
            <w:r>
              <w:rPr>
                <w:color w:val="000000"/>
                <w:sz w:val="24"/>
              </w:rPr>
              <w:t>债券、交银天</w:t>
            </w:r>
            <w:proofErr w:type="gramStart"/>
            <w:r>
              <w:rPr>
                <w:color w:val="000000"/>
                <w:sz w:val="24"/>
              </w:rPr>
              <w:t>鑫</w:t>
            </w:r>
            <w:proofErr w:type="gramEnd"/>
            <w:r>
              <w:rPr>
                <w:color w:val="000000"/>
                <w:sz w:val="24"/>
              </w:rPr>
              <w:t>宝货币、交银天益宝货币、交</w:t>
            </w:r>
            <w:proofErr w:type="gramStart"/>
            <w:r>
              <w:rPr>
                <w:color w:val="000000"/>
                <w:sz w:val="24"/>
              </w:rPr>
              <w:t>银境尚</w:t>
            </w:r>
            <w:proofErr w:type="gramEnd"/>
            <w:r>
              <w:rPr>
                <w:color w:val="000000"/>
                <w:sz w:val="24"/>
              </w:rPr>
              <w:t>收益债券的基金经理</w:t>
            </w:r>
          </w:p>
        </w:tc>
        <w:tc>
          <w:tcPr>
            <w:tcW w:w="1202" w:type="dxa"/>
            <w:vAlign w:val="center"/>
          </w:tcPr>
          <w:p w:rsidR="000C0744" w:rsidRDefault="00EB0FEB">
            <w:pPr>
              <w:jc w:val="center"/>
            </w:pPr>
            <w:r>
              <w:rPr>
                <w:color w:val="000000"/>
                <w:sz w:val="24"/>
              </w:rPr>
              <w:lastRenderedPageBreak/>
              <w:t>2015-12-29</w:t>
            </w:r>
          </w:p>
        </w:tc>
        <w:tc>
          <w:tcPr>
            <w:tcW w:w="1300" w:type="dxa"/>
            <w:vAlign w:val="center"/>
          </w:tcPr>
          <w:p w:rsidR="000C0744" w:rsidRDefault="00EB0FEB">
            <w:pPr>
              <w:jc w:val="center"/>
            </w:pPr>
            <w:r>
              <w:rPr>
                <w:color w:val="000000"/>
                <w:sz w:val="24"/>
              </w:rPr>
              <w:t>-</w:t>
            </w:r>
          </w:p>
        </w:tc>
        <w:tc>
          <w:tcPr>
            <w:tcW w:w="1245" w:type="dxa"/>
            <w:vAlign w:val="center"/>
          </w:tcPr>
          <w:p w:rsidR="000C0744" w:rsidRDefault="00EB0FEB">
            <w:pPr>
              <w:jc w:val="center"/>
            </w:pPr>
            <w:r>
              <w:rPr>
                <w:color w:val="000000"/>
                <w:sz w:val="24"/>
              </w:rPr>
              <w:t>10</w:t>
            </w:r>
            <w:r>
              <w:rPr>
                <w:color w:val="000000"/>
                <w:sz w:val="24"/>
              </w:rPr>
              <w:t>年</w:t>
            </w:r>
          </w:p>
        </w:tc>
        <w:tc>
          <w:tcPr>
            <w:tcW w:w="3251" w:type="dxa"/>
            <w:vAlign w:val="center"/>
          </w:tcPr>
          <w:p w:rsidR="000C0744" w:rsidRDefault="00EB0FEB">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sidR="00CE25B1" w:rsidRPr="00BF4E99">
              <w:rPr>
                <w:color w:val="000000" w:themeColor="text1"/>
                <w:sz w:val="24"/>
              </w:rPr>
              <w:t>2015</w:t>
            </w:r>
            <w:r w:rsidR="00CE25B1" w:rsidRPr="00BF4E99">
              <w:rPr>
                <w:rFonts w:hint="eastAsia"/>
                <w:color w:val="000000" w:themeColor="text1"/>
                <w:sz w:val="24"/>
              </w:rPr>
              <w:t>年</w:t>
            </w:r>
            <w:r w:rsidR="00CE25B1" w:rsidRPr="00BF4E99">
              <w:rPr>
                <w:color w:val="000000" w:themeColor="text1"/>
                <w:sz w:val="24"/>
              </w:rPr>
              <w:t>7</w:t>
            </w:r>
            <w:r w:rsidR="00CE25B1" w:rsidRPr="00BF4E99">
              <w:rPr>
                <w:rFonts w:hint="eastAsia"/>
                <w:color w:val="000000" w:themeColor="text1"/>
                <w:sz w:val="24"/>
              </w:rPr>
              <w:t>月</w:t>
            </w:r>
            <w:r w:rsidR="00CE25B1" w:rsidRPr="00BF4E99">
              <w:rPr>
                <w:color w:val="000000" w:themeColor="text1"/>
                <w:sz w:val="24"/>
              </w:rPr>
              <w:t>25</w:t>
            </w:r>
            <w:r w:rsidR="00CE25B1" w:rsidRPr="00BF4E99">
              <w:rPr>
                <w:rFonts w:hint="eastAsia"/>
                <w:color w:val="000000" w:themeColor="text1"/>
                <w:sz w:val="24"/>
              </w:rPr>
              <w:t>日至</w:t>
            </w:r>
            <w:r w:rsidR="00CE25B1" w:rsidRPr="00BF4E99">
              <w:rPr>
                <w:color w:val="000000" w:themeColor="text1"/>
                <w:sz w:val="24"/>
              </w:rPr>
              <w:t>2018</w:t>
            </w:r>
            <w:r w:rsidR="00CE25B1" w:rsidRPr="00BF4E99">
              <w:rPr>
                <w:rFonts w:hint="eastAsia"/>
                <w:color w:val="000000" w:themeColor="text1"/>
                <w:sz w:val="24"/>
              </w:rPr>
              <w:t>年</w:t>
            </w:r>
            <w:r w:rsidR="00CE25B1" w:rsidRPr="00BF4E99">
              <w:rPr>
                <w:color w:val="000000" w:themeColor="text1"/>
                <w:sz w:val="24"/>
              </w:rPr>
              <w:t>3</w:t>
            </w:r>
            <w:bookmarkStart w:id="0" w:name="_GoBack"/>
            <w:bookmarkEnd w:id="0"/>
            <w:r w:rsidR="00CE25B1" w:rsidRPr="00BF4E99">
              <w:rPr>
                <w:rFonts w:hint="eastAsia"/>
                <w:color w:val="000000" w:themeColor="text1"/>
                <w:sz w:val="24"/>
              </w:rPr>
              <w:t>月</w:t>
            </w:r>
            <w:r w:rsidR="00CE25B1" w:rsidRPr="00BF4E99">
              <w:rPr>
                <w:color w:val="000000" w:themeColor="text1"/>
                <w:sz w:val="24"/>
              </w:rPr>
              <w:t>19</w:t>
            </w:r>
            <w:r w:rsidR="00CE25B1" w:rsidRPr="00BF4E99">
              <w:rPr>
                <w:rFonts w:hint="eastAsia"/>
                <w:color w:val="000000" w:themeColor="text1"/>
                <w:sz w:val="24"/>
              </w:rPr>
              <w:t>日担任交银施罗德丰泽收益债券型证券投资基金的基金经理。</w:t>
            </w:r>
          </w:p>
        </w:tc>
      </w:tr>
      <w:tr w:rsidR="000C0744">
        <w:trPr>
          <w:jc w:val="center"/>
        </w:trPr>
        <w:tc>
          <w:tcPr>
            <w:tcW w:w="946" w:type="dxa"/>
            <w:vAlign w:val="center"/>
          </w:tcPr>
          <w:p w:rsidR="000C0744" w:rsidRDefault="00EB0FEB">
            <w:pPr>
              <w:jc w:val="center"/>
            </w:pPr>
            <w:r>
              <w:rPr>
                <w:color w:val="000000"/>
                <w:sz w:val="24"/>
              </w:rPr>
              <w:t>唐赟</w:t>
            </w:r>
          </w:p>
        </w:tc>
        <w:tc>
          <w:tcPr>
            <w:tcW w:w="924" w:type="dxa"/>
            <w:vAlign w:val="center"/>
          </w:tcPr>
          <w:p w:rsidR="000C0744" w:rsidRDefault="00EB0FEB">
            <w:pPr>
              <w:jc w:val="center"/>
            </w:pPr>
            <w:r>
              <w:rPr>
                <w:color w:val="000000"/>
                <w:sz w:val="24"/>
              </w:rPr>
              <w:t>交银信用添利债券</w:t>
            </w:r>
            <w:r>
              <w:rPr>
                <w:color w:val="000000"/>
                <w:sz w:val="24"/>
              </w:rPr>
              <w:t>(LOF)</w:t>
            </w:r>
            <w:r>
              <w:rPr>
                <w:color w:val="000000"/>
                <w:sz w:val="24"/>
              </w:rPr>
              <w:t>、交银双利债券、交银双轮动债券、交</w:t>
            </w:r>
            <w:r>
              <w:rPr>
                <w:color w:val="000000"/>
                <w:sz w:val="24"/>
              </w:rPr>
              <w:lastRenderedPageBreak/>
              <w:t>银荣和保本混合、交银裕通纯债债券的基金经理</w:t>
            </w:r>
          </w:p>
        </w:tc>
        <w:tc>
          <w:tcPr>
            <w:tcW w:w="1202" w:type="dxa"/>
            <w:vAlign w:val="center"/>
          </w:tcPr>
          <w:p w:rsidR="000C0744" w:rsidRDefault="00EB0FEB">
            <w:pPr>
              <w:jc w:val="center"/>
            </w:pPr>
            <w:r>
              <w:rPr>
                <w:color w:val="000000"/>
                <w:sz w:val="24"/>
              </w:rPr>
              <w:lastRenderedPageBreak/>
              <w:t>2017-03-31</w:t>
            </w:r>
          </w:p>
        </w:tc>
        <w:tc>
          <w:tcPr>
            <w:tcW w:w="1300" w:type="dxa"/>
            <w:vAlign w:val="center"/>
          </w:tcPr>
          <w:p w:rsidR="000C0744" w:rsidRDefault="00EB0FEB">
            <w:pPr>
              <w:jc w:val="center"/>
            </w:pPr>
            <w:r>
              <w:rPr>
                <w:color w:val="000000"/>
                <w:sz w:val="24"/>
              </w:rPr>
              <w:t>-</w:t>
            </w:r>
          </w:p>
        </w:tc>
        <w:tc>
          <w:tcPr>
            <w:tcW w:w="1245" w:type="dxa"/>
            <w:vAlign w:val="center"/>
          </w:tcPr>
          <w:p w:rsidR="000C0744" w:rsidRDefault="00EB0FEB">
            <w:pPr>
              <w:jc w:val="center"/>
            </w:pPr>
            <w:r>
              <w:rPr>
                <w:color w:val="000000"/>
                <w:sz w:val="24"/>
              </w:rPr>
              <w:t>6</w:t>
            </w:r>
            <w:r>
              <w:rPr>
                <w:color w:val="000000"/>
                <w:sz w:val="24"/>
              </w:rPr>
              <w:t>年</w:t>
            </w:r>
          </w:p>
        </w:tc>
        <w:tc>
          <w:tcPr>
            <w:tcW w:w="3251" w:type="dxa"/>
            <w:vAlign w:val="center"/>
          </w:tcPr>
          <w:p w:rsidR="000C0744" w:rsidRDefault="00EB0FEB">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0C0744" w:rsidRDefault="00EB0FE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C0744" w:rsidRDefault="00EB0FE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C0744" w:rsidRDefault="00EB0FE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w:t>
      </w:r>
      <w:r w:rsidRPr="007F52FA">
        <w:rPr>
          <w:color w:val="000000"/>
          <w:sz w:val="24"/>
        </w:rPr>
        <w:lastRenderedPageBreak/>
        <w:t>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0C0744" w:rsidRDefault="00EB0FEB">
      <w:pPr>
        <w:spacing w:before="29" w:line="288" w:lineRule="auto"/>
        <w:ind w:firstLineChars="200" w:firstLine="480"/>
        <w:rPr>
          <w:color w:val="000000"/>
          <w:sz w:val="24"/>
        </w:rPr>
      </w:pPr>
      <w:r>
        <w:rPr>
          <w:color w:val="000000"/>
          <w:sz w:val="24"/>
        </w:rPr>
        <w:t>今年以来，多方面因素共同推动了债券收益率明显下行。经济增长方面，春节之后复工弱于往年，大宗商品库存高企，大宗商品价格回落，经济增长预期出现分歧。物价虽然在二月由于春节错位因素抬升，但猪肉价格大幅下挫，生产资料价格下行明显，整体通胀环境不构成担忧。资金面方面，年初以来流动性超预期宽松，货币政策没有边际上收紧，三月份美联储加息，中国央行跟随上调公开市场</w:t>
      </w:r>
      <w:r>
        <w:rPr>
          <w:color w:val="000000"/>
          <w:sz w:val="24"/>
        </w:rPr>
        <w:t>5BP</w:t>
      </w:r>
      <w:r>
        <w:rPr>
          <w:color w:val="000000"/>
          <w:sz w:val="24"/>
        </w:rPr>
        <w:t>，上调幅度符合市场预期。今年年初以来随着基本面和资金面预期的修复，债市收益率明显下行。</w:t>
      </w:r>
    </w:p>
    <w:p w:rsidR="000C0744" w:rsidRDefault="00EB0FEB">
      <w:pPr>
        <w:spacing w:before="29" w:line="288" w:lineRule="auto"/>
        <w:ind w:firstLineChars="200" w:firstLine="480"/>
        <w:rPr>
          <w:color w:val="000000"/>
          <w:sz w:val="24"/>
        </w:rPr>
      </w:pPr>
      <w:r>
        <w:rPr>
          <w:color w:val="000000"/>
          <w:sz w:val="24"/>
        </w:rPr>
        <w:t>报告期内，基于对债券市场偏谨慎看法的修正，本基金及时进行了组合调仓操作，从较短的债券久期转换成中性债券久期，把握了收益率下行带来的机会。</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我们判断债市可能在波折中缓慢下行。随着金融去杠杆的推进，去杠杆任务更加侧重于实体层面，我们认为后期债市关注焦点将回归经济基本面。而经济基本面方面，我们关注随着实体去杠杆和表外融资压缩，更多的融资转向表内，而表内信贷额度有限制，整体融资结构将会呈现出</w:t>
      </w:r>
      <w:r w:rsidRPr="007F52FA">
        <w:rPr>
          <w:color w:val="000000"/>
          <w:sz w:val="24"/>
        </w:rPr>
        <w:t>“</w:t>
      </w:r>
      <w:r w:rsidRPr="007F52FA">
        <w:rPr>
          <w:color w:val="000000"/>
          <w:sz w:val="24"/>
        </w:rPr>
        <w:t>宽货币</w:t>
      </w:r>
      <w:r w:rsidRPr="007F52FA">
        <w:rPr>
          <w:color w:val="000000"/>
          <w:sz w:val="24"/>
        </w:rPr>
        <w:t>”+“</w:t>
      </w:r>
      <w:r w:rsidRPr="007F52FA">
        <w:rPr>
          <w:color w:val="000000"/>
          <w:sz w:val="24"/>
        </w:rPr>
        <w:t>紧信用</w:t>
      </w:r>
      <w:r w:rsidRPr="007F52FA">
        <w:rPr>
          <w:color w:val="000000"/>
          <w:sz w:val="24"/>
        </w:rPr>
        <w:t>”</w:t>
      </w:r>
      <w:r w:rsidRPr="007F52FA">
        <w:rPr>
          <w:color w:val="000000"/>
          <w:sz w:val="24"/>
        </w:rPr>
        <w:t>的组合，对债市形成支撑。同时，我们也关注到，随着人民币汇率的升值和贸易战局势的推进，</w:t>
      </w:r>
      <w:r w:rsidRPr="007F52FA">
        <w:rPr>
          <w:color w:val="000000"/>
          <w:sz w:val="24"/>
        </w:rPr>
        <w:t>2017</w:t>
      </w:r>
      <w:r w:rsidRPr="007F52FA">
        <w:rPr>
          <w:color w:val="000000"/>
          <w:sz w:val="24"/>
        </w:rPr>
        <w:t>年拉动经济增长的重要推动力出口将明显弱化。通胀方面，虽然今年</w:t>
      </w:r>
      <w:r w:rsidRPr="007F52FA">
        <w:rPr>
          <w:color w:val="000000"/>
          <w:sz w:val="24"/>
        </w:rPr>
        <w:t>CPI</w:t>
      </w:r>
      <w:r w:rsidRPr="007F52FA">
        <w:rPr>
          <w:color w:val="000000"/>
          <w:sz w:val="24"/>
        </w:rPr>
        <w:t>由于基数较低，整体的中枢较</w:t>
      </w:r>
      <w:r w:rsidRPr="007F52FA">
        <w:rPr>
          <w:color w:val="000000"/>
          <w:sz w:val="24"/>
        </w:rPr>
        <w:t>2017</w:t>
      </w:r>
      <w:r w:rsidRPr="007F52FA">
        <w:rPr>
          <w:color w:val="000000"/>
          <w:sz w:val="24"/>
        </w:rPr>
        <w:t>年有所提高，但</w:t>
      </w:r>
      <w:r w:rsidRPr="007F52FA">
        <w:rPr>
          <w:color w:val="000000"/>
          <w:sz w:val="24"/>
        </w:rPr>
        <w:t>PPI</w:t>
      </w:r>
      <w:r w:rsidRPr="007F52FA">
        <w:rPr>
          <w:color w:val="000000"/>
          <w:sz w:val="24"/>
        </w:rPr>
        <w:t>随着商品价格的回落，同时受到高基数影响，将明显回落，综合考虑物价因素将会比较平稳。债券收益率将在波折中缓慢下行，我们将适当提高组合久期。同时，我们认为低等级信用债利差未能充分反应未来的信用风险，我们将一如既往地规避中低评级信用债，以中高等级的信用债为底仓，择机进行利率债的波段操作，以期增强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日，交银裕通纯债</w:t>
      </w:r>
      <w:r w:rsidRPr="007F52FA">
        <w:rPr>
          <w:color w:val="000000"/>
          <w:sz w:val="24"/>
        </w:rPr>
        <w:t>A</w:t>
      </w:r>
      <w:r w:rsidRPr="007F52FA">
        <w:rPr>
          <w:color w:val="000000"/>
          <w:sz w:val="24"/>
        </w:rPr>
        <w:t>份额净值为</w:t>
      </w:r>
      <w:r w:rsidRPr="007F52FA">
        <w:rPr>
          <w:color w:val="000000"/>
          <w:sz w:val="24"/>
        </w:rPr>
        <w:t>1.026</w:t>
      </w:r>
      <w:r w:rsidRPr="007F52FA">
        <w:rPr>
          <w:color w:val="000000"/>
          <w:sz w:val="24"/>
        </w:rPr>
        <w:t>元，本报告期份额净值增长率为</w:t>
      </w:r>
      <w:r w:rsidRPr="007F52FA">
        <w:rPr>
          <w:color w:val="000000"/>
          <w:sz w:val="24"/>
        </w:rPr>
        <w:t>1.89%</w:t>
      </w:r>
      <w:r w:rsidRPr="007F52FA">
        <w:rPr>
          <w:color w:val="000000"/>
          <w:sz w:val="24"/>
        </w:rPr>
        <w:t>，同期业绩比较基准增长率为</w:t>
      </w:r>
      <w:r w:rsidRPr="007F52FA">
        <w:rPr>
          <w:color w:val="000000"/>
          <w:sz w:val="24"/>
        </w:rPr>
        <w:t>1.14%</w:t>
      </w:r>
      <w:r w:rsidRPr="007F52FA">
        <w:rPr>
          <w:color w:val="000000"/>
          <w:sz w:val="24"/>
        </w:rPr>
        <w:t>；交银裕通纯债</w:t>
      </w:r>
      <w:r w:rsidRPr="007F52FA">
        <w:rPr>
          <w:color w:val="000000"/>
          <w:sz w:val="24"/>
        </w:rPr>
        <w:t>C</w:t>
      </w:r>
      <w:r w:rsidRPr="007F52FA">
        <w:rPr>
          <w:color w:val="000000"/>
          <w:sz w:val="24"/>
        </w:rPr>
        <w:t>份额净值为</w:t>
      </w:r>
      <w:r w:rsidRPr="007F52FA">
        <w:rPr>
          <w:color w:val="000000"/>
          <w:sz w:val="24"/>
        </w:rPr>
        <w:t>1.016</w:t>
      </w:r>
      <w:r w:rsidRPr="007F52FA">
        <w:rPr>
          <w:color w:val="000000"/>
          <w:sz w:val="24"/>
        </w:rPr>
        <w:t>元，本报告期份额净值增长率为</w:t>
      </w:r>
      <w:r w:rsidRPr="007F52FA">
        <w:rPr>
          <w:color w:val="000000"/>
          <w:sz w:val="24"/>
        </w:rPr>
        <w:t>1.70%</w:t>
      </w:r>
      <w:r w:rsidRPr="007F52FA">
        <w:rPr>
          <w:color w:val="000000"/>
          <w:sz w:val="24"/>
        </w:rPr>
        <w:t>，同期业绩比较基准增长率为</w:t>
      </w:r>
      <w:r w:rsidRPr="007F52FA">
        <w:rPr>
          <w:color w:val="000000"/>
          <w:sz w:val="24"/>
        </w:rPr>
        <w:t>1.14%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1,320,425,932.00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97.35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1,320,425,932.00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97.35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8,023,468.04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0.59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27,901,683.56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2.06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1,356,351,083.60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130,706,700.00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10.66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130,706,700.00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10.66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305,292,232.00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24.90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231,291,000.00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18.86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557,786,000.00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45.49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95,350,000.00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7.78</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1,320,425,932.00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107.68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0C0744">
        <w:trPr>
          <w:jc w:val="center"/>
        </w:trPr>
        <w:tc>
          <w:tcPr>
            <w:tcW w:w="1075" w:type="dxa"/>
            <w:vAlign w:val="center"/>
          </w:tcPr>
          <w:p w:rsidR="000C0744" w:rsidRDefault="00EB0FEB">
            <w:pPr>
              <w:jc w:val="center"/>
            </w:pPr>
            <w:r>
              <w:rPr>
                <w:color w:val="000000"/>
                <w:sz w:val="24"/>
              </w:rPr>
              <w:t>1</w:t>
            </w:r>
          </w:p>
        </w:tc>
        <w:tc>
          <w:tcPr>
            <w:tcW w:w="1533" w:type="dxa"/>
            <w:vAlign w:val="center"/>
          </w:tcPr>
          <w:p w:rsidR="000C0744" w:rsidRDefault="00EB0FEB">
            <w:pPr>
              <w:jc w:val="center"/>
            </w:pPr>
            <w:r>
              <w:rPr>
                <w:color w:val="000000"/>
                <w:sz w:val="24"/>
              </w:rPr>
              <w:t>101800139</w:t>
            </w:r>
          </w:p>
        </w:tc>
        <w:tc>
          <w:tcPr>
            <w:tcW w:w="1533" w:type="dxa"/>
            <w:vAlign w:val="center"/>
          </w:tcPr>
          <w:p w:rsidR="000C0744" w:rsidRDefault="00EB0FEB">
            <w:pPr>
              <w:jc w:val="center"/>
            </w:pPr>
            <w:r>
              <w:rPr>
                <w:color w:val="000000"/>
                <w:sz w:val="24"/>
              </w:rPr>
              <w:t>18</w:t>
            </w:r>
            <w:r>
              <w:rPr>
                <w:color w:val="000000"/>
                <w:sz w:val="24"/>
              </w:rPr>
              <w:t>京城建</w:t>
            </w:r>
            <w:r>
              <w:rPr>
                <w:color w:val="000000"/>
                <w:sz w:val="24"/>
              </w:rPr>
              <w:t>MTN001</w:t>
            </w:r>
          </w:p>
        </w:tc>
        <w:tc>
          <w:tcPr>
            <w:tcW w:w="1394" w:type="dxa"/>
            <w:vAlign w:val="center"/>
          </w:tcPr>
          <w:p w:rsidR="000C0744" w:rsidRDefault="00EB0FEB">
            <w:pPr>
              <w:jc w:val="right"/>
            </w:pPr>
            <w:r>
              <w:rPr>
                <w:color w:val="000000"/>
                <w:sz w:val="24"/>
              </w:rPr>
              <w:t>800,000</w:t>
            </w:r>
          </w:p>
        </w:tc>
        <w:tc>
          <w:tcPr>
            <w:tcW w:w="1944" w:type="dxa"/>
            <w:vAlign w:val="center"/>
          </w:tcPr>
          <w:p w:rsidR="000C0744" w:rsidRDefault="00EB0FEB">
            <w:pPr>
              <w:jc w:val="right"/>
            </w:pPr>
            <w:r>
              <w:rPr>
                <w:color w:val="000000"/>
                <w:sz w:val="24"/>
              </w:rPr>
              <w:t>80,384,000.00</w:t>
            </w:r>
          </w:p>
        </w:tc>
        <w:tc>
          <w:tcPr>
            <w:tcW w:w="1389" w:type="dxa"/>
            <w:vAlign w:val="center"/>
          </w:tcPr>
          <w:p w:rsidR="000C0744" w:rsidRDefault="00EB0FEB">
            <w:pPr>
              <w:jc w:val="right"/>
            </w:pPr>
            <w:r>
              <w:rPr>
                <w:color w:val="000000"/>
                <w:sz w:val="24"/>
              </w:rPr>
              <w:t>6.56</w:t>
            </w:r>
          </w:p>
        </w:tc>
      </w:tr>
      <w:tr w:rsidR="000C0744">
        <w:trPr>
          <w:jc w:val="center"/>
        </w:trPr>
        <w:tc>
          <w:tcPr>
            <w:tcW w:w="1075" w:type="dxa"/>
            <w:vAlign w:val="center"/>
          </w:tcPr>
          <w:p w:rsidR="000C0744" w:rsidRDefault="00EB0FEB">
            <w:pPr>
              <w:jc w:val="center"/>
            </w:pPr>
            <w:r>
              <w:rPr>
                <w:color w:val="000000"/>
                <w:sz w:val="24"/>
              </w:rPr>
              <w:t>2</w:t>
            </w:r>
          </w:p>
        </w:tc>
        <w:tc>
          <w:tcPr>
            <w:tcW w:w="1533" w:type="dxa"/>
            <w:vAlign w:val="center"/>
          </w:tcPr>
          <w:p w:rsidR="000C0744" w:rsidRDefault="00EB0FEB">
            <w:pPr>
              <w:jc w:val="center"/>
            </w:pPr>
            <w:r>
              <w:rPr>
                <w:color w:val="000000"/>
                <w:sz w:val="24"/>
              </w:rPr>
              <w:t>1182277</w:t>
            </w:r>
          </w:p>
        </w:tc>
        <w:tc>
          <w:tcPr>
            <w:tcW w:w="1533" w:type="dxa"/>
            <w:vAlign w:val="center"/>
          </w:tcPr>
          <w:p w:rsidR="000C0744" w:rsidRDefault="00EB0FEB">
            <w:pPr>
              <w:jc w:val="center"/>
            </w:pPr>
            <w:r>
              <w:rPr>
                <w:color w:val="000000"/>
                <w:sz w:val="24"/>
              </w:rPr>
              <w:t>11</w:t>
            </w:r>
            <w:r>
              <w:rPr>
                <w:color w:val="000000"/>
                <w:sz w:val="24"/>
              </w:rPr>
              <w:t>中铁建</w:t>
            </w:r>
            <w:r>
              <w:rPr>
                <w:color w:val="000000"/>
                <w:sz w:val="24"/>
              </w:rPr>
              <w:t>MTN1</w:t>
            </w:r>
          </w:p>
        </w:tc>
        <w:tc>
          <w:tcPr>
            <w:tcW w:w="1394" w:type="dxa"/>
            <w:vAlign w:val="center"/>
          </w:tcPr>
          <w:p w:rsidR="000C0744" w:rsidRDefault="00EB0FEB">
            <w:pPr>
              <w:jc w:val="right"/>
            </w:pPr>
            <w:r>
              <w:rPr>
                <w:color w:val="000000"/>
                <w:sz w:val="24"/>
              </w:rPr>
              <w:t>600,000</w:t>
            </w:r>
          </w:p>
        </w:tc>
        <w:tc>
          <w:tcPr>
            <w:tcW w:w="1944" w:type="dxa"/>
            <w:vAlign w:val="center"/>
          </w:tcPr>
          <w:p w:rsidR="000C0744" w:rsidRDefault="00EB0FEB">
            <w:pPr>
              <w:jc w:val="right"/>
            </w:pPr>
            <w:r>
              <w:rPr>
                <w:color w:val="000000"/>
                <w:sz w:val="24"/>
              </w:rPr>
              <w:t>60,816,000.00</w:t>
            </w:r>
          </w:p>
        </w:tc>
        <w:tc>
          <w:tcPr>
            <w:tcW w:w="1389" w:type="dxa"/>
            <w:vAlign w:val="center"/>
          </w:tcPr>
          <w:p w:rsidR="000C0744" w:rsidRDefault="00EB0FEB">
            <w:pPr>
              <w:jc w:val="right"/>
            </w:pPr>
            <w:r>
              <w:rPr>
                <w:color w:val="000000"/>
                <w:sz w:val="24"/>
              </w:rPr>
              <w:t>4.96</w:t>
            </w:r>
          </w:p>
        </w:tc>
      </w:tr>
      <w:tr w:rsidR="000C0744">
        <w:trPr>
          <w:jc w:val="center"/>
        </w:trPr>
        <w:tc>
          <w:tcPr>
            <w:tcW w:w="1075" w:type="dxa"/>
            <w:vAlign w:val="center"/>
          </w:tcPr>
          <w:p w:rsidR="000C0744" w:rsidRDefault="00EB0FEB">
            <w:pPr>
              <w:jc w:val="center"/>
            </w:pPr>
            <w:r>
              <w:rPr>
                <w:color w:val="000000"/>
                <w:sz w:val="24"/>
              </w:rPr>
              <w:t>3</w:t>
            </w:r>
          </w:p>
        </w:tc>
        <w:tc>
          <w:tcPr>
            <w:tcW w:w="1533" w:type="dxa"/>
            <w:vAlign w:val="center"/>
          </w:tcPr>
          <w:p w:rsidR="000C0744" w:rsidRDefault="00EB0FEB">
            <w:pPr>
              <w:jc w:val="center"/>
            </w:pPr>
            <w:r>
              <w:rPr>
                <w:color w:val="000000"/>
                <w:sz w:val="24"/>
              </w:rPr>
              <w:t>170306</w:t>
            </w:r>
          </w:p>
        </w:tc>
        <w:tc>
          <w:tcPr>
            <w:tcW w:w="1533" w:type="dxa"/>
            <w:vAlign w:val="center"/>
          </w:tcPr>
          <w:p w:rsidR="000C0744" w:rsidRDefault="00EB0FEB">
            <w:pPr>
              <w:jc w:val="center"/>
            </w:pPr>
            <w:r>
              <w:rPr>
                <w:color w:val="000000"/>
                <w:sz w:val="24"/>
              </w:rPr>
              <w:t>17</w:t>
            </w:r>
            <w:r>
              <w:rPr>
                <w:color w:val="000000"/>
                <w:sz w:val="24"/>
              </w:rPr>
              <w:t>进出</w:t>
            </w:r>
            <w:r>
              <w:rPr>
                <w:color w:val="000000"/>
                <w:sz w:val="24"/>
              </w:rPr>
              <w:t>06</w:t>
            </w:r>
          </w:p>
        </w:tc>
        <w:tc>
          <w:tcPr>
            <w:tcW w:w="1394" w:type="dxa"/>
            <w:vAlign w:val="center"/>
          </w:tcPr>
          <w:p w:rsidR="000C0744" w:rsidRDefault="00EB0FEB">
            <w:pPr>
              <w:jc w:val="right"/>
            </w:pPr>
            <w:r>
              <w:rPr>
                <w:color w:val="000000"/>
                <w:sz w:val="24"/>
              </w:rPr>
              <w:t>600,000</w:t>
            </w:r>
          </w:p>
        </w:tc>
        <w:tc>
          <w:tcPr>
            <w:tcW w:w="1944" w:type="dxa"/>
            <w:vAlign w:val="center"/>
          </w:tcPr>
          <w:p w:rsidR="000C0744" w:rsidRDefault="00EB0FEB">
            <w:pPr>
              <w:jc w:val="right"/>
            </w:pPr>
            <w:r>
              <w:rPr>
                <w:color w:val="000000"/>
                <w:sz w:val="24"/>
              </w:rPr>
              <w:t>60,036,000.00</w:t>
            </w:r>
          </w:p>
        </w:tc>
        <w:tc>
          <w:tcPr>
            <w:tcW w:w="1389" w:type="dxa"/>
            <w:vAlign w:val="center"/>
          </w:tcPr>
          <w:p w:rsidR="000C0744" w:rsidRDefault="00EB0FEB">
            <w:pPr>
              <w:jc w:val="right"/>
            </w:pPr>
            <w:r>
              <w:rPr>
                <w:color w:val="000000"/>
                <w:sz w:val="24"/>
              </w:rPr>
              <w:t>4.90</w:t>
            </w:r>
          </w:p>
        </w:tc>
      </w:tr>
      <w:tr w:rsidR="000C0744">
        <w:trPr>
          <w:jc w:val="center"/>
        </w:trPr>
        <w:tc>
          <w:tcPr>
            <w:tcW w:w="1075" w:type="dxa"/>
            <w:vAlign w:val="center"/>
          </w:tcPr>
          <w:p w:rsidR="000C0744" w:rsidRDefault="00EB0FEB">
            <w:pPr>
              <w:jc w:val="center"/>
            </w:pPr>
            <w:r>
              <w:rPr>
                <w:color w:val="000000"/>
                <w:sz w:val="24"/>
              </w:rPr>
              <w:t>4</w:t>
            </w:r>
          </w:p>
        </w:tc>
        <w:tc>
          <w:tcPr>
            <w:tcW w:w="1533" w:type="dxa"/>
            <w:vAlign w:val="center"/>
          </w:tcPr>
          <w:p w:rsidR="000C0744" w:rsidRDefault="00EB0FEB">
            <w:pPr>
              <w:jc w:val="center"/>
            </w:pPr>
            <w:r>
              <w:rPr>
                <w:color w:val="000000"/>
                <w:sz w:val="24"/>
              </w:rPr>
              <w:t>011758104</w:t>
            </w:r>
          </w:p>
        </w:tc>
        <w:tc>
          <w:tcPr>
            <w:tcW w:w="1533" w:type="dxa"/>
            <w:vAlign w:val="center"/>
          </w:tcPr>
          <w:p w:rsidR="000C0744" w:rsidRDefault="00EB0FEB">
            <w:pPr>
              <w:jc w:val="center"/>
            </w:pPr>
            <w:r>
              <w:rPr>
                <w:color w:val="000000"/>
                <w:sz w:val="24"/>
              </w:rPr>
              <w:t>17</w:t>
            </w:r>
            <w:r>
              <w:rPr>
                <w:color w:val="000000"/>
                <w:sz w:val="24"/>
              </w:rPr>
              <w:t>中航资本</w:t>
            </w:r>
            <w:r>
              <w:rPr>
                <w:color w:val="000000"/>
                <w:sz w:val="24"/>
              </w:rPr>
              <w:t>SCP003</w:t>
            </w:r>
          </w:p>
        </w:tc>
        <w:tc>
          <w:tcPr>
            <w:tcW w:w="1394" w:type="dxa"/>
            <w:vAlign w:val="center"/>
          </w:tcPr>
          <w:p w:rsidR="000C0744" w:rsidRDefault="00EB0FEB">
            <w:pPr>
              <w:jc w:val="right"/>
            </w:pPr>
            <w:r>
              <w:rPr>
                <w:color w:val="000000"/>
                <w:sz w:val="24"/>
              </w:rPr>
              <w:t>500,000</w:t>
            </w:r>
          </w:p>
        </w:tc>
        <w:tc>
          <w:tcPr>
            <w:tcW w:w="1944" w:type="dxa"/>
            <w:vAlign w:val="center"/>
          </w:tcPr>
          <w:p w:rsidR="000C0744" w:rsidRDefault="00EB0FEB">
            <w:pPr>
              <w:jc w:val="right"/>
            </w:pPr>
            <w:r>
              <w:rPr>
                <w:color w:val="000000"/>
                <w:sz w:val="24"/>
              </w:rPr>
              <w:t>50,200,000.00</w:t>
            </w:r>
          </w:p>
        </w:tc>
        <w:tc>
          <w:tcPr>
            <w:tcW w:w="1389" w:type="dxa"/>
            <w:vAlign w:val="center"/>
          </w:tcPr>
          <w:p w:rsidR="000C0744" w:rsidRDefault="00EB0FEB">
            <w:pPr>
              <w:jc w:val="right"/>
            </w:pPr>
            <w:r>
              <w:rPr>
                <w:color w:val="000000"/>
                <w:sz w:val="24"/>
              </w:rPr>
              <w:t>4.09</w:t>
            </w:r>
          </w:p>
        </w:tc>
      </w:tr>
      <w:tr w:rsidR="000C0744">
        <w:trPr>
          <w:jc w:val="center"/>
        </w:trPr>
        <w:tc>
          <w:tcPr>
            <w:tcW w:w="1075" w:type="dxa"/>
            <w:vAlign w:val="center"/>
          </w:tcPr>
          <w:p w:rsidR="000C0744" w:rsidRDefault="00EB0FEB">
            <w:pPr>
              <w:jc w:val="center"/>
            </w:pPr>
            <w:r>
              <w:rPr>
                <w:color w:val="000000"/>
                <w:sz w:val="24"/>
              </w:rPr>
              <w:t>5</w:t>
            </w:r>
          </w:p>
        </w:tc>
        <w:tc>
          <w:tcPr>
            <w:tcW w:w="1533" w:type="dxa"/>
            <w:vAlign w:val="center"/>
          </w:tcPr>
          <w:p w:rsidR="000C0744" w:rsidRDefault="00EB0FEB">
            <w:pPr>
              <w:jc w:val="center"/>
            </w:pPr>
            <w:r>
              <w:rPr>
                <w:color w:val="000000"/>
                <w:sz w:val="24"/>
              </w:rPr>
              <w:t>136493</w:t>
            </w:r>
          </w:p>
        </w:tc>
        <w:tc>
          <w:tcPr>
            <w:tcW w:w="1533" w:type="dxa"/>
            <w:vAlign w:val="center"/>
          </w:tcPr>
          <w:p w:rsidR="000C0744" w:rsidRDefault="00EB0FEB">
            <w:pPr>
              <w:jc w:val="center"/>
            </w:pPr>
            <w:r>
              <w:rPr>
                <w:color w:val="000000"/>
                <w:sz w:val="24"/>
              </w:rPr>
              <w:t>16</w:t>
            </w:r>
            <w:r>
              <w:rPr>
                <w:color w:val="000000"/>
                <w:sz w:val="24"/>
              </w:rPr>
              <w:t>成渝</w:t>
            </w:r>
            <w:r>
              <w:rPr>
                <w:color w:val="000000"/>
                <w:sz w:val="24"/>
              </w:rPr>
              <w:t>01</w:t>
            </w:r>
          </w:p>
        </w:tc>
        <w:tc>
          <w:tcPr>
            <w:tcW w:w="1394" w:type="dxa"/>
            <w:vAlign w:val="center"/>
          </w:tcPr>
          <w:p w:rsidR="000C0744" w:rsidRDefault="00EB0FEB">
            <w:pPr>
              <w:jc w:val="right"/>
            </w:pPr>
            <w:r>
              <w:rPr>
                <w:color w:val="000000"/>
                <w:sz w:val="24"/>
              </w:rPr>
              <w:t>500,000</w:t>
            </w:r>
          </w:p>
        </w:tc>
        <w:tc>
          <w:tcPr>
            <w:tcW w:w="1944" w:type="dxa"/>
            <w:vAlign w:val="center"/>
          </w:tcPr>
          <w:p w:rsidR="000C0744" w:rsidRDefault="00EB0FEB">
            <w:pPr>
              <w:jc w:val="right"/>
            </w:pPr>
            <w:r>
              <w:rPr>
                <w:color w:val="000000"/>
                <w:sz w:val="24"/>
              </w:rPr>
              <w:t>47,755,000.00</w:t>
            </w:r>
          </w:p>
        </w:tc>
        <w:tc>
          <w:tcPr>
            <w:tcW w:w="1389" w:type="dxa"/>
            <w:vAlign w:val="center"/>
          </w:tcPr>
          <w:p w:rsidR="000C0744" w:rsidRDefault="00EB0FEB">
            <w:pPr>
              <w:jc w:val="right"/>
            </w:pPr>
            <w:r>
              <w:rPr>
                <w:color w:val="000000"/>
                <w:sz w:val="24"/>
              </w:rPr>
              <w:t>3.89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450149" w:rsidRPr="00450149" w:rsidRDefault="00384E65" w:rsidP="00450149">
      <w:pPr>
        <w:autoSpaceDE w:val="0"/>
        <w:autoSpaceDN w:val="0"/>
        <w:adjustRightInd w:val="0"/>
        <w:spacing w:before="29" w:line="288" w:lineRule="auto"/>
        <w:rPr>
          <w:kern w:val="0"/>
          <w:sz w:val="24"/>
        </w:rPr>
      </w:pPr>
      <w:r w:rsidRPr="00384E65">
        <w:rPr>
          <w:kern w:val="0"/>
          <w:sz w:val="24"/>
        </w:rPr>
        <w:t>5.11.1</w:t>
      </w:r>
      <w:r w:rsidR="00450149" w:rsidRPr="00450149">
        <w:rPr>
          <w:rFonts w:hint="eastAsia"/>
          <w:kern w:val="0"/>
          <w:sz w:val="24"/>
        </w:rPr>
        <w:t>报告期内本基金投资的前十名证券的发行主体除</w:t>
      </w:r>
      <w:r w:rsidR="00450149" w:rsidRPr="00450149">
        <w:rPr>
          <w:rFonts w:hint="eastAsia"/>
          <w:kern w:val="0"/>
          <w:sz w:val="24"/>
        </w:rPr>
        <w:t>17</w:t>
      </w:r>
      <w:r w:rsidR="00450149" w:rsidRPr="00450149">
        <w:rPr>
          <w:rFonts w:hint="eastAsia"/>
          <w:kern w:val="0"/>
          <w:sz w:val="24"/>
        </w:rPr>
        <w:t>中航资本</w:t>
      </w:r>
      <w:r w:rsidR="00450149" w:rsidRPr="00450149">
        <w:rPr>
          <w:rFonts w:hint="eastAsia"/>
          <w:kern w:val="0"/>
          <w:sz w:val="24"/>
        </w:rPr>
        <w:t>SCP003</w:t>
      </w:r>
      <w:r w:rsidR="00450149" w:rsidRPr="00450149">
        <w:rPr>
          <w:rFonts w:hint="eastAsia"/>
          <w:kern w:val="0"/>
          <w:sz w:val="24"/>
        </w:rPr>
        <w:t>（证券代码：</w:t>
      </w:r>
      <w:r w:rsidR="00450149" w:rsidRPr="00450149">
        <w:rPr>
          <w:rFonts w:hint="eastAsia"/>
          <w:kern w:val="0"/>
          <w:sz w:val="24"/>
        </w:rPr>
        <w:t>011758104</w:t>
      </w:r>
      <w:r w:rsidR="00450149" w:rsidRPr="00450149">
        <w:rPr>
          <w:rFonts w:hint="eastAsia"/>
          <w:kern w:val="0"/>
          <w:sz w:val="24"/>
        </w:rPr>
        <w:t>）外，未出现被监管部门立案调查，或在报告编制日前一年内受到公开谴责、处罚的情形。</w:t>
      </w:r>
    </w:p>
    <w:p w:rsidR="00450149" w:rsidRPr="00450149" w:rsidRDefault="00450149" w:rsidP="00450149">
      <w:pPr>
        <w:autoSpaceDE w:val="0"/>
        <w:autoSpaceDN w:val="0"/>
        <w:adjustRightInd w:val="0"/>
        <w:spacing w:before="29" w:line="288" w:lineRule="auto"/>
        <w:rPr>
          <w:kern w:val="0"/>
          <w:sz w:val="24"/>
        </w:rPr>
      </w:pPr>
      <w:r w:rsidRPr="00450149">
        <w:rPr>
          <w:rFonts w:hint="eastAsia"/>
          <w:kern w:val="0"/>
          <w:sz w:val="24"/>
        </w:rPr>
        <w:t>报告期内本基金投资的前十名证券之一</w:t>
      </w:r>
      <w:r w:rsidRPr="00450149">
        <w:rPr>
          <w:rFonts w:hint="eastAsia"/>
          <w:kern w:val="0"/>
          <w:sz w:val="24"/>
        </w:rPr>
        <w:t>17</w:t>
      </w:r>
      <w:r w:rsidRPr="00450149">
        <w:rPr>
          <w:rFonts w:hint="eastAsia"/>
          <w:kern w:val="0"/>
          <w:sz w:val="24"/>
        </w:rPr>
        <w:t>中航资本</w:t>
      </w:r>
      <w:r w:rsidRPr="00450149">
        <w:rPr>
          <w:rFonts w:hint="eastAsia"/>
          <w:kern w:val="0"/>
          <w:sz w:val="24"/>
        </w:rPr>
        <w:t>SCP003</w:t>
      </w:r>
      <w:r w:rsidRPr="00450149">
        <w:rPr>
          <w:rFonts w:hint="eastAsia"/>
          <w:kern w:val="0"/>
          <w:sz w:val="24"/>
        </w:rPr>
        <w:t>（证券代码：</w:t>
      </w:r>
      <w:r w:rsidRPr="00450149">
        <w:rPr>
          <w:rFonts w:hint="eastAsia"/>
          <w:kern w:val="0"/>
          <w:sz w:val="24"/>
        </w:rPr>
        <w:t>011758104</w:t>
      </w:r>
      <w:r w:rsidRPr="00450149">
        <w:rPr>
          <w:rFonts w:hint="eastAsia"/>
          <w:kern w:val="0"/>
          <w:sz w:val="24"/>
        </w:rPr>
        <w:t>）的发行主体中航资本于</w:t>
      </w:r>
      <w:r w:rsidRPr="00450149">
        <w:rPr>
          <w:rFonts w:hint="eastAsia"/>
          <w:kern w:val="0"/>
          <w:sz w:val="24"/>
        </w:rPr>
        <w:t>2017</w:t>
      </w:r>
      <w:r w:rsidRPr="00450149">
        <w:rPr>
          <w:rFonts w:hint="eastAsia"/>
          <w:kern w:val="0"/>
          <w:sz w:val="24"/>
        </w:rPr>
        <w:t>年</w:t>
      </w:r>
      <w:r w:rsidRPr="00450149">
        <w:rPr>
          <w:rFonts w:hint="eastAsia"/>
          <w:kern w:val="0"/>
          <w:sz w:val="24"/>
        </w:rPr>
        <w:t>12</w:t>
      </w:r>
      <w:r w:rsidRPr="00450149">
        <w:rPr>
          <w:rFonts w:hint="eastAsia"/>
          <w:kern w:val="0"/>
          <w:sz w:val="24"/>
        </w:rPr>
        <w:t>月</w:t>
      </w:r>
      <w:r w:rsidRPr="00450149">
        <w:rPr>
          <w:rFonts w:hint="eastAsia"/>
          <w:kern w:val="0"/>
          <w:sz w:val="24"/>
        </w:rPr>
        <w:t>13</w:t>
      </w:r>
      <w:r w:rsidRPr="00450149">
        <w:rPr>
          <w:rFonts w:hint="eastAsia"/>
          <w:kern w:val="0"/>
          <w:sz w:val="24"/>
        </w:rPr>
        <w:t>日公告，</w:t>
      </w:r>
      <w:r w:rsidRPr="00450149">
        <w:rPr>
          <w:rFonts w:hint="eastAsia"/>
          <w:kern w:val="0"/>
          <w:sz w:val="24"/>
        </w:rPr>
        <w:t>2017</w:t>
      </w:r>
      <w:r w:rsidRPr="00450149">
        <w:rPr>
          <w:rFonts w:hint="eastAsia"/>
          <w:kern w:val="0"/>
          <w:sz w:val="24"/>
        </w:rPr>
        <w:t>年</w:t>
      </w:r>
      <w:r w:rsidRPr="00450149">
        <w:rPr>
          <w:rFonts w:hint="eastAsia"/>
          <w:kern w:val="0"/>
          <w:sz w:val="24"/>
        </w:rPr>
        <w:t>12</w:t>
      </w:r>
      <w:r w:rsidRPr="00450149">
        <w:rPr>
          <w:rFonts w:hint="eastAsia"/>
          <w:kern w:val="0"/>
          <w:sz w:val="24"/>
        </w:rPr>
        <w:t>月</w:t>
      </w:r>
      <w:r w:rsidRPr="00450149">
        <w:rPr>
          <w:rFonts w:hint="eastAsia"/>
          <w:kern w:val="0"/>
          <w:sz w:val="24"/>
        </w:rPr>
        <w:t>11</w:t>
      </w:r>
      <w:r w:rsidRPr="00450149">
        <w:rPr>
          <w:rFonts w:hint="eastAsia"/>
          <w:kern w:val="0"/>
          <w:sz w:val="24"/>
        </w:rPr>
        <w:t>日公司子公司中航财务收到北京银监局的行政处罚决定书（京银监罚决字</w:t>
      </w:r>
      <w:r w:rsidRPr="00450149">
        <w:rPr>
          <w:rFonts w:hint="eastAsia"/>
          <w:kern w:val="0"/>
          <w:sz w:val="24"/>
        </w:rPr>
        <w:t>[2017]27</w:t>
      </w:r>
      <w:r w:rsidRPr="00450149">
        <w:rPr>
          <w:rFonts w:hint="eastAsia"/>
          <w:kern w:val="0"/>
          <w:sz w:val="24"/>
        </w:rPr>
        <w:t>号），北京银监局决定对中航财务做出如下行政处罚：责令中航财务改正，并给予</w:t>
      </w:r>
      <w:r w:rsidRPr="00450149">
        <w:rPr>
          <w:rFonts w:hint="eastAsia"/>
          <w:kern w:val="0"/>
          <w:sz w:val="24"/>
        </w:rPr>
        <w:t>50</w:t>
      </w:r>
      <w:r w:rsidRPr="00450149">
        <w:rPr>
          <w:rFonts w:hint="eastAsia"/>
          <w:kern w:val="0"/>
          <w:sz w:val="24"/>
        </w:rPr>
        <w:t>万元罚款的行政处罚。公司于</w:t>
      </w:r>
      <w:r w:rsidRPr="00450149">
        <w:rPr>
          <w:rFonts w:hint="eastAsia"/>
          <w:kern w:val="0"/>
          <w:sz w:val="24"/>
        </w:rPr>
        <w:t>2017</w:t>
      </w:r>
      <w:r w:rsidRPr="00450149">
        <w:rPr>
          <w:rFonts w:hint="eastAsia"/>
          <w:kern w:val="0"/>
          <w:sz w:val="24"/>
        </w:rPr>
        <w:t>年</w:t>
      </w:r>
      <w:r w:rsidRPr="00450149">
        <w:rPr>
          <w:rFonts w:hint="eastAsia"/>
          <w:kern w:val="0"/>
          <w:sz w:val="24"/>
        </w:rPr>
        <w:t>12</w:t>
      </w:r>
      <w:r w:rsidRPr="00450149">
        <w:rPr>
          <w:rFonts w:hint="eastAsia"/>
          <w:kern w:val="0"/>
          <w:sz w:val="24"/>
        </w:rPr>
        <w:t>月</w:t>
      </w:r>
      <w:r w:rsidRPr="00450149">
        <w:rPr>
          <w:rFonts w:hint="eastAsia"/>
          <w:kern w:val="0"/>
          <w:sz w:val="24"/>
        </w:rPr>
        <w:t>13</w:t>
      </w:r>
      <w:r w:rsidRPr="00450149">
        <w:rPr>
          <w:rFonts w:hint="eastAsia"/>
          <w:kern w:val="0"/>
          <w:sz w:val="24"/>
        </w:rPr>
        <w:t>日公告，近日公司控股子公司中航信托收到江西银监局出具的《行政处罚决定书》（赣银监罚决字</w:t>
      </w:r>
      <w:r w:rsidRPr="00450149">
        <w:rPr>
          <w:rFonts w:hint="eastAsia"/>
          <w:kern w:val="0"/>
          <w:sz w:val="24"/>
        </w:rPr>
        <w:t>[2017]48</w:t>
      </w:r>
      <w:r w:rsidRPr="00450149">
        <w:rPr>
          <w:rFonts w:hint="eastAsia"/>
          <w:kern w:val="0"/>
          <w:sz w:val="24"/>
        </w:rPr>
        <w:t>号），江西银监局决定对中航信托处以</w:t>
      </w:r>
      <w:r w:rsidRPr="00450149">
        <w:rPr>
          <w:rFonts w:hint="eastAsia"/>
          <w:kern w:val="0"/>
          <w:sz w:val="24"/>
        </w:rPr>
        <w:t>20</w:t>
      </w:r>
      <w:r w:rsidRPr="00450149">
        <w:rPr>
          <w:rFonts w:hint="eastAsia"/>
          <w:kern w:val="0"/>
          <w:sz w:val="24"/>
        </w:rPr>
        <w:t>万元罚款。</w:t>
      </w:r>
    </w:p>
    <w:p w:rsidR="000C0744" w:rsidRDefault="00450149" w:rsidP="00450149">
      <w:pPr>
        <w:autoSpaceDE w:val="0"/>
        <w:autoSpaceDN w:val="0"/>
        <w:adjustRightInd w:val="0"/>
        <w:spacing w:before="29" w:line="288" w:lineRule="auto"/>
        <w:rPr>
          <w:kern w:val="0"/>
          <w:sz w:val="24"/>
        </w:rPr>
      </w:pPr>
      <w:r w:rsidRPr="00450149">
        <w:rPr>
          <w:rFonts w:hint="eastAsia"/>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7,722.11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2,983,824.66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24,910,136.79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27,901,683.56</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BF4E99"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BF4E99">
        <w:rPr>
          <w:rFonts w:eastAsiaTheme="minorEastAsia"/>
          <w:color w:val="000000" w:themeColor="text1"/>
          <w:kern w:val="0"/>
          <w:sz w:val="24"/>
          <w:szCs w:val="24"/>
        </w:rPr>
        <w:t xml:space="preserve">§6  </w:t>
      </w:r>
      <w:r w:rsidRPr="00BF4E99">
        <w:rPr>
          <w:rFonts w:eastAsiaTheme="minorEastAsia" w:hint="eastAsia"/>
          <w:color w:val="000000" w:themeColor="text1"/>
          <w:kern w:val="0"/>
          <w:sz w:val="24"/>
          <w:szCs w:val="24"/>
        </w:rPr>
        <w:t>基金中基金</w:t>
      </w:r>
    </w:p>
    <w:p w:rsidR="00C51B4E" w:rsidRPr="00BF4E99" w:rsidRDefault="00C51B4E" w:rsidP="00C51B4E">
      <w:pPr>
        <w:adjustRightInd w:val="0"/>
        <w:snapToGrid w:val="0"/>
        <w:spacing w:line="360" w:lineRule="auto"/>
        <w:rPr>
          <w:rFonts w:eastAsiaTheme="minorEastAsia"/>
          <w:b/>
          <w:color w:val="000000" w:themeColor="text1"/>
          <w:kern w:val="0"/>
          <w:sz w:val="24"/>
        </w:rPr>
      </w:pPr>
      <w:r w:rsidRPr="00BF4E99">
        <w:rPr>
          <w:rFonts w:eastAsiaTheme="minorEastAsia"/>
          <w:b/>
          <w:color w:val="000000" w:themeColor="text1"/>
          <w:kern w:val="0"/>
          <w:sz w:val="24"/>
        </w:rPr>
        <w:t xml:space="preserve">6.1 </w:t>
      </w:r>
      <w:r w:rsidRPr="00BF4E99">
        <w:rPr>
          <w:rFonts w:eastAsiaTheme="minorEastAsia" w:hint="eastAsia"/>
          <w:b/>
          <w:color w:val="000000" w:themeColor="text1"/>
          <w:kern w:val="0"/>
          <w:sz w:val="24"/>
        </w:rPr>
        <w:t>报告期末按公允价值占基金资产净值比例大小排序的前十名基金投资明细</w:t>
      </w:r>
    </w:p>
    <w:p w:rsidR="00C51B4E" w:rsidRPr="00BF4E99"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BF4E99">
        <w:rPr>
          <w:rFonts w:eastAsiaTheme="minorEastAsia" w:hint="eastAsia"/>
          <w:color w:val="000000" w:themeColor="text1"/>
          <w:sz w:val="24"/>
        </w:rPr>
        <w:t>本基金本报告期末未持有基金。</w:t>
      </w:r>
    </w:p>
    <w:p w:rsidR="00C51B4E" w:rsidRPr="00BF4E99" w:rsidRDefault="00C51B4E" w:rsidP="0028293E">
      <w:pPr>
        <w:adjustRightInd w:val="0"/>
        <w:snapToGrid w:val="0"/>
        <w:spacing w:beforeLines="50" w:before="156" w:line="360" w:lineRule="auto"/>
        <w:rPr>
          <w:rFonts w:eastAsiaTheme="minorEastAsia"/>
          <w:b/>
          <w:color w:val="000000" w:themeColor="text1"/>
          <w:kern w:val="0"/>
          <w:sz w:val="24"/>
        </w:rPr>
      </w:pPr>
      <w:r w:rsidRPr="00BF4E99">
        <w:rPr>
          <w:rFonts w:eastAsiaTheme="minorEastAsia"/>
          <w:b/>
          <w:color w:val="000000" w:themeColor="text1"/>
          <w:kern w:val="0"/>
          <w:sz w:val="24"/>
        </w:rPr>
        <w:t xml:space="preserve">6.2 </w:t>
      </w:r>
      <w:r w:rsidRPr="00BF4E99">
        <w:rPr>
          <w:rFonts w:eastAsiaTheme="minorEastAsia" w:hint="eastAsia"/>
          <w:b/>
          <w:color w:val="000000" w:themeColor="text1"/>
          <w:kern w:val="0"/>
          <w:sz w:val="24"/>
        </w:rPr>
        <w:t>当期交易及持有基金产生的费用</w:t>
      </w:r>
    </w:p>
    <w:p w:rsidR="00C51B4E" w:rsidRPr="00BF4E99"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BF4E99">
        <w:rPr>
          <w:rFonts w:eastAsiaTheme="minorEastAsia" w:hint="eastAsia"/>
          <w:color w:val="000000" w:themeColor="text1"/>
          <w:sz w:val="24"/>
        </w:rPr>
        <w:t>本基金本报告期内未交易或持有基金。</w:t>
      </w:r>
    </w:p>
    <w:p w:rsidR="00D417AA" w:rsidRPr="00BF4E99" w:rsidRDefault="00D417AA" w:rsidP="00D417AA">
      <w:pPr>
        <w:autoSpaceDE w:val="0"/>
        <w:autoSpaceDN w:val="0"/>
        <w:adjustRightInd w:val="0"/>
        <w:spacing w:line="360" w:lineRule="auto"/>
        <w:jc w:val="left"/>
        <w:rPr>
          <w:rFonts w:eastAsiaTheme="minorEastAsia"/>
          <w:b/>
          <w:color w:val="000000" w:themeColor="text1"/>
          <w:sz w:val="24"/>
        </w:rPr>
      </w:pPr>
      <w:r w:rsidRPr="00BF4E99">
        <w:rPr>
          <w:rFonts w:eastAsiaTheme="minorEastAsia"/>
          <w:b/>
          <w:color w:val="000000" w:themeColor="text1"/>
          <w:sz w:val="24"/>
        </w:rPr>
        <w:t xml:space="preserve">6.3 </w:t>
      </w:r>
      <w:r w:rsidRPr="00BF4E99">
        <w:rPr>
          <w:rFonts w:eastAsiaTheme="minorEastAsia" w:hint="eastAsia"/>
          <w:b/>
          <w:color w:val="000000" w:themeColor="text1"/>
          <w:sz w:val="24"/>
        </w:rPr>
        <w:t>本报告期持有的基金发生的重大影响事件</w:t>
      </w:r>
    </w:p>
    <w:p w:rsidR="00D417AA" w:rsidRPr="00BF4E99" w:rsidRDefault="00D417AA" w:rsidP="00D417AA">
      <w:pPr>
        <w:autoSpaceDE w:val="0"/>
        <w:autoSpaceDN w:val="0"/>
        <w:adjustRightInd w:val="0"/>
        <w:spacing w:line="360" w:lineRule="auto"/>
        <w:ind w:firstLineChars="200" w:firstLine="480"/>
        <w:jc w:val="left"/>
        <w:rPr>
          <w:rFonts w:eastAsiaTheme="minorEastAsia"/>
          <w:color w:val="000000" w:themeColor="text1"/>
          <w:sz w:val="24"/>
        </w:rPr>
      </w:pPr>
      <w:r w:rsidRPr="00BF4E99">
        <w:rPr>
          <w:rFonts w:eastAsiaTheme="minorEastAsia" w:hint="eastAsia"/>
          <w:color w:val="000000" w:themeColor="text1"/>
          <w:sz w:val="24"/>
        </w:rPr>
        <w:t>无。</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交银裕通纯债债券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1,195,845,546.58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444,797.55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496.03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1,043,921.09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207,091.75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w:t>
            </w:r>
            <w:r w:rsidR="003F21E5" w:rsidRPr="006664D2">
              <w:rPr>
                <w:rFonts w:hint="eastAsia"/>
                <w:color w:val="000000"/>
                <w:kern w:val="0"/>
                <w:sz w:val="24"/>
              </w:rPr>
              <w:lastRenderedPageBreak/>
              <w:t>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1,194,801,625.49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238,201.83</w:t>
            </w:r>
          </w:p>
        </w:tc>
      </w:tr>
    </w:tbl>
    <w:p w:rsidR="000C0744" w:rsidRDefault="00EB0FEB">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0C0744">
        <w:tc>
          <w:tcPr>
            <w:tcW w:w="992" w:type="dxa"/>
          </w:tcPr>
          <w:p w:rsidR="000C0744" w:rsidRDefault="000C0744"/>
          <w:p w:rsidR="000C0744" w:rsidRDefault="00EB0FEB">
            <w:r>
              <w:rPr>
                <w:rFonts w:ascii="宋体" w:hAnsi="宋体" w:hint="eastAsia"/>
                <w:bCs/>
                <w:color w:val="000000"/>
                <w:kern w:val="0"/>
                <w:szCs w:val="21"/>
              </w:rPr>
              <w:t>机构</w:t>
            </w:r>
          </w:p>
        </w:tc>
        <w:tc>
          <w:tcPr>
            <w:tcW w:w="991" w:type="dxa"/>
            <w:vAlign w:val="center"/>
          </w:tcPr>
          <w:p w:rsidR="000C0744" w:rsidRDefault="00EB0FEB">
            <w:pPr>
              <w:jc w:val="center"/>
            </w:pPr>
            <w:r>
              <w:rPr>
                <w:rFonts w:ascii="宋体" w:hAnsi="宋体" w:hint="eastAsia"/>
                <w:color w:val="000000"/>
                <w:kern w:val="0"/>
                <w:szCs w:val="21"/>
              </w:rPr>
              <w:t>1</w:t>
            </w:r>
          </w:p>
        </w:tc>
        <w:tc>
          <w:tcPr>
            <w:tcW w:w="1843" w:type="dxa"/>
            <w:vAlign w:val="center"/>
          </w:tcPr>
          <w:p w:rsidR="000C0744" w:rsidRDefault="00EB0FEB">
            <w:pPr>
              <w:jc w:val="center"/>
            </w:pPr>
            <w:r>
              <w:rPr>
                <w:rFonts w:ascii="宋体" w:hAnsi="宋体" w:hint="eastAsia"/>
                <w:color w:val="000000"/>
                <w:kern w:val="0"/>
                <w:szCs w:val="21"/>
              </w:rPr>
              <w:t>2018/1/1-2018/3/31</w:t>
            </w:r>
          </w:p>
        </w:tc>
        <w:tc>
          <w:tcPr>
            <w:tcW w:w="851" w:type="dxa"/>
            <w:vAlign w:val="center"/>
          </w:tcPr>
          <w:p w:rsidR="000C0744" w:rsidRDefault="00EB0FEB">
            <w:pPr>
              <w:jc w:val="center"/>
            </w:pPr>
            <w:r>
              <w:rPr>
                <w:rFonts w:ascii="宋体" w:hAnsi="宋体" w:hint="eastAsia"/>
                <w:color w:val="000000"/>
                <w:kern w:val="0"/>
                <w:szCs w:val="21"/>
              </w:rPr>
              <w:t>1,093,550,141.68</w:t>
            </w:r>
          </w:p>
        </w:tc>
        <w:tc>
          <w:tcPr>
            <w:tcW w:w="850" w:type="dxa"/>
            <w:vAlign w:val="center"/>
          </w:tcPr>
          <w:p w:rsidR="000C0744" w:rsidRDefault="00EB0FEB">
            <w:pPr>
              <w:jc w:val="center"/>
            </w:pPr>
            <w:r>
              <w:rPr>
                <w:rFonts w:ascii="宋体" w:hAnsi="宋体" w:hint="eastAsia"/>
                <w:color w:val="000000"/>
                <w:kern w:val="0"/>
                <w:szCs w:val="21"/>
              </w:rPr>
              <w:t>-</w:t>
            </w:r>
          </w:p>
        </w:tc>
        <w:tc>
          <w:tcPr>
            <w:tcW w:w="1134" w:type="dxa"/>
            <w:vAlign w:val="center"/>
          </w:tcPr>
          <w:p w:rsidR="000C0744" w:rsidRDefault="00EB0FEB">
            <w:pPr>
              <w:jc w:val="center"/>
            </w:pPr>
            <w:r>
              <w:rPr>
                <w:rFonts w:ascii="宋体" w:hAnsi="宋体" w:hint="eastAsia"/>
                <w:color w:val="000000"/>
                <w:kern w:val="0"/>
                <w:szCs w:val="21"/>
              </w:rPr>
              <w:t>-</w:t>
            </w:r>
          </w:p>
        </w:tc>
        <w:tc>
          <w:tcPr>
            <w:tcW w:w="1419" w:type="dxa"/>
            <w:vAlign w:val="center"/>
          </w:tcPr>
          <w:p w:rsidR="000C0744" w:rsidRDefault="00EB0FEB">
            <w:pPr>
              <w:jc w:val="center"/>
            </w:pPr>
            <w:r>
              <w:rPr>
                <w:rFonts w:ascii="宋体" w:hAnsi="宋体" w:hint="eastAsia"/>
                <w:color w:val="000000"/>
                <w:kern w:val="0"/>
                <w:szCs w:val="21"/>
              </w:rPr>
              <w:t>1,093,550,141.68</w:t>
            </w:r>
          </w:p>
        </w:tc>
        <w:tc>
          <w:tcPr>
            <w:tcW w:w="1130" w:type="dxa"/>
            <w:vAlign w:val="center"/>
          </w:tcPr>
          <w:p w:rsidR="000C0744" w:rsidRDefault="00EB0FEB">
            <w:pPr>
              <w:jc w:val="center"/>
            </w:pPr>
            <w:r>
              <w:rPr>
                <w:rFonts w:ascii="宋体" w:hAnsi="宋体" w:hint="eastAsia"/>
                <w:color w:val="000000"/>
                <w:kern w:val="0"/>
                <w:szCs w:val="21"/>
              </w:rPr>
              <w:t>91.51%</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9.2 影响投资者决策的其他重要信息</w:t>
      </w:r>
    </w:p>
    <w:p w:rsidR="000C0744" w:rsidRDefault="00EB0FEB">
      <w:pPr>
        <w:spacing w:line="360" w:lineRule="auto"/>
        <w:ind w:firstLineChars="200" w:firstLine="420"/>
        <w:rPr>
          <w:rFonts w:ascii="宋体" w:hAnsi="宋体"/>
          <w:color w:val="000000"/>
          <w:szCs w:val="21"/>
        </w:rPr>
      </w:pPr>
      <w:r>
        <w:rPr>
          <w:rFonts w:ascii="宋体" w:hAnsi="宋体" w:hint="eastAsia"/>
          <w:color w:val="000000"/>
          <w:szCs w:val="21"/>
        </w:rPr>
        <w:t>1、根据财政部和国家税务总局于2016年12月21日联合发布的《关于明确金融、房地产开发、教育辅助服务等增值税政策的通知》（财税[2016]140号）以及于2017年6月30日联合发布的《财政部、税务总局关于资管产品增值税有关问题的通知》（财税[2017]56号）等规定，自2018年1月1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收入，计提及缴纳增值税及附加税费，该</w:t>
      </w:r>
      <w:r>
        <w:rPr>
          <w:rFonts w:ascii="宋体" w:hAnsi="宋体" w:hint="eastAsia"/>
          <w:color w:val="000000"/>
          <w:szCs w:val="21"/>
        </w:rPr>
        <w:lastRenderedPageBreak/>
        <w:t>部分税费由基金资产承担。如后续国家法律法规、税收政策进行调整的，或者对基金产品的税收政策作出补充规定的，基金管理人将及时根据所涉及的税收政策作出相应调整，切实履行基金管理人的职责。</w:t>
      </w:r>
    </w:p>
    <w:p w:rsidR="000C0744" w:rsidRDefault="00EB0FEB">
      <w:pPr>
        <w:spacing w:line="360" w:lineRule="auto"/>
        <w:ind w:firstLineChars="200" w:firstLine="420"/>
        <w:rPr>
          <w:rFonts w:ascii="宋体" w:hAnsi="宋体"/>
          <w:color w:val="000000"/>
          <w:szCs w:val="21"/>
        </w:rPr>
      </w:pPr>
      <w:r>
        <w:rPr>
          <w:rFonts w:ascii="宋体" w:hAnsi="宋体" w:hint="eastAsia"/>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3、根据《中华人民共和国证券投资基金法》、《公开募集证券投资基金运作管理办法》和《交银施罗德裕通纯债债券型证券投资基金基金合同》的有关规定，本基金管理人决定自2018年3月6日起至2018年4月9日止以通讯方式召开本基金的基金份额持有人大会审议本基金调整管理费率及基金合同修改事宜，本基金管理人已分别于2018年3月5日、3月6日、3月7日在《中国证券报》、《上海证券报》、《证券时报》及本公司网站发布了《交银施罗德基金管理有限公司关于以通讯方式召开交银施罗德裕通纯债债券型证券投资基金基金份额持有人大会的公告》及第一次、第二次提示性公告，详情请见相关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0C0744" w:rsidRDefault="00EB0FEB">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、中国证监会准予交银施罗德裕通纯债债券型证券投资基金募集注册的文件；</w:t>
      </w:r>
      <w:r>
        <w:rPr>
          <w:rFonts w:eastAsiaTheme="minorEastAsia"/>
          <w:color w:val="000000"/>
          <w:sz w:val="24"/>
        </w:rPr>
        <w:t xml:space="preserve"> </w:t>
      </w:r>
    </w:p>
    <w:p w:rsidR="000C0744" w:rsidRDefault="00EB0FEB">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、《交银施罗德裕通纯债债券型证券投资基金基金合同》；</w:t>
      </w:r>
    </w:p>
    <w:p w:rsidR="000C0744" w:rsidRDefault="00EB0FEB">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、《交银施罗德裕通纯债债券型证券投资基金招募说明书》；</w:t>
      </w:r>
      <w:r>
        <w:rPr>
          <w:rFonts w:eastAsiaTheme="minorEastAsia"/>
          <w:color w:val="000000"/>
          <w:sz w:val="24"/>
        </w:rPr>
        <w:t xml:space="preserve"> </w:t>
      </w:r>
    </w:p>
    <w:p w:rsidR="000C0744" w:rsidRDefault="00EB0FEB">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、《交银施罗德裕通纯债债券型证券投资基金托管协议》；</w:t>
      </w:r>
      <w:r>
        <w:rPr>
          <w:rFonts w:eastAsiaTheme="minorEastAsia"/>
          <w:color w:val="000000"/>
          <w:sz w:val="24"/>
        </w:rPr>
        <w:t xml:space="preserve"> </w:t>
      </w:r>
    </w:p>
    <w:p w:rsidR="000C0744" w:rsidRDefault="00EB0FEB">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0C0744" w:rsidRDefault="00EB0FEB">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0C0744" w:rsidRDefault="00EB0FEB">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、关于申请募集注册交银施罗德裕通纯债债券型证券投资基金的法律意见书；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、报告期内交银施罗德裕通纯债债券型证券投资基金在指定报刊上各项公告的原稿。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0C0744" w:rsidRDefault="00EB0FEB">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81C" w:rsidRDefault="00FB581C">
      <w:r>
        <w:separator/>
      </w:r>
    </w:p>
  </w:endnote>
  <w:endnote w:type="continuationSeparator" w:id="0">
    <w:p w:rsidR="00FB581C" w:rsidRDefault="00FB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BF4E99">
      <w:rPr>
        <w:noProof/>
        <w:kern w:val="0"/>
        <w:szCs w:val="21"/>
      </w:rPr>
      <w:t>9</w:t>
    </w:r>
    <w:r w:rsidR="003F1674">
      <w:rPr>
        <w:kern w:val="0"/>
        <w:szCs w:val="21"/>
      </w:rPr>
      <w:fldChar w:fldCharType="end"/>
    </w:r>
    <w:proofErr w:type="gramStart"/>
    <w:r>
      <w:rPr>
        <w:rFonts w:hint="eastAsia"/>
        <w:kern w:val="0"/>
        <w:szCs w:val="21"/>
      </w:rPr>
      <w:t>页共</w:t>
    </w:r>
    <w:proofErr w:type="gramEnd"/>
    <w:r w:rsidR="003F1674">
      <w:rPr>
        <w:kern w:val="0"/>
        <w:szCs w:val="21"/>
      </w:rPr>
      <w:fldChar w:fldCharType="begin"/>
    </w:r>
    <w:r>
      <w:rPr>
        <w:kern w:val="0"/>
        <w:szCs w:val="21"/>
      </w:rPr>
      <w:instrText xml:space="preserve"> NUMPAGES </w:instrText>
    </w:r>
    <w:r w:rsidR="003F1674">
      <w:rPr>
        <w:kern w:val="0"/>
        <w:szCs w:val="21"/>
      </w:rPr>
      <w:fldChar w:fldCharType="separate"/>
    </w:r>
    <w:r w:rsidR="00BF4E99">
      <w:rPr>
        <w:noProof/>
        <w:kern w:val="0"/>
        <w:szCs w:val="21"/>
      </w:rPr>
      <w:t>15</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81C" w:rsidRDefault="00FB581C">
      <w:r>
        <w:separator/>
      </w:r>
    </w:p>
  </w:footnote>
  <w:footnote w:type="continuationSeparator" w:id="0">
    <w:p w:rsidR="00FB581C" w:rsidRDefault="00FB5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w:t>
    </w:r>
    <w:proofErr w:type="gramStart"/>
    <w:r w:rsidRPr="00D3445F">
      <w:rPr>
        <w:rFonts w:eastAsiaTheme="minorEastAsia"/>
        <w:sz w:val="24"/>
      </w:rPr>
      <w:t>通纯债</w:t>
    </w:r>
    <w:proofErr w:type="gramEnd"/>
    <w:r w:rsidRPr="00D3445F">
      <w:rPr>
        <w:rFonts w:eastAsiaTheme="minorEastAsia"/>
        <w:sz w:val="24"/>
      </w:rPr>
      <w:t>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0744"/>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2AE"/>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6FEA"/>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49"/>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B5494"/>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9750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1377"/>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4E99"/>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25B1"/>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17AA"/>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0FEB"/>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581C"/>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 w:type="paragraph" w:styleId="af7">
    <w:name w:val="Revision"/>
    <w:hidden/>
    <w:uiPriority w:val="99"/>
    <w:semiHidden/>
    <w:rsid w:val="002F02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15F77-035B-445E-98B2-8E24DCC872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211</TotalTime>
  <Pages>1</Pages>
  <Words>1300</Words>
  <Characters>7411</Characters>
  <Application>Microsoft Office Word</Application>
  <DocSecurity>0</DocSecurity>
  <Lines>61</Lines>
  <Paragraphs>17</Paragraphs>
  <ScaleCrop>false</ScaleCrop>
  <Company>TRT. Ltd. Co.</Company>
  <LinksUpToDate>false</LinksUpToDate>
  <CharactersWithSpaces>8694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383</cp:revision>
  <cp:lastPrinted>2007-07-19T00:46:00Z</cp:lastPrinted>
  <dcterms:created xsi:type="dcterms:W3CDTF">2014-01-17T06:19:00Z</dcterms:created>
  <dcterms:modified xsi:type="dcterms:W3CDTF">2018-04-19T02:29:00Z</dcterms:modified>
</cp:coreProperties>
</file>