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交银施罗德丰硕收益债券型证券投资基金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3486C" w:rsidRDefault="00D1169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3486C" w:rsidRDefault="00D1169C">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3486C" w:rsidRDefault="00D1169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3486C" w:rsidRDefault="00D1169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3486C" w:rsidRDefault="00D1169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交银丰硕收益债券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w:t>
            </w:r>
            <w:r w:rsidRPr="00414345">
              <w:rPr>
                <w:color w:val="000000"/>
                <w:kern w:val="0"/>
                <w:sz w:val="24"/>
                <w:szCs w:val="24"/>
              </w:rPr>
              <w:t>,</w:t>
            </w:r>
            <w:r w:rsidRPr="00414345">
              <w:rPr>
                <w:color w:val="000000"/>
                <w:kern w:val="0"/>
                <w:sz w:val="24"/>
                <w:szCs w:val="24"/>
              </w:rPr>
              <w:t>本基金在基金合同生效之日起两年（含两年）的期间内封闭式运作（按照基金合同的约定提前转换基金运作方式的除外），封闭期结束后转为开放式运作。</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27,547,234.35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在有效控制风险的前提下</w:t>
            </w:r>
            <w:r w:rsidRPr="00414345">
              <w:rPr>
                <w:color w:val="000000"/>
                <w:kern w:val="0"/>
                <w:sz w:val="24"/>
                <w:szCs w:val="24"/>
              </w:rPr>
              <w:t>,</w:t>
            </w:r>
            <w:r w:rsidRPr="00414345">
              <w:rPr>
                <w:color w:val="000000"/>
                <w:kern w:val="0"/>
                <w:sz w:val="24"/>
                <w:szCs w:val="24"/>
              </w:rPr>
              <w:t>力求获得高于业绩基准的投资收益。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3486C" w:rsidRDefault="00D1169C">
            <w:pPr>
              <w:adjustRightInd w:val="0"/>
              <w:spacing w:before="29" w:line="288" w:lineRule="auto"/>
              <w:ind w:left="17"/>
              <w:jc w:val="left"/>
              <w:rPr>
                <w:color w:val="000000"/>
                <w:sz w:val="24"/>
                <w:szCs w:val="24"/>
              </w:rPr>
            </w:pPr>
            <w:r>
              <w:rPr>
                <w:color w:val="000000"/>
                <w:kern w:val="0"/>
                <w:sz w:val="24"/>
                <w:szCs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w:t>
            </w:r>
            <w:r>
              <w:rPr>
                <w:color w:val="000000"/>
                <w:kern w:val="0"/>
                <w:sz w:val="24"/>
                <w:szCs w:val="24"/>
              </w:rPr>
              <w:lastRenderedPageBreak/>
              <w:t>券的流动性、供求关系和收益率水平等，自下而上精选投资标的。</w:t>
            </w:r>
          </w:p>
          <w:p w:rsidR="0013486C" w:rsidRDefault="0013486C">
            <w:pPr>
              <w:adjustRightInd w:val="0"/>
              <w:spacing w:before="29" w:line="288" w:lineRule="auto"/>
              <w:ind w:left="17"/>
              <w:jc w:val="left"/>
              <w:rPr>
                <w:color w:val="000000"/>
                <w:sz w:val="24"/>
                <w:szCs w:val="24"/>
              </w:rPr>
            </w:pP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3486C" w:rsidRDefault="00D1169C">
            <w:pPr>
              <w:adjustRightInd w:val="0"/>
              <w:spacing w:before="29" w:line="288" w:lineRule="auto"/>
              <w:ind w:left="17"/>
              <w:jc w:val="left"/>
              <w:rPr>
                <w:color w:val="000000"/>
                <w:sz w:val="24"/>
                <w:szCs w:val="24"/>
              </w:rPr>
            </w:pPr>
            <w:r>
              <w:rPr>
                <w:color w:val="000000"/>
                <w:kern w:val="0"/>
                <w:sz w:val="24"/>
                <w:szCs w:val="24"/>
              </w:rPr>
              <w:t>封闭期内业绩比较基准：两年期银行定期存款税后收益率</w:t>
            </w:r>
            <w:r>
              <w:rPr>
                <w:color w:val="000000"/>
                <w:kern w:val="0"/>
                <w:sz w:val="24"/>
                <w:szCs w:val="24"/>
              </w:rPr>
              <w:t>+1.25%</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开放期内业绩比较基准：中债综合全价指数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本基金是一只债券型基金，其风险与预期收益高于货币市场基金，低于混合型基金和股票型基金，属于证券投资基金中中等风险的品种。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注：本基金自</w:t>
      </w:r>
      <w:r w:rsidRPr="00414345">
        <w:rPr>
          <w:color w:val="000000"/>
          <w:sz w:val="24"/>
          <w:szCs w:val="24"/>
        </w:rPr>
        <w:t>2017</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10</w:t>
      </w:r>
      <w:r w:rsidRPr="00414345">
        <w:rPr>
          <w:color w:val="000000"/>
          <w:sz w:val="24"/>
          <w:szCs w:val="24"/>
        </w:rPr>
        <w:t>日起转为开放式运作。</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B2DC4" w:rsidRPr="00414345" w:rsidTr="007B2DC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B2DC4" w:rsidRPr="00414345" w:rsidTr="007B2DC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154,471.68</w:t>
            </w:r>
          </w:p>
        </w:tc>
      </w:tr>
      <w:tr w:rsidR="007B2DC4" w:rsidRPr="00414345" w:rsidTr="007B2DC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335,126.89</w:t>
            </w:r>
          </w:p>
        </w:tc>
      </w:tr>
      <w:tr w:rsidR="007B2DC4" w:rsidRPr="00414345" w:rsidTr="007B2DC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0.0092</w:t>
            </w:r>
          </w:p>
        </w:tc>
      </w:tr>
      <w:tr w:rsidR="007B2DC4" w:rsidRPr="00414345" w:rsidTr="007B2DC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27,860,039.24</w:t>
            </w:r>
          </w:p>
        </w:tc>
      </w:tr>
      <w:tr w:rsidR="007B2DC4" w:rsidRPr="00414345" w:rsidTr="007B2DC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1.011</w:t>
            </w:r>
          </w:p>
        </w:tc>
      </w:tr>
    </w:tbl>
    <w:p w:rsidR="0013486C" w:rsidRDefault="00D1169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3486C">
        <w:trPr>
          <w:jc w:val="center"/>
        </w:trPr>
        <w:tc>
          <w:tcPr>
            <w:tcW w:w="1701" w:type="dxa"/>
            <w:vAlign w:val="center"/>
          </w:tcPr>
          <w:p w:rsidR="0013486C" w:rsidRDefault="00D1169C">
            <w:pPr>
              <w:jc w:val="left"/>
            </w:pPr>
            <w:r>
              <w:rPr>
                <w:color w:val="000000"/>
                <w:sz w:val="24"/>
                <w:szCs w:val="24"/>
              </w:rPr>
              <w:t>过去三个月</w:t>
            </w:r>
          </w:p>
        </w:tc>
        <w:tc>
          <w:tcPr>
            <w:tcW w:w="1045" w:type="dxa"/>
            <w:vAlign w:val="center"/>
          </w:tcPr>
          <w:p w:rsidR="0013486C" w:rsidRDefault="00D1169C">
            <w:pPr>
              <w:jc w:val="center"/>
            </w:pPr>
            <w:r>
              <w:rPr>
                <w:color w:val="000000"/>
                <w:sz w:val="24"/>
                <w:szCs w:val="24"/>
              </w:rPr>
              <w:t>0.90%</w:t>
            </w:r>
          </w:p>
        </w:tc>
        <w:tc>
          <w:tcPr>
            <w:tcW w:w="1344" w:type="dxa"/>
            <w:vAlign w:val="center"/>
          </w:tcPr>
          <w:p w:rsidR="0013486C" w:rsidRDefault="00D1169C">
            <w:pPr>
              <w:jc w:val="center"/>
            </w:pPr>
            <w:r>
              <w:rPr>
                <w:color w:val="000000"/>
                <w:sz w:val="24"/>
                <w:szCs w:val="24"/>
              </w:rPr>
              <w:t>0.05%</w:t>
            </w:r>
          </w:p>
        </w:tc>
        <w:tc>
          <w:tcPr>
            <w:tcW w:w="1194" w:type="dxa"/>
            <w:vAlign w:val="center"/>
          </w:tcPr>
          <w:p w:rsidR="0013486C" w:rsidRDefault="00D1169C">
            <w:pPr>
              <w:jc w:val="center"/>
            </w:pPr>
            <w:r>
              <w:rPr>
                <w:color w:val="000000"/>
                <w:sz w:val="24"/>
                <w:szCs w:val="24"/>
              </w:rPr>
              <w:t>1.13%</w:t>
            </w:r>
          </w:p>
        </w:tc>
        <w:tc>
          <w:tcPr>
            <w:tcW w:w="1492" w:type="dxa"/>
            <w:vAlign w:val="center"/>
          </w:tcPr>
          <w:p w:rsidR="0013486C" w:rsidRDefault="00D1169C">
            <w:pPr>
              <w:jc w:val="center"/>
            </w:pPr>
            <w:r>
              <w:rPr>
                <w:color w:val="000000"/>
                <w:sz w:val="24"/>
                <w:szCs w:val="24"/>
              </w:rPr>
              <w:t>0.04%</w:t>
            </w:r>
          </w:p>
        </w:tc>
        <w:tc>
          <w:tcPr>
            <w:tcW w:w="1194" w:type="dxa"/>
            <w:vAlign w:val="center"/>
          </w:tcPr>
          <w:p w:rsidR="0013486C" w:rsidRDefault="00D1169C">
            <w:pPr>
              <w:jc w:val="center"/>
            </w:pPr>
            <w:r>
              <w:rPr>
                <w:color w:val="000000"/>
                <w:sz w:val="24"/>
                <w:szCs w:val="24"/>
              </w:rPr>
              <w:t>-0.23%</w:t>
            </w:r>
          </w:p>
        </w:tc>
        <w:tc>
          <w:tcPr>
            <w:tcW w:w="898" w:type="dxa"/>
            <w:vAlign w:val="center"/>
          </w:tcPr>
          <w:p w:rsidR="0013486C" w:rsidRDefault="00D1169C">
            <w:pPr>
              <w:jc w:val="center"/>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注：本基金自</w:t>
      </w:r>
      <w:r w:rsidRPr="00414345">
        <w:rPr>
          <w:color w:val="000000"/>
          <w:sz w:val="24"/>
          <w:szCs w:val="24"/>
        </w:rPr>
        <w:t>2017</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10</w:t>
      </w:r>
      <w:r w:rsidRPr="00414345">
        <w:rPr>
          <w:color w:val="000000"/>
          <w:sz w:val="24"/>
          <w:szCs w:val="24"/>
        </w:rPr>
        <w:t>日起转为开放式运作，本基金的业绩比较基准由</w:t>
      </w:r>
      <w:r w:rsidRPr="00414345">
        <w:rPr>
          <w:color w:val="000000"/>
          <w:sz w:val="24"/>
          <w:szCs w:val="24"/>
        </w:rPr>
        <w:t>“</w:t>
      </w:r>
      <w:r w:rsidRPr="00414345">
        <w:rPr>
          <w:color w:val="000000"/>
          <w:sz w:val="24"/>
          <w:szCs w:val="24"/>
        </w:rPr>
        <w:t>两年期银行定期存款税后收益率</w:t>
      </w:r>
      <w:r w:rsidRPr="00414345">
        <w:rPr>
          <w:color w:val="000000"/>
          <w:sz w:val="24"/>
          <w:szCs w:val="24"/>
        </w:rPr>
        <w:t>+1.25%”</w:t>
      </w:r>
      <w:r w:rsidRPr="00414345">
        <w:rPr>
          <w:color w:val="000000"/>
          <w:sz w:val="24"/>
          <w:szCs w:val="24"/>
        </w:rPr>
        <w:t>变更为</w:t>
      </w:r>
      <w:r w:rsidRPr="00414345">
        <w:rPr>
          <w:color w:val="000000"/>
          <w:sz w:val="24"/>
          <w:szCs w:val="24"/>
        </w:rPr>
        <w:t>“</w:t>
      </w:r>
      <w:r w:rsidRPr="00414345">
        <w:rPr>
          <w:color w:val="000000"/>
          <w:sz w:val="24"/>
          <w:szCs w:val="24"/>
        </w:rPr>
        <w:t>中债综合全价指数</w:t>
      </w:r>
      <w:r w:rsidRPr="00414345">
        <w:rPr>
          <w:color w:val="000000"/>
          <w:sz w:val="24"/>
          <w:szCs w:val="24"/>
        </w:rPr>
        <w:t>”</w:t>
      </w:r>
      <w:r w:rsidRPr="00414345">
        <w:rPr>
          <w:color w:val="000000"/>
          <w:sz w:val="24"/>
          <w:szCs w:val="24"/>
        </w:rPr>
        <w:t>。</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交银施罗德丰硕收益债券型证券投资基金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3486C">
        <w:trPr>
          <w:jc w:val="center"/>
        </w:trPr>
        <w:tc>
          <w:tcPr>
            <w:tcW w:w="846" w:type="dxa"/>
            <w:vAlign w:val="center"/>
          </w:tcPr>
          <w:p w:rsidR="0013486C" w:rsidRDefault="00D1169C">
            <w:pPr>
              <w:jc w:val="center"/>
            </w:pPr>
            <w:r>
              <w:rPr>
                <w:color w:val="000000"/>
                <w:sz w:val="24"/>
                <w:szCs w:val="24"/>
              </w:rPr>
              <w:t>于海颖</w:t>
            </w:r>
          </w:p>
        </w:tc>
        <w:tc>
          <w:tcPr>
            <w:tcW w:w="845" w:type="dxa"/>
            <w:vAlign w:val="center"/>
          </w:tcPr>
          <w:p w:rsidR="0013486C" w:rsidRDefault="00D1169C">
            <w:pPr>
              <w:jc w:val="center"/>
            </w:pPr>
            <w:r>
              <w:rPr>
                <w:color w:val="000000"/>
                <w:sz w:val="24"/>
                <w:szCs w:val="24"/>
              </w:rPr>
              <w:t>交银增利债券、交银纯债债券发起、交银荣祥保本混合、交银定期支付月月丰债券、交银增强收益债券、交银强化回报债券、交银丰盈收益债券、交银丰硕收益债券、交银荣鑫保本混</w:t>
            </w:r>
            <w:r>
              <w:rPr>
                <w:color w:val="000000"/>
                <w:sz w:val="24"/>
                <w:szCs w:val="24"/>
              </w:rPr>
              <w:lastRenderedPageBreak/>
              <w:t>合、交银增利增强债券的基金经理，公司固定收益（公募）投资总监</w:t>
            </w:r>
          </w:p>
        </w:tc>
        <w:tc>
          <w:tcPr>
            <w:tcW w:w="1549" w:type="dxa"/>
            <w:vAlign w:val="center"/>
          </w:tcPr>
          <w:p w:rsidR="0013486C" w:rsidRDefault="00D1169C">
            <w:pPr>
              <w:jc w:val="center"/>
            </w:pPr>
            <w:r>
              <w:rPr>
                <w:color w:val="000000"/>
                <w:sz w:val="24"/>
                <w:szCs w:val="24"/>
              </w:rPr>
              <w:lastRenderedPageBreak/>
              <w:t>2017-06-10</w:t>
            </w:r>
          </w:p>
        </w:tc>
        <w:tc>
          <w:tcPr>
            <w:tcW w:w="1548" w:type="dxa"/>
            <w:vAlign w:val="center"/>
          </w:tcPr>
          <w:p w:rsidR="0013486C" w:rsidRDefault="00D1169C">
            <w:pPr>
              <w:jc w:val="center"/>
            </w:pPr>
            <w:r>
              <w:rPr>
                <w:color w:val="000000"/>
                <w:sz w:val="24"/>
                <w:szCs w:val="24"/>
              </w:rPr>
              <w:t>-</w:t>
            </w:r>
          </w:p>
        </w:tc>
        <w:tc>
          <w:tcPr>
            <w:tcW w:w="1407" w:type="dxa"/>
            <w:vAlign w:val="center"/>
          </w:tcPr>
          <w:p w:rsidR="0013486C" w:rsidRDefault="00D1169C">
            <w:pPr>
              <w:jc w:val="center"/>
            </w:pPr>
            <w:r>
              <w:rPr>
                <w:color w:val="000000"/>
                <w:sz w:val="24"/>
                <w:szCs w:val="24"/>
              </w:rPr>
              <w:t>12</w:t>
            </w:r>
            <w:r>
              <w:rPr>
                <w:color w:val="000000"/>
                <w:sz w:val="24"/>
                <w:szCs w:val="24"/>
              </w:rPr>
              <w:t>年</w:t>
            </w:r>
          </w:p>
        </w:tc>
        <w:tc>
          <w:tcPr>
            <w:tcW w:w="2673" w:type="dxa"/>
            <w:vAlign w:val="center"/>
          </w:tcPr>
          <w:p w:rsidR="0013486C" w:rsidRDefault="00D1169C">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w:t>
            </w:r>
            <w:r>
              <w:rPr>
                <w:color w:val="000000"/>
                <w:sz w:val="24"/>
                <w:szCs w:val="24"/>
              </w:rPr>
              <w:lastRenderedPageBreak/>
              <w:t>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3486C" w:rsidRDefault="00D1169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3486C" w:rsidRDefault="00D1169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3486C" w:rsidRDefault="00D1169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w:t>
      </w:r>
      <w:r w:rsidRPr="00414345">
        <w:rPr>
          <w:color w:val="000000"/>
          <w:sz w:val="24"/>
          <w:szCs w:val="24"/>
        </w:rPr>
        <w:lastRenderedPageBreak/>
        <w:t>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3486C" w:rsidRDefault="00D1169C">
      <w:pPr>
        <w:spacing w:before="29" w:line="288" w:lineRule="auto"/>
        <w:ind w:firstLineChars="200" w:firstLine="480"/>
        <w:rPr>
          <w:color w:val="000000"/>
          <w:sz w:val="24"/>
          <w:szCs w:val="24"/>
        </w:rPr>
      </w:pPr>
      <w:r>
        <w:rPr>
          <w:color w:val="000000"/>
          <w:sz w:val="24"/>
          <w:szCs w:val="24"/>
        </w:rPr>
        <w:t>今年以来，债券市场经历了一波收益率先上后下的行情</w:t>
      </w:r>
      <w:r>
        <w:rPr>
          <w:color w:val="000000"/>
          <w:sz w:val="24"/>
          <w:szCs w:val="24"/>
        </w:rPr>
        <w:t>.</w:t>
      </w:r>
      <w:r>
        <w:rPr>
          <w:color w:val="000000"/>
          <w:sz w:val="24"/>
          <w:szCs w:val="24"/>
        </w:rPr>
        <w:t>年初在流动性紧张等因素的综合影响下，关键年期</w:t>
      </w:r>
      <w:r>
        <w:rPr>
          <w:color w:val="000000"/>
          <w:sz w:val="24"/>
          <w:szCs w:val="24"/>
        </w:rPr>
        <w:t>10</w:t>
      </w:r>
      <w:r>
        <w:rPr>
          <w:color w:val="000000"/>
          <w:sz w:val="24"/>
          <w:szCs w:val="24"/>
        </w:rPr>
        <w:t>年期国开债收益率上行约</w:t>
      </w:r>
      <w:r>
        <w:rPr>
          <w:color w:val="000000"/>
          <w:sz w:val="24"/>
          <w:szCs w:val="24"/>
        </w:rPr>
        <w:t>30BP</w:t>
      </w:r>
      <w:r>
        <w:rPr>
          <w:color w:val="000000"/>
          <w:sz w:val="24"/>
          <w:szCs w:val="24"/>
        </w:rPr>
        <w:t>至年内</w:t>
      </w:r>
      <w:r>
        <w:rPr>
          <w:color w:val="000000"/>
          <w:sz w:val="24"/>
          <w:szCs w:val="24"/>
        </w:rPr>
        <w:t>5.12%</w:t>
      </w:r>
      <w:r>
        <w:rPr>
          <w:color w:val="000000"/>
          <w:sz w:val="24"/>
          <w:szCs w:val="24"/>
        </w:rPr>
        <w:t>的高点，随着基本面和资金面预期的修复，收益率出现较大幅度的下行，截至一季末，</w:t>
      </w:r>
      <w:r>
        <w:rPr>
          <w:color w:val="000000"/>
          <w:sz w:val="24"/>
          <w:szCs w:val="24"/>
        </w:rPr>
        <w:t>10</w:t>
      </w:r>
      <w:r>
        <w:rPr>
          <w:color w:val="000000"/>
          <w:sz w:val="24"/>
          <w:szCs w:val="24"/>
        </w:rPr>
        <w:t>年期国开债的收益率下行至</w:t>
      </w:r>
      <w:r>
        <w:rPr>
          <w:color w:val="000000"/>
          <w:sz w:val="24"/>
          <w:szCs w:val="24"/>
        </w:rPr>
        <w:t>4.7%</w:t>
      </w:r>
      <w:r>
        <w:rPr>
          <w:color w:val="000000"/>
          <w:sz w:val="24"/>
          <w:szCs w:val="24"/>
        </w:rPr>
        <w:t>左右，较</w:t>
      </w:r>
      <w:r>
        <w:rPr>
          <w:color w:val="000000"/>
          <w:sz w:val="24"/>
          <w:szCs w:val="24"/>
        </w:rPr>
        <w:t>2017</w:t>
      </w:r>
      <w:r>
        <w:rPr>
          <w:color w:val="000000"/>
          <w:sz w:val="24"/>
          <w:szCs w:val="24"/>
        </w:rPr>
        <w:t>年年末下行了约</w:t>
      </w:r>
      <w:r>
        <w:rPr>
          <w:color w:val="000000"/>
          <w:sz w:val="24"/>
          <w:szCs w:val="24"/>
        </w:rPr>
        <w:t>18BP</w:t>
      </w:r>
      <w:r>
        <w:rPr>
          <w:color w:val="000000"/>
          <w:sz w:val="24"/>
          <w:szCs w:val="24"/>
        </w:rPr>
        <w:t>。多方面因素共同推动了债券收益率明显下行。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上调公开市场</w:t>
      </w:r>
      <w:r>
        <w:rPr>
          <w:color w:val="000000"/>
          <w:sz w:val="24"/>
          <w:szCs w:val="24"/>
        </w:rPr>
        <w:t>5BP</w:t>
      </w:r>
      <w:r>
        <w:rPr>
          <w:color w:val="000000"/>
          <w:sz w:val="24"/>
          <w:szCs w:val="24"/>
        </w:rPr>
        <w:t>，上调幅度符合市场预期。在以上因素的综合影响下，整体债券市场情绪明显恢复。</w:t>
      </w:r>
    </w:p>
    <w:p w:rsidR="0013486C" w:rsidRDefault="00D1169C">
      <w:pPr>
        <w:spacing w:before="29" w:line="288" w:lineRule="auto"/>
        <w:ind w:firstLineChars="200" w:firstLine="480"/>
        <w:rPr>
          <w:color w:val="000000"/>
          <w:sz w:val="24"/>
          <w:szCs w:val="24"/>
        </w:rPr>
      </w:pPr>
      <w:r>
        <w:rPr>
          <w:color w:val="000000"/>
          <w:sz w:val="24"/>
          <w:szCs w:val="24"/>
        </w:rPr>
        <w:t>报告期内，基于对债券市场机会的把握，结合组合规模的现状，组合择机增配了交易所偏长久期的利率债，增强组合收益。</w:t>
      </w:r>
    </w:p>
    <w:p w:rsidR="0013486C" w:rsidRDefault="00D1169C">
      <w:pPr>
        <w:spacing w:before="29" w:line="288" w:lineRule="auto"/>
        <w:ind w:firstLineChars="200" w:firstLine="480"/>
        <w:rPr>
          <w:color w:val="000000"/>
          <w:sz w:val="24"/>
          <w:szCs w:val="24"/>
        </w:rPr>
      </w:pPr>
      <w:r>
        <w:rPr>
          <w:color w:val="000000"/>
          <w:sz w:val="24"/>
          <w:szCs w:val="24"/>
        </w:rPr>
        <w:t>展望二季度，我们判断债市可能在波折中缓慢下行。首先，随着金融去杠杆的推进，去杠杆任务更加侧重于实体层面，我们认为后期债市关注焦点将回归经济基本面。其次，经济基本面方面，我们关注随着实体去杠杆和表外融资压缩，更多的融资转向表内，而表内信贷额度有限制，整体融资结构将会呈现出</w:t>
      </w:r>
      <w:r>
        <w:rPr>
          <w:color w:val="000000"/>
          <w:sz w:val="24"/>
          <w:szCs w:val="24"/>
        </w:rPr>
        <w:t>“</w:t>
      </w:r>
      <w:r>
        <w:rPr>
          <w:color w:val="000000"/>
          <w:sz w:val="24"/>
          <w:szCs w:val="24"/>
        </w:rPr>
        <w:t>宽货币</w:t>
      </w:r>
      <w:r>
        <w:rPr>
          <w:color w:val="000000"/>
          <w:sz w:val="24"/>
          <w:szCs w:val="24"/>
        </w:rPr>
        <w:t>”</w:t>
      </w:r>
      <w:r>
        <w:rPr>
          <w:color w:val="000000"/>
          <w:sz w:val="24"/>
          <w:szCs w:val="24"/>
        </w:rPr>
        <w:t>和</w:t>
      </w:r>
      <w:r>
        <w:rPr>
          <w:color w:val="000000"/>
          <w:sz w:val="24"/>
          <w:szCs w:val="24"/>
        </w:rPr>
        <w:t>“</w:t>
      </w:r>
      <w:r>
        <w:rPr>
          <w:color w:val="000000"/>
          <w:sz w:val="24"/>
          <w:szCs w:val="24"/>
        </w:rPr>
        <w:t>紧信用</w:t>
      </w:r>
      <w:r>
        <w:rPr>
          <w:color w:val="000000"/>
          <w:sz w:val="24"/>
          <w:szCs w:val="24"/>
        </w:rPr>
        <w:t>”</w:t>
      </w:r>
      <w:r>
        <w:rPr>
          <w:color w:val="000000"/>
          <w:sz w:val="24"/>
          <w:szCs w:val="24"/>
        </w:rPr>
        <w:t>的组合，对债市形成支撑。再次，在海外经济环境方面，我们也关注到随着人民币汇率的升值和贸易战局势的推进，</w:t>
      </w:r>
      <w:r>
        <w:rPr>
          <w:color w:val="000000"/>
          <w:sz w:val="24"/>
          <w:szCs w:val="24"/>
        </w:rPr>
        <w:t>2017</w:t>
      </w:r>
      <w:r>
        <w:rPr>
          <w:color w:val="000000"/>
          <w:sz w:val="24"/>
          <w:szCs w:val="24"/>
        </w:rPr>
        <w:t>年拉动经济增长的重要推动力出口将明显弱化。最后，在通胀方面，虽然今年</w:t>
      </w:r>
      <w:r>
        <w:rPr>
          <w:color w:val="000000"/>
          <w:sz w:val="24"/>
          <w:szCs w:val="24"/>
        </w:rPr>
        <w:t>CPI</w:t>
      </w:r>
      <w:r>
        <w:rPr>
          <w:color w:val="000000"/>
          <w:sz w:val="24"/>
          <w:szCs w:val="24"/>
        </w:rPr>
        <w:t>由于基数较低，整体的中枢较</w:t>
      </w:r>
      <w:r>
        <w:rPr>
          <w:color w:val="000000"/>
          <w:sz w:val="24"/>
          <w:szCs w:val="24"/>
        </w:rPr>
        <w:t>2017</w:t>
      </w:r>
      <w:r>
        <w:rPr>
          <w:color w:val="000000"/>
          <w:sz w:val="24"/>
          <w:szCs w:val="24"/>
        </w:rPr>
        <w:t>年有所提高，但</w:t>
      </w:r>
      <w:r>
        <w:rPr>
          <w:color w:val="000000"/>
          <w:sz w:val="24"/>
          <w:szCs w:val="24"/>
        </w:rPr>
        <w:t>PPI</w:t>
      </w:r>
      <w:r>
        <w:rPr>
          <w:color w:val="000000"/>
          <w:sz w:val="24"/>
          <w:szCs w:val="24"/>
        </w:rPr>
        <w:t>随着商品价格的回落。同时高基数影响，将明显回落。</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综合考虑以上因素，我们预计市场整体将会相对保持平稳态势，债券收益率具有一定的投资机会。我们将适当提高组合久期。同时，我们认为低等级信用债利差未能充分反应未来的信用风险，因此在信用债的操作中，主要以中高等级的信用债为底仓，择机进行长久期利率债的波段操作，以期增强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1.011</w:t>
      </w:r>
      <w:r w:rsidRPr="00414345">
        <w:rPr>
          <w:color w:val="000000"/>
          <w:sz w:val="24"/>
          <w:szCs w:val="24"/>
        </w:rPr>
        <w:t>元，本报告期份额净值增长率为</w:t>
      </w:r>
      <w:r w:rsidRPr="00414345">
        <w:rPr>
          <w:color w:val="000000"/>
          <w:sz w:val="24"/>
          <w:szCs w:val="24"/>
        </w:rPr>
        <w:t>0.90%</w:t>
      </w:r>
      <w:r w:rsidRPr="00414345">
        <w:rPr>
          <w:color w:val="000000"/>
          <w:sz w:val="24"/>
          <w:szCs w:val="24"/>
        </w:rPr>
        <w:t>，同期业绩比较基准增长率为</w:t>
      </w:r>
      <w:r w:rsidRPr="00414345">
        <w:rPr>
          <w:color w:val="000000"/>
          <w:sz w:val="24"/>
          <w:szCs w:val="24"/>
        </w:rPr>
        <w:t>1.13%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B2DC4" w:rsidRPr="007B2DC4" w:rsidRDefault="007B2DC4" w:rsidP="00421CD2">
      <w:pPr>
        <w:spacing w:before="29" w:line="288" w:lineRule="auto"/>
        <w:ind w:firstLineChars="200" w:firstLine="480"/>
        <w:rPr>
          <w:color w:val="000000"/>
          <w:sz w:val="24"/>
        </w:rPr>
      </w:pPr>
      <w:r w:rsidRPr="007B2DC4">
        <w:rPr>
          <w:rFonts w:hint="eastAsia"/>
          <w:color w:val="000000"/>
          <w:sz w:val="24"/>
        </w:rPr>
        <w:t>本基金本报告期内连续二十个工作日以上出现基金资产净值低于</w:t>
      </w:r>
      <w:r w:rsidRPr="007B2DC4">
        <w:rPr>
          <w:rFonts w:hint="eastAsia"/>
          <w:color w:val="000000"/>
          <w:sz w:val="24"/>
        </w:rPr>
        <w:t>5000</w:t>
      </w:r>
      <w:r w:rsidRPr="007B2DC4">
        <w:rPr>
          <w:rFonts w:hint="eastAsia"/>
          <w:color w:val="000000"/>
          <w:sz w:val="24"/>
        </w:rPr>
        <w:t>万元的情形，截至本报告期末，本基金基金资产净值仍低于</w:t>
      </w:r>
      <w:r w:rsidRPr="007B2DC4">
        <w:rPr>
          <w:rFonts w:hint="eastAsia"/>
          <w:color w:val="000000"/>
          <w:sz w:val="24"/>
        </w:rPr>
        <w:t>5000</w:t>
      </w:r>
      <w:r w:rsidRPr="007B2DC4">
        <w:rPr>
          <w:rFonts w:hint="eastAsia"/>
          <w:color w:val="000000"/>
          <w:sz w:val="24"/>
        </w:rPr>
        <w:t>万元，本基金已于</w:t>
      </w:r>
      <w:r w:rsidRPr="007B2DC4">
        <w:rPr>
          <w:rFonts w:hint="eastAsia"/>
          <w:color w:val="000000"/>
          <w:sz w:val="24"/>
        </w:rPr>
        <w:t>2018</w:t>
      </w:r>
      <w:r w:rsidRPr="007B2DC4">
        <w:rPr>
          <w:rFonts w:hint="eastAsia"/>
          <w:color w:val="000000"/>
          <w:sz w:val="24"/>
        </w:rPr>
        <w:t>年</w:t>
      </w:r>
      <w:r w:rsidRPr="007B2DC4">
        <w:rPr>
          <w:rFonts w:hint="eastAsia"/>
          <w:color w:val="000000"/>
          <w:sz w:val="24"/>
        </w:rPr>
        <w:t>4</w:t>
      </w:r>
      <w:r w:rsidRPr="007B2DC4">
        <w:rPr>
          <w:rFonts w:hint="eastAsia"/>
          <w:color w:val="000000"/>
          <w:sz w:val="24"/>
        </w:rPr>
        <w:t>月</w:t>
      </w:r>
      <w:r w:rsidRPr="007B2DC4">
        <w:rPr>
          <w:rFonts w:hint="eastAsia"/>
          <w:color w:val="000000"/>
          <w:sz w:val="24"/>
        </w:rPr>
        <w:t>18</w:t>
      </w:r>
      <w:r w:rsidRPr="007B2DC4">
        <w:rPr>
          <w:rFonts w:hint="eastAsia"/>
          <w:color w:val="000000"/>
          <w:sz w:val="24"/>
        </w:rPr>
        <w:t>日进入清算程序。</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26,969,188.00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94.37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26,969,188.00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94.37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337,809.80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1,272,371.61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4.45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28,579,369.41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7B2DC4" w:rsidRPr="007B2DC4" w:rsidRDefault="007B2DC4" w:rsidP="00C15CAC">
      <w:pPr>
        <w:autoSpaceDE w:val="0"/>
        <w:autoSpaceDN w:val="0"/>
        <w:adjustRightInd w:val="0"/>
        <w:spacing w:before="29" w:line="288" w:lineRule="auto"/>
        <w:jc w:val="left"/>
        <w:rPr>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26,969,188.00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26,969,188.00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26,969,188.00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96.80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3486C">
        <w:trPr>
          <w:jc w:val="center"/>
        </w:trPr>
        <w:tc>
          <w:tcPr>
            <w:tcW w:w="850" w:type="dxa"/>
            <w:vAlign w:val="center"/>
          </w:tcPr>
          <w:p w:rsidR="0013486C" w:rsidRDefault="00D1169C">
            <w:pPr>
              <w:jc w:val="center"/>
            </w:pPr>
            <w:r>
              <w:rPr>
                <w:color w:val="000000"/>
                <w:sz w:val="24"/>
                <w:szCs w:val="24"/>
              </w:rPr>
              <w:t>1</w:t>
            </w:r>
          </w:p>
        </w:tc>
        <w:tc>
          <w:tcPr>
            <w:tcW w:w="1475" w:type="dxa"/>
            <w:vAlign w:val="center"/>
          </w:tcPr>
          <w:p w:rsidR="0013486C" w:rsidRDefault="00D1169C">
            <w:pPr>
              <w:jc w:val="center"/>
            </w:pPr>
            <w:r>
              <w:rPr>
                <w:color w:val="000000"/>
                <w:sz w:val="24"/>
                <w:szCs w:val="24"/>
              </w:rPr>
              <w:t>018005</w:t>
            </w:r>
          </w:p>
        </w:tc>
        <w:tc>
          <w:tcPr>
            <w:tcW w:w="1769" w:type="dxa"/>
            <w:vAlign w:val="center"/>
          </w:tcPr>
          <w:p w:rsidR="0013486C" w:rsidRDefault="00D1169C">
            <w:pPr>
              <w:jc w:val="center"/>
            </w:pPr>
            <w:r>
              <w:rPr>
                <w:color w:val="000000"/>
                <w:sz w:val="24"/>
                <w:szCs w:val="24"/>
              </w:rPr>
              <w:t>国开</w:t>
            </w:r>
            <w:r>
              <w:rPr>
                <w:color w:val="000000"/>
                <w:sz w:val="24"/>
                <w:szCs w:val="24"/>
              </w:rPr>
              <w:t>1701</w:t>
            </w:r>
          </w:p>
        </w:tc>
        <w:tc>
          <w:tcPr>
            <w:tcW w:w="1387" w:type="dxa"/>
            <w:vAlign w:val="center"/>
          </w:tcPr>
          <w:p w:rsidR="0013486C" w:rsidRDefault="00D1169C">
            <w:pPr>
              <w:jc w:val="right"/>
            </w:pPr>
            <w:r>
              <w:rPr>
                <w:color w:val="000000"/>
                <w:sz w:val="24"/>
                <w:szCs w:val="24"/>
              </w:rPr>
              <w:t>155,000</w:t>
            </w:r>
          </w:p>
        </w:tc>
        <w:tc>
          <w:tcPr>
            <w:tcW w:w="2150" w:type="dxa"/>
            <w:vAlign w:val="center"/>
          </w:tcPr>
          <w:p w:rsidR="0013486C" w:rsidRDefault="00D1169C">
            <w:pPr>
              <w:jc w:val="right"/>
            </w:pPr>
            <w:r>
              <w:rPr>
                <w:color w:val="000000"/>
                <w:sz w:val="24"/>
                <w:szCs w:val="24"/>
              </w:rPr>
              <w:t>15,472,100.00</w:t>
            </w:r>
          </w:p>
        </w:tc>
        <w:tc>
          <w:tcPr>
            <w:tcW w:w="1237" w:type="dxa"/>
            <w:vAlign w:val="center"/>
          </w:tcPr>
          <w:p w:rsidR="0013486C" w:rsidRDefault="00D1169C">
            <w:pPr>
              <w:jc w:val="right"/>
            </w:pPr>
            <w:r>
              <w:rPr>
                <w:color w:val="000000"/>
                <w:sz w:val="24"/>
                <w:szCs w:val="24"/>
              </w:rPr>
              <w:t>55.54</w:t>
            </w:r>
          </w:p>
        </w:tc>
      </w:tr>
      <w:tr w:rsidR="0013486C">
        <w:trPr>
          <w:jc w:val="center"/>
        </w:trPr>
        <w:tc>
          <w:tcPr>
            <w:tcW w:w="850" w:type="dxa"/>
            <w:vAlign w:val="center"/>
          </w:tcPr>
          <w:p w:rsidR="0013486C" w:rsidRDefault="00D1169C">
            <w:pPr>
              <w:jc w:val="center"/>
            </w:pPr>
            <w:r>
              <w:rPr>
                <w:color w:val="000000"/>
                <w:sz w:val="24"/>
                <w:szCs w:val="24"/>
              </w:rPr>
              <w:t>2</w:t>
            </w:r>
          </w:p>
        </w:tc>
        <w:tc>
          <w:tcPr>
            <w:tcW w:w="1475" w:type="dxa"/>
            <w:vAlign w:val="center"/>
          </w:tcPr>
          <w:p w:rsidR="0013486C" w:rsidRDefault="00D1169C">
            <w:pPr>
              <w:jc w:val="center"/>
            </w:pPr>
            <w:r>
              <w:rPr>
                <w:color w:val="000000"/>
                <w:sz w:val="24"/>
                <w:szCs w:val="24"/>
              </w:rPr>
              <w:t>018006</w:t>
            </w:r>
          </w:p>
        </w:tc>
        <w:tc>
          <w:tcPr>
            <w:tcW w:w="1769" w:type="dxa"/>
            <w:vAlign w:val="center"/>
          </w:tcPr>
          <w:p w:rsidR="0013486C" w:rsidRDefault="00D1169C">
            <w:pPr>
              <w:jc w:val="center"/>
            </w:pPr>
            <w:r>
              <w:rPr>
                <w:color w:val="000000"/>
                <w:sz w:val="24"/>
                <w:szCs w:val="24"/>
              </w:rPr>
              <w:t>国开</w:t>
            </w:r>
            <w:r>
              <w:rPr>
                <w:color w:val="000000"/>
                <w:sz w:val="24"/>
                <w:szCs w:val="24"/>
              </w:rPr>
              <w:t>1702</w:t>
            </w:r>
          </w:p>
        </w:tc>
        <w:tc>
          <w:tcPr>
            <w:tcW w:w="1387" w:type="dxa"/>
            <w:vAlign w:val="center"/>
          </w:tcPr>
          <w:p w:rsidR="0013486C" w:rsidRDefault="00D1169C">
            <w:pPr>
              <w:jc w:val="right"/>
            </w:pPr>
            <w:r>
              <w:rPr>
                <w:color w:val="000000"/>
                <w:sz w:val="24"/>
                <w:szCs w:val="24"/>
              </w:rPr>
              <w:t>66,600</w:t>
            </w:r>
          </w:p>
        </w:tc>
        <w:tc>
          <w:tcPr>
            <w:tcW w:w="2150" w:type="dxa"/>
            <w:vAlign w:val="center"/>
          </w:tcPr>
          <w:p w:rsidR="0013486C" w:rsidRDefault="00D1169C">
            <w:pPr>
              <w:jc w:val="right"/>
            </w:pPr>
            <w:r>
              <w:rPr>
                <w:color w:val="000000"/>
                <w:sz w:val="24"/>
                <w:szCs w:val="24"/>
              </w:rPr>
              <w:t>6,505,488.00</w:t>
            </w:r>
          </w:p>
        </w:tc>
        <w:tc>
          <w:tcPr>
            <w:tcW w:w="1237" w:type="dxa"/>
            <w:vAlign w:val="center"/>
          </w:tcPr>
          <w:p w:rsidR="0013486C" w:rsidRDefault="00D1169C">
            <w:pPr>
              <w:jc w:val="right"/>
            </w:pPr>
            <w:r>
              <w:rPr>
                <w:color w:val="000000"/>
                <w:sz w:val="24"/>
                <w:szCs w:val="24"/>
              </w:rPr>
              <w:t>23.35</w:t>
            </w:r>
          </w:p>
        </w:tc>
      </w:tr>
      <w:tr w:rsidR="0013486C">
        <w:trPr>
          <w:jc w:val="center"/>
        </w:trPr>
        <w:tc>
          <w:tcPr>
            <w:tcW w:w="850" w:type="dxa"/>
            <w:vAlign w:val="center"/>
          </w:tcPr>
          <w:p w:rsidR="0013486C" w:rsidRDefault="00D1169C">
            <w:pPr>
              <w:jc w:val="center"/>
            </w:pPr>
            <w:r>
              <w:rPr>
                <w:color w:val="000000"/>
                <w:sz w:val="24"/>
                <w:szCs w:val="24"/>
              </w:rPr>
              <w:t>3</w:t>
            </w:r>
          </w:p>
        </w:tc>
        <w:tc>
          <w:tcPr>
            <w:tcW w:w="1475" w:type="dxa"/>
            <w:vAlign w:val="center"/>
          </w:tcPr>
          <w:p w:rsidR="0013486C" w:rsidRDefault="00D1169C">
            <w:pPr>
              <w:jc w:val="center"/>
            </w:pPr>
            <w:r>
              <w:rPr>
                <w:color w:val="000000"/>
                <w:sz w:val="24"/>
                <w:szCs w:val="24"/>
              </w:rPr>
              <w:t>170410</w:t>
            </w:r>
          </w:p>
        </w:tc>
        <w:tc>
          <w:tcPr>
            <w:tcW w:w="1769" w:type="dxa"/>
            <w:vAlign w:val="center"/>
          </w:tcPr>
          <w:p w:rsidR="0013486C" w:rsidRDefault="00D1169C">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13486C" w:rsidRDefault="00D1169C">
            <w:pPr>
              <w:jc w:val="right"/>
            </w:pPr>
            <w:r>
              <w:rPr>
                <w:color w:val="000000"/>
                <w:sz w:val="24"/>
                <w:szCs w:val="24"/>
              </w:rPr>
              <w:t>40,000</w:t>
            </w:r>
          </w:p>
        </w:tc>
        <w:tc>
          <w:tcPr>
            <w:tcW w:w="2150" w:type="dxa"/>
            <w:vAlign w:val="center"/>
          </w:tcPr>
          <w:p w:rsidR="0013486C" w:rsidRDefault="00D1169C">
            <w:pPr>
              <w:jc w:val="right"/>
            </w:pPr>
            <w:r>
              <w:rPr>
                <w:color w:val="000000"/>
                <w:sz w:val="24"/>
                <w:szCs w:val="24"/>
              </w:rPr>
              <w:t>4,001,600.00</w:t>
            </w:r>
          </w:p>
        </w:tc>
        <w:tc>
          <w:tcPr>
            <w:tcW w:w="1237" w:type="dxa"/>
            <w:vAlign w:val="center"/>
          </w:tcPr>
          <w:p w:rsidR="0013486C" w:rsidRDefault="00D1169C">
            <w:pPr>
              <w:jc w:val="right"/>
            </w:pPr>
            <w:r>
              <w:rPr>
                <w:color w:val="000000"/>
                <w:sz w:val="24"/>
                <w:szCs w:val="24"/>
              </w:rPr>
              <w:t>14.36</w:t>
            </w:r>
          </w:p>
        </w:tc>
      </w:tr>
      <w:tr w:rsidR="0013486C">
        <w:trPr>
          <w:jc w:val="center"/>
        </w:trPr>
        <w:tc>
          <w:tcPr>
            <w:tcW w:w="850" w:type="dxa"/>
            <w:vAlign w:val="center"/>
          </w:tcPr>
          <w:p w:rsidR="0013486C" w:rsidRDefault="00D1169C">
            <w:pPr>
              <w:jc w:val="center"/>
            </w:pPr>
            <w:r>
              <w:rPr>
                <w:color w:val="000000"/>
                <w:sz w:val="24"/>
                <w:szCs w:val="24"/>
              </w:rPr>
              <w:t>4</w:t>
            </w:r>
          </w:p>
        </w:tc>
        <w:tc>
          <w:tcPr>
            <w:tcW w:w="1475" w:type="dxa"/>
            <w:vAlign w:val="center"/>
          </w:tcPr>
          <w:p w:rsidR="0013486C" w:rsidRDefault="00D1169C">
            <w:pPr>
              <w:jc w:val="center"/>
            </w:pPr>
            <w:r>
              <w:rPr>
                <w:color w:val="000000"/>
                <w:sz w:val="24"/>
                <w:szCs w:val="24"/>
              </w:rPr>
              <w:t>108602</w:t>
            </w:r>
          </w:p>
        </w:tc>
        <w:tc>
          <w:tcPr>
            <w:tcW w:w="1769" w:type="dxa"/>
            <w:vAlign w:val="center"/>
          </w:tcPr>
          <w:p w:rsidR="0013486C" w:rsidRDefault="00D1169C">
            <w:pPr>
              <w:jc w:val="center"/>
            </w:pPr>
            <w:r>
              <w:rPr>
                <w:color w:val="000000"/>
                <w:sz w:val="24"/>
                <w:szCs w:val="24"/>
              </w:rPr>
              <w:t>国开</w:t>
            </w:r>
            <w:r>
              <w:rPr>
                <w:color w:val="000000"/>
                <w:sz w:val="24"/>
                <w:szCs w:val="24"/>
              </w:rPr>
              <w:t>1704</w:t>
            </w:r>
          </w:p>
        </w:tc>
        <w:tc>
          <w:tcPr>
            <w:tcW w:w="1387" w:type="dxa"/>
            <w:vAlign w:val="center"/>
          </w:tcPr>
          <w:p w:rsidR="0013486C" w:rsidRDefault="00D1169C">
            <w:pPr>
              <w:jc w:val="right"/>
            </w:pPr>
            <w:r>
              <w:rPr>
                <w:color w:val="000000"/>
                <w:sz w:val="24"/>
                <w:szCs w:val="24"/>
              </w:rPr>
              <w:t>10,000</w:t>
            </w:r>
          </w:p>
        </w:tc>
        <w:tc>
          <w:tcPr>
            <w:tcW w:w="2150" w:type="dxa"/>
            <w:vAlign w:val="center"/>
          </w:tcPr>
          <w:p w:rsidR="0013486C" w:rsidRDefault="00D1169C">
            <w:pPr>
              <w:jc w:val="right"/>
            </w:pPr>
            <w:r>
              <w:rPr>
                <w:color w:val="000000"/>
                <w:sz w:val="24"/>
                <w:szCs w:val="24"/>
              </w:rPr>
              <w:t>990,000.00</w:t>
            </w:r>
          </w:p>
        </w:tc>
        <w:tc>
          <w:tcPr>
            <w:tcW w:w="1237" w:type="dxa"/>
            <w:vAlign w:val="center"/>
          </w:tcPr>
          <w:p w:rsidR="0013486C" w:rsidRDefault="00D1169C">
            <w:pPr>
              <w:jc w:val="right"/>
            </w:pPr>
            <w:r>
              <w:rPr>
                <w:color w:val="000000"/>
                <w:sz w:val="24"/>
                <w:szCs w:val="24"/>
              </w:rPr>
              <w:t>3.55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lastRenderedPageBreak/>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2,452.81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300,000.00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969,918.80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1,272,371.61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7064CC" w:rsidRDefault="007064CC" w:rsidP="007064CC">
      <w:pPr>
        <w:adjustRightInd w:val="0"/>
        <w:snapToGrid w:val="0"/>
        <w:spacing w:beforeLines="50" w:before="156" w:line="360" w:lineRule="auto"/>
        <w:rPr>
          <w:rFonts w:eastAsiaTheme="minorEastAsia"/>
          <w:b/>
          <w:color w:val="000000" w:themeColor="text1"/>
          <w:kern w:val="0"/>
          <w:sz w:val="24"/>
          <w:szCs w:val="24"/>
        </w:rPr>
      </w:pPr>
      <w:r>
        <w:rPr>
          <w:rFonts w:eastAsiaTheme="minorEastAsia"/>
          <w:b/>
          <w:color w:val="000000" w:themeColor="text1"/>
          <w:kern w:val="0"/>
          <w:sz w:val="24"/>
          <w:szCs w:val="24"/>
        </w:rPr>
        <w:t xml:space="preserve">6.3 </w:t>
      </w:r>
      <w:r>
        <w:rPr>
          <w:rFonts w:eastAsiaTheme="minorEastAsia" w:hint="eastAsia"/>
          <w:b/>
          <w:color w:val="000000" w:themeColor="text1"/>
          <w:kern w:val="0"/>
          <w:sz w:val="24"/>
          <w:szCs w:val="24"/>
        </w:rPr>
        <w:t>本报告期持有的基金发生的重大影响事件</w:t>
      </w:r>
    </w:p>
    <w:p w:rsidR="007064CC" w:rsidRDefault="007064CC" w:rsidP="007064CC">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hint="eastAsia"/>
          <w:color w:val="000000" w:themeColor="text1"/>
          <w:sz w:val="24"/>
          <w:szCs w:val="24"/>
        </w:rPr>
        <w:t>无。</w:t>
      </w:r>
    </w:p>
    <w:p w:rsidR="007064CC" w:rsidRPr="007064CC" w:rsidRDefault="007064CC"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53,688,629.82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51,524.36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26,192,919.83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27,547,234.35</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13486C" w:rsidRPr="005E1EFF" w:rsidRDefault="00D1169C">
      <w:pPr>
        <w:spacing w:line="360" w:lineRule="auto"/>
        <w:ind w:firstLineChars="200" w:firstLine="480"/>
        <w:rPr>
          <w:rFonts w:ascii="宋体" w:hAnsi="宋体"/>
          <w:color w:val="000000"/>
          <w:sz w:val="24"/>
          <w:szCs w:val="24"/>
        </w:rPr>
      </w:pPr>
      <w:r w:rsidRPr="005E1EFF">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5E1EFF" w:rsidRDefault="003C50AD" w:rsidP="003C50AD">
      <w:pPr>
        <w:spacing w:line="360" w:lineRule="auto"/>
        <w:ind w:firstLineChars="200" w:firstLine="480"/>
        <w:rPr>
          <w:rFonts w:ascii="宋体" w:hAnsi="宋体"/>
          <w:color w:val="000000"/>
          <w:sz w:val="24"/>
          <w:szCs w:val="24"/>
        </w:rPr>
      </w:pPr>
      <w:r w:rsidRPr="005E1EFF">
        <w:rPr>
          <w:rFonts w:ascii="宋体" w:hAnsi="宋体"/>
          <w:color w:val="000000"/>
          <w:sz w:val="24"/>
          <w:szCs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3486C" w:rsidRDefault="00D1169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、中国证监会准予交银施罗德丰硕收益债券型证券投资基金募集注册的文件；</w:t>
      </w:r>
      <w:r>
        <w:rPr>
          <w:color w:val="000000"/>
          <w:sz w:val="24"/>
          <w:szCs w:val="24"/>
        </w:rPr>
        <w:t xml:space="preserve"> </w:t>
      </w:r>
    </w:p>
    <w:p w:rsidR="0013486C" w:rsidRDefault="00D1169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、《交银施罗德丰硕收益债券型证券投资基金基金合同》；</w:t>
      </w:r>
      <w:r>
        <w:rPr>
          <w:color w:val="000000"/>
          <w:sz w:val="24"/>
          <w:szCs w:val="24"/>
        </w:rPr>
        <w:t xml:space="preserve"> </w:t>
      </w:r>
    </w:p>
    <w:p w:rsidR="0013486C" w:rsidRDefault="00D1169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、《交银施罗德丰硕收益债券型证券投资基金招募说明书》；</w:t>
      </w:r>
      <w:r>
        <w:rPr>
          <w:color w:val="000000"/>
          <w:sz w:val="24"/>
          <w:szCs w:val="24"/>
        </w:rPr>
        <w:t xml:space="preserve"> </w:t>
      </w:r>
    </w:p>
    <w:p w:rsidR="0013486C" w:rsidRDefault="00D1169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、《交银施罗德丰硕收益债券型证券投资基金托管协议》；</w:t>
      </w:r>
      <w:r>
        <w:rPr>
          <w:color w:val="000000"/>
          <w:sz w:val="24"/>
          <w:szCs w:val="24"/>
        </w:rPr>
        <w:t xml:space="preserve"> </w:t>
      </w:r>
    </w:p>
    <w:p w:rsidR="0013486C" w:rsidRDefault="00D1169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、关于申请募集注册交银施罗德丰硕收益债券型证券投资基金的法律意见书；</w:t>
      </w:r>
      <w:r>
        <w:rPr>
          <w:color w:val="000000"/>
          <w:sz w:val="24"/>
          <w:szCs w:val="24"/>
        </w:rPr>
        <w:t xml:space="preserve"> </w:t>
      </w:r>
    </w:p>
    <w:p w:rsidR="0013486C" w:rsidRDefault="00D1169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3486C" w:rsidRDefault="00D1169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、报告期内交银施罗德丰硕收益债券型证券投资基金在指定报刊上各项公告的原</w:t>
      </w:r>
      <w:r w:rsidRPr="00414345">
        <w:rPr>
          <w:color w:val="000000"/>
          <w:sz w:val="24"/>
          <w:szCs w:val="24"/>
        </w:rPr>
        <w:lastRenderedPageBreak/>
        <w:t>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3486C" w:rsidRDefault="00D1169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9F" w:rsidRDefault="00CB169F" w:rsidP="00876D65">
      <w:r>
        <w:separator/>
      </w:r>
    </w:p>
  </w:endnote>
  <w:endnote w:type="continuationSeparator" w:id="0">
    <w:p w:rsidR="00CB169F" w:rsidRDefault="00CB169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AC3471">
      <w:rPr>
        <w:noProof/>
        <w:kern w:val="0"/>
        <w:szCs w:val="21"/>
      </w:rPr>
      <w:t>3</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AC3471">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9F" w:rsidRDefault="00CB169F" w:rsidP="00876D65">
      <w:r>
        <w:separator/>
      </w:r>
    </w:p>
  </w:footnote>
  <w:footnote w:type="continuationSeparator" w:id="0">
    <w:p w:rsidR="00CB169F" w:rsidRDefault="00CB169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交银施罗德丰硕收益债券型证券投资基金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486C"/>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4E14"/>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1EFF"/>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4CC"/>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DC4"/>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3471"/>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B169F"/>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169C"/>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DC5"/>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276061191">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A9C9-5D7F-4C45-9E7B-5E2CDE51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13</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580</cp:revision>
  <dcterms:created xsi:type="dcterms:W3CDTF">2012-10-16T06:07:00Z</dcterms:created>
  <dcterms:modified xsi:type="dcterms:W3CDTF">2018-04-19T01:39:00Z</dcterms:modified>
</cp:coreProperties>
</file>