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296,262,587.76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225,440,580.06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70,822,007.70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5,560,906.24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1,769,526.97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1,255,086.51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1,954,878.98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262,236,266.71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81,946,159.27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1.157</w:t>
            </w:r>
          </w:p>
        </w:tc>
      </w:tr>
    </w:tbl>
    <w:p w:rsidR="00C35830" w:rsidRDefault="00995D9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35830">
        <w:trPr>
          <w:jc w:val="center"/>
        </w:trPr>
        <w:tc>
          <w:tcPr>
            <w:tcW w:w="1266" w:type="dxa"/>
            <w:vAlign w:val="center"/>
          </w:tcPr>
          <w:p w:rsidR="00C35830" w:rsidRDefault="00995D98">
            <w:pPr>
              <w:jc w:val="left"/>
            </w:pPr>
            <w:r>
              <w:rPr>
                <w:color w:val="000000"/>
                <w:sz w:val="24"/>
              </w:rPr>
              <w:t>过去三个月</w:t>
            </w:r>
          </w:p>
        </w:tc>
        <w:tc>
          <w:tcPr>
            <w:tcW w:w="1267" w:type="dxa"/>
            <w:vAlign w:val="center"/>
          </w:tcPr>
          <w:p w:rsidR="00C35830" w:rsidRDefault="00995D98">
            <w:pPr>
              <w:jc w:val="center"/>
            </w:pPr>
            <w:r>
              <w:rPr>
                <w:color w:val="000000"/>
                <w:sz w:val="24"/>
              </w:rPr>
              <w:t>0.00%</w:t>
            </w:r>
          </w:p>
        </w:tc>
        <w:tc>
          <w:tcPr>
            <w:tcW w:w="1267" w:type="dxa"/>
            <w:vAlign w:val="center"/>
          </w:tcPr>
          <w:p w:rsidR="00C35830" w:rsidRDefault="00995D98">
            <w:pPr>
              <w:jc w:val="center"/>
            </w:pPr>
            <w:r>
              <w:rPr>
                <w:color w:val="000000"/>
                <w:sz w:val="24"/>
              </w:rPr>
              <w:t>0.48%</w:t>
            </w:r>
          </w:p>
        </w:tc>
        <w:tc>
          <w:tcPr>
            <w:tcW w:w="1267" w:type="dxa"/>
            <w:vAlign w:val="center"/>
          </w:tcPr>
          <w:p w:rsidR="00C35830" w:rsidRDefault="00995D98">
            <w:pPr>
              <w:jc w:val="center"/>
            </w:pPr>
            <w:r>
              <w:rPr>
                <w:color w:val="000000"/>
                <w:sz w:val="24"/>
              </w:rPr>
              <w:t>-0.99%</w:t>
            </w:r>
          </w:p>
        </w:tc>
        <w:tc>
          <w:tcPr>
            <w:tcW w:w="1267" w:type="dxa"/>
            <w:vAlign w:val="center"/>
          </w:tcPr>
          <w:p w:rsidR="00C35830" w:rsidRDefault="00995D98">
            <w:pPr>
              <w:jc w:val="center"/>
            </w:pPr>
            <w:r>
              <w:rPr>
                <w:color w:val="000000"/>
                <w:sz w:val="24"/>
              </w:rPr>
              <w:t>0.58%</w:t>
            </w:r>
          </w:p>
        </w:tc>
        <w:tc>
          <w:tcPr>
            <w:tcW w:w="1267" w:type="dxa"/>
            <w:vAlign w:val="center"/>
          </w:tcPr>
          <w:p w:rsidR="00C35830" w:rsidRDefault="00995D98">
            <w:pPr>
              <w:jc w:val="center"/>
            </w:pPr>
            <w:r>
              <w:rPr>
                <w:color w:val="000000"/>
                <w:sz w:val="24"/>
              </w:rPr>
              <w:t>0.99%</w:t>
            </w:r>
          </w:p>
        </w:tc>
        <w:tc>
          <w:tcPr>
            <w:tcW w:w="1267" w:type="dxa"/>
            <w:vAlign w:val="center"/>
          </w:tcPr>
          <w:p w:rsidR="00C35830" w:rsidRDefault="00995D98">
            <w:pPr>
              <w:jc w:val="center"/>
            </w:pPr>
            <w:r>
              <w:rPr>
                <w:color w:val="000000"/>
                <w:sz w:val="24"/>
              </w:rPr>
              <w:t>-0.10%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35830">
        <w:trPr>
          <w:jc w:val="center"/>
        </w:trPr>
        <w:tc>
          <w:tcPr>
            <w:tcW w:w="1266" w:type="dxa"/>
            <w:vAlign w:val="center"/>
          </w:tcPr>
          <w:p w:rsidR="00C35830" w:rsidRDefault="00995D98">
            <w:pPr>
              <w:jc w:val="left"/>
            </w:pPr>
            <w:r>
              <w:rPr>
                <w:color w:val="000000"/>
                <w:sz w:val="24"/>
              </w:rPr>
              <w:t>过去三个月</w:t>
            </w:r>
          </w:p>
        </w:tc>
        <w:tc>
          <w:tcPr>
            <w:tcW w:w="1267" w:type="dxa"/>
            <w:vAlign w:val="center"/>
          </w:tcPr>
          <w:p w:rsidR="00C35830" w:rsidRDefault="00995D98">
            <w:pPr>
              <w:jc w:val="center"/>
            </w:pPr>
            <w:r>
              <w:rPr>
                <w:color w:val="000000"/>
                <w:sz w:val="24"/>
              </w:rPr>
              <w:t>-0.09%</w:t>
            </w:r>
          </w:p>
        </w:tc>
        <w:tc>
          <w:tcPr>
            <w:tcW w:w="1267" w:type="dxa"/>
            <w:vAlign w:val="center"/>
          </w:tcPr>
          <w:p w:rsidR="00C35830" w:rsidRDefault="00995D98">
            <w:pPr>
              <w:jc w:val="center"/>
            </w:pPr>
            <w:r>
              <w:rPr>
                <w:color w:val="000000"/>
                <w:sz w:val="24"/>
              </w:rPr>
              <w:t>0.48%</w:t>
            </w:r>
          </w:p>
        </w:tc>
        <w:tc>
          <w:tcPr>
            <w:tcW w:w="1267" w:type="dxa"/>
            <w:vAlign w:val="center"/>
          </w:tcPr>
          <w:p w:rsidR="00C35830" w:rsidRDefault="00995D98">
            <w:pPr>
              <w:jc w:val="center"/>
            </w:pPr>
            <w:r>
              <w:rPr>
                <w:color w:val="000000"/>
                <w:sz w:val="24"/>
              </w:rPr>
              <w:t>-0.99%</w:t>
            </w:r>
          </w:p>
        </w:tc>
        <w:tc>
          <w:tcPr>
            <w:tcW w:w="1267" w:type="dxa"/>
            <w:vAlign w:val="center"/>
          </w:tcPr>
          <w:p w:rsidR="00C35830" w:rsidRDefault="00995D98">
            <w:pPr>
              <w:jc w:val="center"/>
            </w:pPr>
            <w:r>
              <w:rPr>
                <w:color w:val="000000"/>
                <w:sz w:val="24"/>
              </w:rPr>
              <w:t>0.58%</w:t>
            </w:r>
          </w:p>
        </w:tc>
        <w:tc>
          <w:tcPr>
            <w:tcW w:w="1267" w:type="dxa"/>
            <w:vAlign w:val="center"/>
          </w:tcPr>
          <w:p w:rsidR="00C35830" w:rsidRDefault="00995D98">
            <w:pPr>
              <w:jc w:val="center"/>
            </w:pPr>
            <w:r>
              <w:rPr>
                <w:color w:val="000000"/>
                <w:sz w:val="24"/>
              </w:rPr>
              <w:t>0.90%</w:t>
            </w:r>
          </w:p>
        </w:tc>
        <w:tc>
          <w:tcPr>
            <w:tcW w:w="1267" w:type="dxa"/>
            <w:vAlign w:val="center"/>
          </w:tcPr>
          <w:p w:rsidR="00C35830" w:rsidRDefault="00995D98">
            <w:pPr>
              <w:jc w:val="center"/>
            </w:pPr>
            <w:r>
              <w:rPr>
                <w:color w:val="000000"/>
                <w:sz w:val="24"/>
              </w:rPr>
              <w:t>-0.10%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roofErr w:type="gramStart"/>
            <w:r w:rsidRPr="007F52FA">
              <w:rPr>
                <w:color w:val="000000"/>
                <w:kern w:val="0"/>
                <w:sz w:val="24"/>
              </w:rPr>
              <w:t>任本基金</w:t>
            </w:r>
            <w:proofErr w:type="gramEnd"/>
            <w:r w:rsidRPr="007F52FA">
              <w:rPr>
                <w:color w:val="000000"/>
                <w:kern w:val="0"/>
                <w:sz w:val="24"/>
              </w:rPr>
              <w:t>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35830">
        <w:trPr>
          <w:jc w:val="center"/>
        </w:trPr>
        <w:tc>
          <w:tcPr>
            <w:tcW w:w="946" w:type="dxa"/>
            <w:vAlign w:val="center"/>
          </w:tcPr>
          <w:p w:rsidR="00C35830" w:rsidRDefault="00995D98">
            <w:pPr>
              <w:jc w:val="center"/>
            </w:pPr>
            <w:r>
              <w:rPr>
                <w:color w:val="000000"/>
                <w:sz w:val="24"/>
              </w:rPr>
              <w:t>李娜</w:t>
            </w:r>
          </w:p>
        </w:tc>
        <w:tc>
          <w:tcPr>
            <w:tcW w:w="924" w:type="dxa"/>
            <w:vAlign w:val="center"/>
          </w:tcPr>
          <w:p w:rsidR="00C35830" w:rsidRDefault="00995D98">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开放灵活配置混合、交银启通灵活配置混合、交银瑞利定期开放灵活配置混合、交银瑞安定期开放灵活配置混合的基金经理</w:t>
            </w:r>
          </w:p>
        </w:tc>
        <w:tc>
          <w:tcPr>
            <w:tcW w:w="1202" w:type="dxa"/>
            <w:vAlign w:val="center"/>
          </w:tcPr>
          <w:p w:rsidR="00C35830" w:rsidRDefault="00995D98">
            <w:pPr>
              <w:jc w:val="center"/>
            </w:pPr>
            <w:r>
              <w:rPr>
                <w:color w:val="000000"/>
                <w:sz w:val="24"/>
              </w:rPr>
              <w:lastRenderedPageBreak/>
              <w:t>2015-08-04</w:t>
            </w:r>
          </w:p>
        </w:tc>
        <w:tc>
          <w:tcPr>
            <w:tcW w:w="1300" w:type="dxa"/>
            <w:vAlign w:val="center"/>
          </w:tcPr>
          <w:p w:rsidR="00C35830" w:rsidRDefault="00995D98">
            <w:pPr>
              <w:jc w:val="center"/>
            </w:pPr>
            <w:r>
              <w:rPr>
                <w:color w:val="000000"/>
                <w:sz w:val="24"/>
              </w:rPr>
              <w:t>-</w:t>
            </w:r>
          </w:p>
        </w:tc>
        <w:tc>
          <w:tcPr>
            <w:tcW w:w="1245" w:type="dxa"/>
            <w:vAlign w:val="center"/>
          </w:tcPr>
          <w:p w:rsidR="00C35830" w:rsidRDefault="00995D98">
            <w:pPr>
              <w:jc w:val="center"/>
            </w:pPr>
            <w:r>
              <w:rPr>
                <w:color w:val="000000"/>
                <w:sz w:val="24"/>
              </w:rPr>
              <w:t>8</w:t>
            </w:r>
            <w:r>
              <w:rPr>
                <w:color w:val="000000"/>
                <w:sz w:val="24"/>
              </w:rPr>
              <w:t>年</w:t>
            </w:r>
          </w:p>
        </w:tc>
        <w:tc>
          <w:tcPr>
            <w:tcW w:w="3251" w:type="dxa"/>
            <w:vAlign w:val="center"/>
          </w:tcPr>
          <w:p w:rsidR="00C35830" w:rsidRDefault="00995D9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35830" w:rsidRDefault="00995D9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35830" w:rsidRDefault="00995D98">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35830" w:rsidRDefault="00995D9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35830" w:rsidRDefault="00995D98">
      <w:pPr>
        <w:spacing w:before="29" w:line="288" w:lineRule="auto"/>
        <w:ind w:firstLineChars="200" w:firstLine="480"/>
        <w:rPr>
          <w:color w:val="000000"/>
          <w:sz w:val="24"/>
        </w:rPr>
      </w:pPr>
      <w:r>
        <w:rPr>
          <w:color w:val="000000"/>
          <w:sz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rPr>
        <w:t>PMI</w:t>
      </w:r>
      <w:r>
        <w:rPr>
          <w:color w:val="000000"/>
          <w:sz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w:t>
      </w:r>
      <w:r>
        <w:rPr>
          <w:color w:val="000000"/>
          <w:sz w:val="24"/>
        </w:rPr>
        <w:t>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rPr>
        <w:t>4.18%</w:t>
      </w:r>
      <w:r>
        <w:rPr>
          <w:color w:val="000000"/>
          <w:sz w:val="24"/>
        </w:rPr>
        <w:t>和上行</w:t>
      </w:r>
      <w:r>
        <w:rPr>
          <w:color w:val="000000"/>
          <w:sz w:val="24"/>
        </w:rPr>
        <w:t>8.43%</w:t>
      </w:r>
      <w:r>
        <w:rPr>
          <w:color w:val="000000"/>
          <w:sz w:val="24"/>
        </w:rPr>
        <w:t>，</w:t>
      </w:r>
      <w:r>
        <w:rPr>
          <w:color w:val="000000"/>
          <w:sz w:val="24"/>
        </w:rPr>
        <w:t>10</w:t>
      </w:r>
      <w:r>
        <w:rPr>
          <w:color w:val="000000"/>
          <w:sz w:val="24"/>
        </w:rPr>
        <w:t>年期国债收益率下行</w:t>
      </w:r>
      <w:r>
        <w:rPr>
          <w:color w:val="000000"/>
          <w:sz w:val="24"/>
        </w:rPr>
        <w:t>14BP</w:t>
      </w:r>
      <w:r>
        <w:rPr>
          <w:color w:val="000000"/>
          <w:sz w:val="24"/>
        </w:rPr>
        <w:t>至</w:t>
      </w:r>
      <w:r>
        <w:rPr>
          <w:color w:val="000000"/>
          <w:sz w:val="24"/>
        </w:rPr>
        <w:t>3.74%</w:t>
      </w:r>
      <w:r>
        <w:rPr>
          <w:color w:val="000000"/>
          <w:sz w:val="24"/>
        </w:rPr>
        <w:t>，</w:t>
      </w:r>
      <w:r>
        <w:rPr>
          <w:color w:val="000000"/>
          <w:sz w:val="24"/>
        </w:rPr>
        <w:t>10</w:t>
      </w:r>
      <w:r>
        <w:rPr>
          <w:color w:val="000000"/>
          <w:sz w:val="24"/>
        </w:rPr>
        <w:t>年期国开债收益率下行</w:t>
      </w:r>
      <w:r>
        <w:rPr>
          <w:color w:val="000000"/>
          <w:sz w:val="24"/>
        </w:rPr>
        <w:t>18BP</w:t>
      </w:r>
      <w:r>
        <w:rPr>
          <w:color w:val="000000"/>
          <w:sz w:val="24"/>
        </w:rPr>
        <w:t>到</w:t>
      </w:r>
      <w:r>
        <w:rPr>
          <w:color w:val="000000"/>
          <w:sz w:val="24"/>
        </w:rPr>
        <w:t>4.65%</w:t>
      </w:r>
      <w:r>
        <w:rPr>
          <w:color w:val="000000"/>
          <w:sz w:val="24"/>
        </w:rPr>
        <w:t>。</w:t>
      </w:r>
    </w:p>
    <w:p w:rsidR="00C35830" w:rsidRDefault="00995D98">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w:t>
      </w:r>
      <w:r>
        <w:rPr>
          <w:color w:val="000000"/>
          <w:sz w:val="24"/>
        </w:rPr>
        <w:t>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年二季度，基本面在一季度的复杂分化或将逐步清晰，通胀在春节后的回落确定性虽高，但仍需关注原油走势和中美贸易摩擦带来的预期变化，警惕中美贸易战升级带来的风险发酵。在货币政策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的基调下，短端利率或受益于狭义流动</w:t>
      </w:r>
      <w:r w:rsidRPr="007F52FA">
        <w:rPr>
          <w:color w:val="000000"/>
          <w:sz w:val="24"/>
        </w:rPr>
        <w:lastRenderedPageBreak/>
        <w:t>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1.163</w:t>
      </w:r>
      <w:r w:rsidRPr="007F52FA">
        <w:rPr>
          <w:color w:val="000000"/>
          <w:sz w:val="24"/>
        </w:rPr>
        <w:t>元，本报告期份额净值增长率为</w:t>
      </w:r>
      <w:r w:rsidRPr="007F52FA">
        <w:rPr>
          <w:color w:val="000000"/>
          <w:sz w:val="24"/>
        </w:rPr>
        <w:t>0.00%</w:t>
      </w:r>
      <w:r w:rsidRPr="007F52FA">
        <w:rPr>
          <w:color w:val="000000"/>
          <w:sz w:val="24"/>
        </w:rPr>
        <w:t>，同期业绩比较基准增长率为</w:t>
      </w:r>
      <w:r w:rsidRPr="007F52FA">
        <w:rPr>
          <w:color w:val="000000"/>
          <w:sz w:val="24"/>
        </w:rPr>
        <w:t>-0.99%</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1.157</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-0.99%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124,894,521.81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124,894,521.81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33.94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230,743,692.40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230,743,692.40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6,653,209.53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5,728,049.91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368,019,473.65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84,496,968.21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1,470,000.00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7,706,000.00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26,551,753.60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7.71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1,546,800.00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124,894,521.81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36.29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lastRenderedPageBreak/>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35830">
        <w:trPr>
          <w:jc w:val="center"/>
        </w:trPr>
        <w:tc>
          <w:tcPr>
            <w:tcW w:w="850" w:type="dxa"/>
            <w:vAlign w:val="center"/>
          </w:tcPr>
          <w:p w:rsidR="00C35830" w:rsidRDefault="00995D98">
            <w:pPr>
              <w:jc w:val="center"/>
            </w:pPr>
            <w:r>
              <w:rPr>
                <w:color w:val="000000"/>
                <w:sz w:val="24"/>
              </w:rPr>
              <w:t>1</w:t>
            </w:r>
          </w:p>
        </w:tc>
        <w:tc>
          <w:tcPr>
            <w:tcW w:w="1327" w:type="dxa"/>
            <w:vAlign w:val="center"/>
          </w:tcPr>
          <w:p w:rsidR="00C35830" w:rsidRDefault="00995D98">
            <w:pPr>
              <w:jc w:val="center"/>
            </w:pPr>
            <w:r>
              <w:rPr>
                <w:color w:val="000000"/>
                <w:sz w:val="24"/>
              </w:rPr>
              <w:t>600276</w:t>
            </w:r>
          </w:p>
        </w:tc>
        <w:tc>
          <w:tcPr>
            <w:tcW w:w="1769" w:type="dxa"/>
            <w:vAlign w:val="center"/>
          </w:tcPr>
          <w:p w:rsidR="00C35830" w:rsidRDefault="00995D98">
            <w:pPr>
              <w:jc w:val="center"/>
            </w:pPr>
            <w:r>
              <w:rPr>
                <w:color w:val="000000"/>
                <w:sz w:val="24"/>
              </w:rPr>
              <w:t>恒瑞医药</w:t>
            </w:r>
          </w:p>
        </w:tc>
        <w:tc>
          <w:tcPr>
            <w:tcW w:w="1327" w:type="dxa"/>
            <w:vAlign w:val="center"/>
          </w:tcPr>
          <w:p w:rsidR="00C35830" w:rsidRDefault="00995D98">
            <w:pPr>
              <w:jc w:val="right"/>
            </w:pPr>
            <w:r>
              <w:rPr>
                <w:color w:val="000000"/>
                <w:sz w:val="24"/>
              </w:rPr>
              <w:t>114,978</w:t>
            </w:r>
          </w:p>
        </w:tc>
        <w:tc>
          <w:tcPr>
            <w:tcW w:w="1915" w:type="dxa"/>
            <w:vAlign w:val="center"/>
          </w:tcPr>
          <w:p w:rsidR="00C35830" w:rsidRDefault="00995D98">
            <w:pPr>
              <w:jc w:val="right"/>
            </w:pPr>
            <w:r>
              <w:rPr>
                <w:color w:val="000000"/>
                <w:sz w:val="24"/>
              </w:rPr>
              <w:t>10,004,235.78</w:t>
            </w:r>
          </w:p>
        </w:tc>
        <w:tc>
          <w:tcPr>
            <w:tcW w:w="1680" w:type="dxa"/>
            <w:vAlign w:val="center"/>
          </w:tcPr>
          <w:p w:rsidR="00C35830" w:rsidRDefault="00995D98">
            <w:pPr>
              <w:jc w:val="right"/>
            </w:pPr>
            <w:r>
              <w:rPr>
                <w:color w:val="000000"/>
                <w:sz w:val="24"/>
              </w:rPr>
              <w:t>2.91</w:t>
            </w:r>
          </w:p>
        </w:tc>
      </w:tr>
      <w:tr w:rsidR="00C35830">
        <w:trPr>
          <w:jc w:val="center"/>
        </w:trPr>
        <w:tc>
          <w:tcPr>
            <w:tcW w:w="850" w:type="dxa"/>
            <w:vAlign w:val="center"/>
          </w:tcPr>
          <w:p w:rsidR="00C35830" w:rsidRDefault="00995D98">
            <w:pPr>
              <w:jc w:val="center"/>
            </w:pPr>
            <w:r>
              <w:rPr>
                <w:color w:val="000000"/>
                <w:sz w:val="24"/>
              </w:rPr>
              <w:t>2</w:t>
            </w:r>
          </w:p>
        </w:tc>
        <w:tc>
          <w:tcPr>
            <w:tcW w:w="1327" w:type="dxa"/>
            <w:vAlign w:val="center"/>
          </w:tcPr>
          <w:p w:rsidR="00C35830" w:rsidRDefault="00995D98">
            <w:pPr>
              <w:jc w:val="center"/>
            </w:pPr>
            <w:r>
              <w:rPr>
                <w:color w:val="000000"/>
                <w:sz w:val="24"/>
              </w:rPr>
              <w:t>000858</w:t>
            </w:r>
          </w:p>
        </w:tc>
        <w:tc>
          <w:tcPr>
            <w:tcW w:w="1769" w:type="dxa"/>
            <w:vAlign w:val="center"/>
          </w:tcPr>
          <w:p w:rsidR="00C35830" w:rsidRDefault="00995D98">
            <w:pPr>
              <w:jc w:val="center"/>
            </w:pPr>
            <w:r>
              <w:rPr>
                <w:color w:val="000000"/>
                <w:sz w:val="24"/>
              </w:rPr>
              <w:t>五粮液</w:t>
            </w:r>
          </w:p>
        </w:tc>
        <w:tc>
          <w:tcPr>
            <w:tcW w:w="1327" w:type="dxa"/>
            <w:vAlign w:val="center"/>
          </w:tcPr>
          <w:p w:rsidR="00C35830" w:rsidRDefault="00995D98">
            <w:pPr>
              <w:jc w:val="right"/>
            </w:pPr>
            <w:r>
              <w:rPr>
                <w:color w:val="000000"/>
                <w:sz w:val="24"/>
              </w:rPr>
              <w:t>120,000</w:t>
            </w:r>
          </w:p>
        </w:tc>
        <w:tc>
          <w:tcPr>
            <w:tcW w:w="1915" w:type="dxa"/>
            <w:vAlign w:val="center"/>
          </w:tcPr>
          <w:p w:rsidR="00C35830" w:rsidRDefault="00995D98">
            <w:pPr>
              <w:jc w:val="right"/>
            </w:pPr>
            <w:r>
              <w:rPr>
                <w:color w:val="000000"/>
                <w:sz w:val="24"/>
              </w:rPr>
              <w:t>7,963,200.00</w:t>
            </w:r>
          </w:p>
        </w:tc>
        <w:tc>
          <w:tcPr>
            <w:tcW w:w="1680" w:type="dxa"/>
            <w:vAlign w:val="center"/>
          </w:tcPr>
          <w:p w:rsidR="00C35830" w:rsidRDefault="00995D98">
            <w:pPr>
              <w:jc w:val="right"/>
            </w:pPr>
            <w:r>
              <w:rPr>
                <w:color w:val="000000"/>
                <w:sz w:val="24"/>
              </w:rPr>
              <w:t>2.31</w:t>
            </w:r>
          </w:p>
        </w:tc>
      </w:tr>
      <w:tr w:rsidR="00C35830">
        <w:trPr>
          <w:jc w:val="center"/>
        </w:trPr>
        <w:tc>
          <w:tcPr>
            <w:tcW w:w="850" w:type="dxa"/>
            <w:vAlign w:val="center"/>
          </w:tcPr>
          <w:p w:rsidR="00C35830" w:rsidRDefault="00995D98">
            <w:pPr>
              <w:jc w:val="center"/>
            </w:pPr>
            <w:r>
              <w:rPr>
                <w:color w:val="000000"/>
                <w:sz w:val="24"/>
              </w:rPr>
              <w:t>3</w:t>
            </w:r>
          </w:p>
        </w:tc>
        <w:tc>
          <w:tcPr>
            <w:tcW w:w="1327" w:type="dxa"/>
            <w:vAlign w:val="center"/>
          </w:tcPr>
          <w:p w:rsidR="00C35830" w:rsidRDefault="00995D98">
            <w:pPr>
              <w:jc w:val="center"/>
            </w:pPr>
            <w:r>
              <w:rPr>
                <w:color w:val="000000"/>
                <w:sz w:val="24"/>
              </w:rPr>
              <w:t>000538</w:t>
            </w:r>
          </w:p>
        </w:tc>
        <w:tc>
          <w:tcPr>
            <w:tcW w:w="1769" w:type="dxa"/>
            <w:vAlign w:val="center"/>
          </w:tcPr>
          <w:p w:rsidR="00C35830" w:rsidRDefault="00995D98">
            <w:pPr>
              <w:jc w:val="center"/>
            </w:pPr>
            <w:r>
              <w:rPr>
                <w:color w:val="000000"/>
                <w:sz w:val="24"/>
              </w:rPr>
              <w:t>云南白药</w:t>
            </w:r>
          </w:p>
        </w:tc>
        <w:tc>
          <w:tcPr>
            <w:tcW w:w="1327" w:type="dxa"/>
            <w:vAlign w:val="center"/>
          </w:tcPr>
          <w:p w:rsidR="00C35830" w:rsidRDefault="00995D98">
            <w:pPr>
              <w:jc w:val="right"/>
            </w:pPr>
            <w:r>
              <w:rPr>
                <w:color w:val="000000"/>
                <w:sz w:val="24"/>
              </w:rPr>
              <w:t>80,000</w:t>
            </w:r>
          </w:p>
        </w:tc>
        <w:tc>
          <w:tcPr>
            <w:tcW w:w="1915" w:type="dxa"/>
            <w:vAlign w:val="center"/>
          </w:tcPr>
          <w:p w:rsidR="00C35830" w:rsidRDefault="00995D98">
            <w:pPr>
              <w:jc w:val="right"/>
            </w:pPr>
            <w:r>
              <w:rPr>
                <w:color w:val="000000"/>
                <w:sz w:val="24"/>
              </w:rPr>
              <w:t>7,920,000.00</w:t>
            </w:r>
          </w:p>
        </w:tc>
        <w:tc>
          <w:tcPr>
            <w:tcW w:w="1680" w:type="dxa"/>
            <w:vAlign w:val="center"/>
          </w:tcPr>
          <w:p w:rsidR="00C35830" w:rsidRDefault="00995D98">
            <w:pPr>
              <w:jc w:val="right"/>
            </w:pPr>
            <w:r>
              <w:rPr>
                <w:color w:val="000000"/>
                <w:sz w:val="24"/>
              </w:rPr>
              <w:t>2.30</w:t>
            </w:r>
          </w:p>
        </w:tc>
      </w:tr>
      <w:tr w:rsidR="00C35830">
        <w:trPr>
          <w:jc w:val="center"/>
        </w:trPr>
        <w:tc>
          <w:tcPr>
            <w:tcW w:w="850" w:type="dxa"/>
            <w:vAlign w:val="center"/>
          </w:tcPr>
          <w:p w:rsidR="00C35830" w:rsidRDefault="00995D98">
            <w:pPr>
              <w:jc w:val="center"/>
            </w:pPr>
            <w:r>
              <w:rPr>
                <w:color w:val="000000"/>
                <w:sz w:val="24"/>
              </w:rPr>
              <w:t>4</w:t>
            </w:r>
          </w:p>
        </w:tc>
        <w:tc>
          <w:tcPr>
            <w:tcW w:w="1327" w:type="dxa"/>
            <w:vAlign w:val="center"/>
          </w:tcPr>
          <w:p w:rsidR="00C35830" w:rsidRDefault="00995D98">
            <w:pPr>
              <w:jc w:val="center"/>
            </w:pPr>
            <w:r>
              <w:rPr>
                <w:color w:val="000000"/>
                <w:sz w:val="24"/>
              </w:rPr>
              <w:t>002142</w:t>
            </w:r>
          </w:p>
        </w:tc>
        <w:tc>
          <w:tcPr>
            <w:tcW w:w="1769" w:type="dxa"/>
            <w:vAlign w:val="center"/>
          </w:tcPr>
          <w:p w:rsidR="00C35830" w:rsidRDefault="00995D98">
            <w:pPr>
              <w:jc w:val="center"/>
            </w:pPr>
            <w:r>
              <w:rPr>
                <w:color w:val="000000"/>
                <w:sz w:val="24"/>
              </w:rPr>
              <w:t>宁波银行</w:t>
            </w:r>
          </w:p>
        </w:tc>
        <w:tc>
          <w:tcPr>
            <w:tcW w:w="1327" w:type="dxa"/>
            <w:vAlign w:val="center"/>
          </w:tcPr>
          <w:p w:rsidR="00C35830" w:rsidRDefault="00995D98">
            <w:pPr>
              <w:jc w:val="right"/>
            </w:pPr>
            <w:r>
              <w:rPr>
                <w:color w:val="000000"/>
                <w:sz w:val="24"/>
              </w:rPr>
              <w:t>400,000</w:t>
            </w:r>
          </w:p>
        </w:tc>
        <w:tc>
          <w:tcPr>
            <w:tcW w:w="1915" w:type="dxa"/>
            <w:vAlign w:val="center"/>
          </w:tcPr>
          <w:p w:rsidR="00C35830" w:rsidRDefault="00995D98">
            <w:pPr>
              <w:jc w:val="right"/>
            </w:pPr>
            <w:r>
              <w:rPr>
                <w:color w:val="000000"/>
                <w:sz w:val="24"/>
              </w:rPr>
              <w:t>7,612,000.00</w:t>
            </w:r>
          </w:p>
        </w:tc>
        <w:tc>
          <w:tcPr>
            <w:tcW w:w="1680" w:type="dxa"/>
            <w:vAlign w:val="center"/>
          </w:tcPr>
          <w:p w:rsidR="00C35830" w:rsidRDefault="00995D98">
            <w:pPr>
              <w:jc w:val="right"/>
            </w:pPr>
            <w:r>
              <w:rPr>
                <w:color w:val="000000"/>
                <w:sz w:val="24"/>
              </w:rPr>
              <w:t>2.21</w:t>
            </w:r>
          </w:p>
        </w:tc>
      </w:tr>
      <w:tr w:rsidR="00C35830">
        <w:trPr>
          <w:jc w:val="center"/>
        </w:trPr>
        <w:tc>
          <w:tcPr>
            <w:tcW w:w="850" w:type="dxa"/>
            <w:vAlign w:val="center"/>
          </w:tcPr>
          <w:p w:rsidR="00C35830" w:rsidRDefault="00995D98">
            <w:pPr>
              <w:jc w:val="center"/>
            </w:pPr>
            <w:r>
              <w:rPr>
                <w:color w:val="000000"/>
                <w:sz w:val="24"/>
              </w:rPr>
              <w:t>5</w:t>
            </w:r>
          </w:p>
        </w:tc>
        <w:tc>
          <w:tcPr>
            <w:tcW w:w="1327" w:type="dxa"/>
            <w:vAlign w:val="center"/>
          </w:tcPr>
          <w:p w:rsidR="00C35830" w:rsidRDefault="00995D98">
            <w:pPr>
              <w:jc w:val="center"/>
            </w:pPr>
            <w:r>
              <w:rPr>
                <w:color w:val="000000"/>
                <w:sz w:val="24"/>
              </w:rPr>
              <w:t>600887</w:t>
            </w:r>
          </w:p>
        </w:tc>
        <w:tc>
          <w:tcPr>
            <w:tcW w:w="1769" w:type="dxa"/>
            <w:vAlign w:val="center"/>
          </w:tcPr>
          <w:p w:rsidR="00C35830" w:rsidRDefault="00995D98">
            <w:pPr>
              <w:jc w:val="center"/>
            </w:pPr>
            <w:r>
              <w:rPr>
                <w:color w:val="000000"/>
                <w:sz w:val="24"/>
              </w:rPr>
              <w:t>伊利股份</w:t>
            </w:r>
          </w:p>
        </w:tc>
        <w:tc>
          <w:tcPr>
            <w:tcW w:w="1327" w:type="dxa"/>
            <w:vAlign w:val="center"/>
          </w:tcPr>
          <w:p w:rsidR="00C35830" w:rsidRDefault="00995D98">
            <w:pPr>
              <w:jc w:val="right"/>
            </w:pPr>
            <w:r>
              <w:rPr>
                <w:color w:val="000000"/>
                <w:sz w:val="24"/>
              </w:rPr>
              <w:t>250,000</w:t>
            </w:r>
          </w:p>
        </w:tc>
        <w:tc>
          <w:tcPr>
            <w:tcW w:w="1915" w:type="dxa"/>
            <w:vAlign w:val="center"/>
          </w:tcPr>
          <w:p w:rsidR="00C35830" w:rsidRDefault="00995D98">
            <w:pPr>
              <w:jc w:val="right"/>
            </w:pPr>
            <w:r>
              <w:rPr>
                <w:color w:val="000000"/>
                <w:sz w:val="24"/>
              </w:rPr>
              <w:t>7,122,500.00</w:t>
            </w:r>
          </w:p>
        </w:tc>
        <w:tc>
          <w:tcPr>
            <w:tcW w:w="1680" w:type="dxa"/>
            <w:vAlign w:val="center"/>
          </w:tcPr>
          <w:p w:rsidR="00C35830" w:rsidRDefault="00995D98">
            <w:pPr>
              <w:jc w:val="right"/>
            </w:pPr>
            <w:r>
              <w:rPr>
                <w:color w:val="000000"/>
                <w:sz w:val="24"/>
              </w:rPr>
              <w:t>2.07</w:t>
            </w:r>
          </w:p>
        </w:tc>
      </w:tr>
      <w:tr w:rsidR="00C35830">
        <w:trPr>
          <w:jc w:val="center"/>
        </w:trPr>
        <w:tc>
          <w:tcPr>
            <w:tcW w:w="850" w:type="dxa"/>
            <w:vAlign w:val="center"/>
          </w:tcPr>
          <w:p w:rsidR="00C35830" w:rsidRDefault="00995D98">
            <w:pPr>
              <w:jc w:val="center"/>
            </w:pPr>
            <w:r>
              <w:rPr>
                <w:color w:val="000000"/>
                <w:sz w:val="24"/>
              </w:rPr>
              <w:t>6</w:t>
            </w:r>
          </w:p>
        </w:tc>
        <w:tc>
          <w:tcPr>
            <w:tcW w:w="1327" w:type="dxa"/>
            <w:vAlign w:val="center"/>
          </w:tcPr>
          <w:p w:rsidR="00C35830" w:rsidRDefault="00995D98">
            <w:pPr>
              <w:jc w:val="center"/>
            </w:pPr>
            <w:r>
              <w:rPr>
                <w:color w:val="000000"/>
                <w:sz w:val="24"/>
              </w:rPr>
              <w:t>600519</w:t>
            </w:r>
          </w:p>
        </w:tc>
        <w:tc>
          <w:tcPr>
            <w:tcW w:w="1769" w:type="dxa"/>
            <w:vAlign w:val="center"/>
          </w:tcPr>
          <w:p w:rsidR="00C35830" w:rsidRDefault="00995D98">
            <w:pPr>
              <w:jc w:val="center"/>
            </w:pPr>
            <w:r>
              <w:rPr>
                <w:color w:val="000000"/>
                <w:sz w:val="24"/>
              </w:rPr>
              <w:t>贵州茅台</w:t>
            </w:r>
          </w:p>
        </w:tc>
        <w:tc>
          <w:tcPr>
            <w:tcW w:w="1327" w:type="dxa"/>
            <w:vAlign w:val="center"/>
          </w:tcPr>
          <w:p w:rsidR="00C35830" w:rsidRDefault="00995D98">
            <w:pPr>
              <w:jc w:val="right"/>
            </w:pPr>
            <w:r>
              <w:rPr>
                <w:color w:val="000000"/>
                <w:sz w:val="24"/>
              </w:rPr>
              <w:t>10,000</w:t>
            </w:r>
          </w:p>
        </w:tc>
        <w:tc>
          <w:tcPr>
            <w:tcW w:w="1915" w:type="dxa"/>
            <w:vAlign w:val="center"/>
          </w:tcPr>
          <w:p w:rsidR="00C35830" w:rsidRDefault="00995D98">
            <w:pPr>
              <w:jc w:val="right"/>
            </w:pPr>
            <w:r>
              <w:rPr>
                <w:color w:val="000000"/>
                <w:sz w:val="24"/>
              </w:rPr>
              <w:t>6,836,200.00</w:t>
            </w:r>
          </w:p>
        </w:tc>
        <w:tc>
          <w:tcPr>
            <w:tcW w:w="1680" w:type="dxa"/>
            <w:vAlign w:val="center"/>
          </w:tcPr>
          <w:p w:rsidR="00C35830" w:rsidRDefault="00995D98">
            <w:pPr>
              <w:jc w:val="right"/>
            </w:pPr>
            <w:r>
              <w:rPr>
                <w:color w:val="000000"/>
                <w:sz w:val="24"/>
              </w:rPr>
              <w:t>1.99</w:t>
            </w:r>
          </w:p>
        </w:tc>
      </w:tr>
      <w:tr w:rsidR="00C35830">
        <w:trPr>
          <w:jc w:val="center"/>
        </w:trPr>
        <w:tc>
          <w:tcPr>
            <w:tcW w:w="850" w:type="dxa"/>
            <w:vAlign w:val="center"/>
          </w:tcPr>
          <w:p w:rsidR="00C35830" w:rsidRDefault="00995D98">
            <w:pPr>
              <w:jc w:val="center"/>
            </w:pPr>
            <w:r>
              <w:rPr>
                <w:color w:val="000000"/>
                <w:sz w:val="24"/>
              </w:rPr>
              <w:t>7</w:t>
            </w:r>
          </w:p>
        </w:tc>
        <w:tc>
          <w:tcPr>
            <w:tcW w:w="1327" w:type="dxa"/>
            <w:vAlign w:val="center"/>
          </w:tcPr>
          <w:p w:rsidR="00C35830" w:rsidRDefault="00995D98">
            <w:pPr>
              <w:jc w:val="center"/>
            </w:pPr>
            <w:r>
              <w:rPr>
                <w:color w:val="000000"/>
                <w:sz w:val="24"/>
              </w:rPr>
              <w:t>000423</w:t>
            </w:r>
          </w:p>
        </w:tc>
        <w:tc>
          <w:tcPr>
            <w:tcW w:w="1769" w:type="dxa"/>
            <w:vAlign w:val="center"/>
          </w:tcPr>
          <w:p w:rsidR="00C35830" w:rsidRDefault="00995D98">
            <w:pPr>
              <w:jc w:val="center"/>
            </w:pPr>
            <w:r>
              <w:rPr>
                <w:color w:val="000000"/>
                <w:sz w:val="24"/>
              </w:rPr>
              <w:t>东阿阿胶</w:t>
            </w:r>
          </w:p>
        </w:tc>
        <w:tc>
          <w:tcPr>
            <w:tcW w:w="1327" w:type="dxa"/>
            <w:vAlign w:val="center"/>
          </w:tcPr>
          <w:p w:rsidR="00C35830" w:rsidRDefault="00995D98">
            <w:pPr>
              <w:jc w:val="right"/>
            </w:pPr>
            <w:r>
              <w:rPr>
                <w:color w:val="000000"/>
                <w:sz w:val="24"/>
              </w:rPr>
              <w:t>99,907</w:t>
            </w:r>
          </w:p>
        </w:tc>
        <w:tc>
          <w:tcPr>
            <w:tcW w:w="1915" w:type="dxa"/>
            <w:vAlign w:val="center"/>
          </w:tcPr>
          <w:p w:rsidR="00C35830" w:rsidRDefault="00995D98">
            <w:pPr>
              <w:jc w:val="right"/>
            </w:pPr>
            <w:r>
              <w:rPr>
                <w:color w:val="000000"/>
                <w:sz w:val="24"/>
              </w:rPr>
              <w:t>6,159,266.55</w:t>
            </w:r>
          </w:p>
        </w:tc>
        <w:tc>
          <w:tcPr>
            <w:tcW w:w="1680" w:type="dxa"/>
            <w:vAlign w:val="center"/>
          </w:tcPr>
          <w:p w:rsidR="00C35830" w:rsidRDefault="00995D98">
            <w:pPr>
              <w:jc w:val="right"/>
            </w:pPr>
            <w:r>
              <w:rPr>
                <w:color w:val="000000"/>
                <w:sz w:val="24"/>
              </w:rPr>
              <w:t>1.79</w:t>
            </w:r>
          </w:p>
        </w:tc>
      </w:tr>
      <w:tr w:rsidR="00C35830">
        <w:trPr>
          <w:jc w:val="center"/>
        </w:trPr>
        <w:tc>
          <w:tcPr>
            <w:tcW w:w="850" w:type="dxa"/>
            <w:vAlign w:val="center"/>
          </w:tcPr>
          <w:p w:rsidR="00C35830" w:rsidRDefault="00995D98">
            <w:pPr>
              <w:jc w:val="center"/>
            </w:pPr>
            <w:r>
              <w:rPr>
                <w:color w:val="000000"/>
                <w:sz w:val="24"/>
              </w:rPr>
              <w:t>8</w:t>
            </w:r>
          </w:p>
        </w:tc>
        <w:tc>
          <w:tcPr>
            <w:tcW w:w="1327" w:type="dxa"/>
            <w:vAlign w:val="center"/>
          </w:tcPr>
          <w:p w:rsidR="00C35830" w:rsidRDefault="00995D98">
            <w:pPr>
              <w:jc w:val="center"/>
            </w:pPr>
            <w:r>
              <w:rPr>
                <w:color w:val="000000"/>
                <w:sz w:val="24"/>
              </w:rPr>
              <w:t>600056</w:t>
            </w:r>
          </w:p>
        </w:tc>
        <w:tc>
          <w:tcPr>
            <w:tcW w:w="1769" w:type="dxa"/>
            <w:vAlign w:val="center"/>
          </w:tcPr>
          <w:p w:rsidR="00C35830" w:rsidRDefault="00995D98">
            <w:pPr>
              <w:jc w:val="center"/>
            </w:pPr>
            <w:r>
              <w:rPr>
                <w:color w:val="000000"/>
                <w:sz w:val="24"/>
              </w:rPr>
              <w:t>中国医药</w:t>
            </w:r>
          </w:p>
        </w:tc>
        <w:tc>
          <w:tcPr>
            <w:tcW w:w="1327" w:type="dxa"/>
            <w:vAlign w:val="center"/>
          </w:tcPr>
          <w:p w:rsidR="00C35830" w:rsidRDefault="00995D98">
            <w:pPr>
              <w:jc w:val="right"/>
            </w:pPr>
            <w:r>
              <w:rPr>
                <w:color w:val="000000"/>
                <w:sz w:val="24"/>
              </w:rPr>
              <w:t>249,988</w:t>
            </w:r>
          </w:p>
        </w:tc>
        <w:tc>
          <w:tcPr>
            <w:tcW w:w="1915" w:type="dxa"/>
            <w:vAlign w:val="center"/>
          </w:tcPr>
          <w:p w:rsidR="00C35830" w:rsidRDefault="00995D98">
            <w:pPr>
              <w:jc w:val="right"/>
            </w:pPr>
            <w:r>
              <w:rPr>
                <w:color w:val="000000"/>
                <w:sz w:val="24"/>
              </w:rPr>
              <w:t>5,942,214.76</w:t>
            </w:r>
          </w:p>
        </w:tc>
        <w:tc>
          <w:tcPr>
            <w:tcW w:w="1680" w:type="dxa"/>
            <w:vAlign w:val="center"/>
          </w:tcPr>
          <w:p w:rsidR="00C35830" w:rsidRDefault="00995D98">
            <w:pPr>
              <w:jc w:val="right"/>
            </w:pPr>
            <w:r>
              <w:rPr>
                <w:color w:val="000000"/>
                <w:sz w:val="24"/>
              </w:rPr>
              <w:t>1.73</w:t>
            </w:r>
          </w:p>
        </w:tc>
      </w:tr>
      <w:tr w:rsidR="00C35830">
        <w:trPr>
          <w:jc w:val="center"/>
        </w:trPr>
        <w:tc>
          <w:tcPr>
            <w:tcW w:w="850" w:type="dxa"/>
            <w:vAlign w:val="center"/>
          </w:tcPr>
          <w:p w:rsidR="00C35830" w:rsidRDefault="00995D98">
            <w:pPr>
              <w:jc w:val="center"/>
            </w:pPr>
            <w:r>
              <w:rPr>
                <w:color w:val="000000"/>
                <w:sz w:val="24"/>
              </w:rPr>
              <w:t>9</w:t>
            </w:r>
          </w:p>
        </w:tc>
        <w:tc>
          <w:tcPr>
            <w:tcW w:w="1327" w:type="dxa"/>
            <w:vAlign w:val="center"/>
          </w:tcPr>
          <w:p w:rsidR="00C35830" w:rsidRDefault="00995D98">
            <w:pPr>
              <w:jc w:val="center"/>
            </w:pPr>
            <w:r>
              <w:rPr>
                <w:color w:val="000000"/>
                <w:sz w:val="24"/>
              </w:rPr>
              <w:t>601398</w:t>
            </w:r>
          </w:p>
        </w:tc>
        <w:tc>
          <w:tcPr>
            <w:tcW w:w="1769" w:type="dxa"/>
            <w:vAlign w:val="center"/>
          </w:tcPr>
          <w:p w:rsidR="00C35830" w:rsidRDefault="00995D98">
            <w:pPr>
              <w:jc w:val="center"/>
            </w:pPr>
            <w:r>
              <w:rPr>
                <w:color w:val="000000"/>
                <w:sz w:val="24"/>
              </w:rPr>
              <w:t>工商银行</w:t>
            </w:r>
          </w:p>
        </w:tc>
        <w:tc>
          <w:tcPr>
            <w:tcW w:w="1327" w:type="dxa"/>
            <w:vAlign w:val="center"/>
          </w:tcPr>
          <w:p w:rsidR="00C35830" w:rsidRDefault="00995D98">
            <w:pPr>
              <w:jc w:val="right"/>
            </w:pPr>
            <w:r>
              <w:rPr>
                <w:color w:val="000000"/>
                <w:sz w:val="24"/>
              </w:rPr>
              <w:t>900,000</w:t>
            </w:r>
          </w:p>
        </w:tc>
        <w:tc>
          <w:tcPr>
            <w:tcW w:w="1915" w:type="dxa"/>
            <w:vAlign w:val="center"/>
          </w:tcPr>
          <w:p w:rsidR="00C35830" w:rsidRDefault="00995D98">
            <w:pPr>
              <w:jc w:val="right"/>
            </w:pPr>
            <w:r>
              <w:rPr>
                <w:color w:val="000000"/>
                <w:sz w:val="24"/>
              </w:rPr>
              <w:t>5,481,000.00</w:t>
            </w:r>
          </w:p>
        </w:tc>
        <w:tc>
          <w:tcPr>
            <w:tcW w:w="1680" w:type="dxa"/>
            <w:vAlign w:val="center"/>
          </w:tcPr>
          <w:p w:rsidR="00C35830" w:rsidRDefault="00995D98">
            <w:pPr>
              <w:jc w:val="right"/>
            </w:pPr>
            <w:r>
              <w:rPr>
                <w:color w:val="000000"/>
                <w:sz w:val="24"/>
              </w:rPr>
              <w:t>1.59</w:t>
            </w:r>
          </w:p>
        </w:tc>
      </w:tr>
      <w:tr w:rsidR="00C35830">
        <w:trPr>
          <w:jc w:val="center"/>
        </w:trPr>
        <w:tc>
          <w:tcPr>
            <w:tcW w:w="850" w:type="dxa"/>
            <w:vAlign w:val="center"/>
          </w:tcPr>
          <w:p w:rsidR="00C35830" w:rsidRDefault="00995D98">
            <w:pPr>
              <w:jc w:val="center"/>
            </w:pPr>
            <w:r>
              <w:rPr>
                <w:color w:val="000000"/>
                <w:sz w:val="24"/>
              </w:rPr>
              <w:t>10</w:t>
            </w:r>
          </w:p>
        </w:tc>
        <w:tc>
          <w:tcPr>
            <w:tcW w:w="1327" w:type="dxa"/>
            <w:vAlign w:val="center"/>
          </w:tcPr>
          <w:p w:rsidR="00C35830" w:rsidRDefault="00995D98">
            <w:pPr>
              <w:jc w:val="center"/>
            </w:pPr>
            <w:r>
              <w:rPr>
                <w:color w:val="000000"/>
                <w:sz w:val="24"/>
              </w:rPr>
              <w:t>000963</w:t>
            </w:r>
          </w:p>
        </w:tc>
        <w:tc>
          <w:tcPr>
            <w:tcW w:w="1769" w:type="dxa"/>
            <w:vAlign w:val="center"/>
          </w:tcPr>
          <w:p w:rsidR="00C35830" w:rsidRDefault="00995D98">
            <w:pPr>
              <w:jc w:val="center"/>
            </w:pPr>
            <w:r>
              <w:rPr>
                <w:color w:val="000000"/>
                <w:sz w:val="24"/>
              </w:rPr>
              <w:t>华东医药</w:t>
            </w:r>
          </w:p>
        </w:tc>
        <w:tc>
          <w:tcPr>
            <w:tcW w:w="1327" w:type="dxa"/>
            <w:vAlign w:val="center"/>
          </w:tcPr>
          <w:p w:rsidR="00C35830" w:rsidRDefault="00995D98">
            <w:pPr>
              <w:jc w:val="right"/>
            </w:pPr>
            <w:r>
              <w:rPr>
                <w:color w:val="000000"/>
                <w:sz w:val="24"/>
              </w:rPr>
              <w:t>80,000</w:t>
            </w:r>
          </w:p>
        </w:tc>
        <w:tc>
          <w:tcPr>
            <w:tcW w:w="1915" w:type="dxa"/>
            <w:vAlign w:val="center"/>
          </w:tcPr>
          <w:p w:rsidR="00C35830" w:rsidRDefault="00995D98">
            <w:pPr>
              <w:jc w:val="right"/>
            </w:pPr>
            <w:r>
              <w:rPr>
                <w:color w:val="000000"/>
                <w:sz w:val="24"/>
              </w:rPr>
              <w:t>5,240,000.00</w:t>
            </w:r>
          </w:p>
        </w:tc>
        <w:tc>
          <w:tcPr>
            <w:tcW w:w="1680" w:type="dxa"/>
            <w:vAlign w:val="center"/>
          </w:tcPr>
          <w:p w:rsidR="00C35830" w:rsidRDefault="00995D98">
            <w:pPr>
              <w:jc w:val="right"/>
            </w:pPr>
            <w:r>
              <w:rPr>
                <w:color w:val="000000"/>
                <w:sz w:val="24"/>
              </w:rPr>
              <w:t>1.52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20,966,192.40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66,623,000.00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66,623,000.00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68,071,500.00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proofErr w:type="gramStart"/>
            <w:r w:rsidR="00FA786F" w:rsidRPr="007F52FA">
              <w:rPr>
                <w:color w:val="000000"/>
                <w:sz w:val="24"/>
              </w:rPr>
              <w:t>券</w:t>
            </w:r>
            <w:proofErr w:type="gramEnd"/>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20,172,000.00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54,911,000.00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15.95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230,743,692.40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35830">
        <w:trPr>
          <w:jc w:val="center"/>
        </w:trPr>
        <w:tc>
          <w:tcPr>
            <w:tcW w:w="1075" w:type="dxa"/>
            <w:vAlign w:val="center"/>
          </w:tcPr>
          <w:p w:rsidR="00C35830" w:rsidRDefault="00995D98">
            <w:pPr>
              <w:jc w:val="center"/>
            </w:pPr>
            <w:r>
              <w:rPr>
                <w:color w:val="000000"/>
                <w:sz w:val="24"/>
              </w:rPr>
              <w:t>1</w:t>
            </w:r>
          </w:p>
        </w:tc>
        <w:tc>
          <w:tcPr>
            <w:tcW w:w="1533" w:type="dxa"/>
            <w:vAlign w:val="center"/>
          </w:tcPr>
          <w:p w:rsidR="00C35830" w:rsidRDefault="00995D98">
            <w:pPr>
              <w:jc w:val="center"/>
            </w:pPr>
            <w:r>
              <w:rPr>
                <w:color w:val="000000"/>
                <w:sz w:val="24"/>
              </w:rPr>
              <w:t>170210</w:t>
            </w:r>
          </w:p>
        </w:tc>
        <w:tc>
          <w:tcPr>
            <w:tcW w:w="1533" w:type="dxa"/>
            <w:vAlign w:val="center"/>
          </w:tcPr>
          <w:p w:rsidR="00C35830" w:rsidRDefault="00995D98">
            <w:pPr>
              <w:jc w:val="center"/>
            </w:pPr>
            <w:r>
              <w:rPr>
                <w:color w:val="000000"/>
                <w:sz w:val="24"/>
              </w:rPr>
              <w:t>17</w:t>
            </w:r>
            <w:r>
              <w:rPr>
                <w:color w:val="000000"/>
                <w:sz w:val="24"/>
              </w:rPr>
              <w:t>国开</w:t>
            </w:r>
            <w:r>
              <w:rPr>
                <w:color w:val="000000"/>
                <w:sz w:val="24"/>
              </w:rPr>
              <w:t>10</w:t>
            </w:r>
          </w:p>
        </w:tc>
        <w:tc>
          <w:tcPr>
            <w:tcW w:w="1394" w:type="dxa"/>
            <w:vAlign w:val="center"/>
          </w:tcPr>
          <w:p w:rsidR="00C35830" w:rsidRDefault="00995D98">
            <w:pPr>
              <w:jc w:val="right"/>
            </w:pPr>
            <w:r>
              <w:rPr>
                <w:color w:val="000000"/>
                <w:sz w:val="24"/>
              </w:rPr>
              <w:t>500,000</w:t>
            </w:r>
          </w:p>
        </w:tc>
        <w:tc>
          <w:tcPr>
            <w:tcW w:w="1944" w:type="dxa"/>
            <w:vAlign w:val="center"/>
          </w:tcPr>
          <w:p w:rsidR="00C35830" w:rsidRDefault="00995D98">
            <w:pPr>
              <w:jc w:val="right"/>
            </w:pPr>
            <w:r>
              <w:rPr>
                <w:color w:val="000000"/>
                <w:sz w:val="24"/>
              </w:rPr>
              <w:t>47,325,000.00</w:t>
            </w:r>
          </w:p>
        </w:tc>
        <w:tc>
          <w:tcPr>
            <w:tcW w:w="1389" w:type="dxa"/>
            <w:vAlign w:val="center"/>
          </w:tcPr>
          <w:p w:rsidR="00C35830" w:rsidRDefault="00995D98">
            <w:pPr>
              <w:jc w:val="right"/>
            </w:pPr>
            <w:r>
              <w:rPr>
                <w:color w:val="000000"/>
                <w:sz w:val="24"/>
              </w:rPr>
              <w:t>13.75</w:t>
            </w:r>
          </w:p>
        </w:tc>
      </w:tr>
      <w:tr w:rsidR="00C35830">
        <w:trPr>
          <w:jc w:val="center"/>
        </w:trPr>
        <w:tc>
          <w:tcPr>
            <w:tcW w:w="1075" w:type="dxa"/>
            <w:vAlign w:val="center"/>
          </w:tcPr>
          <w:p w:rsidR="00C35830" w:rsidRDefault="00995D98">
            <w:pPr>
              <w:jc w:val="center"/>
            </w:pPr>
            <w:r>
              <w:rPr>
                <w:color w:val="000000"/>
                <w:sz w:val="24"/>
              </w:rPr>
              <w:lastRenderedPageBreak/>
              <w:t>2</w:t>
            </w:r>
          </w:p>
        </w:tc>
        <w:tc>
          <w:tcPr>
            <w:tcW w:w="1533" w:type="dxa"/>
            <w:vAlign w:val="center"/>
          </w:tcPr>
          <w:p w:rsidR="00C35830" w:rsidRDefault="00995D98">
            <w:pPr>
              <w:jc w:val="center"/>
            </w:pPr>
            <w:r>
              <w:rPr>
                <w:color w:val="000000"/>
                <w:sz w:val="24"/>
              </w:rPr>
              <w:t>136544</w:t>
            </w:r>
          </w:p>
        </w:tc>
        <w:tc>
          <w:tcPr>
            <w:tcW w:w="1533" w:type="dxa"/>
            <w:vAlign w:val="center"/>
          </w:tcPr>
          <w:p w:rsidR="00C35830" w:rsidRDefault="00995D98">
            <w:pPr>
              <w:jc w:val="center"/>
            </w:pPr>
            <w:r>
              <w:rPr>
                <w:color w:val="000000"/>
                <w:sz w:val="24"/>
              </w:rPr>
              <w:t>16</w:t>
            </w:r>
            <w:r>
              <w:rPr>
                <w:color w:val="000000"/>
                <w:sz w:val="24"/>
              </w:rPr>
              <w:t>联通</w:t>
            </w:r>
            <w:r>
              <w:rPr>
                <w:color w:val="000000"/>
                <w:sz w:val="24"/>
              </w:rPr>
              <w:t>03</w:t>
            </w:r>
          </w:p>
        </w:tc>
        <w:tc>
          <w:tcPr>
            <w:tcW w:w="1394" w:type="dxa"/>
            <w:vAlign w:val="center"/>
          </w:tcPr>
          <w:p w:rsidR="00C35830" w:rsidRDefault="00995D98">
            <w:pPr>
              <w:jc w:val="right"/>
            </w:pPr>
            <w:r>
              <w:rPr>
                <w:color w:val="000000"/>
                <w:sz w:val="24"/>
              </w:rPr>
              <w:t>300,000</w:t>
            </w:r>
          </w:p>
        </w:tc>
        <w:tc>
          <w:tcPr>
            <w:tcW w:w="1944" w:type="dxa"/>
            <w:vAlign w:val="center"/>
          </w:tcPr>
          <w:p w:rsidR="00C35830" w:rsidRDefault="00995D98">
            <w:pPr>
              <w:jc w:val="right"/>
            </w:pPr>
            <w:r>
              <w:rPr>
                <w:color w:val="000000"/>
                <w:sz w:val="24"/>
              </w:rPr>
              <w:t>29,376,000.00</w:t>
            </w:r>
          </w:p>
        </w:tc>
        <w:tc>
          <w:tcPr>
            <w:tcW w:w="1389" w:type="dxa"/>
            <w:vAlign w:val="center"/>
          </w:tcPr>
          <w:p w:rsidR="00C35830" w:rsidRDefault="00995D98">
            <w:pPr>
              <w:jc w:val="right"/>
            </w:pPr>
            <w:r>
              <w:rPr>
                <w:color w:val="000000"/>
                <w:sz w:val="24"/>
              </w:rPr>
              <w:t>8.54</w:t>
            </w:r>
          </w:p>
        </w:tc>
      </w:tr>
      <w:tr w:rsidR="00C35830">
        <w:trPr>
          <w:jc w:val="center"/>
        </w:trPr>
        <w:tc>
          <w:tcPr>
            <w:tcW w:w="1075" w:type="dxa"/>
            <w:vAlign w:val="center"/>
          </w:tcPr>
          <w:p w:rsidR="00C35830" w:rsidRDefault="00995D98">
            <w:pPr>
              <w:jc w:val="center"/>
            </w:pPr>
            <w:r>
              <w:rPr>
                <w:color w:val="000000"/>
                <w:sz w:val="24"/>
              </w:rPr>
              <w:t>3</w:t>
            </w:r>
          </w:p>
        </w:tc>
        <w:tc>
          <w:tcPr>
            <w:tcW w:w="1533" w:type="dxa"/>
            <w:vAlign w:val="center"/>
          </w:tcPr>
          <w:p w:rsidR="00C35830" w:rsidRDefault="00995D98">
            <w:pPr>
              <w:jc w:val="center"/>
            </w:pPr>
            <w:r>
              <w:rPr>
                <w:color w:val="000000"/>
                <w:sz w:val="24"/>
              </w:rPr>
              <w:t>019563</w:t>
            </w:r>
          </w:p>
        </w:tc>
        <w:tc>
          <w:tcPr>
            <w:tcW w:w="1533" w:type="dxa"/>
            <w:vAlign w:val="center"/>
          </w:tcPr>
          <w:p w:rsidR="00C35830" w:rsidRDefault="00995D98">
            <w:pPr>
              <w:jc w:val="center"/>
            </w:pPr>
            <w:r>
              <w:rPr>
                <w:color w:val="000000"/>
                <w:sz w:val="24"/>
              </w:rPr>
              <w:t>17</w:t>
            </w:r>
            <w:r>
              <w:rPr>
                <w:color w:val="000000"/>
                <w:sz w:val="24"/>
              </w:rPr>
              <w:t>国债</w:t>
            </w:r>
            <w:r>
              <w:rPr>
                <w:color w:val="000000"/>
                <w:sz w:val="24"/>
              </w:rPr>
              <w:t>09</w:t>
            </w:r>
          </w:p>
        </w:tc>
        <w:tc>
          <w:tcPr>
            <w:tcW w:w="1394" w:type="dxa"/>
            <w:vAlign w:val="center"/>
          </w:tcPr>
          <w:p w:rsidR="00C35830" w:rsidRDefault="00995D98">
            <w:pPr>
              <w:jc w:val="right"/>
            </w:pPr>
            <w:r>
              <w:rPr>
                <w:color w:val="000000"/>
                <w:sz w:val="24"/>
              </w:rPr>
              <w:t>209,620</w:t>
            </w:r>
          </w:p>
        </w:tc>
        <w:tc>
          <w:tcPr>
            <w:tcW w:w="1944" w:type="dxa"/>
            <w:vAlign w:val="center"/>
          </w:tcPr>
          <w:p w:rsidR="00C35830" w:rsidRDefault="00995D98">
            <w:pPr>
              <w:jc w:val="right"/>
            </w:pPr>
            <w:r>
              <w:rPr>
                <w:color w:val="000000"/>
                <w:sz w:val="24"/>
              </w:rPr>
              <w:t>20,966,192.40</w:t>
            </w:r>
          </w:p>
        </w:tc>
        <w:tc>
          <w:tcPr>
            <w:tcW w:w="1389" w:type="dxa"/>
            <w:vAlign w:val="center"/>
          </w:tcPr>
          <w:p w:rsidR="00C35830" w:rsidRDefault="00995D98">
            <w:pPr>
              <w:jc w:val="right"/>
            </w:pPr>
            <w:r>
              <w:rPr>
                <w:color w:val="000000"/>
                <w:sz w:val="24"/>
              </w:rPr>
              <w:t>6.09</w:t>
            </w:r>
          </w:p>
        </w:tc>
      </w:tr>
      <w:tr w:rsidR="00C35830">
        <w:trPr>
          <w:jc w:val="center"/>
        </w:trPr>
        <w:tc>
          <w:tcPr>
            <w:tcW w:w="1075" w:type="dxa"/>
            <w:vAlign w:val="center"/>
          </w:tcPr>
          <w:p w:rsidR="00C35830" w:rsidRDefault="00995D98">
            <w:pPr>
              <w:jc w:val="center"/>
            </w:pPr>
            <w:r>
              <w:rPr>
                <w:color w:val="000000"/>
                <w:sz w:val="24"/>
              </w:rPr>
              <w:t>4</w:t>
            </w:r>
          </w:p>
        </w:tc>
        <w:tc>
          <w:tcPr>
            <w:tcW w:w="1533" w:type="dxa"/>
            <w:vAlign w:val="center"/>
          </w:tcPr>
          <w:p w:rsidR="00C35830" w:rsidRDefault="00995D98">
            <w:pPr>
              <w:jc w:val="center"/>
            </w:pPr>
            <w:r>
              <w:rPr>
                <w:color w:val="000000"/>
                <w:sz w:val="24"/>
              </w:rPr>
              <w:t>041759008</w:t>
            </w:r>
          </w:p>
        </w:tc>
        <w:tc>
          <w:tcPr>
            <w:tcW w:w="1533" w:type="dxa"/>
            <w:vAlign w:val="center"/>
          </w:tcPr>
          <w:p w:rsidR="00C35830" w:rsidRDefault="00995D98">
            <w:pPr>
              <w:jc w:val="center"/>
            </w:pPr>
            <w:r>
              <w:rPr>
                <w:color w:val="000000"/>
                <w:sz w:val="24"/>
              </w:rPr>
              <w:t>17</w:t>
            </w:r>
            <w:r>
              <w:rPr>
                <w:color w:val="000000"/>
                <w:sz w:val="24"/>
              </w:rPr>
              <w:t>武国资</w:t>
            </w:r>
            <w:r>
              <w:rPr>
                <w:color w:val="000000"/>
                <w:sz w:val="24"/>
              </w:rPr>
              <w:t>CP001</w:t>
            </w:r>
          </w:p>
        </w:tc>
        <w:tc>
          <w:tcPr>
            <w:tcW w:w="1394" w:type="dxa"/>
            <w:vAlign w:val="center"/>
          </w:tcPr>
          <w:p w:rsidR="00C35830" w:rsidRDefault="00995D98">
            <w:pPr>
              <w:jc w:val="right"/>
            </w:pPr>
            <w:r>
              <w:rPr>
                <w:color w:val="000000"/>
                <w:sz w:val="24"/>
              </w:rPr>
              <w:t>200,000</w:t>
            </w:r>
          </w:p>
        </w:tc>
        <w:tc>
          <w:tcPr>
            <w:tcW w:w="1944" w:type="dxa"/>
            <w:vAlign w:val="center"/>
          </w:tcPr>
          <w:p w:rsidR="00C35830" w:rsidRDefault="00995D98">
            <w:pPr>
              <w:jc w:val="right"/>
            </w:pPr>
            <w:r>
              <w:rPr>
                <w:color w:val="000000"/>
                <w:sz w:val="24"/>
              </w:rPr>
              <w:t>20,172,000.00</w:t>
            </w:r>
          </w:p>
        </w:tc>
        <w:tc>
          <w:tcPr>
            <w:tcW w:w="1389" w:type="dxa"/>
            <w:vAlign w:val="center"/>
          </w:tcPr>
          <w:p w:rsidR="00C35830" w:rsidRDefault="00995D98">
            <w:pPr>
              <w:jc w:val="right"/>
            </w:pPr>
            <w:r>
              <w:rPr>
                <w:color w:val="000000"/>
                <w:sz w:val="24"/>
              </w:rPr>
              <w:t>5.86</w:t>
            </w:r>
          </w:p>
        </w:tc>
      </w:tr>
      <w:tr w:rsidR="00C35830">
        <w:trPr>
          <w:jc w:val="center"/>
        </w:trPr>
        <w:tc>
          <w:tcPr>
            <w:tcW w:w="1075" w:type="dxa"/>
            <w:vAlign w:val="center"/>
          </w:tcPr>
          <w:p w:rsidR="00C35830" w:rsidRDefault="00995D98">
            <w:pPr>
              <w:jc w:val="center"/>
            </w:pPr>
            <w:r>
              <w:rPr>
                <w:color w:val="000000"/>
                <w:sz w:val="24"/>
              </w:rPr>
              <w:t>5</w:t>
            </w:r>
          </w:p>
        </w:tc>
        <w:tc>
          <w:tcPr>
            <w:tcW w:w="1533" w:type="dxa"/>
            <w:vAlign w:val="center"/>
          </w:tcPr>
          <w:p w:rsidR="00C35830" w:rsidRDefault="00995D98">
            <w:pPr>
              <w:jc w:val="center"/>
            </w:pPr>
            <w:r>
              <w:rPr>
                <w:color w:val="000000"/>
                <w:sz w:val="24"/>
              </w:rPr>
              <w:t>143076</w:t>
            </w:r>
          </w:p>
        </w:tc>
        <w:tc>
          <w:tcPr>
            <w:tcW w:w="1533" w:type="dxa"/>
            <w:vAlign w:val="center"/>
          </w:tcPr>
          <w:p w:rsidR="00C35830" w:rsidRDefault="00995D98">
            <w:pPr>
              <w:jc w:val="center"/>
            </w:pPr>
            <w:r>
              <w:rPr>
                <w:color w:val="000000"/>
                <w:sz w:val="24"/>
              </w:rPr>
              <w:t>17</w:t>
            </w:r>
            <w:r>
              <w:rPr>
                <w:color w:val="000000"/>
                <w:sz w:val="24"/>
              </w:rPr>
              <w:t>兵装</w:t>
            </w:r>
            <w:r>
              <w:rPr>
                <w:color w:val="000000"/>
                <w:sz w:val="24"/>
              </w:rPr>
              <w:t>01</w:t>
            </w:r>
          </w:p>
        </w:tc>
        <w:tc>
          <w:tcPr>
            <w:tcW w:w="1394" w:type="dxa"/>
            <w:vAlign w:val="center"/>
          </w:tcPr>
          <w:p w:rsidR="00C35830" w:rsidRDefault="00995D98">
            <w:pPr>
              <w:jc w:val="right"/>
            </w:pPr>
            <w:r>
              <w:rPr>
                <w:color w:val="000000"/>
                <w:sz w:val="24"/>
              </w:rPr>
              <w:t>200,000</w:t>
            </w:r>
          </w:p>
        </w:tc>
        <w:tc>
          <w:tcPr>
            <w:tcW w:w="1944" w:type="dxa"/>
            <w:vAlign w:val="center"/>
          </w:tcPr>
          <w:p w:rsidR="00C35830" w:rsidRDefault="00995D98">
            <w:pPr>
              <w:jc w:val="right"/>
            </w:pPr>
            <w:r>
              <w:rPr>
                <w:color w:val="000000"/>
                <w:sz w:val="24"/>
              </w:rPr>
              <w:t>19,928,000.00</w:t>
            </w:r>
          </w:p>
        </w:tc>
        <w:tc>
          <w:tcPr>
            <w:tcW w:w="1389" w:type="dxa"/>
            <w:vAlign w:val="center"/>
          </w:tcPr>
          <w:p w:rsidR="00C35830" w:rsidRDefault="00995D98">
            <w:pPr>
              <w:jc w:val="right"/>
            </w:pPr>
            <w:r>
              <w:rPr>
                <w:color w:val="000000"/>
                <w:sz w:val="24"/>
              </w:rPr>
              <w:t>5.79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63,092.91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5,656,756.77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8,200.23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5,728,049.91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E8251D"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E8251D">
        <w:rPr>
          <w:rFonts w:eastAsiaTheme="minorEastAsia"/>
          <w:color w:val="000000" w:themeColor="text1"/>
          <w:kern w:val="0"/>
          <w:sz w:val="24"/>
          <w:szCs w:val="24"/>
        </w:rPr>
        <w:t>§6</w:t>
      </w:r>
      <w:r w:rsidRPr="00E8251D">
        <w:rPr>
          <w:rFonts w:eastAsiaTheme="minorEastAsia" w:hint="eastAsia"/>
          <w:color w:val="000000" w:themeColor="text1"/>
          <w:kern w:val="0"/>
          <w:sz w:val="24"/>
          <w:szCs w:val="24"/>
        </w:rPr>
        <w:t xml:space="preserve">  </w:t>
      </w:r>
      <w:r w:rsidRPr="00E8251D">
        <w:rPr>
          <w:rFonts w:eastAsiaTheme="minorEastAsia" w:hint="eastAsia"/>
          <w:color w:val="000000" w:themeColor="text1"/>
          <w:kern w:val="0"/>
          <w:sz w:val="24"/>
          <w:szCs w:val="24"/>
        </w:rPr>
        <w:t>基金中基金</w:t>
      </w:r>
    </w:p>
    <w:p w:rsidR="00C51B4E" w:rsidRPr="00E8251D" w:rsidRDefault="00C51B4E" w:rsidP="00C51B4E">
      <w:pPr>
        <w:adjustRightInd w:val="0"/>
        <w:snapToGrid w:val="0"/>
        <w:spacing w:line="360" w:lineRule="auto"/>
        <w:rPr>
          <w:rFonts w:eastAsiaTheme="minorEastAsia"/>
          <w:b/>
          <w:color w:val="000000" w:themeColor="text1"/>
          <w:kern w:val="0"/>
          <w:sz w:val="24"/>
        </w:rPr>
      </w:pPr>
      <w:r w:rsidRPr="00E8251D">
        <w:rPr>
          <w:rFonts w:eastAsiaTheme="minorEastAsia"/>
          <w:b/>
          <w:color w:val="000000" w:themeColor="text1"/>
          <w:kern w:val="0"/>
          <w:sz w:val="24"/>
        </w:rPr>
        <w:t>6.1</w:t>
      </w:r>
      <w:r w:rsidRPr="00E8251D">
        <w:rPr>
          <w:rFonts w:eastAsiaTheme="minorEastAsia" w:hint="eastAsia"/>
          <w:b/>
          <w:color w:val="000000" w:themeColor="text1"/>
          <w:kern w:val="0"/>
          <w:sz w:val="24"/>
        </w:rPr>
        <w:t xml:space="preserve"> </w:t>
      </w:r>
      <w:r w:rsidRPr="00E8251D">
        <w:rPr>
          <w:rFonts w:eastAsiaTheme="minorEastAsia" w:hint="eastAsia"/>
          <w:b/>
          <w:color w:val="000000" w:themeColor="text1"/>
          <w:kern w:val="0"/>
          <w:sz w:val="24"/>
        </w:rPr>
        <w:t>报告期末按公允价值占基金资产净值比例大小排序的前十名基金投资明细</w:t>
      </w:r>
    </w:p>
    <w:p w:rsidR="00C51B4E" w:rsidRPr="00E8251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E8251D">
        <w:rPr>
          <w:rFonts w:eastAsiaTheme="minorEastAsia"/>
          <w:color w:val="000000" w:themeColor="text1"/>
          <w:sz w:val="24"/>
        </w:rPr>
        <w:t>本基金本报告期末未持有基金。</w:t>
      </w:r>
    </w:p>
    <w:p w:rsidR="00C51B4E" w:rsidRPr="00E8251D" w:rsidRDefault="00C51B4E" w:rsidP="0028293E">
      <w:pPr>
        <w:adjustRightInd w:val="0"/>
        <w:snapToGrid w:val="0"/>
        <w:spacing w:beforeLines="50" w:before="156" w:line="360" w:lineRule="auto"/>
        <w:rPr>
          <w:rFonts w:eastAsiaTheme="minorEastAsia"/>
          <w:b/>
          <w:color w:val="000000" w:themeColor="text1"/>
          <w:kern w:val="0"/>
          <w:sz w:val="24"/>
        </w:rPr>
      </w:pPr>
      <w:r w:rsidRPr="00E8251D">
        <w:rPr>
          <w:rFonts w:eastAsiaTheme="minorEastAsia"/>
          <w:b/>
          <w:color w:val="000000" w:themeColor="text1"/>
          <w:kern w:val="0"/>
          <w:sz w:val="24"/>
        </w:rPr>
        <w:t>6.2</w:t>
      </w:r>
      <w:r w:rsidRPr="00E8251D">
        <w:rPr>
          <w:rFonts w:eastAsiaTheme="minorEastAsia" w:hint="eastAsia"/>
          <w:b/>
          <w:color w:val="000000" w:themeColor="text1"/>
          <w:kern w:val="0"/>
          <w:sz w:val="24"/>
        </w:rPr>
        <w:t xml:space="preserve"> </w:t>
      </w:r>
      <w:r w:rsidRPr="00E8251D">
        <w:rPr>
          <w:rFonts w:eastAsiaTheme="minorEastAsia" w:hint="eastAsia"/>
          <w:b/>
          <w:color w:val="000000" w:themeColor="text1"/>
          <w:kern w:val="0"/>
          <w:sz w:val="24"/>
        </w:rPr>
        <w:t>当期交易及持有基金产生的费用</w:t>
      </w:r>
    </w:p>
    <w:p w:rsidR="00C51B4E" w:rsidRPr="00E8251D"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E8251D">
        <w:rPr>
          <w:rFonts w:eastAsiaTheme="minorEastAsia"/>
          <w:color w:val="000000" w:themeColor="text1"/>
          <w:sz w:val="24"/>
        </w:rPr>
        <w:t>本基金本报告期内未交易或持有基金。</w:t>
      </w:r>
    </w:p>
    <w:p w:rsidR="00E8251D" w:rsidRPr="00E8251D" w:rsidRDefault="00E8251D" w:rsidP="00E8251D">
      <w:pPr>
        <w:adjustRightInd w:val="0"/>
        <w:snapToGrid w:val="0"/>
        <w:spacing w:beforeLines="50" w:before="156" w:line="360" w:lineRule="auto"/>
        <w:rPr>
          <w:rFonts w:eastAsiaTheme="minorEastAsia" w:hint="eastAsia"/>
          <w:b/>
          <w:color w:val="000000" w:themeColor="text1"/>
          <w:kern w:val="0"/>
          <w:sz w:val="24"/>
        </w:rPr>
      </w:pPr>
      <w:r w:rsidRPr="00E8251D">
        <w:rPr>
          <w:rFonts w:eastAsiaTheme="minorEastAsia" w:hint="eastAsia"/>
          <w:b/>
          <w:color w:val="000000" w:themeColor="text1"/>
          <w:kern w:val="0"/>
          <w:sz w:val="24"/>
        </w:rPr>
        <w:t xml:space="preserve">6.3 </w:t>
      </w:r>
      <w:r w:rsidRPr="00E8251D">
        <w:rPr>
          <w:rFonts w:eastAsiaTheme="minorEastAsia" w:hint="eastAsia"/>
          <w:b/>
          <w:color w:val="000000" w:themeColor="text1"/>
          <w:kern w:val="0"/>
          <w:sz w:val="24"/>
        </w:rPr>
        <w:t>本报告期持有的基金发生的重大影响事件</w:t>
      </w:r>
    </w:p>
    <w:p w:rsidR="00E8251D" w:rsidRPr="00E8251D" w:rsidRDefault="00E8251D" w:rsidP="00E8251D">
      <w:pPr>
        <w:autoSpaceDE w:val="0"/>
        <w:autoSpaceDN w:val="0"/>
        <w:adjustRightInd w:val="0"/>
        <w:spacing w:line="360" w:lineRule="auto"/>
        <w:ind w:firstLineChars="200" w:firstLine="480"/>
        <w:jc w:val="left"/>
        <w:rPr>
          <w:rFonts w:eastAsiaTheme="minorEastAsia" w:hint="eastAsia"/>
          <w:color w:val="000000" w:themeColor="text1"/>
          <w:sz w:val="24"/>
        </w:rPr>
      </w:pPr>
      <w:r w:rsidRPr="00E8251D">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w:t>
            </w:r>
            <w:proofErr w:type="gramStart"/>
            <w:r w:rsidRPr="007F52FA">
              <w:rPr>
                <w:rFonts w:eastAsiaTheme="minorEastAsia"/>
                <w:color w:val="000000"/>
                <w:kern w:val="0"/>
                <w:sz w:val="24"/>
              </w:rPr>
              <w:t>初基金</w:t>
            </w:r>
            <w:proofErr w:type="gramEnd"/>
            <w:r w:rsidRPr="007F52FA">
              <w:rPr>
                <w:rFonts w:eastAsiaTheme="minorEastAsia"/>
                <w:color w:val="000000"/>
                <w:kern w:val="0"/>
                <w:sz w:val="24"/>
              </w:rPr>
              <w:t>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267,673,956.24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159,883,123.97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2,693,044.63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44,926,420.81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89,061,116.27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225,440,580.06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70,822,007.70</w:t>
            </w:r>
          </w:p>
        </w:tc>
      </w:tr>
    </w:tbl>
    <w:p w:rsidR="00C35830" w:rsidRDefault="00995D9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w:t>
      </w:r>
      <w:proofErr w:type="gramStart"/>
      <w:r w:rsidR="000673DA" w:rsidRPr="000673DA">
        <w:rPr>
          <w:rFonts w:hAnsi="宋体"/>
          <w:sz w:val="24"/>
          <w:szCs w:val="24"/>
        </w:rPr>
        <w:t>固有资金</w:t>
      </w:r>
      <w:proofErr w:type="gramEnd"/>
      <w:r w:rsidR="000673DA" w:rsidRPr="000673DA">
        <w:rPr>
          <w:rFonts w:hAnsi="宋体"/>
          <w:sz w:val="24"/>
          <w:szCs w:val="24"/>
        </w:rPr>
        <w:t>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B43E07"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B43E07">
        <w:rPr>
          <w:rFonts w:eastAsiaTheme="minorEastAsia"/>
          <w:color w:val="000000" w:themeColor="text1"/>
          <w:kern w:val="0"/>
          <w:sz w:val="24"/>
          <w:szCs w:val="24"/>
        </w:rPr>
        <w:t xml:space="preserve">§9 </w:t>
      </w:r>
      <w:r w:rsidR="00F139D5" w:rsidRPr="00B43E07">
        <w:rPr>
          <w:rFonts w:eastAsiaTheme="minorEastAsia"/>
          <w:color w:val="000000" w:themeColor="text1"/>
          <w:kern w:val="0"/>
          <w:sz w:val="24"/>
          <w:szCs w:val="24"/>
        </w:rPr>
        <w:t xml:space="preserve"> </w:t>
      </w:r>
      <w:r w:rsidRPr="00B43E07">
        <w:rPr>
          <w:rFonts w:eastAsiaTheme="minorEastAsia" w:hint="eastAsia"/>
          <w:color w:val="000000" w:themeColor="text1"/>
          <w:kern w:val="0"/>
          <w:sz w:val="24"/>
          <w:szCs w:val="24"/>
        </w:rPr>
        <w:t>影响投资者决策的其他重要信息</w:t>
      </w:r>
    </w:p>
    <w:p w:rsidR="00ED0E09" w:rsidRPr="00B43E07" w:rsidRDefault="00ED0E09" w:rsidP="00ED0E09">
      <w:pPr>
        <w:autoSpaceDE w:val="0"/>
        <w:autoSpaceDN w:val="0"/>
        <w:adjustRightInd w:val="0"/>
        <w:spacing w:line="360" w:lineRule="auto"/>
        <w:jc w:val="left"/>
        <w:rPr>
          <w:rFonts w:ascii="宋体" w:hAnsi="宋体"/>
          <w:b/>
          <w:bCs/>
          <w:color w:val="000000"/>
          <w:kern w:val="0"/>
          <w:sz w:val="24"/>
        </w:rPr>
      </w:pPr>
      <w:r w:rsidRPr="00B43E07">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35830">
        <w:tc>
          <w:tcPr>
            <w:tcW w:w="992" w:type="dxa"/>
            <w:vMerge w:val="restart"/>
          </w:tcPr>
          <w:p w:rsidR="00C35830" w:rsidRDefault="00C35830"/>
          <w:p w:rsidR="00C35830" w:rsidRDefault="00995D98">
            <w:r>
              <w:rPr>
                <w:rFonts w:ascii="宋体" w:hAnsi="宋体" w:hint="eastAsia"/>
                <w:bCs/>
                <w:color w:val="000000"/>
                <w:kern w:val="0"/>
                <w:szCs w:val="21"/>
              </w:rPr>
              <w:t>机构</w:t>
            </w:r>
          </w:p>
        </w:tc>
        <w:tc>
          <w:tcPr>
            <w:tcW w:w="991" w:type="dxa"/>
            <w:vAlign w:val="center"/>
          </w:tcPr>
          <w:p w:rsidR="00C35830" w:rsidRDefault="00995D98">
            <w:pPr>
              <w:jc w:val="center"/>
            </w:pPr>
            <w:r>
              <w:rPr>
                <w:rFonts w:ascii="宋体" w:hAnsi="宋体" w:hint="eastAsia"/>
                <w:color w:val="000000"/>
                <w:kern w:val="0"/>
                <w:szCs w:val="21"/>
              </w:rPr>
              <w:t>1</w:t>
            </w:r>
          </w:p>
        </w:tc>
        <w:tc>
          <w:tcPr>
            <w:tcW w:w="1843" w:type="dxa"/>
            <w:vAlign w:val="center"/>
          </w:tcPr>
          <w:p w:rsidR="00C35830" w:rsidRDefault="00995D98">
            <w:pPr>
              <w:jc w:val="center"/>
            </w:pPr>
            <w:r>
              <w:rPr>
                <w:rFonts w:ascii="宋体" w:hAnsi="宋体" w:hint="eastAsia"/>
                <w:color w:val="000000"/>
                <w:kern w:val="0"/>
                <w:szCs w:val="21"/>
              </w:rPr>
              <w:t>2018/1/1-2018/3/31</w:t>
            </w:r>
          </w:p>
        </w:tc>
        <w:tc>
          <w:tcPr>
            <w:tcW w:w="851" w:type="dxa"/>
            <w:vAlign w:val="center"/>
          </w:tcPr>
          <w:p w:rsidR="00C35830" w:rsidRDefault="00995D98">
            <w:pPr>
              <w:jc w:val="center"/>
            </w:pPr>
            <w:r>
              <w:rPr>
                <w:rFonts w:ascii="宋体" w:hAnsi="宋体" w:hint="eastAsia"/>
                <w:color w:val="000000"/>
                <w:kern w:val="0"/>
                <w:szCs w:val="21"/>
              </w:rPr>
              <w:t>94,785,781.99</w:t>
            </w:r>
          </w:p>
        </w:tc>
        <w:tc>
          <w:tcPr>
            <w:tcW w:w="850" w:type="dxa"/>
            <w:vAlign w:val="center"/>
          </w:tcPr>
          <w:p w:rsidR="00C35830" w:rsidRDefault="00995D98">
            <w:pPr>
              <w:jc w:val="center"/>
            </w:pPr>
            <w:r>
              <w:rPr>
                <w:rFonts w:ascii="宋体" w:hAnsi="宋体" w:hint="eastAsia"/>
                <w:color w:val="000000"/>
                <w:kern w:val="0"/>
                <w:szCs w:val="21"/>
              </w:rPr>
              <w:t>-</w:t>
            </w:r>
          </w:p>
        </w:tc>
        <w:tc>
          <w:tcPr>
            <w:tcW w:w="1134" w:type="dxa"/>
            <w:vAlign w:val="center"/>
          </w:tcPr>
          <w:p w:rsidR="00C35830" w:rsidRDefault="00995D98">
            <w:pPr>
              <w:jc w:val="center"/>
            </w:pPr>
            <w:r>
              <w:rPr>
                <w:rFonts w:ascii="宋体" w:hAnsi="宋体" w:hint="eastAsia"/>
                <w:color w:val="000000"/>
                <w:kern w:val="0"/>
                <w:szCs w:val="21"/>
              </w:rPr>
              <w:t>-</w:t>
            </w:r>
          </w:p>
        </w:tc>
        <w:tc>
          <w:tcPr>
            <w:tcW w:w="1419" w:type="dxa"/>
            <w:vAlign w:val="center"/>
          </w:tcPr>
          <w:p w:rsidR="00C35830" w:rsidRDefault="00995D98">
            <w:pPr>
              <w:jc w:val="center"/>
            </w:pPr>
            <w:r>
              <w:rPr>
                <w:rFonts w:ascii="宋体" w:hAnsi="宋体" w:hint="eastAsia"/>
                <w:color w:val="000000"/>
                <w:kern w:val="0"/>
                <w:szCs w:val="21"/>
              </w:rPr>
              <w:t>94,785,781.99</w:t>
            </w:r>
          </w:p>
        </w:tc>
        <w:tc>
          <w:tcPr>
            <w:tcW w:w="1130" w:type="dxa"/>
            <w:vAlign w:val="center"/>
          </w:tcPr>
          <w:p w:rsidR="00C35830" w:rsidRDefault="00995D98">
            <w:pPr>
              <w:jc w:val="center"/>
            </w:pPr>
            <w:r>
              <w:rPr>
                <w:rFonts w:ascii="宋体" w:hAnsi="宋体" w:hint="eastAsia"/>
                <w:color w:val="000000"/>
                <w:kern w:val="0"/>
                <w:szCs w:val="21"/>
              </w:rPr>
              <w:t>31.99%</w:t>
            </w:r>
          </w:p>
        </w:tc>
      </w:tr>
      <w:tr w:rsidR="00C35830">
        <w:tc>
          <w:tcPr>
            <w:tcW w:w="992" w:type="dxa"/>
            <w:vMerge/>
          </w:tcPr>
          <w:p w:rsidR="00C35830" w:rsidRDefault="00C35830"/>
        </w:tc>
        <w:tc>
          <w:tcPr>
            <w:tcW w:w="991" w:type="dxa"/>
            <w:vAlign w:val="center"/>
          </w:tcPr>
          <w:p w:rsidR="00C35830" w:rsidRDefault="00995D98">
            <w:pPr>
              <w:jc w:val="center"/>
            </w:pPr>
            <w:r>
              <w:rPr>
                <w:rFonts w:ascii="宋体" w:hAnsi="宋体" w:hint="eastAsia"/>
                <w:color w:val="000000"/>
                <w:kern w:val="0"/>
                <w:szCs w:val="21"/>
              </w:rPr>
              <w:t>2</w:t>
            </w:r>
          </w:p>
        </w:tc>
        <w:tc>
          <w:tcPr>
            <w:tcW w:w="1843" w:type="dxa"/>
            <w:vAlign w:val="center"/>
          </w:tcPr>
          <w:p w:rsidR="00C35830" w:rsidRDefault="00995D98">
            <w:pPr>
              <w:jc w:val="center"/>
            </w:pPr>
            <w:r>
              <w:rPr>
                <w:rFonts w:ascii="宋体" w:hAnsi="宋体" w:hint="eastAsia"/>
                <w:color w:val="000000"/>
                <w:kern w:val="0"/>
                <w:szCs w:val="21"/>
              </w:rPr>
              <w:t>2018/1/1-2018/3/31</w:t>
            </w:r>
          </w:p>
        </w:tc>
        <w:tc>
          <w:tcPr>
            <w:tcW w:w="851" w:type="dxa"/>
            <w:vAlign w:val="center"/>
          </w:tcPr>
          <w:p w:rsidR="00C35830" w:rsidRDefault="00995D98">
            <w:pPr>
              <w:jc w:val="center"/>
            </w:pPr>
            <w:r>
              <w:rPr>
                <w:rFonts w:ascii="宋体" w:hAnsi="宋体" w:hint="eastAsia"/>
                <w:color w:val="000000"/>
                <w:kern w:val="0"/>
                <w:szCs w:val="21"/>
              </w:rPr>
              <w:t>87,489,063.87</w:t>
            </w:r>
          </w:p>
        </w:tc>
        <w:tc>
          <w:tcPr>
            <w:tcW w:w="850" w:type="dxa"/>
            <w:vAlign w:val="center"/>
          </w:tcPr>
          <w:p w:rsidR="00C35830" w:rsidRDefault="00995D98">
            <w:pPr>
              <w:jc w:val="center"/>
            </w:pPr>
            <w:r>
              <w:rPr>
                <w:rFonts w:ascii="宋体" w:hAnsi="宋体" w:hint="eastAsia"/>
                <w:color w:val="000000"/>
                <w:kern w:val="0"/>
                <w:szCs w:val="21"/>
              </w:rPr>
              <w:t>-</w:t>
            </w:r>
          </w:p>
        </w:tc>
        <w:tc>
          <w:tcPr>
            <w:tcW w:w="1134" w:type="dxa"/>
            <w:vAlign w:val="center"/>
          </w:tcPr>
          <w:p w:rsidR="00C35830" w:rsidRDefault="00995D98">
            <w:pPr>
              <w:jc w:val="center"/>
            </w:pPr>
            <w:r>
              <w:rPr>
                <w:rFonts w:ascii="宋体" w:hAnsi="宋体" w:hint="eastAsia"/>
                <w:color w:val="000000"/>
                <w:kern w:val="0"/>
                <w:szCs w:val="21"/>
              </w:rPr>
              <w:t>87,489,063.87</w:t>
            </w:r>
          </w:p>
        </w:tc>
        <w:tc>
          <w:tcPr>
            <w:tcW w:w="1419" w:type="dxa"/>
            <w:vAlign w:val="center"/>
          </w:tcPr>
          <w:p w:rsidR="00C35830" w:rsidRDefault="00995D98">
            <w:pPr>
              <w:jc w:val="center"/>
            </w:pPr>
            <w:r>
              <w:rPr>
                <w:rFonts w:ascii="宋体" w:hAnsi="宋体" w:hint="eastAsia"/>
                <w:color w:val="000000"/>
                <w:kern w:val="0"/>
                <w:szCs w:val="21"/>
              </w:rPr>
              <w:t>-</w:t>
            </w:r>
          </w:p>
        </w:tc>
        <w:tc>
          <w:tcPr>
            <w:tcW w:w="1130" w:type="dxa"/>
            <w:vAlign w:val="center"/>
          </w:tcPr>
          <w:p w:rsidR="00C35830" w:rsidRDefault="00995D9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Pr="00B43E07" w:rsidRDefault="00ED0E09" w:rsidP="00ED0E09">
      <w:pPr>
        <w:autoSpaceDE w:val="0"/>
        <w:autoSpaceDN w:val="0"/>
        <w:adjustRightInd w:val="0"/>
        <w:spacing w:line="360" w:lineRule="auto"/>
        <w:jc w:val="left"/>
        <w:rPr>
          <w:rFonts w:ascii="宋体" w:hAnsi="宋体"/>
          <w:b/>
          <w:bCs/>
          <w:color w:val="000000"/>
          <w:kern w:val="0"/>
          <w:sz w:val="24"/>
        </w:rPr>
      </w:pPr>
      <w:bookmarkStart w:id="0" w:name="_GoBack"/>
      <w:r w:rsidRPr="00B43E07">
        <w:rPr>
          <w:rFonts w:ascii="宋体" w:hAnsi="宋体" w:hint="eastAsia"/>
          <w:b/>
          <w:bCs/>
          <w:color w:val="000000"/>
          <w:kern w:val="0"/>
          <w:sz w:val="24"/>
        </w:rPr>
        <w:t>9.2 影响投资者决策的其他重要信息</w:t>
      </w:r>
    </w:p>
    <w:bookmarkEnd w:id="0"/>
    <w:p w:rsidR="00C35830" w:rsidRPr="00E8251D" w:rsidRDefault="00995D98" w:rsidP="00E8251D">
      <w:pPr>
        <w:spacing w:before="29" w:line="288" w:lineRule="auto"/>
        <w:ind w:firstLineChars="200" w:firstLine="480"/>
        <w:rPr>
          <w:rFonts w:eastAsiaTheme="minorEastAsia"/>
          <w:color w:val="000000"/>
          <w:sz w:val="24"/>
        </w:rPr>
      </w:pPr>
      <w:r w:rsidRPr="00E8251D">
        <w:rPr>
          <w:rFonts w:eastAsiaTheme="minorEastAsia" w:hint="eastAsia"/>
          <w:color w:val="000000"/>
          <w:sz w:val="24"/>
        </w:rPr>
        <w:t>1</w:t>
      </w:r>
      <w:r w:rsidRPr="00E8251D">
        <w:rPr>
          <w:rFonts w:eastAsiaTheme="minorEastAsia" w:hint="eastAsia"/>
          <w:color w:val="000000"/>
          <w:sz w:val="24"/>
        </w:rPr>
        <w:t>、根据财政部和国家税务总局于</w:t>
      </w:r>
      <w:r w:rsidRPr="00E8251D">
        <w:rPr>
          <w:rFonts w:eastAsiaTheme="minorEastAsia" w:hint="eastAsia"/>
          <w:color w:val="000000"/>
          <w:sz w:val="24"/>
        </w:rPr>
        <w:t>2016</w:t>
      </w:r>
      <w:r w:rsidRPr="00E8251D">
        <w:rPr>
          <w:rFonts w:eastAsiaTheme="minorEastAsia" w:hint="eastAsia"/>
          <w:color w:val="000000"/>
          <w:sz w:val="24"/>
        </w:rPr>
        <w:t>年</w:t>
      </w:r>
      <w:r w:rsidRPr="00E8251D">
        <w:rPr>
          <w:rFonts w:eastAsiaTheme="minorEastAsia" w:hint="eastAsia"/>
          <w:color w:val="000000"/>
          <w:sz w:val="24"/>
        </w:rPr>
        <w:t>12</w:t>
      </w:r>
      <w:r w:rsidRPr="00E8251D">
        <w:rPr>
          <w:rFonts w:eastAsiaTheme="minorEastAsia" w:hint="eastAsia"/>
          <w:color w:val="000000"/>
          <w:sz w:val="24"/>
        </w:rPr>
        <w:t>月</w:t>
      </w:r>
      <w:r w:rsidRPr="00E8251D">
        <w:rPr>
          <w:rFonts w:eastAsiaTheme="minorEastAsia" w:hint="eastAsia"/>
          <w:color w:val="000000"/>
          <w:sz w:val="24"/>
        </w:rPr>
        <w:t>21</w:t>
      </w:r>
      <w:r w:rsidRPr="00E8251D">
        <w:rPr>
          <w:rFonts w:eastAsiaTheme="minorEastAsia" w:hint="eastAsia"/>
          <w:color w:val="000000"/>
          <w:sz w:val="24"/>
        </w:rPr>
        <w:t>日联合发布的《关于明确金融、房地产开发、教育辅助服务等增值税政策的通知》（财税</w:t>
      </w:r>
      <w:r w:rsidRPr="00E8251D">
        <w:rPr>
          <w:rFonts w:eastAsiaTheme="minorEastAsia" w:hint="eastAsia"/>
          <w:color w:val="000000"/>
          <w:sz w:val="24"/>
        </w:rPr>
        <w:t>[2016]140</w:t>
      </w:r>
      <w:r w:rsidRPr="00E8251D">
        <w:rPr>
          <w:rFonts w:eastAsiaTheme="minorEastAsia" w:hint="eastAsia"/>
          <w:color w:val="000000"/>
          <w:sz w:val="24"/>
        </w:rPr>
        <w:t>号）以及于</w:t>
      </w:r>
      <w:r w:rsidRPr="00E8251D">
        <w:rPr>
          <w:rFonts w:eastAsiaTheme="minorEastAsia" w:hint="eastAsia"/>
          <w:color w:val="000000"/>
          <w:sz w:val="24"/>
        </w:rPr>
        <w:t>2017</w:t>
      </w:r>
      <w:r w:rsidRPr="00E8251D">
        <w:rPr>
          <w:rFonts w:eastAsiaTheme="minorEastAsia" w:hint="eastAsia"/>
          <w:color w:val="000000"/>
          <w:sz w:val="24"/>
        </w:rPr>
        <w:t>年</w:t>
      </w:r>
      <w:r w:rsidRPr="00E8251D">
        <w:rPr>
          <w:rFonts w:eastAsiaTheme="minorEastAsia" w:hint="eastAsia"/>
          <w:color w:val="000000"/>
          <w:sz w:val="24"/>
        </w:rPr>
        <w:t>6</w:t>
      </w:r>
      <w:r w:rsidRPr="00E8251D">
        <w:rPr>
          <w:rFonts w:eastAsiaTheme="minorEastAsia" w:hint="eastAsia"/>
          <w:color w:val="000000"/>
          <w:sz w:val="24"/>
        </w:rPr>
        <w:t>月</w:t>
      </w:r>
      <w:r w:rsidRPr="00E8251D">
        <w:rPr>
          <w:rFonts w:eastAsiaTheme="minorEastAsia" w:hint="eastAsia"/>
          <w:color w:val="000000"/>
          <w:sz w:val="24"/>
        </w:rPr>
        <w:t>30</w:t>
      </w:r>
      <w:r w:rsidRPr="00E8251D">
        <w:rPr>
          <w:rFonts w:eastAsiaTheme="minorEastAsia" w:hint="eastAsia"/>
          <w:color w:val="000000"/>
          <w:sz w:val="24"/>
        </w:rPr>
        <w:t>日联合发布的《财政部、税务总局关于资管产品增值税有关问题的通知》（财税</w:t>
      </w:r>
      <w:r w:rsidRPr="00E8251D">
        <w:rPr>
          <w:rFonts w:eastAsiaTheme="minorEastAsia" w:hint="eastAsia"/>
          <w:color w:val="000000"/>
          <w:sz w:val="24"/>
        </w:rPr>
        <w:lastRenderedPageBreak/>
        <w:t>[2017]56</w:t>
      </w:r>
      <w:r w:rsidRPr="00E8251D">
        <w:rPr>
          <w:rFonts w:eastAsiaTheme="minorEastAsia" w:hint="eastAsia"/>
          <w:color w:val="000000"/>
          <w:sz w:val="24"/>
        </w:rPr>
        <w:t>号）等规定，自</w:t>
      </w:r>
      <w:r w:rsidRPr="00E8251D">
        <w:rPr>
          <w:rFonts w:eastAsiaTheme="minorEastAsia" w:hint="eastAsia"/>
          <w:color w:val="000000"/>
          <w:sz w:val="24"/>
        </w:rPr>
        <w:t>2018</w:t>
      </w:r>
      <w:r w:rsidRPr="00E8251D">
        <w:rPr>
          <w:rFonts w:eastAsiaTheme="minorEastAsia" w:hint="eastAsia"/>
          <w:color w:val="000000"/>
          <w:sz w:val="24"/>
        </w:rPr>
        <w:t>年</w:t>
      </w:r>
      <w:r w:rsidRPr="00E8251D">
        <w:rPr>
          <w:rFonts w:eastAsiaTheme="minorEastAsia" w:hint="eastAsia"/>
          <w:color w:val="000000"/>
          <w:sz w:val="24"/>
        </w:rPr>
        <w:t>1</w:t>
      </w:r>
      <w:r w:rsidRPr="00E8251D">
        <w:rPr>
          <w:rFonts w:eastAsiaTheme="minorEastAsia" w:hint="eastAsia"/>
          <w:color w:val="000000"/>
          <w:sz w:val="24"/>
        </w:rPr>
        <w:t>月</w:t>
      </w:r>
      <w:r w:rsidRPr="00E8251D">
        <w:rPr>
          <w:rFonts w:eastAsiaTheme="minorEastAsia" w:hint="eastAsia"/>
          <w:color w:val="000000"/>
          <w:sz w:val="24"/>
        </w:rPr>
        <w:t>1</w:t>
      </w:r>
      <w:r w:rsidRPr="00E8251D">
        <w:rPr>
          <w:rFonts w:eastAsiaTheme="minorEastAsia"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E8251D">
        <w:rPr>
          <w:rFonts w:eastAsiaTheme="minorEastAsia"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E8251D" w:rsidRDefault="00ED0E09" w:rsidP="00E8251D">
      <w:pPr>
        <w:spacing w:before="29" w:line="288" w:lineRule="auto"/>
        <w:ind w:firstLineChars="200" w:firstLine="480"/>
        <w:rPr>
          <w:rFonts w:eastAsiaTheme="minorEastAsia"/>
          <w:color w:val="000000"/>
          <w:sz w:val="24"/>
        </w:rPr>
      </w:pPr>
      <w:r w:rsidRPr="00E8251D">
        <w:rPr>
          <w:rFonts w:eastAsiaTheme="minorEastAsia" w:hint="eastAsia"/>
          <w:color w:val="000000"/>
          <w:sz w:val="24"/>
        </w:rPr>
        <w:t>2</w:t>
      </w:r>
      <w:r w:rsidRPr="00E8251D">
        <w:rPr>
          <w:rFonts w:eastAsiaTheme="minorEastAsia"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E8251D">
        <w:rPr>
          <w:rFonts w:eastAsiaTheme="minorEastAsia" w:hint="eastAsia"/>
          <w:color w:val="000000"/>
          <w:sz w:val="24"/>
        </w:rPr>
        <w:t>7</w:t>
      </w:r>
      <w:r w:rsidRPr="00E8251D">
        <w:rPr>
          <w:rFonts w:eastAsiaTheme="minorEastAsia" w:hint="eastAsia"/>
          <w:color w:val="000000"/>
          <w:sz w:val="24"/>
        </w:rPr>
        <w:t>日的基金份额持有人收取不低于</w:t>
      </w:r>
      <w:r w:rsidRPr="00E8251D">
        <w:rPr>
          <w:rFonts w:eastAsiaTheme="minorEastAsia" w:hint="eastAsia"/>
          <w:color w:val="000000"/>
          <w:sz w:val="24"/>
        </w:rPr>
        <w:t>1.5%</w:t>
      </w:r>
      <w:r w:rsidRPr="00E8251D">
        <w:rPr>
          <w:rFonts w:eastAsiaTheme="minorEastAsia" w:hint="eastAsia"/>
          <w:color w:val="000000"/>
          <w:sz w:val="24"/>
        </w:rPr>
        <w:t>的赎回费并全额计入基金财产”的条款已于</w:t>
      </w:r>
      <w:r w:rsidRPr="00E8251D">
        <w:rPr>
          <w:rFonts w:eastAsiaTheme="minorEastAsia" w:hint="eastAsia"/>
          <w:color w:val="000000"/>
          <w:sz w:val="24"/>
        </w:rPr>
        <w:t>2018</w:t>
      </w:r>
      <w:r w:rsidRPr="00E8251D">
        <w:rPr>
          <w:rFonts w:eastAsiaTheme="minorEastAsia" w:hint="eastAsia"/>
          <w:color w:val="000000"/>
          <w:sz w:val="24"/>
        </w:rPr>
        <w:t>年</w:t>
      </w:r>
      <w:r w:rsidRPr="00E8251D">
        <w:rPr>
          <w:rFonts w:eastAsiaTheme="minorEastAsia" w:hint="eastAsia"/>
          <w:color w:val="000000"/>
          <w:sz w:val="24"/>
        </w:rPr>
        <w:t>3</w:t>
      </w:r>
      <w:r w:rsidRPr="00E8251D">
        <w:rPr>
          <w:rFonts w:eastAsiaTheme="minorEastAsia" w:hint="eastAsia"/>
          <w:color w:val="000000"/>
          <w:sz w:val="24"/>
        </w:rPr>
        <w:t>月</w:t>
      </w:r>
      <w:r w:rsidRPr="00E8251D">
        <w:rPr>
          <w:rFonts w:eastAsiaTheme="minorEastAsia" w:hint="eastAsia"/>
          <w:color w:val="000000"/>
          <w:sz w:val="24"/>
        </w:rPr>
        <w:t>31</w:t>
      </w:r>
      <w:r w:rsidRPr="00E8251D">
        <w:rPr>
          <w:rFonts w:eastAsiaTheme="minorEastAsia" w:hint="eastAsia"/>
          <w:color w:val="000000"/>
          <w:sz w:val="24"/>
        </w:rPr>
        <w:t>日起正式实施。欲知详情请查阅本基金管理人于</w:t>
      </w:r>
      <w:r w:rsidRPr="00E8251D">
        <w:rPr>
          <w:rFonts w:eastAsiaTheme="minorEastAsia" w:hint="eastAsia"/>
          <w:color w:val="000000"/>
          <w:sz w:val="24"/>
        </w:rPr>
        <w:t>2018</w:t>
      </w:r>
      <w:r w:rsidRPr="00E8251D">
        <w:rPr>
          <w:rFonts w:eastAsiaTheme="minorEastAsia" w:hint="eastAsia"/>
          <w:color w:val="000000"/>
          <w:sz w:val="24"/>
        </w:rPr>
        <w:t>年</w:t>
      </w:r>
      <w:r w:rsidRPr="00E8251D">
        <w:rPr>
          <w:rFonts w:eastAsiaTheme="minorEastAsia" w:hint="eastAsia"/>
          <w:color w:val="000000"/>
          <w:sz w:val="24"/>
        </w:rPr>
        <w:t>3</w:t>
      </w:r>
      <w:r w:rsidRPr="00E8251D">
        <w:rPr>
          <w:rFonts w:eastAsiaTheme="minorEastAsia" w:hint="eastAsia"/>
          <w:color w:val="000000"/>
          <w:sz w:val="24"/>
        </w:rPr>
        <w:t>月</w:t>
      </w:r>
      <w:r w:rsidRPr="00E8251D">
        <w:rPr>
          <w:rFonts w:eastAsiaTheme="minorEastAsia" w:hint="eastAsia"/>
          <w:color w:val="000000"/>
          <w:sz w:val="24"/>
        </w:rPr>
        <w:t>22</w:t>
      </w:r>
      <w:r w:rsidRPr="00E8251D">
        <w:rPr>
          <w:rFonts w:eastAsiaTheme="minorEastAsia" w:hint="eastAsia"/>
          <w:color w:val="000000"/>
          <w:sz w:val="24"/>
        </w:rPr>
        <w:t>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C35830" w:rsidRDefault="00995D9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w:t>
      </w:r>
      <w:r>
        <w:rPr>
          <w:rFonts w:eastAsiaTheme="minorEastAsia"/>
          <w:color w:val="000000"/>
          <w:sz w:val="24"/>
        </w:rPr>
        <w:lastRenderedPageBreak/>
        <w:t>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D98" w:rsidRDefault="00995D98">
      <w:r>
        <w:separator/>
      </w:r>
    </w:p>
  </w:endnote>
  <w:endnote w:type="continuationSeparator" w:id="0">
    <w:p w:rsidR="00995D98" w:rsidRDefault="0099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B43E07">
      <w:rPr>
        <w:noProof/>
        <w:kern w:val="0"/>
        <w:szCs w:val="21"/>
      </w:rPr>
      <w:t>16</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B43E07">
      <w:rPr>
        <w:noProof/>
        <w:kern w:val="0"/>
        <w:szCs w:val="21"/>
      </w:rPr>
      <w:t>16</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D98" w:rsidRDefault="00995D98">
      <w:r>
        <w:separator/>
      </w:r>
    </w:p>
  </w:footnote>
  <w:footnote w:type="continuationSeparator" w:id="0">
    <w:p w:rsidR="00995D98" w:rsidRDefault="00995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5D98"/>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3E0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83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251D"/>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14033-3F64-49DC-8FF4-307396E0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16</Pages>
  <Words>1346</Words>
  <Characters>7674</Characters>
  <Application>Microsoft Office Word</Application>
  <DocSecurity>0</DocSecurity>
  <Lines>63</Lines>
  <Paragraphs>18</Paragraphs>
  <ScaleCrop>false</ScaleCrop>
  <Company>TRT. Ltd. Co.</Company>
  <LinksUpToDate>false</LinksUpToDate>
  <CharactersWithSpaces>9002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377</cp:revision>
  <cp:lastPrinted>2007-07-19T00:46:00Z</cp:lastPrinted>
  <dcterms:created xsi:type="dcterms:W3CDTF">2014-01-17T06:19:00Z</dcterms:created>
  <dcterms:modified xsi:type="dcterms:W3CDTF">2018-04-18T10:11:00Z</dcterms:modified>
</cp:coreProperties>
</file>