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proofErr w:type="gramStart"/>
      <w:r w:rsidRPr="0081286B">
        <w:rPr>
          <w:b/>
          <w:sz w:val="36"/>
          <w:szCs w:val="36"/>
        </w:rPr>
        <w:t>交银施罗</w:t>
      </w:r>
      <w:proofErr w:type="gramEnd"/>
      <w:r w:rsidRPr="0081286B">
        <w:rPr>
          <w:b/>
          <w:sz w:val="36"/>
          <w:szCs w:val="36"/>
        </w:rPr>
        <w:t>德国</w:t>
      </w:r>
      <w:proofErr w:type="gramStart"/>
      <w:r w:rsidRPr="0081286B">
        <w:rPr>
          <w:b/>
          <w:sz w:val="36"/>
          <w:szCs w:val="36"/>
        </w:rPr>
        <w:t>企改革</w:t>
      </w:r>
      <w:proofErr w:type="gramEnd"/>
      <w:r w:rsidRPr="0081286B">
        <w:rPr>
          <w:b/>
          <w:sz w:val="36"/>
          <w:szCs w:val="36"/>
        </w:rPr>
        <w:t>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31152" w:rsidRDefault="00A76EC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31152" w:rsidRDefault="00A76EC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31152" w:rsidRDefault="00A76EC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31152" w:rsidRDefault="00A76EC6">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131152" w:rsidRDefault="00A76EC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642,800,880.84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债券类别配置；在严谨深入的股票和债券研究分析基础上，自下而上精选个</w:t>
            </w:r>
            <w:proofErr w:type="gramStart"/>
            <w:r w:rsidRPr="00414345">
              <w:rPr>
                <w:color w:val="000000"/>
                <w:kern w:val="0"/>
                <w:sz w:val="24"/>
                <w:szCs w:val="24"/>
              </w:rPr>
              <w:t>券</w:t>
            </w:r>
            <w:proofErr w:type="gramEnd"/>
            <w:r w:rsidRPr="00414345">
              <w:rPr>
                <w:color w:val="000000"/>
                <w:kern w:val="0"/>
                <w:sz w:val="24"/>
                <w:szCs w:val="24"/>
              </w:rPr>
              <w:t>。其中，本基金股票投资重点关注直接受益于国企改革红利、或在国企改革推动下盈利水平长期显著提升的其他上市公司。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76EC6" w:rsidRPr="00414345" w:rsidTr="00A76EC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76EC6" w:rsidRPr="00414345" w:rsidTr="00A76EC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-24,910,251.21</w:t>
            </w:r>
          </w:p>
        </w:tc>
      </w:tr>
      <w:tr w:rsidR="00A76EC6" w:rsidRPr="00414345" w:rsidTr="00A76EC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-21,410,984.10</w:t>
            </w:r>
          </w:p>
        </w:tc>
      </w:tr>
      <w:tr w:rsidR="00A76EC6" w:rsidRPr="00414345" w:rsidTr="00A76EC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-0.0317</w:t>
            </w:r>
          </w:p>
        </w:tc>
      </w:tr>
      <w:tr w:rsidR="00A76EC6" w:rsidRPr="00414345" w:rsidTr="00A76EC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643,560,096.79</w:t>
            </w:r>
          </w:p>
        </w:tc>
      </w:tr>
      <w:tr w:rsidR="00A76EC6" w:rsidRPr="00414345" w:rsidTr="00A76EC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1.001</w:t>
            </w:r>
          </w:p>
        </w:tc>
      </w:tr>
    </w:tbl>
    <w:p w:rsidR="00131152" w:rsidRDefault="00A76EC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31152">
        <w:trPr>
          <w:jc w:val="center"/>
        </w:trPr>
        <w:tc>
          <w:tcPr>
            <w:tcW w:w="1701" w:type="dxa"/>
            <w:vAlign w:val="center"/>
          </w:tcPr>
          <w:p w:rsidR="00131152" w:rsidRDefault="00A76EC6">
            <w:pPr>
              <w:jc w:val="left"/>
            </w:pPr>
            <w:r>
              <w:rPr>
                <w:color w:val="000000"/>
                <w:sz w:val="24"/>
                <w:szCs w:val="24"/>
              </w:rPr>
              <w:t>过去三个月</w:t>
            </w:r>
          </w:p>
        </w:tc>
        <w:tc>
          <w:tcPr>
            <w:tcW w:w="1045" w:type="dxa"/>
            <w:vAlign w:val="center"/>
          </w:tcPr>
          <w:p w:rsidR="00131152" w:rsidRDefault="00A76EC6">
            <w:pPr>
              <w:jc w:val="center"/>
            </w:pPr>
            <w:r>
              <w:rPr>
                <w:color w:val="000000"/>
                <w:sz w:val="24"/>
                <w:szCs w:val="24"/>
              </w:rPr>
              <w:t>-3.47%</w:t>
            </w:r>
          </w:p>
        </w:tc>
        <w:tc>
          <w:tcPr>
            <w:tcW w:w="1344" w:type="dxa"/>
            <w:vAlign w:val="center"/>
          </w:tcPr>
          <w:p w:rsidR="00131152" w:rsidRDefault="00A76EC6">
            <w:pPr>
              <w:jc w:val="center"/>
            </w:pPr>
            <w:r>
              <w:rPr>
                <w:color w:val="000000"/>
                <w:sz w:val="24"/>
                <w:szCs w:val="24"/>
              </w:rPr>
              <w:t>1.21%</w:t>
            </w:r>
          </w:p>
        </w:tc>
        <w:tc>
          <w:tcPr>
            <w:tcW w:w="1194" w:type="dxa"/>
            <w:vAlign w:val="center"/>
          </w:tcPr>
          <w:p w:rsidR="00131152" w:rsidRDefault="00A76EC6">
            <w:pPr>
              <w:jc w:val="center"/>
            </w:pPr>
            <w:r>
              <w:rPr>
                <w:color w:val="000000"/>
                <w:sz w:val="24"/>
                <w:szCs w:val="24"/>
              </w:rPr>
              <w:t>-1.09%</w:t>
            </w:r>
          </w:p>
        </w:tc>
        <w:tc>
          <w:tcPr>
            <w:tcW w:w="1492" w:type="dxa"/>
            <w:vAlign w:val="center"/>
          </w:tcPr>
          <w:p w:rsidR="00131152" w:rsidRDefault="00A76EC6">
            <w:pPr>
              <w:jc w:val="center"/>
            </w:pPr>
            <w:r>
              <w:rPr>
                <w:color w:val="000000"/>
                <w:sz w:val="24"/>
                <w:szCs w:val="24"/>
              </w:rPr>
              <w:t>0.71%</w:t>
            </w:r>
          </w:p>
        </w:tc>
        <w:tc>
          <w:tcPr>
            <w:tcW w:w="1194" w:type="dxa"/>
            <w:vAlign w:val="center"/>
          </w:tcPr>
          <w:p w:rsidR="00131152" w:rsidRDefault="00A76EC6">
            <w:pPr>
              <w:jc w:val="center"/>
            </w:pPr>
            <w:r>
              <w:rPr>
                <w:color w:val="000000"/>
                <w:sz w:val="24"/>
                <w:szCs w:val="24"/>
              </w:rPr>
              <w:t>-2.38%</w:t>
            </w:r>
          </w:p>
        </w:tc>
        <w:tc>
          <w:tcPr>
            <w:tcW w:w="898" w:type="dxa"/>
            <w:vAlign w:val="center"/>
          </w:tcPr>
          <w:p w:rsidR="00131152" w:rsidRDefault="00A76EC6">
            <w:pPr>
              <w:jc w:val="center"/>
            </w:pPr>
            <w:r>
              <w:rPr>
                <w:color w:val="000000"/>
                <w:sz w:val="24"/>
                <w:szCs w:val="24"/>
              </w:rPr>
              <w:t>0.50%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proofErr w:type="gramStart"/>
      <w:r w:rsidRPr="00414345">
        <w:rPr>
          <w:color w:val="000000"/>
          <w:sz w:val="24"/>
          <w:szCs w:val="24"/>
        </w:rPr>
        <w:t>交银施罗</w:t>
      </w:r>
      <w:proofErr w:type="gramEnd"/>
      <w:r w:rsidRPr="00414345">
        <w:rPr>
          <w:color w:val="000000"/>
          <w:sz w:val="24"/>
          <w:szCs w:val="24"/>
        </w:rPr>
        <w:t>德国</w:t>
      </w:r>
      <w:proofErr w:type="gramStart"/>
      <w:r w:rsidRPr="00414345">
        <w:rPr>
          <w:color w:val="000000"/>
          <w:sz w:val="24"/>
          <w:szCs w:val="24"/>
        </w:rPr>
        <w:t>企改革</w:t>
      </w:r>
      <w:proofErr w:type="gramEnd"/>
      <w:r w:rsidRPr="00414345">
        <w:rPr>
          <w:color w:val="000000"/>
          <w:sz w:val="24"/>
          <w:szCs w:val="24"/>
        </w:rPr>
        <w:t>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31152">
        <w:trPr>
          <w:jc w:val="center"/>
        </w:trPr>
        <w:tc>
          <w:tcPr>
            <w:tcW w:w="846" w:type="dxa"/>
            <w:vAlign w:val="center"/>
          </w:tcPr>
          <w:p w:rsidR="00131152" w:rsidRDefault="00A76EC6">
            <w:pPr>
              <w:jc w:val="center"/>
            </w:pPr>
            <w:r>
              <w:rPr>
                <w:color w:val="000000"/>
                <w:sz w:val="24"/>
                <w:szCs w:val="24"/>
              </w:rPr>
              <w:t>沈楠</w:t>
            </w:r>
          </w:p>
        </w:tc>
        <w:tc>
          <w:tcPr>
            <w:tcW w:w="845" w:type="dxa"/>
            <w:vAlign w:val="center"/>
          </w:tcPr>
          <w:p w:rsidR="00131152" w:rsidRDefault="00A76EC6">
            <w:pPr>
              <w:jc w:val="center"/>
            </w:pPr>
            <w:r>
              <w:rPr>
                <w:color w:val="000000"/>
                <w:sz w:val="24"/>
                <w:szCs w:val="24"/>
              </w:rPr>
              <w:t>交</w:t>
            </w:r>
            <w:proofErr w:type="gramStart"/>
            <w:r>
              <w:rPr>
                <w:color w:val="000000"/>
                <w:sz w:val="24"/>
                <w:szCs w:val="24"/>
              </w:rPr>
              <w:t>银主题</w:t>
            </w:r>
            <w:proofErr w:type="gramEnd"/>
            <w:r>
              <w:rPr>
                <w:color w:val="000000"/>
                <w:sz w:val="24"/>
                <w:szCs w:val="24"/>
              </w:rPr>
              <w:t>优选混合、交银国企改革灵活配置</w:t>
            </w:r>
            <w:r>
              <w:rPr>
                <w:color w:val="000000"/>
                <w:sz w:val="24"/>
                <w:szCs w:val="24"/>
              </w:rPr>
              <w:lastRenderedPageBreak/>
              <w:t>混合的基金经理</w:t>
            </w:r>
          </w:p>
        </w:tc>
        <w:tc>
          <w:tcPr>
            <w:tcW w:w="1549" w:type="dxa"/>
            <w:vAlign w:val="center"/>
          </w:tcPr>
          <w:p w:rsidR="00131152" w:rsidRDefault="00A76EC6">
            <w:pPr>
              <w:jc w:val="center"/>
            </w:pPr>
            <w:r>
              <w:rPr>
                <w:color w:val="000000"/>
                <w:sz w:val="24"/>
                <w:szCs w:val="24"/>
              </w:rPr>
              <w:lastRenderedPageBreak/>
              <w:t>2015-06-10</w:t>
            </w:r>
          </w:p>
        </w:tc>
        <w:tc>
          <w:tcPr>
            <w:tcW w:w="1548" w:type="dxa"/>
            <w:vAlign w:val="center"/>
          </w:tcPr>
          <w:p w:rsidR="00131152" w:rsidRDefault="00A76EC6">
            <w:pPr>
              <w:jc w:val="center"/>
            </w:pPr>
            <w:r>
              <w:rPr>
                <w:color w:val="000000"/>
                <w:sz w:val="24"/>
                <w:szCs w:val="24"/>
              </w:rPr>
              <w:t>-</w:t>
            </w:r>
          </w:p>
        </w:tc>
        <w:tc>
          <w:tcPr>
            <w:tcW w:w="1407" w:type="dxa"/>
            <w:vAlign w:val="center"/>
          </w:tcPr>
          <w:p w:rsidR="00131152" w:rsidRDefault="00A76EC6">
            <w:pPr>
              <w:jc w:val="center"/>
            </w:pPr>
            <w:r>
              <w:rPr>
                <w:color w:val="000000"/>
                <w:sz w:val="24"/>
                <w:szCs w:val="24"/>
              </w:rPr>
              <w:t>9</w:t>
            </w:r>
            <w:r>
              <w:rPr>
                <w:color w:val="000000"/>
                <w:sz w:val="24"/>
                <w:szCs w:val="24"/>
              </w:rPr>
              <w:t>年</w:t>
            </w:r>
          </w:p>
        </w:tc>
        <w:tc>
          <w:tcPr>
            <w:tcW w:w="2673" w:type="dxa"/>
            <w:vAlign w:val="center"/>
          </w:tcPr>
          <w:p w:rsidR="00131152" w:rsidRDefault="00A76EC6">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31152" w:rsidRDefault="00A76EC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31152" w:rsidRDefault="00A76EC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31152" w:rsidRDefault="00A76EC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31152" w:rsidRDefault="00A76EC6">
      <w:pPr>
        <w:spacing w:before="29" w:line="288" w:lineRule="auto"/>
        <w:ind w:firstLineChars="200" w:firstLine="480"/>
        <w:rPr>
          <w:color w:val="000000"/>
          <w:sz w:val="24"/>
          <w:szCs w:val="24"/>
        </w:rPr>
      </w:pPr>
      <w:r>
        <w:rPr>
          <w:color w:val="000000"/>
          <w:sz w:val="24"/>
          <w:szCs w:val="24"/>
        </w:rPr>
        <w:lastRenderedPageBreak/>
        <w:t>2018</w:t>
      </w:r>
      <w:r>
        <w:rPr>
          <w:color w:val="000000"/>
          <w:sz w:val="24"/>
          <w:szCs w:val="24"/>
        </w:rPr>
        <w:t>年一季度，海外市场出现较大波动，国内经济</w:t>
      </w:r>
      <w:proofErr w:type="gramStart"/>
      <w:r>
        <w:rPr>
          <w:color w:val="000000"/>
          <w:sz w:val="24"/>
          <w:szCs w:val="24"/>
        </w:rPr>
        <w:t>景气改善</w:t>
      </w:r>
      <w:proofErr w:type="gramEnd"/>
      <w:r>
        <w:rPr>
          <w:color w:val="000000"/>
          <w:sz w:val="24"/>
          <w:szCs w:val="24"/>
        </w:rPr>
        <w:t>延续，但市场对未来半年的经济下滑略有担心。我们认为</w:t>
      </w:r>
      <w:r>
        <w:rPr>
          <w:color w:val="000000"/>
          <w:sz w:val="24"/>
          <w:szCs w:val="24"/>
        </w:rPr>
        <w:t>2018</w:t>
      </w:r>
      <w:r>
        <w:rPr>
          <w:color w:val="000000"/>
          <w:sz w:val="24"/>
          <w:szCs w:val="24"/>
        </w:rPr>
        <w:t>年经济仍呈现温和通胀局面，国内利率水平难以持续下行，因此</w:t>
      </w:r>
      <w:r>
        <w:rPr>
          <w:color w:val="000000"/>
          <w:sz w:val="24"/>
          <w:szCs w:val="24"/>
        </w:rPr>
        <w:t>A</w:t>
      </w:r>
      <w:r>
        <w:rPr>
          <w:color w:val="000000"/>
          <w:sz w:val="24"/>
          <w:szCs w:val="24"/>
        </w:rPr>
        <w:t>股市场将以结构性机会为主。白马蓝筹股由于部分业绩因素、相对估值因素、以及资金博弈的考虑，今年将以业绩增长消化估值为主。我们认为全年市场将更趋均衡。目前政策大力支持战略新兴产业发展，投资机会将聚焦在成长类板块，但同时板块内会呈现进一步的分化行情。</w:t>
      </w:r>
    </w:p>
    <w:p w:rsidR="00131152" w:rsidRDefault="00A76EC6">
      <w:pPr>
        <w:spacing w:before="29" w:line="288" w:lineRule="auto"/>
        <w:ind w:firstLineChars="200" w:firstLine="480"/>
        <w:rPr>
          <w:color w:val="000000"/>
          <w:sz w:val="24"/>
          <w:szCs w:val="24"/>
        </w:rPr>
      </w:pPr>
      <w:r>
        <w:rPr>
          <w:color w:val="000000"/>
          <w:sz w:val="24"/>
          <w:szCs w:val="24"/>
        </w:rPr>
        <w:t>随着今年两会机构改革的落地，我们预计未来国企改革也将进一步稳定推进，部分地区也将进入真正的执行效果落实观察期，并为进一步的改革指明方向。目前市场对改革的预期仍然偏低，我们继续坚定看好该领域的投资机会。</w:t>
      </w:r>
    </w:p>
    <w:p w:rsidR="00131152" w:rsidRDefault="00A76EC6">
      <w:pPr>
        <w:spacing w:before="29" w:line="288" w:lineRule="auto"/>
        <w:ind w:firstLineChars="200" w:firstLine="480"/>
        <w:rPr>
          <w:color w:val="000000"/>
          <w:sz w:val="24"/>
          <w:szCs w:val="24"/>
        </w:rPr>
      </w:pPr>
      <w:r>
        <w:rPr>
          <w:color w:val="000000"/>
          <w:sz w:val="24"/>
          <w:szCs w:val="24"/>
        </w:rPr>
        <w:t>本报告期内本基金重点配置了食品饮料、航空、医药等消费性行业，以及地产、有色等周期性改善行业，并增配了军工、计算机等成长性行业。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年，我们</w:t>
      </w:r>
      <w:proofErr w:type="gramStart"/>
      <w:r w:rsidRPr="00414345">
        <w:rPr>
          <w:color w:val="000000"/>
          <w:sz w:val="24"/>
          <w:szCs w:val="24"/>
        </w:rPr>
        <w:t>认为央企整合</w:t>
      </w:r>
      <w:proofErr w:type="gramEnd"/>
      <w:r w:rsidRPr="00414345">
        <w:rPr>
          <w:color w:val="000000"/>
          <w:sz w:val="24"/>
          <w:szCs w:val="24"/>
        </w:rPr>
        <w:t>仍会稳步推进，重点区域的改革试点需继续关注。本基金将综合判断潜在的改革试点突破口，把握最新政策动向受益的国有企业，尤其是在企业管理上积极进取、机制完善、转型决心较大的个股标的。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00C843F6">
        <w:rPr>
          <w:color w:val="000000"/>
          <w:sz w:val="24"/>
          <w:szCs w:val="24"/>
        </w:rPr>
        <w:t>2018</w:t>
      </w:r>
      <w:r w:rsidRPr="00414345">
        <w:rPr>
          <w:color w:val="000000"/>
          <w:sz w:val="24"/>
          <w:szCs w:val="24"/>
        </w:rPr>
        <w:t>年</w:t>
      </w:r>
      <w:r w:rsidR="00C843F6">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w:t>
      </w:r>
      <w:r w:rsidR="00C843F6">
        <w:rPr>
          <w:color w:val="000000"/>
          <w:sz w:val="24"/>
          <w:szCs w:val="24"/>
        </w:rPr>
        <w:t>001</w:t>
      </w:r>
      <w:r w:rsidRPr="00414345">
        <w:rPr>
          <w:color w:val="000000"/>
          <w:sz w:val="24"/>
          <w:szCs w:val="24"/>
        </w:rPr>
        <w:t>元，本报告期份额净值增长率为</w:t>
      </w:r>
      <w:r w:rsidRPr="00414345">
        <w:rPr>
          <w:color w:val="000000"/>
          <w:sz w:val="24"/>
          <w:szCs w:val="24"/>
        </w:rPr>
        <w:t>-</w:t>
      </w:r>
      <w:r w:rsidR="00C843F6">
        <w:rPr>
          <w:color w:val="000000"/>
          <w:sz w:val="24"/>
          <w:szCs w:val="24"/>
        </w:rPr>
        <w:t>3.47</w:t>
      </w:r>
      <w:r w:rsidRPr="00414345">
        <w:rPr>
          <w:color w:val="000000"/>
          <w:sz w:val="24"/>
          <w:szCs w:val="24"/>
        </w:rPr>
        <w:t>%</w:t>
      </w:r>
      <w:r w:rsidRPr="00414345">
        <w:rPr>
          <w:color w:val="000000"/>
          <w:sz w:val="24"/>
          <w:szCs w:val="24"/>
        </w:rPr>
        <w:t>，同期业绩比较基准增长率为</w:t>
      </w:r>
      <w:r w:rsidR="00C843F6">
        <w:rPr>
          <w:color w:val="000000"/>
          <w:sz w:val="24"/>
          <w:szCs w:val="24"/>
        </w:rPr>
        <w:t>-1.09</w:t>
      </w:r>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567,204,745.10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87.80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567,204,745.10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87.80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40,016,000.00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40,016,000.00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37,311,177.54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1,502,840.07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646,034,762.71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autoSpaceDE w:val="0"/>
              <w:autoSpaceDN w:val="0"/>
              <w:adjustRightInd w:val="0"/>
              <w:spacing w:before="29" w:line="288" w:lineRule="auto"/>
              <w:ind w:left="15"/>
              <w:jc w:val="right"/>
              <w:rPr>
                <w:sz w:val="24"/>
                <w:szCs w:val="24"/>
              </w:rPr>
            </w:pPr>
            <w:r w:rsidRPr="00414345">
              <w:rPr>
                <w:sz w:val="24"/>
                <w:szCs w:val="24"/>
              </w:rPr>
              <w:t>20,579,344.15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utoSpaceDE w:val="0"/>
              <w:autoSpaceDN w:val="0"/>
              <w:adjustRightInd w:val="0"/>
              <w:spacing w:before="29" w:line="288" w:lineRule="auto"/>
              <w:ind w:left="15"/>
              <w:jc w:val="right"/>
              <w:rPr>
                <w:sz w:val="24"/>
                <w:szCs w:val="24"/>
              </w:rPr>
            </w:pPr>
            <w:r w:rsidRPr="00414345">
              <w:rPr>
                <w:sz w:val="24"/>
                <w:szCs w:val="24"/>
              </w:rPr>
              <w:t>3.20</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21,271,000.00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3.30</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277,636,930.53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43.14</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21,727,627.00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3.38</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10,979,396.10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1.70</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49,623,459.85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7.71</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25,020,659.62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3.89</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9,396,230.40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1.46</w:t>
            </w:r>
          </w:p>
        </w:tc>
      </w:tr>
      <w:tr w:rsidR="00A76EC6"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5,277,868.96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0.82</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53,641,370.04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8.34</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63,200,460.74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9.82</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8,850,397.71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1.38</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w:t>
            </w:r>
          </w:p>
        </w:tc>
      </w:tr>
      <w:tr w:rsidR="00A76EC6"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A76EC6" w:rsidRPr="00414345" w:rsidRDefault="00A76EC6" w:rsidP="00A76EC6">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567,204,745.10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A76EC6" w:rsidRPr="00414345" w:rsidRDefault="00A76EC6" w:rsidP="00A76EC6">
            <w:pPr>
              <w:spacing w:before="29" w:line="288" w:lineRule="auto"/>
              <w:jc w:val="right"/>
              <w:rPr>
                <w:sz w:val="24"/>
                <w:szCs w:val="24"/>
              </w:rPr>
            </w:pPr>
            <w:r w:rsidRPr="00414345">
              <w:rPr>
                <w:sz w:val="24"/>
                <w:szCs w:val="24"/>
              </w:rPr>
              <w:t>88.14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31152">
        <w:trPr>
          <w:jc w:val="center"/>
        </w:trPr>
        <w:tc>
          <w:tcPr>
            <w:tcW w:w="855" w:type="dxa"/>
            <w:vAlign w:val="center"/>
          </w:tcPr>
          <w:p w:rsidR="00131152" w:rsidRDefault="00A76EC6">
            <w:pPr>
              <w:jc w:val="center"/>
            </w:pPr>
            <w:r>
              <w:rPr>
                <w:color w:val="000000"/>
                <w:sz w:val="24"/>
                <w:szCs w:val="24"/>
              </w:rPr>
              <w:t>1</w:t>
            </w:r>
          </w:p>
        </w:tc>
        <w:tc>
          <w:tcPr>
            <w:tcW w:w="1334" w:type="dxa"/>
            <w:vAlign w:val="center"/>
          </w:tcPr>
          <w:p w:rsidR="00131152" w:rsidRDefault="00A76EC6">
            <w:pPr>
              <w:jc w:val="center"/>
            </w:pPr>
            <w:r>
              <w:rPr>
                <w:color w:val="000000"/>
                <w:sz w:val="24"/>
                <w:szCs w:val="24"/>
              </w:rPr>
              <w:t>000031</w:t>
            </w:r>
          </w:p>
        </w:tc>
        <w:tc>
          <w:tcPr>
            <w:tcW w:w="1777" w:type="dxa"/>
            <w:vAlign w:val="center"/>
          </w:tcPr>
          <w:p w:rsidR="00131152" w:rsidRDefault="00A76EC6">
            <w:pPr>
              <w:jc w:val="center"/>
            </w:pPr>
            <w:r>
              <w:rPr>
                <w:color w:val="000000"/>
                <w:sz w:val="24"/>
                <w:szCs w:val="24"/>
              </w:rPr>
              <w:t>中粮地产</w:t>
            </w:r>
          </w:p>
        </w:tc>
        <w:tc>
          <w:tcPr>
            <w:tcW w:w="1334" w:type="dxa"/>
            <w:vAlign w:val="center"/>
          </w:tcPr>
          <w:p w:rsidR="00131152" w:rsidRDefault="00A76EC6">
            <w:pPr>
              <w:jc w:val="right"/>
            </w:pPr>
            <w:r>
              <w:rPr>
                <w:color w:val="000000"/>
                <w:sz w:val="24"/>
                <w:szCs w:val="24"/>
              </w:rPr>
              <w:t>3,750,800</w:t>
            </w:r>
          </w:p>
        </w:tc>
        <w:tc>
          <w:tcPr>
            <w:tcW w:w="1924" w:type="dxa"/>
            <w:vAlign w:val="center"/>
          </w:tcPr>
          <w:p w:rsidR="00131152" w:rsidRDefault="00A76EC6">
            <w:pPr>
              <w:jc w:val="right"/>
            </w:pPr>
            <w:r>
              <w:rPr>
                <w:color w:val="000000"/>
                <w:sz w:val="24"/>
                <w:szCs w:val="24"/>
              </w:rPr>
              <w:t>30,794,068.00</w:t>
            </w:r>
          </w:p>
        </w:tc>
        <w:tc>
          <w:tcPr>
            <w:tcW w:w="1644" w:type="dxa"/>
            <w:vAlign w:val="center"/>
          </w:tcPr>
          <w:p w:rsidR="00131152" w:rsidRDefault="00A76EC6">
            <w:pPr>
              <w:jc w:val="right"/>
            </w:pPr>
            <w:r>
              <w:rPr>
                <w:color w:val="000000"/>
                <w:sz w:val="24"/>
                <w:szCs w:val="24"/>
              </w:rPr>
              <w:t>4.78</w:t>
            </w:r>
          </w:p>
        </w:tc>
      </w:tr>
      <w:tr w:rsidR="00131152">
        <w:trPr>
          <w:jc w:val="center"/>
        </w:trPr>
        <w:tc>
          <w:tcPr>
            <w:tcW w:w="855" w:type="dxa"/>
            <w:vAlign w:val="center"/>
          </w:tcPr>
          <w:p w:rsidR="00131152" w:rsidRDefault="00A76EC6">
            <w:pPr>
              <w:jc w:val="center"/>
            </w:pPr>
            <w:r>
              <w:rPr>
                <w:color w:val="000000"/>
                <w:sz w:val="24"/>
                <w:szCs w:val="24"/>
              </w:rPr>
              <w:t>2</w:t>
            </w:r>
          </w:p>
        </w:tc>
        <w:tc>
          <w:tcPr>
            <w:tcW w:w="1334" w:type="dxa"/>
            <w:vAlign w:val="center"/>
          </w:tcPr>
          <w:p w:rsidR="00131152" w:rsidRDefault="00A76EC6">
            <w:pPr>
              <w:jc w:val="center"/>
            </w:pPr>
            <w:r>
              <w:rPr>
                <w:color w:val="000000"/>
                <w:sz w:val="24"/>
                <w:szCs w:val="24"/>
              </w:rPr>
              <w:t>600029</w:t>
            </w:r>
          </w:p>
        </w:tc>
        <w:tc>
          <w:tcPr>
            <w:tcW w:w="1777" w:type="dxa"/>
            <w:vAlign w:val="center"/>
          </w:tcPr>
          <w:p w:rsidR="00131152" w:rsidRDefault="00A76EC6">
            <w:pPr>
              <w:jc w:val="center"/>
            </w:pPr>
            <w:r>
              <w:rPr>
                <w:color w:val="000000"/>
                <w:sz w:val="24"/>
                <w:szCs w:val="24"/>
              </w:rPr>
              <w:t>南方航空</w:t>
            </w:r>
          </w:p>
        </w:tc>
        <w:tc>
          <w:tcPr>
            <w:tcW w:w="1334" w:type="dxa"/>
            <w:vAlign w:val="center"/>
          </w:tcPr>
          <w:p w:rsidR="00131152" w:rsidRDefault="00A76EC6">
            <w:pPr>
              <w:jc w:val="right"/>
            </w:pPr>
            <w:r>
              <w:rPr>
                <w:color w:val="000000"/>
                <w:sz w:val="24"/>
                <w:szCs w:val="24"/>
              </w:rPr>
              <w:t>2,400,000</w:t>
            </w:r>
          </w:p>
        </w:tc>
        <w:tc>
          <w:tcPr>
            <w:tcW w:w="1924" w:type="dxa"/>
            <w:vAlign w:val="center"/>
          </w:tcPr>
          <w:p w:rsidR="00131152" w:rsidRDefault="00A76EC6">
            <w:pPr>
              <w:jc w:val="right"/>
            </w:pPr>
            <w:r>
              <w:rPr>
                <w:color w:val="000000"/>
                <w:sz w:val="24"/>
                <w:szCs w:val="24"/>
              </w:rPr>
              <w:t>24,984,000.00</w:t>
            </w:r>
          </w:p>
        </w:tc>
        <w:tc>
          <w:tcPr>
            <w:tcW w:w="1644" w:type="dxa"/>
            <w:vAlign w:val="center"/>
          </w:tcPr>
          <w:p w:rsidR="00131152" w:rsidRDefault="00A76EC6">
            <w:pPr>
              <w:jc w:val="right"/>
            </w:pPr>
            <w:r>
              <w:rPr>
                <w:color w:val="000000"/>
                <w:sz w:val="24"/>
                <w:szCs w:val="24"/>
              </w:rPr>
              <w:t>3.88</w:t>
            </w:r>
          </w:p>
        </w:tc>
      </w:tr>
      <w:tr w:rsidR="00131152">
        <w:trPr>
          <w:jc w:val="center"/>
        </w:trPr>
        <w:tc>
          <w:tcPr>
            <w:tcW w:w="855" w:type="dxa"/>
            <w:vAlign w:val="center"/>
          </w:tcPr>
          <w:p w:rsidR="00131152" w:rsidRDefault="00A76EC6">
            <w:pPr>
              <w:jc w:val="center"/>
            </w:pPr>
            <w:r>
              <w:rPr>
                <w:color w:val="000000"/>
                <w:sz w:val="24"/>
                <w:szCs w:val="24"/>
              </w:rPr>
              <w:t>3</w:t>
            </w:r>
          </w:p>
        </w:tc>
        <w:tc>
          <w:tcPr>
            <w:tcW w:w="1334" w:type="dxa"/>
            <w:vAlign w:val="center"/>
          </w:tcPr>
          <w:p w:rsidR="00131152" w:rsidRDefault="00A76EC6">
            <w:pPr>
              <w:jc w:val="center"/>
            </w:pPr>
            <w:r>
              <w:rPr>
                <w:color w:val="000000"/>
                <w:sz w:val="24"/>
                <w:szCs w:val="24"/>
              </w:rPr>
              <w:t>601100</w:t>
            </w:r>
          </w:p>
        </w:tc>
        <w:tc>
          <w:tcPr>
            <w:tcW w:w="1777" w:type="dxa"/>
            <w:vAlign w:val="center"/>
          </w:tcPr>
          <w:p w:rsidR="00131152" w:rsidRDefault="00A76EC6">
            <w:pPr>
              <w:jc w:val="center"/>
            </w:pPr>
            <w:r>
              <w:rPr>
                <w:color w:val="000000"/>
                <w:sz w:val="24"/>
                <w:szCs w:val="24"/>
              </w:rPr>
              <w:t>恒立液压</w:t>
            </w:r>
          </w:p>
        </w:tc>
        <w:tc>
          <w:tcPr>
            <w:tcW w:w="1334" w:type="dxa"/>
            <w:vAlign w:val="center"/>
          </w:tcPr>
          <w:p w:rsidR="00131152" w:rsidRDefault="00A76EC6">
            <w:pPr>
              <w:jc w:val="right"/>
            </w:pPr>
            <w:r>
              <w:rPr>
                <w:color w:val="000000"/>
                <w:sz w:val="24"/>
                <w:szCs w:val="24"/>
              </w:rPr>
              <w:t>727,682</w:t>
            </w:r>
          </w:p>
        </w:tc>
        <w:tc>
          <w:tcPr>
            <w:tcW w:w="1924" w:type="dxa"/>
            <w:vAlign w:val="center"/>
          </w:tcPr>
          <w:p w:rsidR="00131152" w:rsidRDefault="00A76EC6">
            <w:pPr>
              <w:jc w:val="right"/>
            </w:pPr>
            <w:r>
              <w:rPr>
                <w:color w:val="000000"/>
                <w:sz w:val="24"/>
                <w:szCs w:val="24"/>
              </w:rPr>
              <w:t>22,172,470.54</w:t>
            </w:r>
          </w:p>
        </w:tc>
        <w:tc>
          <w:tcPr>
            <w:tcW w:w="1644" w:type="dxa"/>
            <w:vAlign w:val="center"/>
          </w:tcPr>
          <w:p w:rsidR="00131152" w:rsidRDefault="00A76EC6">
            <w:pPr>
              <w:jc w:val="right"/>
            </w:pPr>
            <w:r>
              <w:rPr>
                <w:color w:val="000000"/>
                <w:sz w:val="24"/>
                <w:szCs w:val="24"/>
              </w:rPr>
              <w:t>3.45</w:t>
            </w:r>
          </w:p>
        </w:tc>
      </w:tr>
      <w:tr w:rsidR="00131152">
        <w:trPr>
          <w:jc w:val="center"/>
        </w:trPr>
        <w:tc>
          <w:tcPr>
            <w:tcW w:w="855" w:type="dxa"/>
            <w:vAlign w:val="center"/>
          </w:tcPr>
          <w:p w:rsidR="00131152" w:rsidRDefault="00A76EC6">
            <w:pPr>
              <w:jc w:val="center"/>
            </w:pPr>
            <w:r>
              <w:rPr>
                <w:color w:val="000000"/>
                <w:sz w:val="24"/>
                <w:szCs w:val="24"/>
              </w:rPr>
              <w:t>4</w:t>
            </w:r>
          </w:p>
        </w:tc>
        <w:tc>
          <w:tcPr>
            <w:tcW w:w="1334" w:type="dxa"/>
            <w:vAlign w:val="center"/>
          </w:tcPr>
          <w:p w:rsidR="00131152" w:rsidRDefault="00A76EC6">
            <w:pPr>
              <w:jc w:val="center"/>
            </w:pPr>
            <w:r>
              <w:rPr>
                <w:color w:val="000000"/>
                <w:sz w:val="24"/>
                <w:szCs w:val="24"/>
              </w:rPr>
              <w:t>002304</w:t>
            </w:r>
          </w:p>
        </w:tc>
        <w:tc>
          <w:tcPr>
            <w:tcW w:w="1777" w:type="dxa"/>
            <w:vAlign w:val="center"/>
          </w:tcPr>
          <w:p w:rsidR="00131152" w:rsidRDefault="00A76EC6">
            <w:pPr>
              <w:jc w:val="center"/>
            </w:pPr>
            <w:r>
              <w:rPr>
                <w:color w:val="000000"/>
                <w:sz w:val="24"/>
                <w:szCs w:val="24"/>
              </w:rPr>
              <w:t>洋河股份</w:t>
            </w:r>
          </w:p>
        </w:tc>
        <w:tc>
          <w:tcPr>
            <w:tcW w:w="1334" w:type="dxa"/>
            <w:vAlign w:val="center"/>
          </w:tcPr>
          <w:p w:rsidR="00131152" w:rsidRDefault="00A76EC6">
            <w:pPr>
              <w:jc w:val="right"/>
            </w:pPr>
            <w:r>
              <w:rPr>
                <w:color w:val="000000"/>
                <w:sz w:val="24"/>
                <w:szCs w:val="24"/>
              </w:rPr>
              <w:t>204,983</w:t>
            </w:r>
          </w:p>
        </w:tc>
        <w:tc>
          <w:tcPr>
            <w:tcW w:w="1924" w:type="dxa"/>
            <w:vAlign w:val="center"/>
          </w:tcPr>
          <w:p w:rsidR="00131152" w:rsidRDefault="00A76EC6">
            <w:pPr>
              <w:jc w:val="right"/>
            </w:pPr>
            <w:r>
              <w:rPr>
                <w:color w:val="000000"/>
                <w:sz w:val="24"/>
                <w:szCs w:val="24"/>
              </w:rPr>
              <w:t>22,136,114.17</w:t>
            </w:r>
          </w:p>
        </w:tc>
        <w:tc>
          <w:tcPr>
            <w:tcW w:w="1644" w:type="dxa"/>
            <w:vAlign w:val="center"/>
          </w:tcPr>
          <w:p w:rsidR="00131152" w:rsidRDefault="00A76EC6">
            <w:pPr>
              <w:jc w:val="right"/>
            </w:pPr>
            <w:r>
              <w:rPr>
                <w:color w:val="000000"/>
                <w:sz w:val="24"/>
                <w:szCs w:val="24"/>
              </w:rPr>
              <w:t>3.44</w:t>
            </w:r>
          </w:p>
        </w:tc>
      </w:tr>
      <w:tr w:rsidR="00131152">
        <w:trPr>
          <w:jc w:val="center"/>
        </w:trPr>
        <w:tc>
          <w:tcPr>
            <w:tcW w:w="855" w:type="dxa"/>
            <w:vAlign w:val="center"/>
          </w:tcPr>
          <w:p w:rsidR="00131152" w:rsidRDefault="00A76EC6">
            <w:pPr>
              <w:jc w:val="center"/>
            </w:pPr>
            <w:r>
              <w:rPr>
                <w:color w:val="000000"/>
                <w:sz w:val="24"/>
                <w:szCs w:val="24"/>
              </w:rPr>
              <w:t>5</w:t>
            </w:r>
          </w:p>
        </w:tc>
        <w:tc>
          <w:tcPr>
            <w:tcW w:w="1334" w:type="dxa"/>
            <w:vAlign w:val="center"/>
          </w:tcPr>
          <w:p w:rsidR="00131152" w:rsidRDefault="00A76EC6">
            <w:pPr>
              <w:jc w:val="center"/>
            </w:pPr>
            <w:r>
              <w:rPr>
                <w:color w:val="000000"/>
                <w:sz w:val="24"/>
                <w:szCs w:val="24"/>
              </w:rPr>
              <w:t>600048</w:t>
            </w:r>
          </w:p>
        </w:tc>
        <w:tc>
          <w:tcPr>
            <w:tcW w:w="1777" w:type="dxa"/>
            <w:vAlign w:val="center"/>
          </w:tcPr>
          <w:p w:rsidR="00131152" w:rsidRDefault="00A76EC6">
            <w:pPr>
              <w:jc w:val="center"/>
            </w:pPr>
            <w:r>
              <w:rPr>
                <w:color w:val="000000"/>
                <w:sz w:val="24"/>
                <w:szCs w:val="24"/>
              </w:rPr>
              <w:t>保利地产</w:t>
            </w:r>
          </w:p>
        </w:tc>
        <w:tc>
          <w:tcPr>
            <w:tcW w:w="1334" w:type="dxa"/>
            <w:vAlign w:val="center"/>
          </w:tcPr>
          <w:p w:rsidR="00131152" w:rsidRDefault="00A76EC6">
            <w:pPr>
              <w:jc w:val="right"/>
            </w:pPr>
            <w:r>
              <w:rPr>
                <w:color w:val="000000"/>
                <w:sz w:val="24"/>
                <w:szCs w:val="24"/>
              </w:rPr>
              <w:t>1,392,100</w:t>
            </w:r>
          </w:p>
        </w:tc>
        <w:tc>
          <w:tcPr>
            <w:tcW w:w="1924" w:type="dxa"/>
            <w:vAlign w:val="center"/>
          </w:tcPr>
          <w:p w:rsidR="00131152" w:rsidRDefault="00A76EC6">
            <w:pPr>
              <w:jc w:val="right"/>
            </w:pPr>
            <w:r>
              <w:rPr>
                <w:color w:val="000000"/>
                <w:sz w:val="24"/>
                <w:szCs w:val="24"/>
              </w:rPr>
              <w:t>18,751,587.00</w:t>
            </w:r>
          </w:p>
        </w:tc>
        <w:tc>
          <w:tcPr>
            <w:tcW w:w="1644" w:type="dxa"/>
            <w:vAlign w:val="center"/>
          </w:tcPr>
          <w:p w:rsidR="00131152" w:rsidRDefault="00A76EC6">
            <w:pPr>
              <w:jc w:val="right"/>
            </w:pPr>
            <w:r>
              <w:rPr>
                <w:color w:val="000000"/>
                <w:sz w:val="24"/>
                <w:szCs w:val="24"/>
              </w:rPr>
              <w:t>2.91</w:t>
            </w:r>
          </w:p>
        </w:tc>
      </w:tr>
      <w:tr w:rsidR="00131152">
        <w:trPr>
          <w:jc w:val="center"/>
        </w:trPr>
        <w:tc>
          <w:tcPr>
            <w:tcW w:w="855" w:type="dxa"/>
            <w:vAlign w:val="center"/>
          </w:tcPr>
          <w:p w:rsidR="00131152" w:rsidRDefault="00A76EC6">
            <w:pPr>
              <w:jc w:val="center"/>
            </w:pPr>
            <w:r>
              <w:rPr>
                <w:color w:val="000000"/>
                <w:sz w:val="24"/>
                <w:szCs w:val="24"/>
              </w:rPr>
              <w:t>6</w:t>
            </w:r>
          </w:p>
        </w:tc>
        <w:tc>
          <w:tcPr>
            <w:tcW w:w="1334" w:type="dxa"/>
            <w:vAlign w:val="center"/>
          </w:tcPr>
          <w:p w:rsidR="00131152" w:rsidRDefault="00A76EC6">
            <w:pPr>
              <w:jc w:val="center"/>
            </w:pPr>
            <w:r>
              <w:rPr>
                <w:color w:val="000000"/>
                <w:sz w:val="24"/>
                <w:szCs w:val="24"/>
              </w:rPr>
              <w:t>600887</w:t>
            </w:r>
          </w:p>
        </w:tc>
        <w:tc>
          <w:tcPr>
            <w:tcW w:w="1777" w:type="dxa"/>
            <w:vAlign w:val="center"/>
          </w:tcPr>
          <w:p w:rsidR="00131152" w:rsidRDefault="00A76EC6">
            <w:pPr>
              <w:jc w:val="center"/>
            </w:pPr>
            <w:r>
              <w:rPr>
                <w:color w:val="000000"/>
                <w:sz w:val="24"/>
                <w:szCs w:val="24"/>
              </w:rPr>
              <w:t>伊利股份</w:t>
            </w:r>
          </w:p>
        </w:tc>
        <w:tc>
          <w:tcPr>
            <w:tcW w:w="1334" w:type="dxa"/>
            <w:vAlign w:val="center"/>
          </w:tcPr>
          <w:p w:rsidR="00131152" w:rsidRDefault="00A76EC6">
            <w:pPr>
              <w:jc w:val="right"/>
            </w:pPr>
            <w:r>
              <w:rPr>
                <w:color w:val="000000"/>
                <w:sz w:val="24"/>
                <w:szCs w:val="24"/>
              </w:rPr>
              <w:t>643,422</w:t>
            </w:r>
          </w:p>
        </w:tc>
        <w:tc>
          <w:tcPr>
            <w:tcW w:w="1924" w:type="dxa"/>
            <w:vAlign w:val="center"/>
          </w:tcPr>
          <w:p w:rsidR="00131152" w:rsidRDefault="00A76EC6">
            <w:pPr>
              <w:jc w:val="right"/>
            </w:pPr>
            <w:r>
              <w:rPr>
                <w:color w:val="000000"/>
                <w:sz w:val="24"/>
                <w:szCs w:val="24"/>
              </w:rPr>
              <w:t>18,331,092.78</w:t>
            </w:r>
          </w:p>
        </w:tc>
        <w:tc>
          <w:tcPr>
            <w:tcW w:w="1644" w:type="dxa"/>
            <w:vAlign w:val="center"/>
          </w:tcPr>
          <w:p w:rsidR="00131152" w:rsidRDefault="00A76EC6">
            <w:pPr>
              <w:jc w:val="right"/>
            </w:pPr>
            <w:r>
              <w:rPr>
                <w:color w:val="000000"/>
                <w:sz w:val="24"/>
                <w:szCs w:val="24"/>
              </w:rPr>
              <w:t>2.85</w:t>
            </w:r>
          </w:p>
        </w:tc>
      </w:tr>
      <w:tr w:rsidR="00131152">
        <w:trPr>
          <w:jc w:val="center"/>
        </w:trPr>
        <w:tc>
          <w:tcPr>
            <w:tcW w:w="855" w:type="dxa"/>
            <w:vAlign w:val="center"/>
          </w:tcPr>
          <w:p w:rsidR="00131152" w:rsidRDefault="00A76EC6">
            <w:pPr>
              <w:jc w:val="center"/>
            </w:pPr>
            <w:r>
              <w:rPr>
                <w:color w:val="000000"/>
                <w:sz w:val="24"/>
                <w:szCs w:val="24"/>
              </w:rPr>
              <w:t>7</w:t>
            </w:r>
          </w:p>
        </w:tc>
        <w:tc>
          <w:tcPr>
            <w:tcW w:w="1334" w:type="dxa"/>
            <w:vAlign w:val="center"/>
          </w:tcPr>
          <w:p w:rsidR="00131152" w:rsidRDefault="00A76EC6">
            <w:pPr>
              <w:jc w:val="center"/>
            </w:pPr>
            <w:r>
              <w:rPr>
                <w:color w:val="000000"/>
                <w:sz w:val="24"/>
                <w:szCs w:val="24"/>
              </w:rPr>
              <w:t>000998</w:t>
            </w:r>
          </w:p>
        </w:tc>
        <w:tc>
          <w:tcPr>
            <w:tcW w:w="1777" w:type="dxa"/>
            <w:vAlign w:val="center"/>
          </w:tcPr>
          <w:p w:rsidR="00131152" w:rsidRDefault="00A76EC6">
            <w:pPr>
              <w:jc w:val="center"/>
            </w:pPr>
            <w:r>
              <w:rPr>
                <w:color w:val="000000"/>
                <w:sz w:val="24"/>
                <w:szCs w:val="24"/>
              </w:rPr>
              <w:t>隆平高科</w:t>
            </w:r>
          </w:p>
        </w:tc>
        <w:tc>
          <w:tcPr>
            <w:tcW w:w="1334" w:type="dxa"/>
            <w:vAlign w:val="center"/>
          </w:tcPr>
          <w:p w:rsidR="00131152" w:rsidRDefault="00A76EC6">
            <w:pPr>
              <w:jc w:val="right"/>
            </w:pPr>
            <w:r>
              <w:rPr>
                <w:color w:val="000000"/>
                <w:sz w:val="24"/>
                <w:szCs w:val="24"/>
              </w:rPr>
              <w:t>640,000</w:t>
            </w:r>
          </w:p>
        </w:tc>
        <w:tc>
          <w:tcPr>
            <w:tcW w:w="1924" w:type="dxa"/>
            <w:vAlign w:val="center"/>
          </w:tcPr>
          <w:p w:rsidR="00131152" w:rsidRDefault="00A76EC6">
            <w:pPr>
              <w:jc w:val="right"/>
            </w:pPr>
            <w:r>
              <w:rPr>
                <w:color w:val="000000"/>
                <w:sz w:val="24"/>
                <w:szCs w:val="24"/>
              </w:rPr>
              <w:t>16,544,000.00</w:t>
            </w:r>
          </w:p>
        </w:tc>
        <w:tc>
          <w:tcPr>
            <w:tcW w:w="1644" w:type="dxa"/>
            <w:vAlign w:val="center"/>
          </w:tcPr>
          <w:p w:rsidR="00131152" w:rsidRDefault="00A76EC6">
            <w:pPr>
              <w:jc w:val="right"/>
            </w:pPr>
            <w:r>
              <w:rPr>
                <w:color w:val="000000"/>
                <w:sz w:val="24"/>
                <w:szCs w:val="24"/>
              </w:rPr>
              <w:t>2.57</w:t>
            </w:r>
          </w:p>
        </w:tc>
      </w:tr>
      <w:tr w:rsidR="00131152">
        <w:trPr>
          <w:jc w:val="center"/>
        </w:trPr>
        <w:tc>
          <w:tcPr>
            <w:tcW w:w="855" w:type="dxa"/>
            <w:vAlign w:val="center"/>
          </w:tcPr>
          <w:p w:rsidR="00131152" w:rsidRDefault="00A76EC6">
            <w:pPr>
              <w:jc w:val="center"/>
            </w:pPr>
            <w:r>
              <w:rPr>
                <w:color w:val="000000"/>
                <w:sz w:val="24"/>
                <w:szCs w:val="24"/>
              </w:rPr>
              <w:t>8</w:t>
            </w:r>
          </w:p>
        </w:tc>
        <w:tc>
          <w:tcPr>
            <w:tcW w:w="1334" w:type="dxa"/>
            <w:vAlign w:val="center"/>
          </w:tcPr>
          <w:p w:rsidR="00131152" w:rsidRDefault="00A76EC6">
            <w:pPr>
              <w:jc w:val="center"/>
            </w:pPr>
            <w:r>
              <w:rPr>
                <w:color w:val="000000"/>
                <w:sz w:val="24"/>
                <w:szCs w:val="24"/>
              </w:rPr>
              <w:t>601009</w:t>
            </w:r>
          </w:p>
        </w:tc>
        <w:tc>
          <w:tcPr>
            <w:tcW w:w="1777" w:type="dxa"/>
            <w:vAlign w:val="center"/>
          </w:tcPr>
          <w:p w:rsidR="00131152" w:rsidRDefault="00A76EC6">
            <w:pPr>
              <w:jc w:val="center"/>
            </w:pPr>
            <w:r>
              <w:rPr>
                <w:color w:val="000000"/>
                <w:sz w:val="24"/>
                <w:szCs w:val="24"/>
              </w:rPr>
              <w:t>南京银行</w:t>
            </w:r>
          </w:p>
        </w:tc>
        <w:tc>
          <w:tcPr>
            <w:tcW w:w="1334" w:type="dxa"/>
            <w:vAlign w:val="center"/>
          </w:tcPr>
          <w:p w:rsidR="00131152" w:rsidRDefault="00A76EC6">
            <w:pPr>
              <w:jc w:val="right"/>
            </w:pPr>
            <w:r>
              <w:rPr>
                <w:color w:val="000000"/>
                <w:sz w:val="24"/>
                <w:szCs w:val="24"/>
              </w:rPr>
              <w:t>1,864,112</w:t>
            </w:r>
          </w:p>
        </w:tc>
        <w:tc>
          <w:tcPr>
            <w:tcW w:w="1924" w:type="dxa"/>
            <w:vAlign w:val="center"/>
          </w:tcPr>
          <w:p w:rsidR="00131152" w:rsidRDefault="00A76EC6">
            <w:pPr>
              <w:jc w:val="right"/>
            </w:pPr>
            <w:r>
              <w:rPr>
                <w:color w:val="000000"/>
                <w:sz w:val="24"/>
                <w:szCs w:val="24"/>
              </w:rPr>
              <w:t>15,229,795.04</w:t>
            </w:r>
          </w:p>
        </w:tc>
        <w:tc>
          <w:tcPr>
            <w:tcW w:w="1644" w:type="dxa"/>
            <w:vAlign w:val="center"/>
          </w:tcPr>
          <w:p w:rsidR="00131152" w:rsidRDefault="00A76EC6">
            <w:pPr>
              <w:jc w:val="right"/>
            </w:pPr>
            <w:r>
              <w:rPr>
                <w:color w:val="000000"/>
                <w:sz w:val="24"/>
                <w:szCs w:val="24"/>
              </w:rPr>
              <w:t>2.37</w:t>
            </w:r>
          </w:p>
        </w:tc>
      </w:tr>
      <w:tr w:rsidR="00131152">
        <w:trPr>
          <w:jc w:val="center"/>
        </w:trPr>
        <w:tc>
          <w:tcPr>
            <w:tcW w:w="855" w:type="dxa"/>
            <w:vAlign w:val="center"/>
          </w:tcPr>
          <w:p w:rsidR="00131152" w:rsidRDefault="00A76EC6">
            <w:pPr>
              <w:jc w:val="center"/>
            </w:pPr>
            <w:r>
              <w:rPr>
                <w:color w:val="000000"/>
                <w:sz w:val="24"/>
                <w:szCs w:val="24"/>
              </w:rPr>
              <w:t>9</w:t>
            </w:r>
          </w:p>
        </w:tc>
        <w:tc>
          <w:tcPr>
            <w:tcW w:w="1334" w:type="dxa"/>
            <w:vAlign w:val="center"/>
          </w:tcPr>
          <w:p w:rsidR="00131152" w:rsidRDefault="00A76EC6">
            <w:pPr>
              <w:jc w:val="center"/>
            </w:pPr>
            <w:r>
              <w:rPr>
                <w:color w:val="000000"/>
                <w:sz w:val="24"/>
                <w:szCs w:val="24"/>
              </w:rPr>
              <w:t>300413</w:t>
            </w:r>
          </w:p>
        </w:tc>
        <w:tc>
          <w:tcPr>
            <w:tcW w:w="1777" w:type="dxa"/>
            <w:vAlign w:val="center"/>
          </w:tcPr>
          <w:p w:rsidR="00131152" w:rsidRDefault="00A76EC6">
            <w:pPr>
              <w:jc w:val="center"/>
            </w:pPr>
            <w:r>
              <w:rPr>
                <w:color w:val="000000"/>
                <w:sz w:val="24"/>
                <w:szCs w:val="24"/>
              </w:rPr>
              <w:t>快乐购</w:t>
            </w:r>
          </w:p>
        </w:tc>
        <w:tc>
          <w:tcPr>
            <w:tcW w:w="1334" w:type="dxa"/>
            <w:vAlign w:val="center"/>
          </w:tcPr>
          <w:p w:rsidR="00131152" w:rsidRDefault="00A76EC6">
            <w:pPr>
              <w:jc w:val="right"/>
            </w:pPr>
            <w:r>
              <w:rPr>
                <w:color w:val="000000"/>
                <w:sz w:val="24"/>
                <w:szCs w:val="24"/>
              </w:rPr>
              <w:t>366,820</w:t>
            </w:r>
          </w:p>
        </w:tc>
        <w:tc>
          <w:tcPr>
            <w:tcW w:w="1924" w:type="dxa"/>
            <w:vAlign w:val="center"/>
          </w:tcPr>
          <w:p w:rsidR="00131152" w:rsidRDefault="00A76EC6">
            <w:pPr>
              <w:jc w:val="right"/>
            </w:pPr>
            <w:r>
              <w:rPr>
                <w:color w:val="000000"/>
                <w:sz w:val="24"/>
                <w:szCs w:val="24"/>
              </w:rPr>
              <w:t>14,808,523.40</w:t>
            </w:r>
          </w:p>
        </w:tc>
        <w:tc>
          <w:tcPr>
            <w:tcW w:w="1644" w:type="dxa"/>
            <w:vAlign w:val="center"/>
          </w:tcPr>
          <w:p w:rsidR="00131152" w:rsidRDefault="00A76EC6">
            <w:pPr>
              <w:jc w:val="right"/>
            </w:pPr>
            <w:r>
              <w:rPr>
                <w:color w:val="000000"/>
                <w:sz w:val="24"/>
                <w:szCs w:val="24"/>
              </w:rPr>
              <w:t>2.30</w:t>
            </w:r>
          </w:p>
        </w:tc>
      </w:tr>
      <w:tr w:rsidR="00131152">
        <w:trPr>
          <w:jc w:val="center"/>
        </w:trPr>
        <w:tc>
          <w:tcPr>
            <w:tcW w:w="855" w:type="dxa"/>
            <w:vAlign w:val="center"/>
          </w:tcPr>
          <w:p w:rsidR="00131152" w:rsidRDefault="00A76EC6">
            <w:pPr>
              <w:jc w:val="center"/>
            </w:pPr>
            <w:r>
              <w:rPr>
                <w:color w:val="000000"/>
                <w:sz w:val="24"/>
                <w:szCs w:val="24"/>
              </w:rPr>
              <w:t>10</w:t>
            </w:r>
          </w:p>
        </w:tc>
        <w:tc>
          <w:tcPr>
            <w:tcW w:w="1334" w:type="dxa"/>
            <w:vAlign w:val="center"/>
          </w:tcPr>
          <w:p w:rsidR="00131152" w:rsidRDefault="00A76EC6">
            <w:pPr>
              <w:jc w:val="center"/>
            </w:pPr>
            <w:r>
              <w:rPr>
                <w:color w:val="000000"/>
                <w:sz w:val="24"/>
                <w:szCs w:val="24"/>
              </w:rPr>
              <w:t>600056</w:t>
            </w:r>
          </w:p>
        </w:tc>
        <w:tc>
          <w:tcPr>
            <w:tcW w:w="1777" w:type="dxa"/>
            <w:vAlign w:val="center"/>
          </w:tcPr>
          <w:p w:rsidR="00131152" w:rsidRDefault="00A76EC6">
            <w:pPr>
              <w:jc w:val="center"/>
            </w:pPr>
            <w:r>
              <w:rPr>
                <w:color w:val="000000"/>
                <w:sz w:val="24"/>
                <w:szCs w:val="24"/>
              </w:rPr>
              <w:t>中国医药</w:t>
            </w:r>
          </w:p>
        </w:tc>
        <w:tc>
          <w:tcPr>
            <w:tcW w:w="1334" w:type="dxa"/>
            <w:vAlign w:val="center"/>
          </w:tcPr>
          <w:p w:rsidR="00131152" w:rsidRDefault="00A76EC6">
            <w:pPr>
              <w:jc w:val="right"/>
            </w:pPr>
            <w:r>
              <w:rPr>
                <w:color w:val="000000"/>
                <w:sz w:val="24"/>
                <w:szCs w:val="24"/>
              </w:rPr>
              <w:t>617,013</w:t>
            </w:r>
          </w:p>
        </w:tc>
        <w:tc>
          <w:tcPr>
            <w:tcW w:w="1924" w:type="dxa"/>
            <w:vAlign w:val="center"/>
          </w:tcPr>
          <w:p w:rsidR="00131152" w:rsidRDefault="00A76EC6">
            <w:pPr>
              <w:jc w:val="right"/>
            </w:pPr>
            <w:r>
              <w:rPr>
                <w:color w:val="000000"/>
                <w:sz w:val="24"/>
                <w:szCs w:val="24"/>
              </w:rPr>
              <w:t>14,666,399.01</w:t>
            </w:r>
          </w:p>
        </w:tc>
        <w:tc>
          <w:tcPr>
            <w:tcW w:w="1644" w:type="dxa"/>
            <w:vAlign w:val="center"/>
          </w:tcPr>
          <w:p w:rsidR="00131152" w:rsidRDefault="00A76EC6">
            <w:pPr>
              <w:jc w:val="right"/>
            </w:pPr>
            <w:r>
              <w:rPr>
                <w:color w:val="000000"/>
                <w:sz w:val="24"/>
                <w:szCs w:val="24"/>
              </w:rPr>
              <w:t>2.28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40,016,000.00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40,016,000.00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lastRenderedPageBreak/>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40,016,000.00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31152">
        <w:trPr>
          <w:jc w:val="center"/>
        </w:trPr>
        <w:tc>
          <w:tcPr>
            <w:tcW w:w="850" w:type="dxa"/>
            <w:vAlign w:val="center"/>
          </w:tcPr>
          <w:p w:rsidR="00131152" w:rsidRDefault="00A76EC6">
            <w:pPr>
              <w:jc w:val="center"/>
            </w:pPr>
            <w:r>
              <w:rPr>
                <w:color w:val="000000"/>
                <w:sz w:val="24"/>
                <w:szCs w:val="24"/>
              </w:rPr>
              <w:t>1</w:t>
            </w:r>
          </w:p>
        </w:tc>
        <w:tc>
          <w:tcPr>
            <w:tcW w:w="1475" w:type="dxa"/>
            <w:vAlign w:val="center"/>
          </w:tcPr>
          <w:p w:rsidR="00131152" w:rsidRDefault="00A76EC6">
            <w:pPr>
              <w:jc w:val="center"/>
            </w:pPr>
            <w:r>
              <w:rPr>
                <w:color w:val="000000"/>
                <w:sz w:val="24"/>
                <w:szCs w:val="24"/>
              </w:rPr>
              <w:t>170410</w:t>
            </w:r>
          </w:p>
        </w:tc>
        <w:tc>
          <w:tcPr>
            <w:tcW w:w="1769" w:type="dxa"/>
            <w:vAlign w:val="center"/>
          </w:tcPr>
          <w:p w:rsidR="00131152" w:rsidRDefault="00A76EC6">
            <w:pPr>
              <w:jc w:val="center"/>
            </w:pPr>
            <w:r>
              <w:rPr>
                <w:color w:val="000000"/>
                <w:sz w:val="24"/>
                <w:szCs w:val="24"/>
              </w:rPr>
              <w:t>17</w:t>
            </w:r>
            <w:r>
              <w:rPr>
                <w:color w:val="000000"/>
                <w:sz w:val="24"/>
                <w:szCs w:val="24"/>
              </w:rPr>
              <w:t>农发</w:t>
            </w:r>
            <w:r>
              <w:rPr>
                <w:color w:val="000000"/>
                <w:sz w:val="24"/>
                <w:szCs w:val="24"/>
              </w:rPr>
              <w:t>10</w:t>
            </w:r>
          </w:p>
        </w:tc>
        <w:tc>
          <w:tcPr>
            <w:tcW w:w="1387" w:type="dxa"/>
            <w:vAlign w:val="center"/>
          </w:tcPr>
          <w:p w:rsidR="00131152" w:rsidRDefault="00A76EC6">
            <w:pPr>
              <w:jc w:val="right"/>
            </w:pPr>
            <w:r>
              <w:rPr>
                <w:color w:val="000000"/>
                <w:sz w:val="24"/>
                <w:szCs w:val="24"/>
              </w:rPr>
              <w:t>400,000</w:t>
            </w:r>
          </w:p>
        </w:tc>
        <w:tc>
          <w:tcPr>
            <w:tcW w:w="2150" w:type="dxa"/>
            <w:vAlign w:val="center"/>
          </w:tcPr>
          <w:p w:rsidR="00131152" w:rsidRDefault="00A76EC6">
            <w:pPr>
              <w:jc w:val="right"/>
            </w:pPr>
            <w:r>
              <w:rPr>
                <w:color w:val="000000"/>
                <w:sz w:val="24"/>
                <w:szCs w:val="24"/>
              </w:rPr>
              <w:t>40,016,000.00</w:t>
            </w:r>
          </w:p>
        </w:tc>
        <w:tc>
          <w:tcPr>
            <w:tcW w:w="1237" w:type="dxa"/>
            <w:vAlign w:val="center"/>
          </w:tcPr>
          <w:p w:rsidR="00131152" w:rsidRDefault="00A76EC6">
            <w:pPr>
              <w:jc w:val="right"/>
            </w:pPr>
            <w:r>
              <w:rPr>
                <w:color w:val="000000"/>
                <w:sz w:val="24"/>
                <w:szCs w:val="24"/>
              </w:rPr>
              <w:t>6.22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报告期内本基金投资的前十名证券的发行主体除南京银行（证券代码：</w:t>
      </w:r>
      <w:r w:rsidRPr="00BE5388">
        <w:rPr>
          <w:bCs/>
          <w:color w:val="000000"/>
          <w:kern w:val="0"/>
          <w:sz w:val="24"/>
          <w:szCs w:val="24"/>
        </w:rPr>
        <w:t>601009</w:t>
      </w:r>
      <w:r w:rsidRPr="00BE5388">
        <w:rPr>
          <w:bCs/>
          <w:color w:val="000000"/>
          <w:kern w:val="0"/>
          <w:sz w:val="24"/>
          <w:szCs w:val="24"/>
        </w:rPr>
        <w:t>）外，未出现被监管部门立案调查，或在报告编制日前一年内受到公开谴责、处罚的情形。</w:t>
      </w:r>
    </w:p>
    <w:p w:rsidR="00131152" w:rsidRDefault="00A76EC6">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报告期内本基金投资的前十名证券之一南京银行（证券代码：</w:t>
      </w:r>
      <w:r>
        <w:rPr>
          <w:bCs/>
          <w:color w:val="000000"/>
          <w:kern w:val="0"/>
          <w:sz w:val="24"/>
          <w:szCs w:val="24"/>
        </w:rPr>
        <w:t>601009</w:t>
      </w:r>
      <w:r>
        <w:rPr>
          <w:bCs/>
          <w:color w:val="000000"/>
          <w:kern w:val="0"/>
          <w:sz w:val="24"/>
          <w:szCs w:val="24"/>
        </w:rPr>
        <w:t>）收到中国银行业监督管理委员会江苏监管局行政处罚决定书（苏银</w:t>
      </w:r>
      <w:proofErr w:type="gramStart"/>
      <w:r>
        <w:rPr>
          <w:bCs/>
          <w:color w:val="000000"/>
          <w:kern w:val="0"/>
          <w:sz w:val="24"/>
          <w:szCs w:val="24"/>
        </w:rPr>
        <w:t>监罚决</w:t>
      </w:r>
      <w:proofErr w:type="gramEnd"/>
      <w:r>
        <w:rPr>
          <w:bCs/>
          <w:color w:val="000000"/>
          <w:kern w:val="0"/>
          <w:sz w:val="24"/>
          <w:szCs w:val="24"/>
        </w:rPr>
        <w:t>字【</w:t>
      </w:r>
      <w:r>
        <w:rPr>
          <w:bCs/>
          <w:color w:val="000000"/>
          <w:kern w:val="0"/>
          <w:sz w:val="24"/>
          <w:szCs w:val="24"/>
        </w:rPr>
        <w:t>2018</w:t>
      </w:r>
      <w:r>
        <w:rPr>
          <w:bCs/>
          <w:color w:val="000000"/>
          <w:kern w:val="0"/>
          <w:sz w:val="24"/>
          <w:szCs w:val="24"/>
        </w:rPr>
        <w:t>】</w:t>
      </w:r>
      <w:r>
        <w:rPr>
          <w:bCs/>
          <w:color w:val="000000"/>
          <w:kern w:val="0"/>
          <w:sz w:val="24"/>
          <w:szCs w:val="24"/>
        </w:rPr>
        <w:t xml:space="preserve"> 1 </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131152" w:rsidRDefault="00A76EC6">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w:t>
      </w:r>
      <w:r>
        <w:rPr>
          <w:bCs/>
          <w:color w:val="000000"/>
          <w:kern w:val="0"/>
          <w:sz w:val="24"/>
          <w:szCs w:val="24"/>
        </w:rPr>
        <w:lastRenderedPageBreak/>
        <w:t>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466,211.91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988,737.76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47,890.40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1,502,840.07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lastRenderedPageBreak/>
        <w:t>本基金本报告期内未交易或持有基金。</w:t>
      </w:r>
    </w:p>
    <w:p w:rsidR="001031CA" w:rsidRPr="001031CA" w:rsidRDefault="001031CA" w:rsidP="001031CA">
      <w:pPr>
        <w:adjustRightInd w:val="0"/>
        <w:snapToGrid w:val="0"/>
        <w:spacing w:beforeLines="50" w:before="156" w:line="360" w:lineRule="auto"/>
        <w:rPr>
          <w:rFonts w:eastAsiaTheme="minorEastAsia" w:hint="eastAsia"/>
          <w:b/>
          <w:color w:val="000000" w:themeColor="text1"/>
          <w:kern w:val="0"/>
          <w:sz w:val="24"/>
          <w:szCs w:val="24"/>
        </w:rPr>
      </w:pPr>
      <w:r w:rsidRPr="001031CA">
        <w:rPr>
          <w:rFonts w:eastAsiaTheme="minorEastAsia" w:hint="eastAsia"/>
          <w:b/>
          <w:color w:val="000000" w:themeColor="text1"/>
          <w:kern w:val="0"/>
          <w:sz w:val="24"/>
          <w:szCs w:val="24"/>
        </w:rPr>
        <w:t xml:space="preserve">6.3 </w:t>
      </w:r>
      <w:r w:rsidRPr="001031CA">
        <w:rPr>
          <w:rFonts w:eastAsiaTheme="minorEastAsia" w:hint="eastAsia"/>
          <w:b/>
          <w:color w:val="000000" w:themeColor="text1"/>
          <w:kern w:val="0"/>
          <w:sz w:val="24"/>
          <w:szCs w:val="24"/>
        </w:rPr>
        <w:t>本报告期持有的基金发生的重大影响事件</w:t>
      </w:r>
    </w:p>
    <w:p w:rsidR="001031CA" w:rsidRPr="00575270" w:rsidRDefault="001031CA" w:rsidP="001031CA">
      <w:pPr>
        <w:autoSpaceDE w:val="0"/>
        <w:autoSpaceDN w:val="0"/>
        <w:adjustRightInd w:val="0"/>
        <w:spacing w:line="360" w:lineRule="auto"/>
        <w:ind w:firstLineChars="200" w:firstLine="480"/>
        <w:jc w:val="left"/>
        <w:rPr>
          <w:rFonts w:eastAsiaTheme="minorEastAsia" w:hint="eastAsia"/>
          <w:color w:val="000000" w:themeColor="text1"/>
          <w:sz w:val="24"/>
          <w:szCs w:val="24"/>
        </w:rPr>
      </w:pPr>
      <w:r w:rsidRPr="001031CA">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731,204,820.78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9,858,356.19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98,262,296.13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642,800,880.84</w:t>
            </w:r>
          </w:p>
        </w:tc>
      </w:tr>
    </w:tbl>
    <w:p w:rsidR="00131152" w:rsidRDefault="00A76EC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131152" w:rsidRPr="00556830" w:rsidRDefault="00A76EC6" w:rsidP="00556830">
      <w:pPr>
        <w:spacing w:before="29" w:line="288" w:lineRule="auto"/>
        <w:ind w:firstLineChars="200" w:firstLine="480"/>
        <w:rPr>
          <w:color w:val="000000"/>
          <w:sz w:val="24"/>
          <w:szCs w:val="24"/>
        </w:rPr>
      </w:pPr>
      <w:r w:rsidRPr="00556830">
        <w:rPr>
          <w:color w:val="000000"/>
          <w:sz w:val="24"/>
          <w:szCs w:val="24"/>
        </w:rPr>
        <w:t>1</w:t>
      </w:r>
      <w:r w:rsidRPr="00556830">
        <w:rPr>
          <w:color w:val="000000"/>
          <w:sz w:val="24"/>
          <w:szCs w:val="24"/>
        </w:rPr>
        <w:t>、根据财政部和国家税务总局于</w:t>
      </w:r>
      <w:r w:rsidRPr="00556830">
        <w:rPr>
          <w:color w:val="000000"/>
          <w:sz w:val="24"/>
          <w:szCs w:val="24"/>
        </w:rPr>
        <w:t>2016</w:t>
      </w:r>
      <w:r w:rsidRPr="00556830">
        <w:rPr>
          <w:color w:val="000000"/>
          <w:sz w:val="24"/>
          <w:szCs w:val="24"/>
        </w:rPr>
        <w:t>年</w:t>
      </w:r>
      <w:r w:rsidRPr="00556830">
        <w:rPr>
          <w:color w:val="000000"/>
          <w:sz w:val="24"/>
          <w:szCs w:val="24"/>
        </w:rPr>
        <w:t>12</w:t>
      </w:r>
      <w:r w:rsidRPr="00556830">
        <w:rPr>
          <w:color w:val="000000"/>
          <w:sz w:val="24"/>
          <w:szCs w:val="24"/>
        </w:rPr>
        <w:t>月</w:t>
      </w:r>
      <w:r w:rsidRPr="00556830">
        <w:rPr>
          <w:color w:val="000000"/>
          <w:sz w:val="24"/>
          <w:szCs w:val="24"/>
        </w:rPr>
        <w:t>21</w:t>
      </w:r>
      <w:r w:rsidRPr="00556830">
        <w:rPr>
          <w:color w:val="000000"/>
          <w:sz w:val="24"/>
          <w:szCs w:val="24"/>
        </w:rPr>
        <w:t>日联合发布的《关于明确金融、房地产开发、教育辅助服务等增值税政策的通知》（财税</w:t>
      </w:r>
      <w:r w:rsidRPr="00556830">
        <w:rPr>
          <w:color w:val="000000"/>
          <w:sz w:val="24"/>
          <w:szCs w:val="24"/>
        </w:rPr>
        <w:t>[2016]140</w:t>
      </w:r>
      <w:r w:rsidRPr="00556830">
        <w:rPr>
          <w:color w:val="000000"/>
          <w:sz w:val="24"/>
          <w:szCs w:val="24"/>
        </w:rPr>
        <w:t>号）以及于</w:t>
      </w:r>
      <w:r w:rsidRPr="00556830">
        <w:rPr>
          <w:color w:val="000000"/>
          <w:sz w:val="24"/>
          <w:szCs w:val="24"/>
        </w:rPr>
        <w:t>2017</w:t>
      </w:r>
      <w:r w:rsidRPr="00556830">
        <w:rPr>
          <w:color w:val="000000"/>
          <w:sz w:val="24"/>
          <w:szCs w:val="24"/>
        </w:rPr>
        <w:t>年</w:t>
      </w:r>
      <w:r w:rsidRPr="00556830">
        <w:rPr>
          <w:color w:val="000000"/>
          <w:sz w:val="24"/>
          <w:szCs w:val="24"/>
        </w:rPr>
        <w:t>6</w:t>
      </w:r>
      <w:r w:rsidRPr="00556830">
        <w:rPr>
          <w:color w:val="000000"/>
          <w:sz w:val="24"/>
          <w:szCs w:val="24"/>
        </w:rPr>
        <w:t>月</w:t>
      </w:r>
      <w:r w:rsidRPr="00556830">
        <w:rPr>
          <w:color w:val="000000"/>
          <w:sz w:val="24"/>
          <w:szCs w:val="24"/>
        </w:rPr>
        <w:t>30</w:t>
      </w:r>
      <w:r w:rsidRPr="00556830">
        <w:rPr>
          <w:color w:val="000000"/>
          <w:sz w:val="24"/>
          <w:szCs w:val="24"/>
        </w:rPr>
        <w:t>日联合发布的《财政部、税务总局关于资管产品增值税有关问题的通知》（财税</w:t>
      </w:r>
      <w:r w:rsidRPr="00556830">
        <w:rPr>
          <w:color w:val="000000"/>
          <w:sz w:val="24"/>
          <w:szCs w:val="24"/>
        </w:rPr>
        <w:t>[2017]</w:t>
      </w:r>
      <w:bookmarkStart w:id="0" w:name="_GoBack"/>
      <w:bookmarkEnd w:id="0"/>
      <w:r w:rsidRPr="00556830">
        <w:rPr>
          <w:color w:val="000000"/>
          <w:sz w:val="24"/>
          <w:szCs w:val="24"/>
        </w:rPr>
        <w:t>56</w:t>
      </w:r>
      <w:r w:rsidRPr="00556830">
        <w:rPr>
          <w:color w:val="000000"/>
          <w:sz w:val="24"/>
          <w:szCs w:val="24"/>
        </w:rPr>
        <w:t>号）等规定，自</w:t>
      </w:r>
      <w:r w:rsidRPr="00556830">
        <w:rPr>
          <w:color w:val="000000"/>
          <w:sz w:val="24"/>
          <w:szCs w:val="24"/>
        </w:rPr>
        <w:t>2018</w:t>
      </w:r>
      <w:r w:rsidRPr="00556830">
        <w:rPr>
          <w:color w:val="000000"/>
          <w:sz w:val="24"/>
          <w:szCs w:val="24"/>
        </w:rPr>
        <w:t>年</w:t>
      </w:r>
      <w:r w:rsidRPr="00556830">
        <w:rPr>
          <w:color w:val="000000"/>
          <w:sz w:val="24"/>
          <w:szCs w:val="24"/>
        </w:rPr>
        <w:t>1</w:t>
      </w:r>
      <w:r w:rsidRPr="00556830">
        <w:rPr>
          <w:color w:val="000000"/>
          <w:sz w:val="24"/>
          <w:szCs w:val="24"/>
        </w:rPr>
        <w:t>月</w:t>
      </w:r>
      <w:r w:rsidRPr="00556830">
        <w:rPr>
          <w:color w:val="000000"/>
          <w:sz w:val="24"/>
          <w:szCs w:val="24"/>
        </w:rPr>
        <w:t>1</w:t>
      </w:r>
      <w:r w:rsidRPr="00556830">
        <w:rPr>
          <w:color w:val="000000"/>
          <w:sz w:val="24"/>
          <w:szCs w:val="24"/>
        </w:rPr>
        <w:t>日（含）起，基金管理人运营公开募集证券投资基金（以下简称</w:t>
      </w:r>
      <w:r w:rsidRPr="00556830">
        <w:rPr>
          <w:color w:val="000000"/>
          <w:sz w:val="24"/>
          <w:szCs w:val="24"/>
        </w:rPr>
        <w:t>“</w:t>
      </w:r>
      <w:r w:rsidRPr="00556830">
        <w:rPr>
          <w:color w:val="000000"/>
          <w:sz w:val="24"/>
          <w:szCs w:val="24"/>
        </w:rPr>
        <w:t>基金</w:t>
      </w:r>
      <w:r w:rsidRPr="00556830">
        <w:rPr>
          <w:color w:val="000000"/>
          <w:sz w:val="24"/>
          <w:szCs w:val="24"/>
        </w:rPr>
        <w:t>”</w:t>
      </w:r>
      <w:r w:rsidRPr="00556830">
        <w:rPr>
          <w:color w:val="000000"/>
          <w:sz w:val="24"/>
          <w:szCs w:val="24"/>
        </w:rPr>
        <w:t>）过程中发生的增值税应税行为，应按照现行规定缴纳增值税。本基金管理人将依据国家税收法律、法规、规章及税收规范性文件的规定，对管理的基</w:t>
      </w:r>
      <w:r w:rsidRPr="00556830">
        <w:rPr>
          <w:color w:val="000000"/>
          <w:sz w:val="24"/>
          <w:szCs w:val="24"/>
        </w:rPr>
        <w:lastRenderedPageBreak/>
        <w:t>金产品运营过程中产生的应税收入，计提及缴纳增值税及附加税费，该部分税费由基金资产承担。如后续国家法律法规、税收政策进行调整的，或者对基金产品的税收政策</w:t>
      </w:r>
      <w:proofErr w:type="gramStart"/>
      <w:r w:rsidRPr="00556830">
        <w:rPr>
          <w:color w:val="000000"/>
          <w:sz w:val="24"/>
          <w:szCs w:val="24"/>
        </w:rPr>
        <w:t>作出</w:t>
      </w:r>
      <w:proofErr w:type="gramEnd"/>
      <w:r w:rsidRPr="00556830">
        <w:rPr>
          <w:color w:val="000000"/>
          <w:sz w:val="24"/>
          <w:szCs w:val="24"/>
        </w:rPr>
        <w:t>补充规定的，基金管理人将及时根据所涉及的税收政策</w:t>
      </w:r>
      <w:proofErr w:type="gramStart"/>
      <w:r w:rsidRPr="00556830">
        <w:rPr>
          <w:color w:val="000000"/>
          <w:sz w:val="24"/>
          <w:szCs w:val="24"/>
        </w:rPr>
        <w:t>作出</w:t>
      </w:r>
      <w:proofErr w:type="gramEnd"/>
      <w:r w:rsidRPr="00556830">
        <w:rPr>
          <w:color w:val="000000"/>
          <w:sz w:val="24"/>
          <w:szCs w:val="24"/>
        </w:rPr>
        <w:t>相应调整，切实履行基金管理人的职责。</w:t>
      </w:r>
    </w:p>
    <w:p w:rsidR="003C50AD" w:rsidRPr="00556830" w:rsidRDefault="003C50AD" w:rsidP="00556830">
      <w:pPr>
        <w:spacing w:before="29" w:line="288" w:lineRule="auto"/>
        <w:ind w:firstLineChars="200" w:firstLine="480"/>
        <w:rPr>
          <w:color w:val="000000"/>
          <w:sz w:val="24"/>
          <w:szCs w:val="24"/>
        </w:rPr>
      </w:pPr>
      <w:r w:rsidRPr="00556830">
        <w:rPr>
          <w:color w:val="000000"/>
          <w:sz w:val="24"/>
          <w:szCs w:val="24"/>
        </w:rPr>
        <w:t>2</w:t>
      </w:r>
      <w:r w:rsidRPr="00556830">
        <w:rPr>
          <w:color w:val="000000"/>
          <w:sz w:val="24"/>
          <w:szCs w:val="24"/>
        </w:rPr>
        <w:t>、根据《公开募集开放式证券投资基金流动性风险管理规定》的有关规定及相关监管要求，经与基金托管人协商一致并报监管机构备案，基金管理人对本</w:t>
      </w:r>
      <w:proofErr w:type="gramStart"/>
      <w:r w:rsidRPr="00556830">
        <w:rPr>
          <w:color w:val="000000"/>
          <w:sz w:val="24"/>
          <w:szCs w:val="24"/>
        </w:rPr>
        <w:t>基金基金</w:t>
      </w:r>
      <w:proofErr w:type="gramEnd"/>
      <w:r w:rsidRPr="00556830">
        <w:rPr>
          <w:color w:val="000000"/>
          <w:sz w:val="24"/>
          <w:szCs w:val="24"/>
        </w:rPr>
        <w:t>合同等法律文件作相应修改。请投资者关注基金合同中</w:t>
      </w:r>
      <w:r w:rsidRPr="00556830">
        <w:rPr>
          <w:color w:val="000000"/>
          <w:sz w:val="24"/>
          <w:szCs w:val="24"/>
        </w:rPr>
        <w:t>“</w:t>
      </w:r>
      <w:r w:rsidRPr="00556830">
        <w:rPr>
          <w:color w:val="000000"/>
          <w:sz w:val="24"/>
          <w:szCs w:val="24"/>
        </w:rPr>
        <w:t>对持续持有期少于</w:t>
      </w:r>
      <w:r w:rsidRPr="00556830">
        <w:rPr>
          <w:color w:val="000000"/>
          <w:sz w:val="24"/>
          <w:szCs w:val="24"/>
        </w:rPr>
        <w:t>7</w:t>
      </w:r>
      <w:r w:rsidRPr="00556830">
        <w:rPr>
          <w:color w:val="000000"/>
          <w:sz w:val="24"/>
          <w:szCs w:val="24"/>
        </w:rPr>
        <w:t>日的基金份额持有人收取不低于</w:t>
      </w:r>
      <w:r w:rsidRPr="00556830">
        <w:rPr>
          <w:color w:val="000000"/>
          <w:sz w:val="24"/>
          <w:szCs w:val="24"/>
        </w:rPr>
        <w:t>1.5%</w:t>
      </w:r>
      <w:r w:rsidRPr="00556830">
        <w:rPr>
          <w:color w:val="000000"/>
          <w:sz w:val="24"/>
          <w:szCs w:val="24"/>
        </w:rPr>
        <w:t>的赎回费并全额计入基金财产</w:t>
      </w:r>
      <w:r w:rsidRPr="00556830">
        <w:rPr>
          <w:color w:val="000000"/>
          <w:sz w:val="24"/>
          <w:szCs w:val="24"/>
        </w:rPr>
        <w:t>”</w:t>
      </w:r>
      <w:r w:rsidRPr="00556830">
        <w:rPr>
          <w:color w:val="000000"/>
          <w:sz w:val="24"/>
          <w:szCs w:val="24"/>
        </w:rPr>
        <w:t>的条款已于</w:t>
      </w:r>
      <w:r w:rsidRPr="00556830">
        <w:rPr>
          <w:color w:val="000000"/>
          <w:sz w:val="24"/>
          <w:szCs w:val="24"/>
        </w:rPr>
        <w:t>2018</w:t>
      </w:r>
      <w:r w:rsidRPr="00556830">
        <w:rPr>
          <w:color w:val="000000"/>
          <w:sz w:val="24"/>
          <w:szCs w:val="24"/>
        </w:rPr>
        <w:t>年</w:t>
      </w:r>
      <w:r w:rsidRPr="00556830">
        <w:rPr>
          <w:color w:val="000000"/>
          <w:sz w:val="24"/>
          <w:szCs w:val="24"/>
        </w:rPr>
        <w:t>3</w:t>
      </w:r>
      <w:r w:rsidRPr="00556830">
        <w:rPr>
          <w:color w:val="000000"/>
          <w:sz w:val="24"/>
          <w:szCs w:val="24"/>
        </w:rPr>
        <w:t>月</w:t>
      </w:r>
      <w:r w:rsidRPr="00556830">
        <w:rPr>
          <w:color w:val="000000"/>
          <w:sz w:val="24"/>
          <w:szCs w:val="24"/>
        </w:rPr>
        <w:t>31</w:t>
      </w:r>
      <w:r w:rsidRPr="00556830">
        <w:rPr>
          <w:color w:val="000000"/>
          <w:sz w:val="24"/>
          <w:szCs w:val="24"/>
        </w:rPr>
        <w:t>日起正式实施。欲知详情请查阅本基金管理人于</w:t>
      </w:r>
      <w:r w:rsidRPr="00556830">
        <w:rPr>
          <w:color w:val="000000"/>
          <w:sz w:val="24"/>
          <w:szCs w:val="24"/>
        </w:rPr>
        <w:t>2018</w:t>
      </w:r>
      <w:r w:rsidRPr="00556830">
        <w:rPr>
          <w:color w:val="000000"/>
          <w:sz w:val="24"/>
          <w:szCs w:val="24"/>
        </w:rPr>
        <w:t>年</w:t>
      </w:r>
      <w:r w:rsidRPr="00556830">
        <w:rPr>
          <w:color w:val="000000"/>
          <w:sz w:val="24"/>
          <w:szCs w:val="24"/>
        </w:rPr>
        <w:t>3</w:t>
      </w:r>
      <w:r w:rsidRPr="00556830">
        <w:rPr>
          <w:color w:val="000000"/>
          <w:sz w:val="24"/>
          <w:szCs w:val="24"/>
        </w:rPr>
        <w:t>月</w:t>
      </w:r>
      <w:r w:rsidRPr="00556830">
        <w:rPr>
          <w:color w:val="000000"/>
          <w:sz w:val="24"/>
          <w:szCs w:val="24"/>
        </w:rPr>
        <w:t>22</w:t>
      </w:r>
      <w:r w:rsidRPr="00556830">
        <w:rPr>
          <w:color w:val="000000"/>
          <w:sz w:val="24"/>
          <w:szCs w:val="24"/>
        </w:rPr>
        <w:t>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31152" w:rsidRDefault="00A76EC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w:t>
      </w:r>
      <w:proofErr w:type="gramStart"/>
      <w:r>
        <w:rPr>
          <w:color w:val="000000"/>
          <w:sz w:val="24"/>
          <w:szCs w:val="24"/>
        </w:rPr>
        <w:t>交银施罗</w:t>
      </w:r>
      <w:proofErr w:type="gramEnd"/>
      <w:r>
        <w:rPr>
          <w:color w:val="000000"/>
          <w:sz w:val="24"/>
          <w:szCs w:val="24"/>
        </w:rPr>
        <w:t>德国</w:t>
      </w:r>
      <w:proofErr w:type="gramStart"/>
      <w:r>
        <w:rPr>
          <w:color w:val="000000"/>
          <w:sz w:val="24"/>
          <w:szCs w:val="24"/>
        </w:rPr>
        <w:t>企改革</w:t>
      </w:r>
      <w:proofErr w:type="gramEnd"/>
      <w:r>
        <w:rPr>
          <w:color w:val="000000"/>
          <w:sz w:val="24"/>
          <w:szCs w:val="24"/>
        </w:rPr>
        <w:t>灵活配置混合型证券投资基金募集注册的文件；</w:t>
      </w:r>
      <w:r>
        <w:rPr>
          <w:color w:val="000000"/>
          <w:sz w:val="24"/>
          <w:szCs w:val="24"/>
        </w:rPr>
        <w:t xml:space="preserve"> </w:t>
      </w:r>
    </w:p>
    <w:p w:rsidR="00131152" w:rsidRDefault="00A76EC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131152" w:rsidRDefault="00A76EC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131152" w:rsidRDefault="00A76EC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131152" w:rsidRDefault="00A76EC6">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131152" w:rsidRDefault="00A76EC6">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131152" w:rsidRDefault="00A76EC6">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w:t>
      </w:r>
      <w:proofErr w:type="gramStart"/>
      <w:r>
        <w:rPr>
          <w:color w:val="000000"/>
          <w:sz w:val="24"/>
          <w:szCs w:val="24"/>
        </w:rPr>
        <w:t>交银施罗</w:t>
      </w:r>
      <w:proofErr w:type="gramEnd"/>
      <w:r>
        <w:rPr>
          <w:color w:val="000000"/>
          <w:sz w:val="24"/>
          <w:szCs w:val="24"/>
        </w:rPr>
        <w:t>德国</w:t>
      </w:r>
      <w:proofErr w:type="gramStart"/>
      <w:r>
        <w:rPr>
          <w:color w:val="000000"/>
          <w:sz w:val="24"/>
          <w:szCs w:val="24"/>
        </w:rPr>
        <w:t>企改革</w:t>
      </w:r>
      <w:proofErr w:type="gramEnd"/>
      <w:r>
        <w:rPr>
          <w:color w:val="000000"/>
          <w:sz w:val="24"/>
          <w:szCs w:val="24"/>
        </w:rPr>
        <w:t>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w:t>
      </w:r>
      <w:proofErr w:type="gramStart"/>
      <w:r w:rsidRPr="00414345">
        <w:rPr>
          <w:color w:val="000000"/>
          <w:sz w:val="24"/>
          <w:szCs w:val="24"/>
        </w:rPr>
        <w:t>交银施罗</w:t>
      </w:r>
      <w:proofErr w:type="gramEnd"/>
      <w:r w:rsidRPr="00414345">
        <w:rPr>
          <w:color w:val="000000"/>
          <w:sz w:val="24"/>
          <w:szCs w:val="24"/>
        </w:rPr>
        <w:t>德国</w:t>
      </w:r>
      <w:proofErr w:type="gramStart"/>
      <w:r w:rsidRPr="00414345">
        <w:rPr>
          <w:color w:val="000000"/>
          <w:sz w:val="24"/>
          <w:szCs w:val="24"/>
        </w:rPr>
        <w:t>企改革</w:t>
      </w:r>
      <w:proofErr w:type="gramEnd"/>
      <w:r w:rsidRPr="00414345">
        <w:rPr>
          <w:color w:val="000000"/>
          <w:sz w:val="24"/>
          <w:szCs w:val="24"/>
        </w:rPr>
        <w:t>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31152" w:rsidRDefault="00A76EC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lastRenderedPageBreak/>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4C" w:rsidRDefault="00B3304C" w:rsidP="00876D65">
      <w:r>
        <w:separator/>
      </w:r>
    </w:p>
  </w:endnote>
  <w:endnote w:type="continuationSeparator" w:id="0">
    <w:p w:rsidR="00B3304C" w:rsidRDefault="00B3304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556830">
      <w:rPr>
        <w:noProof/>
        <w:kern w:val="0"/>
        <w:szCs w:val="21"/>
      </w:rPr>
      <w:t>13</w:t>
    </w:r>
    <w:r w:rsidR="00006A28">
      <w:rPr>
        <w:kern w:val="0"/>
        <w:szCs w:val="21"/>
      </w:rPr>
      <w:fldChar w:fldCharType="end"/>
    </w:r>
    <w:proofErr w:type="gramStart"/>
    <w:r>
      <w:rPr>
        <w:rFonts w:hint="eastAsia"/>
        <w:kern w:val="0"/>
        <w:szCs w:val="21"/>
      </w:rPr>
      <w:t>页共</w:t>
    </w:r>
    <w:proofErr w:type="gramEnd"/>
    <w:r w:rsidR="00006A28">
      <w:rPr>
        <w:kern w:val="0"/>
        <w:szCs w:val="21"/>
      </w:rPr>
      <w:fldChar w:fldCharType="begin"/>
    </w:r>
    <w:r>
      <w:rPr>
        <w:kern w:val="0"/>
        <w:szCs w:val="21"/>
      </w:rPr>
      <w:instrText xml:space="preserve"> NUMPAGES </w:instrText>
    </w:r>
    <w:r w:rsidR="00006A28">
      <w:rPr>
        <w:kern w:val="0"/>
        <w:szCs w:val="21"/>
      </w:rPr>
      <w:fldChar w:fldCharType="separate"/>
    </w:r>
    <w:r w:rsidR="00556830">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4C" w:rsidRDefault="00B3304C" w:rsidP="00876D65">
      <w:r>
        <w:separator/>
      </w:r>
    </w:p>
  </w:footnote>
  <w:footnote w:type="continuationSeparator" w:id="0">
    <w:p w:rsidR="00B3304C" w:rsidRDefault="00B3304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proofErr w:type="gramStart"/>
    <w:r w:rsidRPr="003E676C">
      <w:rPr>
        <w:sz w:val="24"/>
        <w:szCs w:val="24"/>
      </w:rPr>
      <w:t>交银施罗</w:t>
    </w:r>
    <w:proofErr w:type="gramEnd"/>
    <w:r w:rsidRPr="003E676C">
      <w:rPr>
        <w:sz w:val="24"/>
        <w:szCs w:val="24"/>
      </w:rPr>
      <w:t>德国</w:t>
    </w:r>
    <w:proofErr w:type="gramStart"/>
    <w:r w:rsidRPr="003E676C">
      <w:rPr>
        <w:sz w:val="24"/>
        <w:szCs w:val="24"/>
      </w:rPr>
      <w:t>企改革</w:t>
    </w:r>
    <w:proofErr w:type="gramEnd"/>
    <w:r w:rsidRPr="003E676C">
      <w:rPr>
        <w:sz w:val="24"/>
        <w:szCs w:val="24"/>
      </w:rPr>
      <w:t>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031CA"/>
    <w:rsid w:val="00111261"/>
    <w:rsid w:val="00131152"/>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56830"/>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76EC6"/>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304C"/>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43F6"/>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E42AD-2E12-490B-86D0-E688ADAF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13</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580</cp:revision>
  <dcterms:created xsi:type="dcterms:W3CDTF">2012-10-16T06:07:00Z</dcterms:created>
  <dcterms:modified xsi:type="dcterms:W3CDTF">2018-04-18T10:08:00Z</dcterms:modified>
</cp:coreProperties>
</file>