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615,392,965.30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615,370,367.71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22,597.59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14,643,609.12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6,615,137.36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699,290,008.47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25,312.17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1.120</w:t>
            </w:r>
          </w:p>
        </w:tc>
      </w:tr>
    </w:tbl>
    <w:p w:rsidR="00F33AB5" w:rsidRDefault="00214B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33AB5">
        <w:trPr>
          <w:jc w:val="center"/>
        </w:trPr>
        <w:tc>
          <w:tcPr>
            <w:tcW w:w="1266" w:type="dxa"/>
            <w:vAlign w:val="center"/>
          </w:tcPr>
          <w:p w:rsidR="00F33AB5" w:rsidRDefault="00214BC7">
            <w:pPr>
              <w:jc w:val="left"/>
            </w:pPr>
            <w:r>
              <w:rPr>
                <w:color w:val="000000"/>
                <w:sz w:val="24"/>
              </w:rPr>
              <w:t>过去三个月</w:t>
            </w:r>
          </w:p>
        </w:tc>
        <w:tc>
          <w:tcPr>
            <w:tcW w:w="1267" w:type="dxa"/>
            <w:vAlign w:val="center"/>
          </w:tcPr>
          <w:p w:rsidR="00F33AB5" w:rsidRDefault="00214BC7">
            <w:pPr>
              <w:jc w:val="center"/>
            </w:pPr>
            <w:r>
              <w:rPr>
                <w:color w:val="000000"/>
                <w:sz w:val="24"/>
              </w:rPr>
              <w:t>0.89%</w:t>
            </w:r>
          </w:p>
        </w:tc>
        <w:tc>
          <w:tcPr>
            <w:tcW w:w="1267" w:type="dxa"/>
            <w:vAlign w:val="center"/>
          </w:tcPr>
          <w:p w:rsidR="00F33AB5" w:rsidRDefault="00214BC7">
            <w:pPr>
              <w:jc w:val="center"/>
            </w:pPr>
            <w:r>
              <w:rPr>
                <w:color w:val="000000"/>
                <w:sz w:val="24"/>
              </w:rPr>
              <w:t>0.26%</w:t>
            </w:r>
          </w:p>
        </w:tc>
        <w:tc>
          <w:tcPr>
            <w:tcW w:w="1267" w:type="dxa"/>
            <w:vAlign w:val="center"/>
          </w:tcPr>
          <w:p w:rsidR="00F33AB5" w:rsidRDefault="00214BC7">
            <w:pPr>
              <w:jc w:val="center"/>
            </w:pPr>
            <w:r>
              <w:rPr>
                <w:color w:val="000000"/>
                <w:sz w:val="24"/>
              </w:rPr>
              <w:t>-0.99%</w:t>
            </w:r>
          </w:p>
        </w:tc>
        <w:tc>
          <w:tcPr>
            <w:tcW w:w="1267" w:type="dxa"/>
            <w:vAlign w:val="center"/>
          </w:tcPr>
          <w:p w:rsidR="00F33AB5" w:rsidRDefault="00214BC7">
            <w:pPr>
              <w:jc w:val="center"/>
            </w:pPr>
            <w:r>
              <w:rPr>
                <w:color w:val="000000"/>
                <w:sz w:val="24"/>
              </w:rPr>
              <w:t>0.58%</w:t>
            </w:r>
          </w:p>
        </w:tc>
        <w:tc>
          <w:tcPr>
            <w:tcW w:w="1267" w:type="dxa"/>
            <w:vAlign w:val="center"/>
          </w:tcPr>
          <w:p w:rsidR="00F33AB5" w:rsidRDefault="00214BC7">
            <w:pPr>
              <w:jc w:val="center"/>
            </w:pPr>
            <w:r>
              <w:rPr>
                <w:color w:val="000000"/>
                <w:sz w:val="24"/>
              </w:rPr>
              <w:t>1.88%</w:t>
            </w:r>
          </w:p>
        </w:tc>
        <w:tc>
          <w:tcPr>
            <w:tcW w:w="1267" w:type="dxa"/>
            <w:vAlign w:val="center"/>
          </w:tcPr>
          <w:p w:rsidR="00F33AB5" w:rsidRDefault="00214BC7">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33AB5">
        <w:trPr>
          <w:jc w:val="center"/>
        </w:trPr>
        <w:tc>
          <w:tcPr>
            <w:tcW w:w="1266" w:type="dxa"/>
            <w:vAlign w:val="center"/>
          </w:tcPr>
          <w:p w:rsidR="00F33AB5" w:rsidRDefault="00214BC7">
            <w:pPr>
              <w:jc w:val="left"/>
            </w:pPr>
            <w:r>
              <w:rPr>
                <w:color w:val="000000"/>
                <w:sz w:val="24"/>
              </w:rPr>
              <w:t>过去三个月</w:t>
            </w:r>
          </w:p>
        </w:tc>
        <w:tc>
          <w:tcPr>
            <w:tcW w:w="1267" w:type="dxa"/>
            <w:vAlign w:val="center"/>
          </w:tcPr>
          <w:p w:rsidR="00F33AB5" w:rsidRDefault="00214BC7">
            <w:pPr>
              <w:jc w:val="center"/>
            </w:pPr>
            <w:r>
              <w:rPr>
                <w:color w:val="000000"/>
                <w:sz w:val="24"/>
              </w:rPr>
              <w:t>0.90%</w:t>
            </w:r>
          </w:p>
        </w:tc>
        <w:tc>
          <w:tcPr>
            <w:tcW w:w="1267" w:type="dxa"/>
            <w:vAlign w:val="center"/>
          </w:tcPr>
          <w:p w:rsidR="00F33AB5" w:rsidRDefault="00214BC7">
            <w:pPr>
              <w:jc w:val="center"/>
            </w:pPr>
            <w:r>
              <w:rPr>
                <w:color w:val="000000"/>
                <w:sz w:val="24"/>
              </w:rPr>
              <w:t>0.25%</w:t>
            </w:r>
          </w:p>
        </w:tc>
        <w:tc>
          <w:tcPr>
            <w:tcW w:w="1267" w:type="dxa"/>
            <w:vAlign w:val="center"/>
          </w:tcPr>
          <w:p w:rsidR="00F33AB5" w:rsidRDefault="00214BC7">
            <w:pPr>
              <w:jc w:val="center"/>
            </w:pPr>
            <w:r>
              <w:rPr>
                <w:color w:val="000000"/>
                <w:sz w:val="24"/>
              </w:rPr>
              <w:t>-0.99%</w:t>
            </w:r>
          </w:p>
        </w:tc>
        <w:tc>
          <w:tcPr>
            <w:tcW w:w="1267" w:type="dxa"/>
            <w:vAlign w:val="center"/>
          </w:tcPr>
          <w:p w:rsidR="00F33AB5" w:rsidRDefault="00214BC7">
            <w:pPr>
              <w:jc w:val="center"/>
            </w:pPr>
            <w:r>
              <w:rPr>
                <w:color w:val="000000"/>
                <w:sz w:val="24"/>
              </w:rPr>
              <w:t>0.58%</w:t>
            </w:r>
          </w:p>
        </w:tc>
        <w:tc>
          <w:tcPr>
            <w:tcW w:w="1267" w:type="dxa"/>
            <w:vAlign w:val="center"/>
          </w:tcPr>
          <w:p w:rsidR="00F33AB5" w:rsidRDefault="00214BC7">
            <w:pPr>
              <w:jc w:val="center"/>
            </w:pPr>
            <w:r>
              <w:rPr>
                <w:color w:val="000000"/>
                <w:sz w:val="24"/>
              </w:rPr>
              <w:t>1.89%</w:t>
            </w:r>
          </w:p>
        </w:tc>
        <w:tc>
          <w:tcPr>
            <w:tcW w:w="1267" w:type="dxa"/>
            <w:vAlign w:val="center"/>
          </w:tcPr>
          <w:p w:rsidR="00F33AB5" w:rsidRDefault="00214BC7">
            <w:pPr>
              <w:jc w:val="center"/>
            </w:pPr>
            <w:r>
              <w:rPr>
                <w:color w:val="000000"/>
                <w:sz w:val="24"/>
              </w:rPr>
              <w:t>-0.33%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33AB5">
        <w:trPr>
          <w:jc w:val="center"/>
        </w:trPr>
        <w:tc>
          <w:tcPr>
            <w:tcW w:w="946" w:type="dxa"/>
            <w:vAlign w:val="center"/>
          </w:tcPr>
          <w:p w:rsidR="00F33AB5" w:rsidRDefault="00214BC7">
            <w:pPr>
              <w:jc w:val="center"/>
            </w:pPr>
            <w:r>
              <w:rPr>
                <w:color w:val="000000"/>
                <w:sz w:val="24"/>
              </w:rPr>
              <w:t>李娜</w:t>
            </w:r>
          </w:p>
        </w:tc>
        <w:tc>
          <w:tcPr>
            <w:tcW w:w="924" w:type="dxa"/>
            <w:vAlign w:val="center"/>
          </w:tcPr>
          <w:p w:rsidR="00F33AB5" w:rsidRDefault="00214BC7">
            <w:pPr>
              <w:jc w:val="center"/>
            </w:pPr>
            <w:r>
              <w:rPr>
                <w:color w:val="000000"/>
                <w:sz w:val="24"/>
              </w:rPr>
              <w:t>交银周期回报灵活配置</w:t>
            </w:r>
            <w:r>
              <w:rPr>
                <w:color w:val="000000"/>
                <w:sz w:val="24"/>
              </w:rPr>
              <w:lastRenderedPageBreak/>
              <w:t>混合、交银新回报灵活配置混合、交银多策略回报灵活配置混合、交银卓越回报灵活配置混合、交银优选回报灵活配置混合、交银优择回报灵活配置混合、交银领先回报灵活配置混合、交银瑞鑫定期开放灵活配置混合、</w:t>
            </w:r>
            <w:r>
              <w:rPr>
                <w:color w:val="000000"/>
                <w:sz w:val="24"/>
              </w:rPr>
              <w:lastRenderedPageBreak/>
              <w:t>交银瑞景定期开放灵活配置混合、交银启通灵活配置混合、交银瑞利定期开放灵活配置混合、交银瑞安定期开放灵活配置混合的基金经理</w:t>
            </w:r>
          </w:p>
        </w:tc>
        <w:tc>
          <w:tcPr>
            <w:tcW w:w="1202" w:type="dxa"/>
            <w:vAlign w:val="center"/>
          </w:tcPr>
          <w:p w:rsidR="00F33AB5" w:rsidRDefault="00214BC7">
            <w:pPr>
              <w:jc w:val="center"/>
            </w:pPr>
            <w:r>
              <w:rPr>
                <w:color w:val="000000"/>
                <w:sz w:val="24"/>
              </w:rPr>
              <w:lastRenderedPageBreak/>
              <w:t>2015-08-04</w:t>
            </w:r>
          </w:p>
        </w:tc>
        <w:tc>
          <w:tcPr>
            <w:tcW w:w="1300" w:type="dxa"/>
            <w:vAlign w:val="center"/>
          </w:tcPr>
          <w:p w:rsidR="00F33AB5" w:rsidRDefault="00214BC7">
            <w:pPr>
              <w:jc w:val="center"/>
            </w:pPr>
            <w:r>
              <w:rPr>
                <w:color w:val="000000"/>
                <w:sz w:val="24"/>
              </w:rPr>
              <w:t>-</w:t>
            </w:r>
          </w:p>
        </w:tc>
        <w:tc>
          <w:tcPr>
            <w:tcW w:w="1245" w:type="dxa"/>
            <w:vAlign w:val="center"/>
          </w:tcPr>
          <w:p w:rsidR="00F33AB5" w:rsidRDefault="00214BC7">
            <w:pPr>
              <w:jc w:val="center"/>
            </w:pPr>
            <w:r>
              <w:rPr>
                <w:color w:val="000000"/>
                <w:sz w:val="24"/>
              </w:rPr>
              <w:t>8</w:t>
            </w:r>
            <w:r>
              <w:rPr>
                <w:color w:val="000000"/>
                <w:sz w:val="24"/>
              </w:rPr>
              <w:t>年</w:t>
            </w:r>
          </w:p>
        </w:tc>
        <w:tc>
          <w:tcPr>
            <w:tcW w:w="3251" w:type="dxa"/>
            <w:vAlign w:val="center"/>
          </w:tcPr>
          <w:p w:rsidR="00F33AB5" w:rsidRDefault="00214BC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w:t>
            </w:r>
            <w:r>
              <w:rPr>
                <w:color w:val="000000"/>
                <w:sz w:val="24"/>
              </w:rPr>
              <w:lastRenderedPageBreak/>
              <w:t>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33AB5" w:rsidRDefault="00214B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F33AB5" w:rsidRDefault="00214BC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3AB5" w:rsidRDefault="00214B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33AB5" w:rsidRDefault="00214BC7">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F33AB5" w:rsidRDefault="00214BC7">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w:t>
      </w:r>
      <w:r w:rsidRPr="007F52FA">
        <w:rPr>
          <w:color w:val="000000"/>
          <w:sz w:val="24"/>
        </w:rPr>
        <w:lastRenderedPageBreak/>
        <w:t>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1.136</w:t>
      </w:r>
      <w:r w:rsidRPr="007F52FA">
        <w:rPr>
          <w:color w:val="000000"/>
          <w:sz w:val="24"/>
        </w:rPr>
        <w:t>元，本报告期份额净值增长率为</w:t>
      </w:r>
      <w:r w:rsidRPr="007F52FA">
        <w:rPr>
          <w:color w:val="000000"/>
          <w:sz w:val="24"/>
        </w:rPr>
        <w:t>0.89%</w:t>
      </w:r>
      <w:r w:rsidRPr="007F52FA">
        <w:rPr>
          <w:color w:val="000000"/>
          <w:sz w:val="24"/>
        </w:rPr>
        <w:t>，同期业绩比较基准增长率为</w:t>
      </w:r>
      <w:r w:rsidRPr="007F52FA">
        <w:rPr>
          <w:color w:val="000000"/>
          <w:sz w:val="24"/>
        </w:rPr>
        <w:t>-0.99%</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1.120</w:t>
      </w:r>
      <w:r w:rsidRPr="007F52FA">
        <w:rPr>
          <w:color w:val="000000"/>
          <w:sz w:val="24"/>
        </w:rPr>
        <w:t>元，本报告期份额净值增长率为</w:t>
      </w:r>
      <w:r w:rsidRPr="007F52FA">
        <w:rPr>
          <w:color w:val="000000"/>
          <w:sz w:val="24"/>
        </w:rPr>
        <w:t>0.90%</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124,633,872.14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124,633,872.14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558,092,072.00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558,092,072.00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1,056,977.33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16,629,447.81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702,712,369.28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84,235,272.14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1,470,000.00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7,706,000.00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26,552,800.00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1,546,800.00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124,633,872.14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17.82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lastRenderedPageBreak/>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33AB5">
        <w:trPr>
          <w:jc w:val="center"/>
        </w:trPr>
        <w:tc>
          <w:tcPr>
            <w:tcW w:w="850" w:type="dxa"/>
            <w:vAlign w:val="center"/>
          </w:tcPr>
          <w:p w:rsidR="00F33AB5" w:rsidRDefault="00214BC7">
            <w:pPr>
              <w:jc w:val="center"/>
            </w:pPr>
            <w:r>
              <w:rPr>
                <w:color w:val="000000"/>
                <w:sz w:val="24"/>
              </w:rPr>
              <w:t>1</w:t>
            </w:r>
          </w:p>
        </w:tc>
        <w:tc>
          <w:tcPr>
            <w:tcW w:w="1327" w:type="dxa"/>
            <w:vAlign w:val="center"/>
          </w:tcPr>
          <w:p w:rsidR="00F33AB5" w:rsidRDefault="00214BC7">
            <w:pPr>
              <w:jc w:val="center"/>
            </w:pPr>
            <w:r>
              <w:rPr>
                <w:color w:val="000000"/>
                <w:sz w:val="24"/>
              </w:rPr>
              <w:t>600519</w:t>
            </w:r>
          </w:p>
        </w:tc>
        <w:tc>
          <w:tcPr>
            <w:tcW w:w="1769" w:type="dxa"/>
            <w:vAlign w:val="center"/>
          </w:tcPr>
          <w:p w:rsidR="00F33AB5" w:rsidRDefault="00214BC7">
            <w:pPr>
              <w:jc w:val="center"/>
            </w:pPr>
            <w:r>
              <w:rPr>
                <w:color w:val="000000"/>
                <w:sz w:val="24"/>
              </w:rPr>
              <w:t>贵州茅台</w:t>
            </w:r>
          </w:p>
        </w:tc>
        <w:tc>
          <w:tcPr>
            <w:tcW w:w="1327" w:type="dxa"/>
            <w:vAlign w:val="center"/>
          </w:tcPr>
          <w:p w:rsidR="00F33AB5" w:rsidRDefault="00214BC7">
            <w:pPr>
              <w:jc w:val="right"/>
            </w:pPr>
            <w:r>
              <w:rPr>
                <w:color w:val="000000"/>
                <w:sz w:val="24"/>
              </w:rPr>
              <w:t>13,000</w:t>
            </w:r>
          </w:p>
        </w:tc>
        <w:tc>
          <w:tcPr>
            <w:tcW w:w="1915" w:type="dxa"/>
            <w:vAlign w:val="center"/>
          </w:tcPr>
          <w:p w:rsidR="00F33AB5" w:rsidRDefault="00214BC7">
            <w:pPr>
              <w:jc w:val="right"/>
            </w:pPr>
            <w:r>
              <w:rPr>
                <w:color w:val="000000"/>
                <w:sz w:val="24"/>
              </w:rPr>
              <w:t>8,887,060.00</w:t>
            </w:r>
          </w:p>
        </w:tc>
        <w:tc>
          <w:tcPr>
            <w:tcW w:w="1680" w:type="dxa"/>
            <w:vAlign w:val="center"/>
          </w:tcPr>
          <w:p w:rsidR="00F33AB5" w:rsidRDefault="00214BC7">
            <w:pPr>
              <w:jc w:val="right"/>
            </w:pPr>
            <w:r>
              <w:rPr>
                <w:color w:val="000000"/>
                <w:sz w:val="24"/>
              </w:rPr>
              <w:t>1.27</w:t>
            </w:r>
          </w:p>
        </w:tc>
      </w:tr>
      <w:tr w:rsidR="00F33AB5">
        <w:trPr>
          <w:jc w:val="center"/>
        </w:trPr>
        <w:tc>
          <w:tcPr>
            <w:tcW w:w="850" w:type="dxa"/>
            <w:vAlign w:val="center"/>
          </w:tcPr>
          <w:p w:rsidR="00F33AB5" w:rsidRDefault="00214BC7">
            <w:pPr>
              <w:jc w:val="center"/>
            </w:pPr>
            <w:r>
              <w:rPr>
                <w:color w:val="000000"/>
                <w:sz w:val="24"/>
              </w:rPr>
              <w:t>2</w:t>
            </w:r>
          </w:p>
        </w:tc>
        <w:tc>
          <w:tcPr>
            <w:tcW w:w="1327" w:type="dxa"/>
            <w:vAlign w:val="center"/>
          </w:tcPr>
          <w:p w:rsidR="00F33AB5" w:rsidRDefault="00214BC7">
            <w:pPr>
              <w:jc w:val="center"/>
            </w:pPr>
            <w:r>
              <w:rPr>
                <w:color w:val="000000"/>
                <w:sz w:val="24"/>
              </w:rPr>
              <w:t>000858</w:t>
            </w:r>
          </w:p>
        </w:tc>
        <w:tc>
          <w:tcPr>
            <w:tcW w:w="1769" w:type="dxa"/>
            <w:vAlign w:val="center"/>
          </w:tcPr>
          <w:p w:rsidR="00F33AB5" w:rsidRDefault="00214BC7">
            <w:pPr>
              <w:jc w:val="center"/>
            </w:pPr>
            <w:r>
              <w:rPr>
                <w:color w:val="000000"/>
                <w:sz w:val="24"/>
              </w:rPr>
              <w:t>五粮液</w:t>
            </w:r>
          </w:p>
        </w:tc>
        <w:tc>
          <w:tcPr>
            <w:tcW w:w="1327" w:type="dxa"/>
            <w:vAlign w:val="center"/>
          </w:tcPr>
          <w:p w:rsidR="00F33AB5" w:rsidRDefault="00214BC7">
            <w:pPr>
              <w:jc w:val="right"/>
            </w:pPr>
            <w:r>
              <w:rPr>
                <w:color w:val="000000"/>
                <w:sz w:val="24"/>
              </w:rPr>
              <w:t>120,000</w:t>
            </w:r>
          </w:p>
        </w:tc>
        <w:tc>
          <w:tcPr>
            <w:tcW w:w="1915" w:type="dxa"/>
            <w:vAlign w:val="center"/>
          </w:tcPr>
          <w:p w:rsidR="00F33AB5" w:rsidRDefault="00214BC7">
            <w:pPr>
              <w:jc w:val="right"/>
            </w:pPr>
            <w:r>
              <w:rPr>
                <w:color w:val="000000"/>
                <w:sz w:val="24"/>
              </w:rPr>
              <w:t>7,963,200.00</w:t>
            </w:r>
          </w:p>
        </w:tc>
        <w:tc>
          <w:tcPr>
            <w:tcW w:w="1680" w:type="dxa"/>
            <w:vAlign w:val="center"/>
          </w:tcPr>
          <w:p w:rsidR="00F33AB5" w:rsidRDefault="00214BC7">
            <w:pPr>
              <w:jc w:val="right"/>
            </w:pPr>
            <w:r>
              <w:rPr>
                <w:color w:val="000000"/>
                <w:sz w:val="24"/>
              </w:rPr>
              <w:t>1.14</w:t>
            </w:r>
          </w:p>
        </w:tc>
      </w:tr>
      <w:tr w:rsidR="00F33AB5">
        <w:trPr>
          <w:jc w:val="center"/>
        </w:trPr>
        <w:tc>
          <w:tcPr>
            <w:tcW w:w="850" w:type="dxa"/>
            <w:vAlign w:val="center"/>
          </w:tcPr>
          <w:p w:rsidR="00F33AB5" w:rsidRDefault="00214BC7">
            <w:pPr>
              <w:jc w:val="center"/>
            </w:pPr>
            <w:r>
              <w:rPr>
                <w:color w:val="000000"/>
                <w:sz w:val="24"/>
              </w:rPr>
              <w:t>3</w:t>
            </w:r>
          </w:p>
        </w:tc>
        <w:tc>
          <w:tcPr>
            <w:tcW w:w="1327" w:type="dxa"/>
            <w:vAlign w:val="center"/>
          </w:tcPr>
          <w:p w:rsidR="00F33AB5" w:rsidRDefault="00214BC7">
            <w:pPr>
              <w:jc w:val="center"/>
            </w:pPr>
            <w:r>
              <w:rPr>
                <w:color w:val="000000"/>
                <w:sz w:val="24"/>
              </w:rPr>
              <w:t>002142</w:t>
            </w:r>
          </w:p>
        </w:tc>
        <w:tc>
          <w:tcPr>
            <w:tcW w:w="1769" w:type="dxa"/>
            <w:vAlign w:val="center"/>
          </w:tcPr>
          <w:p w:rsidR="00F33AB5" w:rsidRDefault="00214BC7">
            <w:pPr>
              <w:jc w:val="center"/>
            </w:pPr>
            <w:r>
              <w:rPr>
                <w:color w:val="000000"/>
                <w:sz w:val="24"/>
              </w:rPr>
              <w:t>宁波银行</w:t>
            </w:r>
          </w:p>
        </w:tc>
        <w:tc>
          <w:tcPr>
            <w:tcW w:w="1327" w:type="dxa"/>
            <w:vAlign w:val="center"/>
          </w:tcPr>
          <w:p w:rsidR="00F33AB5" w:rsidRDefault="00214BC7">
            <w:pPr>
              <w:jc w:val="right"/>
            </w:pPr>
            <w:r>
              <w:rPr>
                <w:color w:val="000000"/>
                <w:sz w:val="24"/>
              </w:rPr>
              <w:t>400,000</w:t>
            </w:r>
          </w:p>
        </w:tc>
        <w:tc>
          <w:tcPr>
            <w:tcW w:w="1915" w:type="dxa"/>
            <w:vAlign w:val="center"/>
          </w:tcPr>
          <w:p w:rsidR="00F33AB5" w:rsidRDefault="00214BC7">
            <w:pPr>
              <w:jc w:val="right"/>
            </w:pPr>
            <w:r>
              <w:rPr>
                <w:color w:val="000000"/>
                <w:sz w:val="24"/>
              </w:rPr>
              <w:t>7,612,000.00</w:t>
            </w:r>
          </w:p>
        </w:tc>
        <w:tc>
          <w:tcPr>
            <w:tcW w:w="1680" w:type="dxa"/>
            <w:vAlign w:val="center"/>
          </w:tcPr>
          <w:p w:rsidR="00F33AB5" w:rsidRDefault="00214BC7">
            <w:pPr>
              <w:jc w:val="right"/>
            </w:pPr>
            <w:r>
              <w:rPr>
                <w:color w:val="000000"/>
                <w:sz w:val="24"/>
              </w:rPr>
              <w:t>1.09</w:t>
            </w:r>
          </w:p>
        </w:tc>
      </w:tr>
      <w:tr w:rsidR="00F33AB5">
        <w:trPr>
          <w:jc w:val="center"/>
        </w:trPr>
        <w:tc>
          <w:tcPr>
            <w:tcW w:w="850" w:type="dxa"/>
            <w:vAlign w:val="center"/>
          </w:tcPr>
          <w:p w:rsidR="00F33AB5" w:rsidRDefault="00214BC7">
            <w:pPr>
              <w:jc w:val="center"/>
            </w:pPr>
            <w:r>
              <w:rPr>
                <w:color w:val="000000"/>
                <w:sz w:val="24"/>
              </w:rPr>
              <w:t>4</w:t>
            </w:r>
          </w:p>
        </w:tc>
        <w:tc>
          <w:tcPr>
            <w:tcW w:w="1327" w:type="dxa"/>
            <w:vAlign w:val="center"/>
          </w:tcPr>
          <w:p w:rsidR="00F33AB5" w:rsidRDefault="00214BC7">
            <w:pPr>
              <w:jc w:val="center"/>
            </w:pPr>
            <w:r>
              <w:rPr>
                <w:color w:val="000000"/>
                <w:sz w:val="24"/>
              </w:rPr>
              <w:t>600887</w:t>
            </w:r>
          </w:p>
        </w:tc>
        <w:tc>
          <w:tcPr>
            <w:tcW w:w="1769" w:type="dxa"/>
            <w:vAlign w:val="center"/>
          </w:tcPr>
          <w:p w:rsidR="00F33AB5" w:rsidRDefault="00214BC7">
            <w:pPr>
              <w:jc w:val="center"/>
            </w:pPr>
            <w:r>
              <w:rPr>
                <w:color w:val="000000"/>
                <w:sz w:val="24"/>
              </w:rPr>
              <w:t>伊利股份</w:t>
            </w:r>
          </w:p>
        </w:tc>
        <w:tc>
          <w:tcPr>
            <w:tcW w:w="1327" w:type="dxa"/>
            <w:vAlign w:val="center"/>
          </w:tcPr>
          <w:p w:rsidR="00F33AB5" w:rsidRDefault="00214BC7">
            <w:pPr>
              <w:jc w:val="right"/>
            </w:pPr>
            <w:r>
              <w:rPr>
                <w:color w:val="000000"/>
                <w:sz w:val="24"/>
              </w:rPr>
              <w:t>250,000</w:t>
            </w:r>
          </w:p>
        </w:tc>
        <w:tc>
          <w:tcPr>
            <w:tcW w:w="1915" w:type="dxa"/>
            <w:vAlign w:val="center"/>
          </w:tcPr>
          <w:p w:rsidR="00F33AB5" w:rsidRDefault="00214BC7">
            <w:pPr>
              <w:jc w:val="right"/>
            </w:pPr>
            <w:r>
              <w:rPr>
                <w:color w:val="000000"/>
                <w:sz w:val="24"/>
              </w:rPr>
              <w:t>7,122,500.00</w:t>
            </w:r>
          </w:p>
        </w:tc>
        <w:tc>
          <w:tcPr>
            <w:tcW w:w="1680" w:type="dxa"/>
            <w:vAlign w:val="center"/>
          </w:tcPr>
          <w:p w:rsidR="00F33AB5" w:rsidRDefault="00214BC7">
            <w:pPr>
              <w:jc w:val="right"/>
            </w:pPr>
            <w:r>
              <w:rPr>
                <w:color w:val="000000"/>
                <w:sz w:val="24"/>
              </w:rPr>
              <w:t>1.02</w:t>
            </w:r>
          </w:p>
        </w:tc>
      </w:tr>
      <w:tr w:rsidR="00F33AB5">
        <w:trPr>
          <w:jc w:val="center"/>
        </w:trPr>
        <w:tc>
          <w:tcPr>
            <w:tcW w:w="850" w:type="dxa"/>
            <w:vAlign w:val="center"/>
          </w:tcPr>
          <w:p w:rsidR="00F33AB5" w:rsidRDefault="00214BC7">
            <w:pPr>
              <w:jc w:val="center"/>
            </w:pPr>
            <w:r>
              <w:rPr>
                <w:color w:val="000000"/>
                <w:sz w:val="24"/>
              </w:rPr>
              <w:t>5</w:t>
            </w:r>
          </w:p>
        </w:tc>
        <w:tc>
          <w:tcPr>
            <w:tcW w:w="1327" w:type="dxa"/>
            <w:vAlign w:val="center"/>
          </w:tcPr>
          <w:p w:rsidR="00F33AB5" w:rsidRDefault="00214BC7">
            <w:pPr>
              <w:jc w:val="center"/>
            </w:pPr>
            <w:r>
              <w:rPr>
                <w:color w:val="000000"/>
                <w:sz w:val="24"/>
              </w:rPr>
              <w:t>000651</w:t>
            </w:r>
          </w:p>
        </w:tc>
        <w:tc>
          <w:tcPr>
            <w:tcW w:w="1769" w:type="dxa"/>
            <w:vAlign w:val="center"/>
          </w:tcPr>
          <w:p w:rsidR="00F33AB5" w:rsidRDefault="00214BC7">
            <w:pPr>
              <w:jc w:val="center"/>
            </w:pPr>
            <w:r>
              <w:rPr>
                <w:color w:val="000000"/>
                <w:sz w:val="24"/>
              </w:rPr>
              <w:t>格力电器</w:t>
            </w:r>
          </w:p>
        </w:tc>
        <w:tc>
          <w:tcPr>
            <w:tcW w:w="1327" w:type="dxa"/>
            <w:vAlign w:val="center"/>
          </w:tcPr>
          <w:p w:rsidR="00F33AB5" w:rsidRDefault="00214BC7">
            <w:pPr>
              <w:jc w:val="right"/>
            </w:pPr>
            <w:r>
              <w:rPr>
                <w:color w:val="000000"/>
                <w:sz w:val="24"/>
              </w:rPr>
              <w:t>150,000</w:t>
            </w:r>
          </w:p>
        </w:tc>
        <w:tc>
          <w:tcPr>
            <w:tcW w:w="1915" w:type="dxa"/>
            <w:vAlign w:val="center"/>
          </w:tcPr>
          <w:p w:rsidR="00F33AB5" w:rsidRDefault="00214BC7">
            <w:pPr>
              <w:jc w:val="right"/>
            </w:pPr>
            <w:r>
              <w:rPr>
                <w:color w:val="000000"/>
                <w:sz w:val="24"/>
              </w:rPr>
              <w:t>7,035,000.00</w:t>
            </w:r>
          </w:p>
        </w:tc>
        <w:tc>
          <w:tcPr>
            <w:tcW w:w="1680" w:type="dxa"/>
            <w:vAlign w:val="center"/>
          </w:tcPr>
          <w:p w:rsidR="00F33AB5" w:rsidRDefault="00214BC7">
            <w:pPr>
              <w:jc w:val="right"/>
            </w:pPr>
            <w:r>
              <w:rPr>
                <w:color w:val="000000"/>
                <w:sz w:val="24"/>
              </w:rPr>
              <w:t>1.01</w:t>
            </w:r>
          </w:p>
        </w:tc>
      </w:tr>
      <w:tr w:rsidR="00F33AB5">
        <w:trPr>
          <w:jc w:val="center"/>
        </w:trPr>
        <w:tc>
          <w:tcPr>
            <w:tcW w:w="850" w:type="dxa"/>
            <w:vAlign w:val="center"/>
          </w:tcPr>
          <w:p w:rsidR="00F33AB5" w:rsidRDefault="00214BC7">
            <w:pPr>
              <w:jc w:val="center"/>
            </w:pPr>
            <w:r>
              <w:rPr>
                <w:color w:val="000000"/>
                <w:sz w:val="24"/>
              </w:rPr>
              <w:t>6</w:t>
            </w:r>
          </w:p>
        </w:tc>
        <w:tc>
          <w:tcPr>
            <w:tcW w:w="1327" w:type="dxa"/>
            <w:vAlign w:val="center"/>
          </w:tcPr>
          <w:p w:rsidR="00F33AB5" w:rsidRDefault="00214BC7">
            <w:pPr>
              <w:jc w:val="center"/>
            </w:pPr>
            <w:r>
              <w:rPr>
                <w:color w:val="000000"/>
                <w:sz w:val="24"/>
              </w:rPr>
              <w:t>600276</w:t>
            </w:r>
          </w:p>
        </w:tc>
        <w:tc>
          <w:tcPr>
            <w:tcW w:w="1769" w:type="dxa"/>
            <w:vAlign w:val="center"/>
          </w:tcPr>
          <w:p w:rsidR="00F33AB5" w:rsidRDefault="00214BC7">
            <w:pPr>
              <w:jc w:val="center"/>
            </w:pPr>
            <w:r>
              <w:rPr>
                <w:color w:val="000000"/>
                <w:sz w:val="24"/>
              </w:rPr>
              <w:t>恒瑞医药</w:t>
            </w:r>
          </w:p>
        </w:tc>
        <w:tc>
          <w:tcPr>
            <w:tcW w:w="1327" w:type="dxa"/>
            <w:vAlign w:val="center"/>
          </w:tcPr>
          <w:p w:rsidR="00F33AB5" w:rsidRDefault="00214BC7">
            <w:pPr>
              <w:jc w:val="right"/>
            </w:pPr>
            <w:r>
              <w:rPr>
                <w:color w:val="000000"/>
                <w:sz w:val="24"/>
              </w:rPr>
              <w:t>69,934</w:t>
            </w:r>
          </w:p>
        </w:tc>
        <w:tc>
          <w:tcPr>
            <w:tcW w:w="1915" w:type="dxa"/>
            <w:vAlign w:val="center"/>
          </w:tcPr>
          <w:p w:rsidR="00F33AB5" w:rsidRDefault="00214BC7">
            <w:pPr>
              <w:jc w:val="right"/>
            </w:pPr>
            <w:r>
              <w:rPr>
                <w:color w:val="000000"/>
                <w:sz w:val="24"/>
              </w:rPr>
              <w:t>6,084,957.34</w:t>
            </w:r>
          </w:p>
        </w:tc>
        <w:tc>
          <w:tcPr>
            <w:tcW w:w="1680" w:type="dxa"/>
            <w:vAlign w:val="center"/>
          </w:tcPr>
          <w:p w:rsidR="00F33AB5" w:rsidRDefault="00214BC7">
            <w:pPr>
              <w:jc w:val="right"/>
            </w:pPr>
            <w:r>
              <w:rPr>
                <w:color w:val="000000"/>
                <w:sz w:val="24"/>
              </w:rPr>
              <w:t>0.87</w:t>
            </w:r>
          </w:p>
        </w:tc>
      </w:tr>
      <w:tr w:rsidR="00F33AB5">
        <w:trPr>
          <w:jc w:val="center"/>
        </w:trPr>
        <w:tc>
          <w:tcPr>
            <w:tcW w:w="850" w:type="dxa"/>
            <w:vAlign w:val="center"/>
          </w:tcPr>
          <w:p w:rsidR="00F33AB5" w:rsidRDefault="00214BC7">
            <w:pPr>
              <w:jc w:val="center"/>
            </w:pPr>
            <w:r>
              <w:rPr>
                <w:color w:val="000000"/>
                <w:sz w:val="24"/>
              </w:rPr>
              <w:t>7</w:t>
            </w:r>
          </w:p>
        </w:tc>
        <w:tc>
          <w:tcPr>
            <w:tcW w:w="1327" w:type="dxa"/>
            <w:vAlign w:val="center"/>
          </w:tcPr>
          <w:p w:rsidR="00F33AB5" w:rsidRDefault="00214BC7">
            <w:pPr>
              <w:jc w:val="center"/>
            </w:pPr>
            <w:r>
              <w:rPr>
                <w:color w:val="000000"/>
                <w:sz w:val="24"/>
              </w:rPr>
              <w:t>000333</w:t>
            </w:r>
          </w:p>
        </w:tc>
        <w:tc>
          <w:tcPr>
            <w:tcW w:w="1769" w:type="dxa"/>
            <w:vAlign w:val="center"/>
          </w:tcPr>
          <w:p w:rsidR="00F33AB5" w:rsidRDefault="00214BC7">
            <w:pPr>
              <w:jc w:val="center"/>
            </w:pPr>
            <w:r>
              <w:rPr>
                <w:color w:val="000000"/>
                <w:sz w:val="24"/>
              </w:rPr>
              <w:t>美的集团</w:t>
            </w:r>
          </w:p>
        </w:tc>
        <w:tc>
          <w:tcPr>
            <w:tcW w:w="1327" w:type="dxa"/>
            <w:vAlign w:val="center"/>
          </w:tcPr>
          <w:p w:rsidR="00F33AB5" w:rsidRDefault="00214BC7">
            <w:pPr>
              <w:jc w:val="right"/>
            </w:pPr>
            <w:r>
              <w:rPr>
                <w:color w:val="000000"/>
                <w:sz w:val="24"/>
              </w:rPr>
              <w:t>110,000</w:t>
            </w:r>
          </w:p>
        </w:tc>
        <w:tc>
          <w:tcPr>
            <w:tcW w:w="1915" w:type="dxa"/>
            <w:vAlign w:val="center"/>
          </w:tcPr>
          <w:p w:rsidR="00F33AB5" w:rsidRDefault="00214BC7">
            <w:pPr>
              <w:jc w:val="right"/>
            </w:pPr>
            <w:r>
              <w:rPr>
                <w:color w:val="000000"/>
                <w:sz w:val="24"/>
              </w:rPr>
              <w:t>5,998,300.00</w:t>
            </w:r>
          </w:p>
        </w:tc>
        <w:tc>
          <w:tcPr>
            <w:tcW w:w="1680" w:type="dxa"/>
            <w:vAlign w:val="center"/>
          </w:tcPr>
          <w:p w:rsidR="00F33AB5" w:rsidRDefault="00214BC7">
            <w:pPr>
              <w:jc w:val="right"/>
            </w:pPr>
            <w:r>
              <w:rPr>
                <w:color w:val="000000"/>
                <w:sz w:val="24"/>
              </w:rPr>
              <w:t>0.86</w:t>
            </w:r>
          </w:p>
        </w:tc>
      </w:tr>
      <w:tr w:rsidR="00F33AB5">
        <w:trPr>
          <w:jc w:val="center"/>
        </w:trPr>
        <w:tc>
          <w:tcPr>
            <w:tcW w:w="850" w:type="dxa"/>
            <w:vAlign w:val="center"/>
          </w:tcPr>
          <w:p w:rsidR="00F33AB5" w:rsidRDefault="00214BC7">
            <w:pPr>
              <w:jc w:val="center"/>
            </w:pPr>
            <w:r>
              <w:rPr>
                <w:color w:val="000000"/>
                <w:sz w:val="24"/>
              </w:rPr>
              <w:t>8</w:t>
            </w:r>
          </w:p>
        </w:tc>
        <w:tc>
          <w:tcPr>
            <w:tcW w:w="1327" w:type="dxa"/>
            <w:vAlign w:val="center"/>
          </w:tcPr>
          <w:p w:rsidR="00F33AB5" w:rsidRDefault="00214BC7">
            <w:pPr>
              <w:jc w:val="center"/>
            </w:pPr>
            <w:r>
              <w:rPr>
                <w:color w:val="000000"/>
                <w:sz w:val="24"/>
              </w:rPr>
              <w:t>600056</w:t>
            </w:r>
          </w:p>
        </w:tc>
        <w:tc>
          <w:tcPr>
            <w:tcW w:w="1769" w:type="dxa"/>
            <w:vAlign w:val="center"/>
          </w:tcPr>
          <w:p w:rsidR="00F33AB5" w:rsidRDefault="00214BC7">
            <w:pPr>
              <w:jc w:val="center"/>
            </w:pPr>
            <w:r>
              <w:rPr>
                <w:color w:val="000000"/>
                <w:sz w:val="24"/>
              </w:rPr>
              <w:t>中国医药</w:t>
            </w:r>
          </w:p>
        </w:tc>
        <w:tc>
          <w:tcPr>
            <w:tcW w:w="1327" w:type="dxa"/>
            <w:vAlign w:val="center"/>
          </w:tcPr>
          <w:p w:rsidR="00F33AB5" w:rsidRDefault="00214BC7">
            <w:pPr>
              <w:jc w:val="right"/>
            </w:pPr>
            <w:r>
              <w:rPr>
                <w:color w:val="000000"/>
                <w:sz w:val="24"/>
              </w:rPr>
              <w:t>250,000</w:t>
            </w:r>
          </w:p>
        </w:tc>
        <w:tc>
          <w:tcPr>
            <w:tcW w:w="1915" w:type="dxa"/>
            <w:vAlign w:val="center"/>
          </w:tcPr>
          <w:p w:rsidR="00F33AB5" w:rsidRDefault="00214BC7">
            <w:pPr>
              <w:jc w:val="right"/>
            </w:pPr>
            <w:r>
              <w:rPr>
                <w:color w:val="000000"/>
                <w:sz w:val="24"/>
              </w:rPr>
              <w:t>5,942,500.00</w:t>
            </w:r>
          </w:p>
        </w:tc>
        <w:tc>
          <w:tcPr>
            <w:tcW w:w="1680" w:type="dxa"/>
            <w:vAlign w:val="center"/>
          </w:tcPr>
          <w:p w:rsidR="00F33AB5" w:rsidRDefault="00214BC7">
            <w:pPr>
              <w:jc w:val="right"/>
            </w:pPr>
            <w:r>
              <w:rPr>
                <w:color w:val="000000"/>
                <w:sz w:val="24"/>
              </w:rPr>
              <w:t>0.85</w:t>
            </w:r>
          </w:p>
        </w:tc>
      </w:tr>
      <w:tr w:rsidR="00F33AB5">
        <w:trPr>
          <w:jc w:val="center"/>
        </w:trPr>
        <w:tc>
          <w:tcPr>
            <w:tcW w:w="850" w:type="dxa"/>
            <w:vAlign w:val="center"/>
          </w:tcPr>
          <w:p w:rsidR="00F33AB5" w:rsidRDefault="00214BC7">
            <w:pPr>
              <w:jc w:val="center"/>
            </w:pPr>
            <w:r>
              <w:rPr>
                <w:color w:val="000000"/>
                <w:sz w:val="24"/>
              </w:rPr>
              <w:t>9</w:t>
            </w:r>
          </w:p>
        </w:tc>
        <w:tc>
          <w:tcPr>
            <w:tcW w:w="1327" w:type="dxa"/>
            <w:vAlign w:val="center"/>
          </w:tcPr>
          <w:p w:rsidR="00F33AB5" w:rsidRDefault="00214BC7">
            <w:pPr>
              <w:jc w:val="center"/>
            </w:pPr>
            <w:r>
              <w:rPr>
                <w:color w:val="000000"/>
                <w:sz w:val="24"/>
              </w:rPr>
              <w:t>000423</w:t>
            </w:r>
          </w:p>
        </w:tc>
        <w:tc>
          <w:tcPr>
            <w:tcW w:w="1769" w:type="dxa"/>
            <w:vAlign w:val="center"/>
          </w:tcPr>
          <w:p w:rsidR="00F33AB5" w:rsidRDefault="00214BC7">
            <w:pPr>
              <w:jc w:val="center"/>
            </w:pPr>
            <w:r>
              <w:rPr>
                <w:color w:val="000000"/>
                <w:sz w:val="24"/>
              </w:rPr>
              <w:t>东阿阿胶</w:t>
            </w:r>
          </w:p>
        </w:tc>
        <w:tc>
          <w:tcPr>
            <w:tcW w:w="1327" w:type="dxa"/>
            <w:vAlign w:val="center"/>
          </w:tcPr>
          <w:p w:rsidR="00F33AB5" w:rsidRDefault="00214BC7">
            <w:pPr>
              <w:jc w:val="right"/>
            </w:pPr>
            <w:r>
              <w:rPr>
                <w:color w:val="000000"/>
                <w:sz w:val="24"/>
              </w:rPr>
              <w:t>90,000</w:t>
            </w:r>
          </w:p>
        </w:tc>
        <w:tc>
          <w:tcPr>
            <w:tcW w:w="1915" w:type="dxa"/>
            <w:vAlign w:val="center"/>
          </w:tcPr>
          <w:p w:rsidR="00F33AB5" w:rsidRDefault="00214BC7">
            <w:pPr>
              <w:jc w:val="right"/>
            </w:pPr>
            <w:r>
              <w:rPr>
                <w:color w:val="000000"/>
                <w:sz w:val="24"/>
              </w:rPr>
              <w:t>5,548,500.00</w:t>
            </w:r>
          </w:p>
        </w:tc>
        <w:tc>
          <w:tcPr>
            <w:tcW w:w="1680" w:type="dxa"/>
            <w:vAlign w:val="center"/>
          </w:tcPr>
          <w:p w:rsidR="00F33AB5" w:rsidRDefault="00214BC7">
            <w:pPr>
              <w:jc w:val="right"/>
            </w:pPr>
            <w:r>
              <w:rPr>
                <w:color w:val="000000"/>
                <w:sz w:val="24"/>
              </w:rPr>
              <w:t>0.79</w:t>
            </w:r>
          </w:p>
        </w:tc>
      </w:tr>
      <w:tr w:rsidR="00F33AB5">
        <w:trPr>
          <w:jc w:val="center"/>
        </w:trPr>
        <w:tc>
          <w:tcPr>
            <w:tcW w:w="850" w:type="dxa"/>
            <w:vAlign w:val="center"/>
          </w:tcPr>
          <w:p w:rsidR="00F33AB5" w:rsidRDefault="00214BC7">
            <w:pPr>
              <w:jc w:val="center"/>
            </w:pPr>
            <w:r>
              <w:rPr>
                <w:color w:val="000000"/>
                <w:sz w:val="24"/>
              </w:rPr>
              <w:t>10</w:t>
            </w:r>
          </w:p>
        </w:tc>
        <w:tc>
          <w:tcPr>
            <w:tcW w:w="1327" w:type="dxa"/>
            <w:vAlign w:val="center"/>
          </w:tcPr>
          <w:p w:rsidR="00F33AB5" w:rsidRDefault="00214BC7">
            <w:pPr>
              <w:jc w:val="center"/>
            </w:pPr>
            <w:r>
              <w:rPr>
                <w:color w:val="000000"/>
                <w:sz w:val="24"/>
              </w:rPr>
              <w:t>601398</w:t>
            </w:r>
          </w:p>
        </w:tc>
        <w:tc>
          <w:tcPr>
            <w:tcW w:w="1769" w:type="dxa"/>
            <w:vAlign w:val="center"/>
          </w:tcPr>
          <w:p w:rsidR="00F33AB5" w:rsidRDefault="00214BC7">
            <w:pPr>
              <w:jc w:val="center"/>
            </w:pPr>
            <w:r>
              <w:rPr>
                <w:color w:val="000000"/>
                <w:sz w:val="24"/>
              </w:rPr>
              <w:t>工商银行</w:t>
            </w:r>
          </w:p>
        </w:tc>
        <w:tc>
          <w:tcPr>
            <w:tcW w:w="1327" w:type="dxa"/>
            <w:vAlign w:val="center"/>
          </w:tcPr>
          <w:p w:rsidR="00F33AB5" w:rsidRDefault="00214BC7">
            <w:pPr>
              <w:jc w:val="right"/>
            </w:pPr>
            <w:r>
              <w:rPr>
                <w:color w:val="000000"/>
                <w:sz w:val="24"/>
              </w:rPr>
              <w:t>900,000</w:t>
            </w:r>
          </w:p>
        </w:tc>
        <w:tc>
          <w:tcPr>
            <w:tcW w:w="1915" w:type="dxa"/>
            <w:vAlign w:val="center"/>
          </w:tcPr>
          <w:p w:rsidR="00F33AB5" w:rsidRDefault="00214BC7">
            <w:pPr>
              <w:jc w:val="right"/>
            </w:pPr>
            <w:r>
              <w:rPr>
                <w:color w:val="000000"/>
                <w:sz w:val="24"/>
              </w:rPr>
              <w:t>5,481,000.00</w:t>
            </w:r>
          </w:p>
        </w:tc>
        <w:tc>
          <w:tcPr>
            <w:tcW w:w="1680" w:type="dxa"/>
            <w:vAlign w:val="center"/>
          </w:tcPr>
          <w:p w:rsidR="00F33AB5" w:rsidRDefault="00214BC7">
            <w:pPr>
              <w:jc w:val="right"/>
            </w:pPr>
            <w:r>
              <w:rPr>
                <w:color w:val="000000"/>
                <w:sz w:val="24"/>
              </w:rPr>
              <w:t>0.78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39,966,794.00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132,510,000.00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132,510,000.00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137,997,000.00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61,125,000.00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685,278.00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165,630,000.00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23.68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558,092,072.00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33AB5">
        <w:trPr>
          <w:jc w:val="center"/>
        </w:trPr>
        <w:tc>
          <w:tcPr>
            <w:tcW w:w="1075" w:type="dxa"/>
            <w:vAlign w:val="center"/>
          </w:tcPr>
          <w:p w:rsidR="00F33AB5" w:rsidRDefault="00214BC7">
            <w:pPr>
              <w:jc w:val="center"/>
            </w:pPr>
            <w:r>
              <w:rPr>
                <w:color w:val="000000"/>
                <w:sz w:val="24"/>
              </w:rPr>
              <w:t>1</w:t>
            </w:r>
          </w:p>
        </w:tc>
        <w:tc>
          <w:tcPr>
            <w:tcW w:w="1533" w:type="dxa"/>
            <w:vAlign w:val="center"/>
          </w:tcPr>
          <w:p w:rsidR="00F33AB5" w:rsidRDefault="00214BC7">
            <w:pPr>
              <w:jc w:val="center"/>
            </w:pPr>
            <w:r>
              <w:rPr>
                <w:color w:val="000000"/>
                <w:sz w:val="24"/>
              </w:rPr>
              <w:t>170210</w:t>
            </w:r>
          </w:p>
        </w:tc>
        <w:tc>
          <w:tcPr>
            <w:tcW w:w="1533" w:type="dxa"/>
            <w:vAlign w:val="center"/>
          </w:tcPr>
          <w:p w:rsidR="00F33AB5" w:rsidRDefault="00214BC7">
            <w:pPr>
              <w:jc w:val="center"/>
            </w:pPr>
            <w:r>
              <w:rPr>
                <w:color w:val="000000"/>
                <w:sz w:val="24"/>
              </w:rPr>
              <w:t>17</w:t>
            </w:r>
            <w:r>
              <w:rPr>
                <w:color w:val="000000"/>
                <w:sz w:val="24"/>
              </w:rPr>
              <w:t>国开</w:t>
            </w:r>
            <w:r>
              <w:rPr>
                <w:color w:val="000000"/>
                <w:sz w:val="24"/>
              </w:rPr>
              <w:t>10</w:t>
            </w:r>
          </w:p>
        </w:tc>
        <w:tc>
          <w:tcPr>
            <w:tcW w:w="1394" w:type="dxa"/>
            <w:vAlign w:val="center"/>
          </w:tcPr>
          <w:p w:rsidR="00F33AB5" w:rsidRDefault="00214BC7">
            <w:pPr>
              <w:jc w:val="right"/>
            </w:pPr>
            <w:r>
              <w:rPr>
                <w:color w:val="000000"/>
                <w:sz w:val="24"/>
              </w:rPr>
              <w:t>1,400,000</w:t>
            </w:r>
          </w:p>
        </w:tc>
        <w:tc>
          <w:tcPr>
            <w:tcW w:w="1944" w:type="dxa"/>
            <w:vAlign w:val="center"/>
          </w:tcPr>
          <w:p w:rsidR="00F33AB5" w:rsidRDefault="00214BC7">
            <w:pPr>
              <w:jc w:val="right"/>
            </w:pPr>
            <w:r>
              <w:rPr>
                <w:color w:val="000000"/>
                <w:sz w:val="24"/>
              </w:rPr>
              <w:t>132,510,000.00</w:t>
            </w:r>
          </w:p>
        </w:tc>
        <w:tc>
          <w:tcPr>
            <w:tcW w:w="1389" w:type="dxa"/>
            <w:vAlign w:val="center"/>
          </w:tcPr>
          <w:p w:rsidR="00F33AB5" w:rsidRDefault="00214BC7">
            <w:pPr>
              <w:jc w:val="right"/>
            </w:pPr>
            <w:r>
              <w:rPr>
                <w:color w:val="000000"/>
                <w:sz w:val="24"/>
              </w:rPr>
              <w:t>18.95</w:t>
            </w:r>
          </w:p>
        </w:tc>
      </w:tr>
      <w:tr w:rsidR="00F33AB5">
        <w:trPr>
          <w:jc w:val="center"/>
        </w:trPr>
        <w:tc>
          <w:tcPr>
            <w:tcW w:w="1075" w:type="dxa"/>
            <w:vAlign w:val="center"/>
          </w:tcPr>
          <w:p w:rsidR="00F33AB5" w:rsidRDefault="00214BC7">
            <w:pPr>
              <w:jc w:val="center"/>
            </w:pPr>
            <w:r>
              <w:rPr>
                <w:color w:val="000000"/>
                <w:sz w:val="24"/>
              </w:rPr>
              <w:t>2</w:t>
            </w:r>
          </w:p>
        </w:tc>
        <w:tc>
          <w:tcPr>
            <w:tcW w:w="1533" w:type="dxa"/>
            <w:vAlign w:val="center"/>
          </w:tcPr>
          <w:p w:rsidR="00F33AB5" w:rsidRDefault="00214BC7">
            <w:pPr>
              <w:jc w:val="center"/>
            </w:pPr>
            <w:r>
              <w:rPr>
                <w:color w:val="000000"/>
                <w:sz w:val="24"/>
              </w:rPr>
              <w:t>111710649</w:t>
            </w:r>
          </w:p>
        </w:tc>
        <w:tc>
          <w:tcPr>
            <w:tcW w:w="1533" w:type="dxa"/>
            <w:vAlign w:val="center"/>
          </w:tcPr>
          <w:p w:rsidR="00F33AB5" w:rsidRDefault="00214BC7">
            <w:pPr>
              <w:jc w:val="center"/>
            </w:pPr>
            <w:r>
              <w:rPr>
                <w:color w:val="000000"/>
                <w:sz w:val="24"/>
              </w:rPr>
              <w:t>17</w:t>
            </w:r>
            <w:r>
              <w:rPr>
                <w:color w:val="000000"/>
                <w:sz w:val="24"/>
              </w:rPr>
              <w:t>兴业银行</w:t>
            </w:r>
            <w:r>
              <w:rPr>
                <w:color w:val="000000"/>
                <w:sz w:val="24"/>
              </w:rPr>
              <w:t>CD649</w:t>
            </w:r>
          </w:p>
        </w:tc>
        <w:tc>
          <w:tcPr>
            <w:tcW w:w="1394" w:type="dxa"/>
            <w:vAlign w:val="center"/>
          </w:tcPr>
          <w:p w:rsidR="00F33AB5" w:rsidRDefault="00214BC7">
            <w:pPr>
              <w:jc w:val="right"/>
            </w:pPr>
            <w:r>
              <w:rPr>
                <w:color w:val="000000"/>
                <w:sz w:val="24"/>
              </w:rPr>
              <w:t>500,000</w:t>
            </w:r>
          </w:p>
        </w:tc>
        <w:tc>
          <w:tcPr>
            <w:tcW w:w="1944" w:type="dxa"/>
            <w:vAlign w:val="center"/>
          </w:tcPr>
          <w:p w:rsidR="00F33AB5" w:rsidRDefault="00214BC7">
            <w:pPr>
              <w:jc w:val="right"/>
            </w:pPr>
            <w:r>
              <w:rPr>
                <w:color w:val="000000"/>
                <w:sz w:val="24"/>
              </w:rPr>
              <w:t>48,860,000.00</w:t>
            </w:r>
          </w:p>
        </w:tc>
        <w:tc>
          <w:tcPr>
            <w:tcW w:w="1389" w:type="dxa"/>
            <w:vAlign w:val="center"/>
          </w:tcPr>
          <w:p w:rsidR="00F33AB5" w:rsidRDefault="00214BC7">
            <w:pPr>
              <w:jc w:val="right"/>
            </w:pPr>
            <w:r>
              <w:rPr>
                <w:color w:val="000000"/>
                <w:sz w:val="24"/>
              </w:rPr>
              <w:t>6.99</w:t>
            </w:r>
          </w:p>
        </w:tc>
      </w:tr>
      <w:tr w:rsidR="00F33AB5">
        <w:trPr>
          <w:jc w:val="center"/>
        </w:trPr>
        <w:tc>
          <w:tcPr>
            <w:tcW w:w="1075" w:type="dxa"/>
            <w:vAlign w:val="center"/>
          </w:tcPr>
          <w:p w:rsidR="00F33AB5" w:rsidRDefault="00214BC7">
            <w:pPr>
              <w:jc w:val="center"/>
            </w:pPr>
            <w:r>
              <w:rPr>
                <w:color w:val="000000"/>
                <w:sz w:val="24"/>
              </w:rPr>
              <w:t>3</w:t>
            </w:r>
          </w:p>
        </w:tc>
        <w:tc>
          <w:tcPr>
            <w:tcW w:w="1533" w:type="dxa"/>
            <w:vAlign w:val="center"/>
          </w:tcPr>
          <w:p w:rsidR="00F33AB5" w:rsidRDefault="00214BC7">
            <w:pPr>
              <w:jc w:val="center"/>
            </w:pPr>
            <w:r>
              <w:rPr>
                <w:color w:val="000000"/>
                <w:sz w:val="24"/>
              </w:rPr>
              <w:t>111714335</w:t>
            </w:r>
          </w:p>
        </w:tc>
        <w:tc>
          <w:tcPr>
            <w:tcW w:w="1533" w:type="dxa"/>
            <w:vAlign w:val="center"/>
          </w:tcPr>
          <w:p w:rsidR="00F33AB5" w:rsidRDefault="00214BC7">
            <w:pPr>
              <w:jc w:val="center"/>
            </w:pPr>
            <w:r>
              <w:rPr>
                <w:color w:val="000000"/>
                <w:sz w:val="24"/>
              </w:rPr>
              <w:t>17</w:t>
            </w:r>
            <w:r>
              <w:rPr>
                <w:color w:val="000000"/>
                <w:sz w:val="24"/>
              </w:rPr>
              <w:t>江苏银行</w:t>
            </w:r>
            <w:r>
              <w:rPr>
                <w:color w:val="000000"/>
                <w:sz w:val="24"/>
              </w:rPr>
              <w:t>CD335</w:t>
            </w:r>
          </w:p>
        </w:tc>
        <w:tc>
          <w:tcPr>
            <w:tcW w:w="1394" w:type="dxa"/>
            <w:vAlign w:val="center"/>
          </w:tcPr>
          <w:p w:rsidR="00F33AB5" w:rsidRDefault="00214BC7">
            <w:pPr>
              <w:jc w:val="right"/>
            </w:pPr>
            <w:r>
              <w:rPr>
                <w:color w:val="000000"/>
                <w:sz w:val="24"/>
              </w:rPr>
              <w:t>500,000</w:t>
            </w:r>
          </w:p>
        </w:tc>
        <w:tc>
          <w:tcPr>
            <w:tcW w:w="1944" w:type="dxa"/>
            <w:vAlign w:val="center"/>
          </w:tcPr>
          <w:p w:rsidR="00F33AB5" w:rsidRDefault="00214BC7">
            <w:pPr>
              <w:jc w:val="right"/>
            </w:pPr>
            <w:r>
              <w:rPr>
                <w:color w:val="000000"/>
                <w:sz w:val="24"/>
              </w:rPr>
              <w:t>48,850,000.00</w:t>
            </w:r>
          </w:p>
        </w:tc>
        <w:tc>
          <w:tcPr>
            <w:tcW w:w="1389" w:type="dxa"/>
            <w:vAlign w:val="center"/>
          </w:tcPr>
          <w:p w:rsidR="00F33AB5" w:rsidRDefault="00214BC7">
            <w:pPr>
              <w:jc w:val="right"/>
            </w:pPr>
            <w:r>
              <w:rPr>
                <w:color w:val="000000"/>
                <w:sz w:val="24"/>
              </w:rPr>
              <w:t>6.99</w:t>
            </w:r>
          </w:p>
        </w:tc>
      </w:tr>
      <w:tr w:rsidR="00F33AB5">
        <w:trPr>
          <w:jc w:val="center"/>
        </w:trPr>
        <w:tc>
          <w:tcPr>
            <w:tcW w:w="1075" w:type="dxa"/>
            <w:vAlign w:val="center"/>
          </w:tcPr>
          <w:p w:rsidR="00F33AB5" w:rsidRDefault="00214BC7">
            <w:pPr>
              <w:jc w:val="center"/>
            </w:pPr>
            <w:r>
              <w:rPr>
                <w:color w:val="000000"/>
                <w:sz w:val="24"/>
              </w:rPr>
              <w:t>4</w:t>
            </w:r>
          </w:p>
        </w:tc>
        <w:tc>
          <w:tcPr>
            <w:tcW w:w="1533" w:type="dxa"/>
            <w:vAlign w:val="center"/>
          </w:tcPr>
          <w:p w:rsidR="00F33AB5" w:rsidRDefault="00214BC7">
            <w:pPr>
              <w:jc w:val="center"/>
            </w:pPr>
            <w:r>
              <w:rPr>
                <w:color w:val="000000"/>
                <w:sz w:val="24"/>
              </w:rPr>
              <w:t>019563</w:t>
            </w:r>
          </w:p>
        </w:tc>
        <w:tc>
          <w:tcPr>
            <w:tcW w:w="1533" w:type="dxa"/>
            <w:vAlign w:val="center"/>
          </w:tcPr>
          <w:p w:rsidR="00F33AB5" w:rsidRDefault="00214BC7">
            <w:pPr>
              <w:jc w:val="center"/>
            </w:pPr>
            <w:r>
              <w:rPr>
                <w:color w:val="000000"/>
                <w:sz w:val="24"/>
              </w:rPr>
              <w:t>17</w:t>
            </w:r>
            <w:r>
              <w:rPr>
                <w:color w:val="000000"/>
                <w:sz w:val="24"/>
              </w:rPr>
              <w:t>国债</w:t>
            </w:r>
            <w:r>
              <w:rPr>
                <w:color w:val="000000"/>
                <w:sz w:val="24"/>
              </w:rPr>
              <w:t>09</w:t>
            </w:r>
          </w:p>
        </w:tc>
        <w:tc>
          <w:tcPr>
            <w:tcW w:w="1394" w:type="dxa"/>
            <w:vAlign w:val="center"/>
          </w:tcPr>
          <w:p w:rsidR="00F33AB5" w:rsidRDefault="00214BC7">
            <w:pPr>
              <w:jc w:val="right"/>
            </w:pPr>
            <w:r>
              <w:rPr>
                <w:color w:val="000000"/>
                <w:sz w:val="24"/>
              </w:rPr>
              <w:t>319,700</w:t>
            </w:r>
          </w:p>
        </w:tc>
        <w:tc>
          <w:tcPr>
            <w:tcW w:w="1944" w:type="dxa"/>
            <w:vAlign w:val="center"/>
          </w:tcPr>
          <w:p w:rsidR="00F33AB5" w:rsidRDefault="00214BC7">
            <w:pPr>
              <w:jc w:val="right"/>
            </w:pPr>
            <w:r>
              <w:rPr>
                <w:color w:val="000000"/>
                <w:sz w:val="24"/>
              </w:rPr>
              <w:t>31,976,394.00</w:t>
            </w:r>
          </w:p>
        </w:tc>
        <w:tc>
          <w:tcPr>
            <w:tcW w:w="1389" w:type="dxa"/>
            <w:vAlign w:val="center"/>
          </w:tcPr>
          <w:p w:rsidR="00F33AB5" w:rsidRDefault="00214BC7">
            <w:pPr>
              <w:jc w:val="right"/>
            </w:pPr>
            <w:r>
              <w:rPr>
                <w:color w:val="000000"/>
                <w:sz w:val="24"/>
              </w:rPr>
              <w:t>4.57</w:t>
            </w:r>
          </w:p>
        </w:tc>
      </w:tr>
      <w:tr w:rsidR="00F33AB5">
        <w:trPr>
          <w:jc w:val="center"/>
        </w:trPr>
        <w:tc>
          <w:tcPr>
            <w:tcW w:w="1075" w:type="dxa"/>
            <w:vAlign w:val="center"/>
          </w:tcPr>
          <w:p w:rsidR="00F33AB5" w:rsidRDefault="00214BC7">
            <w:pPr>
              <w:jc w:val="center"/>
            </w:pPr>
            <w:r>
              <w:rPr>
                <w:color w:val="000000"/>
                <w:sz w:val="24"/>
              </w:rPr>
              <w:t>5</w:t>
            </w:r>
          </w:p>
        </w:tc>
        <w:tc>
          <w:tcPr>
            <w:tcW w:w="1533" w:type="dxa"/>
            <w:vAlign w:val="center"/>
          </w:tcPr>
          <w:p w:rsidR="00F33AB5" w:rsidRDefault="00214BC7">
            <w:pPr>
              <w:jc w:val="center"/>
            </w:pPr>
            <w:r>
              <w:rPr>
                <w:color w:val="000000"/>
                <w:sz w:val="24"/>
              </w:rPr>
              <w:t>101456044</w:t>
            </w:r>
          </w:p>
        </w:tc>
        <w:tc>
          <w:tcPr>
            <w:tcW w:w="1533" w:type="dxa"/>
            <w:vAlign w:val="center"/>
          </w:tcPr>
          <w:p w:rsidR="00F33AB5" w:rsidRDefault="00214BC7">
            <w:pPr>
              <w:jc w:val="center"/>
            </w:pPr>
            <w:r>
              <w:rPr>
                <w:color w:val="000000"/>
                <w:sz w:val="24"/>
              </w:rPr>
              <w:t>14</w:t>
            </w:r>
            <w:r>
              <w:rPr>
                <w:color w:val="000000"/>
                <w:sz w:val="24"/>
              </w:rPr>
              <w:t>渝富</w:t>
            </w:r>
            <w:r>
              <w:rPr>
                <w:color w:val="000000"/>
                <w:sz w:val="24"/>
              </w:rPr>
              <w:t>MTN001</w:t>
            </w:r>
          </w:p>
        </w:tc>
        <w:tc>
          <w:tcPr>
            <w:tcW w:w="1394" w:type="dxa"/>
            <w:vAlign w:val="center"/>
          </w:tcPr>
          <w:p w:rsidR="00F33AB5" w:rsidRDefault="00214BC7">
            <w:pPr>
              <w:jc w:val="right"/>
            </w:pPr>
            <w:r>
              <w:rPr>
                <w:color w:val="000000"/>
                <w:sz w:val="24"/>
              </w:rPr>
              <w:t>300,000</w:t>
            </w:r>
          </w:p>
        </w:tc>
        <w:tc>
          <w:tcPr>
            <w:tcW w:w="1944" w:type="dxa"/>
            <w:vAlign w:val="center"/>
          </w:tcPr>
          <w:p w:rsidR="00F33AB5" w:rsidRDefault="00214BC7">
            <w:pPr>
              <w:jc w:val="right"/>
            </w:pPr>
            <w:r>
              <w:rPr>
                <w:color w:val="000000"/>
                <w:sz w:val="24"/>
              </w:rPr>
              <w:t>30,750,000.00</w:t>
            </w:r>
          </w:p>
        </w:tc>
        <w:tc>
          <w:tcPr>
            <w:tcW w:w="1389" w:type="dxa"/>
            <w:vAlign w:val="center"/>
          </w:tcPr>
          <w:p w:rsidR="00F33AB5" w:rsidRDefault="00214BC7">
            <w:pPr>
              <w:jc w:val="right"/>
            </w:pPr>
            <w:r>
              <w:rPr>
                <w:color w:val="000000"/>
                <w:sz w:val="24"/>
              </w:rPr>
              <w:t>4.40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24,344.78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2,303,063.41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14,273,255.69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28,783.93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16,629,447.81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33AB5">
        <w:trPr>
          <w:jc w:val="center"/>
        </w:trPr>
        <w:tc>
          <w:tcPr>
            <w:tcW w:w="0" w:type="auto"/>
            <w:vAlign w:val="center"/>
          </w:tcPr>
          <w:p w:rsidR="00F33AB5" w:rsidRDefault="00214BC7">
            <w:pPr>
              <w:jc w:val="center"/>
            </w:pPr>
            <w:r>
              <w:rPr>
                <w:rFonts w:eastAsiaTheme="minorEastAsia"/>
                <w:color w:val="000000"/>
                <w:sz w:val="24"/>
              </w:rPr>
              <w:t>1</w:t>
            </w:r>
          </w:p>
        </w:tc>
        <w:tc>
          <w:tcPr>
            <w:tcW w:w="0" w:type="auto"/>
            <w:vAlign w:val="center"/>
          </w:tcPr>
          <w:p w:rsidR="00F33AB5" w:rsidRDefault="00214BC7">
            <w:pPr>
              <w:jc w:val="center"/>
            </w:pPr>
            <w:r>
              <w:rPr>
                <w:rFonts w:eastAsiaTheme="minorEastAsia"/>
                <w:color w:val="000000"/>
                <w:sz w:val="24"/>
              </w:rPr>
              <w:t>113010</w:t>
            </w:r>
          </w:p>
        </w:tc>
        <w:tc>
          <w:tcPr>
            <w:tcW w:w="0" w:type="auto"/>
            <w:vAlign w:val="center"/>
          </w:tcPr>
          <w:p w:rsidR="00F33AB5" w:rsidRDefault="00214BC7">
            <w:pPr>
              <w:jc w:val="center"/>
            </w:pPr>
            <w:r>
              <w:rPr>
                <w:rFonts w:eastAsiaTheme="minorEastAsia"/>
                <w:color w:val="000000"/>
                <w:sz w:val="24"/>
              </w:rPr>
              <w:t>江南转债</w:t>
            </w:r>
          </w:p>
        </w:tc>
        <w:tc>
          <w:tcPr>
            <w:tcW w:w="0" w:type="auto"/>
            <w:vAlign w:val="center"/>
          </w:tcPr>
          <w:p w:rsidR="00F33AB5" w:rsidRDefault="00214BC7">
            <w:pPr>
              <w:jc w:val="right"/>
            </w:pPr>
            <w:r>
              <w:rPr>
                <w:rFonts w:eastAsiaTheme="minorEastAsia"/>
                <w:color w:val="000000"/>
                <w:sz w:val="24"/>
              </w:rPr>
              <w:t>685,278.00</w:t>
            </w:r>
          </w:p>
        </w:tc>
        <w:tc>
          <w:tcPr>
            <w:tcW w:w="0" w:type="auto"/>
            <w:vAlign w:val="center"/>
          </w:tcPr>
          <w:p w:rsidR="00F33AB5" w:rsidRDefault="00214BC7">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411E04"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411E04">
        <w:rPr>
          <w:rFonts w:eastAsiaTheme="minorEastAsia"/>
          <w:color w:val="000000" w:themeColor="text1"/>
          <w:kern w:val="0"/>
          <w:sz w:val="24"/>
          <w:szCs w:val="24"/>
        </w:rPr>
        <w:t>§6</w:t>
      </w:r>
      <w:r w:rsidRPr="00411E04">
        <w:rPr>
          <w:rFonts w:eastAsiaTheme="minorEastAsia" w:hint="eastAsia"/>
          <w:color w:val="000000" w:themeColor="text1"/>
          <w:kern w:val="0"/>
          <w:sz w:val="24"/>
          <w:szCs w:val="24"/>
        </w:rPr>
        <w:t xml:space="preserve">  </w:t>
      </w:r>
      <w:r w:rsidRPr="00411E04">
        <w:rPr>
          <w:rFonts w:eastAsiaTheme="minorEastAsia" w:hint="eastAsia"/>
          <w:color w:val="000000" w:themeColor="text1"/>
          <w:kern w:val="0"/>
          <w:sz w:val="24"/>
          <w:szCs w:val="24"/>
        </w:rPr>
        <w:t>基金中基金</w:t>
      </w:r>
    </w:p>
    <w:p w:rsidR="00C51B4E" w:rsidRPr="00411E04" w:rsidRDefault="00C51B4E" w:rsidP="00C51B4E">
      <w:pPr>
        <w:adjustRightInd w:val="0"/>
        <w:snapToGrid w:val="0"/>
        <w:spacing w:line="360" w:lineRule="auto"/>
        <w:rPr>
          <w:rFonts w:eastAsiaTheme="minorEastAsia"/>
          <w:b/>
          <w:color w:val="000000" w:themeColor="text1"/>
          <w:kern w:val="0"/>
          <w:sz w:val="24"/>
        </w:rPr>
      </w:pPr>
      <w:r w:rsidRPr="00411E04">
        <w:rPr>
          <w:rFonts w:eastAsiaTheme="minorEastAsia"/>
          <w:b/>
          <w:color w:val="000000" w:themeColor="text1"/>
          <w:kern w:val="0"/>
          <w:sz w:val="24"/>
        </w:rPr>
        <w:t>6.1</w:t>
      </w:r>
      <w:r w:rsidRPr="00411E04">
        <w:rPr>
          <w:rFonts w:eastAsiaTheme="minorEastAsia" w:hint="eastAsia"/>
          <w:b/>
          <w:color w:val="000000" w:themeColor="text1"/>
          <w:kern w:val="0"/>
          <w:sz w:val="24"/>
        </w:rPr>
        <w:t xml:space="preserve"> </w:t>
      </w:r>
      <w:r w:rsidRPr="00411E04">
        <w:rPr>
          <w:rFonts w:eastAsiaTheme="minorEastAsia" w:hint="eastAsia"/>
          <w:b/>
          <w:color w:val="000000" w:themeColor="text1"/>
          <w:kern w:val="0"/>
          <w:sz w:val="24"/>
        </w:rPr>
        <w:t>报告期末按公允价值占基金资产净值比例大小排序的前十名基金投资明细</w:t>
      </w:r>
    </w:p>
    <w:p w:rsidR="00C51B4E" w:rsidRPr="00411E0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11E04">
        <w:rPr>
          <w:rFonts w:eastAsiaTheme="minorEastAsia"/>
          <w:color w:val="000000" w:themeColor="text1"/>
          <w:sz w:val="24"/>
        </w:rPr>
        <w:t>本基金本报告期末未持有基金。</w:t>
      </w:r>
    </w:p>
    <w:p w:rsidR="00C51B4E" w:rsidRPr="00411E04" w:rsidRDefault="00C51B4E" w:rsidP="0028293E">
      <w:pPr>
        <w:adjustRightInd w:val="0"/>
        <w:snapToGrid w:val="0"/>
        <w:spacing w:beforeLines="50" w:before="156" w:line="360" w:lineRule="auto"/>
        <w:rPr>
          <w:rFonts w:eastAsiaTheme="minorEastAsia"/>
          <w:b/>
          <w:color w:val="000000" w:themeColor="text1"/>
          <w:kern w:val="0"/>
          <w:sz w:val="24"/>
        </w:rPr>
      </w:pPr>
      <w:r w:rsidRPr="00411E04">
        <w:rPr>
          <w:rFonts w:eastAsiaTheme="minorEastAsia"/>
          <w:b/>
          <w:color w:val="000000" w:themeColor="text1"/>
          <w:kern w:val="0"/>
          <w:sz w:val="24"/>
        </w:rPr>
        <w:t>6.2</w:t>
      </w:r>
      <w:r w:rsidRPr="00411E04">
        <w:rPr>
          <w:rFonts w:eastAsiaTheme="minorEastAsia" w:hint="eastAsia"/>
          <w:b/>
          <w:color w:val="000000" w:themeColor="text1"/>
          <w:kern w:val="0"/>
          <w:sz w:val="24"/>
        </w:rPr>
        <w:t xml:space="preserve"> </w:t>
      </w:r>
      <w:r w:rsidRPr="00411E04">
        <w:rPr>
          <w:rFonts w:eastAsiaTheme="minorEastAsia" w:hint="eastAsia"/>
          <w:b/>
          <w:color w:val="000000" w:themeColor="text1"/>
          <w:kern w:val="0"/>
          <w:sz w:val="24"/>
        </w:rPr>
        <w:t>当期交易及持有基金产生的费用</w:t>
      </w:r>
    </w:p>
    <w:p w:rsidR="00C51B4E" w:rsidRPr="00411E04"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11E04">
        <w:rPr>
          <w:rFonts w:eastAsiaTheme="minorEastAsia"/>
          <w:color w:val="000000" w:themeColor="text1"/>
          <w:sz w:val="24"/>
        </w:rPr>
        <w:t>本基金本报告期内未交易或持有基金。</w:t>
      </w:r>
    </w:p>
    <w:p w:rsidR="00411E04" w:rsidRPr="00411E04" w:rsidRDefault="00411E04" w:rsidP="00411E04">
      <w:pPr>
        <w:adjustRightInd w:val="0"/>
        <w:snapToGrid w:val="0"/>
        <w:spacing w:beforeLines="50" w:before="156" w:line="360" w:lineRule="auto"/>
        <w:rPr>
          <w:rFonts w:eastAsiaTheme="minorEastAsia"/>
          <w:b/>
          <w:color w:val="000000" w:themeColor="text1"/>
          <w:kern w:val="0"/>
          <w:sz w:val="24"/>
        </w:rPr>
      </w:pPr>
      <w:r w:rsidRPr="00411E04">
        <w:rPr>
          <w:rFonts w:eastAsiaTheme="minorEastAsia"/>
          <w:b/>
          <w:color w:val="000000" w:themeColor="text1"/>
          <w:kern w:val="0"/>
          <w:sz w:val="24"/>
        </w:rPr>
        <w:t xml:space="preserve">6.3 </w:t>
      </w:r>
      <w:r w:rsidRPr="00411E04">
        <w:rPr>
          <w:rFonts w:eastAsiaTheme="minorEastAsia" w:hint="eastAsia"/>
          <w:b/>
          <w:color w:val="000000" w:themeColor="text1"/>
          <w:kern w:val="0"/>
          <w:sz w:val="24"/>
        </w:rPr>
        <w:t>本报告期持有的基金发生的重大影响事件</w:t>
      </w:r>
    </w:p>
    <w:p w:rsidR="00411E04" w:rsidRPr="00411E04" w:rsidRDefault="00411E04" w:rsidP="00411E04">
      <w:pPr>
        <w:autoSpaceDE w:val="0"/>
        <w:autoSpaceDN w:val="0"/>
        <w:adjustRightInd w:val="0"/>
        <w:spacing w:line="360" w:lineRule="auto"/>
        <w:ind w:firstLineChars="200" w:firstLine="480"/>
        <w:jc w:val="left"/>
        <w:rPr>
          <w:rFonts w:eastAsiaTheme="minorEastAsia"/>
          <w:color w:val="000000" w:themeColor="text1"/>
          <w:sz w:val="24"/>
        </w:rPr>
      </w:pPr>
      <w:r w:rsidRPr="00411E04">
        <w:rPr>
          <w:rFonts w:eastAsiaTheme="minorEastAsia" w:hint="eastAsia"/>
          <w:color w:val="000000" w:themeColor="text1"/>
          <w:sz w:val="24"/>
        </w:rPr>
        <w:t>无。</w:t>
      </w:r>
    </w:p>
    <w:p w:rsidR="00411E04" w:rsidRPr="00C51B4E" w:rsidRDefault="00411E04"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632,895,417.99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2,628,724.36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22,459.79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20,153,774.64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615,370,367.71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22,597.59</w:t>
            </w:r>
          </w:p>
        </w:tc>
      </w:tr>
    </w:tbl>
    <w:p w:rsidR="00F33AB5" w:rsidRDefault="00214B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33AB5">
        <w:tc>
          <w:tcPr>
            <w:tcW w:w="992" w:type="dxa"/>
            <w:vMerge w:val="restart"/>
          </w:tcPr>
          <w:p w:rsidR="00F33AB5" w:rsidRDefault="00F33AB5"/>
          <w:p w:rsidR="00F33AB5" w:rsidRDefault="00214BC7">
            <w:r>
              <w:rPr>
                <w:rFonts w:ascii="宋体" w:hAnsi="宋体" w:hint="eastAsia"/>
                <w:bCs/>
                <w:color w:val="000000"/>
                <w:kern w:val="0"/>
                <w:szCs w:val="21"/>
              </w:rPr>
              <w:t>机构</w:t>
            </w:r>
          </w:p>
        </w:tc>
        <w:tc>
          <w:tcPr>
            <w:tcW w:w="991" w:type="dxa"/>
            <w:vAlign w:val="center"/>
          </w:tcPr>
          <w:p w:rsidR="00F33AB5" w:rsidRDefault="00214BC7">
            <w:pPr>
              <w:jc w:val="center"/>
            </w:pPr>
            <w:r>
              <w:rPr>
                <w:rFonts w:ascii="宋体" w:hAnsi="宋体" w:hint="eastAsia"/>
                <w:color w:val="000000"/>
                <w:kern w:val="0"/>
                <w:szCs w:val="21"/>
              </w:rPr>
              <w:t>1</w:t>
            </w:r>
          </w:p>
        </w:tc>
        <w:tc>
          <w:tcPr>
            <w:tcW w:w="1843" w:type="dxa"/>
            <w:vAlign w:val="center"/>
          </w:tcPr>
          <w:p w:rsidR="00F33AB5" w:rsidRDefault="00214BC7">
            <w:pPr>
              <w:jc w:val="center"/>
            </w:pPr>
            <w:r>
              <w:rPr>
                <w:rFonts w:ascii="宋体" w:hAnsi="宋体" w:hint="eastAsia"/>
                <w:color w:val="000000"/>
                <w:kern w:val="0"/>
                <w:szCs w:val="21"/>
              </w:rPr>
              <w:t>2018/1/1-2018/3/31</w:t>
            </w:r>
          </w:p>
        </w:tc>
        <w:tc>
          <w:tcPr>
            <w:tcW w:w="851" w:type="dxa"/>
            <w:vAlign w:val="center"/>
          </w:tcPr>
          <w:p w:rsidR="00F33AB5" w:rsidRDefault="00214BC7">
            <w:pPr>
              <w:jc w:val="center"/>
            </w:pPr>
            <w:r>
              <w:rPr>
                <w:rFonts w:ascii="宋体" w:hAnsi="宋体" w:hint="eastAsia"/>
                <w:color w:val="000000"/>
                <w:kern w:val="0"/>
                <w:szCs w:val="21"/>
              </w:rPr>
              <w:t>200,035,000.00</w:t>
            </w:r>
          </w:p>
        </w:tc>
        <w:tc>
          <w:tcPr>
            <w:tcW w:w="850" w:type="dxa"/>
            <w:vAlign w:val="center"/>
          </w:tcPr>
          <w:p w:rsidR="00F33AB5" w:rsidRDefault="00214BC7">
            <w:pPr>
              <w:jc w:val="center"/>
            </w:pPr>
            <w:r>
              <w:rPr>
                <w:rFonts w:ascii="宋体" w:hAnsi="宋体" w:hint="eastAsia"/>
                <w:color w:val="000000"/>
                <w:kern w:val="0"/>
                <w:szCs w:val="21"/>
              </w:rPr>
              <w:t>-</w:t>
            </w:r>
          </w:p>
        </w:tc>
        <w:tc>
          <w:tcPr>
            <w:tcW w:w="1134" w:type="dxa"/>
            <w:vAlign w:val="center"/>
          </w:tcPr>
          <w:p w:rsidR="00F33AB5" w:rsidRDefault="00214BC7">
            <w:pPr>
              <w:jc w:val="center"/>
            </w:pPr>
            <w:r>
              <w:rPr>
                <w:rFonts w:ascii="宋体" w:hAnsi="宋体" w:hint="eastAsia"/>
                <w:color w:val="000000"/>
                <w:kern w:val="0"/>
                <w:szCs w:val="21"/>
              </w:rPr>
              <w:t>-</w:t>
            </w:r>
          </w:p>
        </w:tc>
        <w:tc>
          <w:tcPr>
            <w:tcW w:w="1419" w:type="dxa"/>
            <w:vAlign w:val="center"/>
          </w:tcPr>
          <w:p w:rsidR="00F33AB5" w:rsidRDefault="00214BC7">
            <w:pPr>
              <w:jc w:val="center"/>
            </w:pPr>
            <w:r>
              <w:rPr>
                <w:rFonts w:ascii="宋体" w:hAnsi="宋体" w:hint="eastAsia"/>
                <w:color w:val="000000"/>
                <w:kern w:val="0"/>
                <w:szCs w:val="21"/>
              </w:rPr>
              <w:t>200,035,000.00</w:t>
            </w:r>
          </w:p>
        </w:tc>
        <w:tc>
          <w:tcPr>
            <w:tcW w:w="1130" w:type="dxa"/>
            <w:vAlign w:val="center"/>
          </w:tcPr>
          <w:p w:rsidR="00F33AB5" w:rsidRDefault="00214BC7">
            <w:pPr>
              <w:jc w:val="center"/>
            </w:pPr>
            <w:r>
              <w:rPr>
                <w:rFonts w:ascii="宋体" w:hAnsi="宋体" w:hint="eastAsia"/>
                <w:color w:val="000000"/>
                <w:kern w:val="0"/>
                <w:szCs w:val="21"/>
              </w:rPr>
              <w:t>32.51%</w:t>
            </w:r>
          </w:p>
        </w:tc>
      </w:tr>
      <w:tr w:rsidR="00F33AB5">
        <w:tc>
          <w:tcPr>
            <w:tcW w:w="992" w:type="dxa"/>
            <w:vMerge/>
          </w:tcPr>
          <w:p w:rsidR="00F33AB5" w:rsidRDefault="00F33AB5"/>
        </w:tc>
        <w:tc>
          <w:tcPr>
            <w:tcW w:w="991" w:type="dxa"/>
            <w:vAlign w:val="center"/>
          </w:tcPr>
          <w:p w:rsidR="00F33AB5" w:rsidRDefault="00214BC7">
            <w:pPr>
              <w:jc w:val="center"/>
            </w:pPr>
            <w:r>
              <w:rPr>
                <w:rFonts w:ascii="宋体" w:hAnsi="宋体" w:hint="eastAsia"/>
                <w:color w:val="000000"/>
                <w:kern w:val="0"/>
                <w:szCs w:val="21"/>
              </w:rPr>
              <w:t>2</w:t>
            </w:r>
          </w:p>
        </w:tc>
        <w:tc>
          <w:tcPr>
            <w:tcW w:w="1843" w:type="dxa"/>
            <w:vAlign w:val="center"/>
          </w:tcPr>
          <w:p w:rsidR="00F33AB5" w:rsidRDefault="00214BC7">
            <w:pPr>
              <w:jc w:val="center"/>
            </w:pPr>
            <w:r>
              <w:rPr>
                <w:rFonts w:ascii="宋体" w:hAnsi="宋体" w:hint="eastAsia"/>
                <w:color w:val="000000"/>
                <w:kern w:val="0"/>
                <w:szCs w:val="21"/>
              </w:rPr>
              <w:t>2018/1/1-2018/3</w:t>
            </w:r>
            <w:r>
              <w:rPr>
                <w:rFonts w:ascii="宋体" w:hAnsi="宋体" w:hint="eastAsia"/>
                <w:color w:val="000000"/>
                <w:kern w:val="0"/>
                <w:szCs w:val="21"/>
              </w:rPr>
              <w:lastRenderedPageBreak/>
              <w:t>/31</w:t>
            </w:r>
          </w:p>
        </w:tc>
        <w:tc>
          <w:tcPr>
            <w:tcW w:w="851" w:type="dxa"/>
            <w:vAlign w:val="center"/>
          </w:tcPr>
          <w:p w:rsidR="00F33AB5" w:rsidRDefault="00214BC7">
            <w:pPr>
              <w:jc w:val="center"/>
            </w:pPr>
            <w:r>
              <w:rPr>
                <w:rFonts w:ascii="宋体" w:hAnsi="宋体" w:hint="eastAsia"/>
                <w:color w:val="000000"/>
                <w:kern w:val="0"/>
                <w:szCs w:val="21"/>
              </w:rPr>
              <w:lastRenderedPageBreak/>
              <w:t>237,08</w:t>
            </w:r>
            <w:r>
              <w:rPr>
                <w:rFonts w:ascii="宋体" w:hAnsi="宋体" w:hint="eastAsia"/>
                <w:color w:val="000000"/>
                <w:kern w:val="0"/>
                <w:szCs w:val="21"/>
              </w:rPr>
              <w:lastRenderedPageBreak/>
              <w:t>0,382.78</w:t>
            </w:r>
          </w:p>
        </w:tc>
        <w:tc>
          <w:tcPr>
            <w:tcW w:w="850" w:type="dxa"/>
            <w:vAlign w:val="center"/>
          </w:tcPr>
          <w:p w:rsidR="00F33AB5" w:rsidRDefault="00214BC7">
            <w:pPr>
              <w:jc w:val="center"/>
            </w:pPr>
            <w:r>
              <w:rPr>
                <w:rFonts w:ascii="宋体" w:hAnsi="宋体" w:hint="eastAsia"/>
                <w:color w:val="000000"/>
                <w:kern w:val="0"/>
                <w:szCs w:val="21"/>
              </w:rPr>
              <w:lastRenderedPageBreak/>
              <w:t>-</w:t>
            </w:r>
          </w:p>
        </w:tc>
        <w:tc>
          <w:tcPr>
            <w:tcW w:w="1134" w:type="dxa"/>
            <w:vAlign w:val="center"/>
          </w:tcPr>
          <w:p w:rsidR="00F33AB5" w:rsidRDefault="00214BC7">
            <w:pPr>
              <w:jc w:val="center"/>
            </w:pPr>
            <w:r>
              <w:rPr>
                <w:rFonts w:ascii="宋体" w:hAnsi="宋体" w:hint="eastAsia"/>
                <w:color w:val="000000"/>
                <w:kern w:val="0"/>
                <w:szCs w:val="21"/>
              </w:rPr>
              <w:t>-</w:t>
            </w:r>
          </w:p>
        </w:tc>
        <w:tc>
          <w:tcPr>
            <w:tcW w:w="1419" w:type="dxa"/>
            <w:vAlign w:val="center"/>
          </w:tcPr>
          <w:p w:rsidR="00F33AB5" w:rsidRDefault="00214BC7">
            <w:pPr>
              <w:jc w:val="center"/>
            </w:pPr>
            <w:r>
              <w:rPr>
                <w:rFonts w:ascii="宋体" w:hAnsi="宋体" w:hint="eastAsia"/>
                <w:color w:val="000000"/>
                <w:kern w:val="0"/>
                <w:szCs w:val="21"/>
              </w:rPr>
              <w:t>237,080,382</w:t>
            </w:r>
            <w:r>
              <w:rPr>
                <w:rFonts w:ascii="宋体" w:hAnsi="宋体" w:hint="eastAsia"/>
                <w:color w:val="000000"/>
                <w:kern w:val="0"/>
                <w:szCs w:val="21"/>
              </w:rPr>
              <w:lastRenderedPageBreak/>
              <w:t>.78</w:t>
            </w:r>
          </w:p>
        </w:tc>
        <w:tc>
          <w:tcPr>
            <w:tcW w:w="1130" w:type="dxa"/>
            <w:vAlign w:val="center"/>
          </w:tcPr>
          <w:p w:rsidR="00F33AB5" w:rsidRDefault="00214BC7">
            <w:pPr>
              <w:jc w:val="center"/>
            </w:pPr>
            <w:r>
              <w:rPr>
                <w:rFonts w:ascii="宋体" w:hAnsi="宋体" w:hint="eastAsia"/>
                <w:color w:val="000000"/>
                <w:kern w:val="0"/>
                <w:szCs w:val="21"/>
              </w:rPr>
              <w:lastRenderedPageBreak/>
              <w:t>38.53%</w:t>
            </w:r>
          </w:p>
        </w:tc>
      </w:tr>
      <w:tr w:rsidR="00F33AB5">
        <w:tc>
          <w:tcPr>
            <w:tcW w:w="992" w:type="dxa"/>
            <w:vMerge/>
          </w:tcPr>
          <w:p w:rsidR="00F33AB5" w:rsidRDefault="00F33AB5"/>
        </w:tc>
        <w:tc>
          <w:tcPr>
            <w:tcW w:w="991" w:type="dxa"/>
            <w:vAlign w:val="center"/>
          </w:tcPr>
          <w:p w:rsidR="00F33AB5" w:rsidRDefault="00214BC7">
            <w:pPr>
              <w:jc w:val="center"/>
            </w:pPr>
            <w:r>
              <w:rPr>
                <w:rFonts w:ascii="宋体" w:hAnsi="宋体" w:hint="eastAsia"/>
                <w:color w:val="000000"/>
                <w:kern w:val="0"/>
                <w:szCs w:val="21"/>
              </w:rPr>
              <w:t>3</w:t>
            </w:r>
          </w:p>
        </w:tc>
        <w:tc>
          <w:tcPr>
            <w:tcW w:w="1843" w:type="dxa"/>
            <w:vAlign w:val="center"/>
          </w:tcPr>
          <w:p w:rsidR="00F33AB5" w:rsidRDefault="00214BC7">
            <w:pPr>
              <w:jc w:val="center"/>
            </w:pPr>
            <w:r>
              <w:rPr>
                <w:rFonts w:ascii="宋体" w:hAnsi="宋体" w:hint="eastAsia"/>
                <w:color w:val="000000"/>
                <w:kern w:val="0"/>
                <w:szCs w:val="21"/>
              </w:rPr>
              <w:t>2018/1/1-2018/3/31</w:t>
            </w:r>
          </w:p>
        </w:tc>
        <w:tc>
          <w:tcPr>
            <w:tcW w:w="851" w:type="dxa"/>
            <w:vAlign w:val="center"/>
          </w:tcPr>
          <w:p w:rsidR="00F33AB5" w:rsidRDefault="00214BC7">
            <w:pPr>
              <w:jc w:val="center"/>
            </w:pPr>
            <w:r>
              <w:rPr>
                <w:rFonts w:ascii="宋体" w:hAnsi="宋体" w:hint="eastAsia"/>
                <w:color w:val="000000"/>
                <w:kern w:val="0"/>
                <w:szCs w:val="21"/>
              </w:rPr>
              <w:t>144,229,807.69</w:t>
            </w:r>
          </w:p>
        </w:tc>
        <w:tc>
          <w:tcPr>
            <w:tcW w:w="850" w:type="dxa"/>
            <w:vAlign w:val="center"/>
          </w:tcPr>
          <w:p w:rsidR="00F33AB5" w:rsidRDefault="00214BC7">
            <w:pPr>
              <w:jc w:val="center"/>
            </w:pPr>
            <w:r>
              <w:rPr>
                <w:rFonts w:ascii="宋体" w:hAnsi="宋体" w:hint="eastAsia"/>
                <w:color w:val="000000"/>
                <w:kern w:val="0"/>
                <w:szCs w:val="21"/>
              </w:rPr>
              <w:t>-</w:t>
            </w:r>
          </w:p>
        </w:tc>
        <w:tc>
          <w:tcPr>
            <w:tcW w:w="1134" w:type="dxa"/>
            <w:vAlign w:val="center"/>
          </w:tcPr>
          <w:p w:rsidR="00F33AB5" w:rsidRDefault="00214BC7">
            <w:pPr>
              <w:jc w:val="center"/>
            </w:pPr>
            <w:r>
              <w:rPr>
                <w:rFonts w:ascii="宋体" w:hAnsi="宋体" w:hint="eastAsia"/>
                <w:color w:val="000000"/>
                <w:kern w:val="0"/>
                <w:szCs w:val="21"/>
              </w:rPr>
              <w:t>-</w:t>
            </w:r>
          </w:p>
        </w:tc>
        <w:tc>
          <w:tcPr>
            <w:tcW w:w="1419" w:type="dxa"/>
            <w:vAlign w:val="center"/>
          </w:tcPr>
          <w:p w:rsidR="00F33AB5" w:rsidRDefault="00214BC7">
            <w:pPr>
              <w:jc w:val="center"/>
            </w:pPr>
            <w:r>
              <w:rPr>
                <w:rFonts w:ascii="宋体" w:hAnsi="宋体" w:hint="eastAsia"/>
                <w:color w:val="000000"/>
                <w:kern w:val="0"/>
                <w:szCs w:val="21"/>
              </w:rPr>
              <w:t>144,229,807.69</w:t>
            </w:r>
          </w:p>
        </w:tc>
        <w:tc>
          <w:tcPr>
            <w:tcW w:w="1130" w:type="dxa"/>
            <w:vAlign w:val="center"/>
          </w:tcPr>
          <w:p w:rsidR="00F33AB5" w:rsidRDefault="00214BC7">
            <w:pPr>
              <w:jc w:val="center"/>
            </w:pPr>
            <w:r>
              <w:rPr>
                <w:rFonts w:ascii="宋体" w:hAnsi="宋体" w:hint="eastAsia"/>
                <w:color w:val="000000"/>
                <w:kern w:val="0"/>
                <w:szCs w:val="21"/>
              </w:rPr>
              <w:t>23.44%</w:t>
            </w:r>
          </w:p>
        </w:tc>
      </w:tr>
      <w:tr w:rsidR="00ED0E09" w:rsidRPr="0051447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514479" w:rsidRDefault="00ED0E09">
            <w:pPr>
              <w:autoSpaceDE w:val="0"/>
              <w:autoSpaceDN w:val="0"/>
              <w:adjustRightInd w:val="0"/>
              <w:jc w:val="center"/>
              <w:rPr>
                <w:rFonts w:ascii="宋体" w:hAnsi="宋体"/>
                <w:kern w:val="0"/>
                <w:sz w:val="24"/>
              </w:rPr>
            </w:pPr>
            <w:r w:rsidRPr="00514479">
              <w:rPr>
                <w:rFonts w:ascii="宋体" w:hAnsi="宋体" w:hint="eastAsia"/>
                <w:color w:val="000000"/>
                <w:kern w:val="0"/>
                <w:sz w:val="24"/>
              </w:rPr>
              <w:t>产品特有风险</w:t>
            </w:r>
          </w:p>
        </w:tc>
      </w:tr>
      <w:tr w:rsidR="00ED0E09" w:rsidRPr="0051447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514479" w:rsidRDefault="00ED0E09">
            <w:pPr>
              <w:autoSpaceDE w:val="0"/>
              <w:autoSpaceDN w:val="0"/>
              <w:adjustRightInd w:val="0"/>
              <w:jc w:val="left"/>
              <w:rPr>
                <w:rFonts w:ascii="宋体" w:hAnsi="宋体"/>
                <w:kern w:val="0"/>
                <w:sz w:val="24"/>
              </w:rPr>
            </w:pPr>
            <w:r w:rsidRPr="00514479">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14479" w:rsidRPr="00514479" w:rsidRDefault="00514479" w:rsidP="00ED0E09">
      <w:pPr>
        <w:autoSpaceDE w:val="0"/>
        <w:autoSpaceDN w:val="0"/>
        <w:adjustRightInd w:val="0"/>
        <w:spacing w:line="360" w:lineRule="auto"/>
        <w:jc w:val="left"/>
        <w:rPr>
          <w:rFonts w:ascii="宋体" w:hAnsi="宋体"/>
          <w:b/>
          <w:bCs/>
          <w:color w:val="000000"/>
          <w:kern w:val="0"/>
          <w:sz w:val="24"/>
        </w:rPr>
      </w:pPr>
    </w:p>
    <w:p w:rsidR="00ED0E09" w:rsidRPr="00514479" w:rsidRDefault="00ED0E09" w:rsidP="00ED0E09">
      <w:pPr>
        <w:autoSpaceDE w:val="0"/>
        <w:autoSpaceDN w:val="0"/>
        <w:adjustRightInd w:val="0"/>
        <w:spacing w:line="360" w:lineRule="auto"/>
        <w:jc w:val="left"/>
        <w:rPr>
          <w:rFonts w:ascii="宋体" w:hAnsi="宋体"/>
          <w:b/>
          <w:bCs/>
          <w:color w:val="000000"/>
          <w:kern w:val="0"/>
          <w:sz w:val="24"/>
        </w:rPr>
      </w:pPr>
      <w:r w:rsidRPr="00514479">
        <w:rPr>
          <w:rFonts w:ascii="宋体" w:hAnsi="宋体" w:hint="eastAsia"/>
          <w:b/>
          <w:bCs/>
          <w:color w:val="000000"/>
          <w:kern w:val="0"/>
          <w:sz w:val="24"/>
        </w:rPr>
        <w:t>9.2 影响投资者决策的其他重要信息</w:t>
      </w:r>
    </w:p>
    <w:p w:rsidR="00F33AB5" w:rsidRPr="00514479" w:rsidRDefault="00214BC7">
      <w:pPr>
        <w:spacing w:line="360" w:lineRule="auto"/>
        <w:ind w:firstLineChars="200" w:firstLine="480"/>
        <w:rPr>
          <w:rFonts w:ascii="宋体" w:hAnsi="宋体"/>
          <w:color w:val="000000"/>
          <w:sz w:val="24"/>
        </w:rPr>
      </w:pPr>
      <w:r w:rsidRPr="00514479">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514479" w:rsidRDefault="00ED0E09" w:rsidP="00ED0E09">
      <w:pPr>
        <w:spacing w:line="360" w:lineRule="auto"/>
        <w:ind w:firstLineChars="200" w:firstLine="480"/>
        <w:rPr>
          <w:rFonts w:ascii="宋体" w:hAnsi="宋体"/>
          <w:color w:val="000000"/>
          <w:sz w:val="24"/>
        </w:rPr>
      </w:pPr>
      <w:r w:rsidRPr="00514479">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、《交银施罗德新回报灵活配置混合型证券投资基金基金合同》；</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33AB5" w:rsidRDefault="00214BC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FC" w:rsidRDefault="00CD4FFC">
      <w:r>
        <w:separator/>
      </w:r>
    </w:p>
  </w:endnote>
  <w:endnote w:type="continuationSeparator" w:id="0">
    <w:p w:rsidR="00CD4FFC" w:rsidRDefault="00CD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3666B">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13666B">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FC" w:rsidRDefault="00CD4FFC">
      <w:r>
        <w:separator/>
      </w:r>
    </w:p>
  </w:footnote>
  <w:footnote w:type="continuationSeparator" w:id="0">
    <w:p w:rsidR="00CD4FFC" w:rsidRDefault="00CD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666B"/>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4BC7"/>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58F"/>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1E0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4479"/>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4FF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3AB5"/>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19827514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0504-C2D0-4F14-9DD8-B5BF204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16</Pages>
  <Words>1371</Words>
  <Characters>7820</Characters>
  <Application>Microsoft Office Word</Application>
  <DocSecurity>0</DocSecurity>
  <Lines>65</Lines>
  <Paragraphs>18</Paragraphs>
  <ScaleCrop>false</ScaleCrop>
  <Company>TRT. Ltd. Co.</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378</cp:revision>
  <cp:lastPrinted>2007-07-19T00:46:00Z</cp:lastPrinted>
  <dcterms:created xsi:type="dcterms:W3CDTF">2014-01-17T06:19:00Z</dcterms:created>
  <dcterms:modified xsi:type="dcterms:W3CDTF">2018-04-19T01:38:00Z</dcterms:modified>
</cp:coreProperties>
</file>