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283,957,161.16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在严格控制风险和追求资产稳健增值的基础上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AF3A48" w:rsidRDefault="00521DB6">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AF3A48" w:rsidRDefault="00AF3A48">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AF3A48" w:rsidRDefault="00521DB6">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519746</w:t>
            </w:r>
          </w:p>
        </w:tc>
        <w:tc>
          <w:tcPr>
            <w:tcW w:w="3048" w:type="dxa"/>
            <w:vAlign w:val="center"/>
          </w:tcPr>
          <w:p w:rsidR="00C23B30" w:rsidRPr="000E4C40" w:rsidRDefault="00C23B30" w:rsidP="00A52A9E">
            <w:pPr>
              <w:spacing w:before="29" w:line="288" w:lineRule="auto"/>
              <w:jc w:val="left"/>
              <w:rPr>
                <w:sz w:val="24"/>
              </w:rPr>
            </w:pPr>
            <w:r w:rsidRPr="000E4C40">
              <w:rPr>
                <w:sz w:val="24"/>
              </w:rPr>
              <w:t>519748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266,380,853.62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17,576,307.54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20</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交银丰享收益债券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交银丰享收益债券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4,804,551.84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168,449.90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6,707,231.06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255,258.75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0.0125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541,903,929.88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18,160,574.50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1.033</w:t>
            </w:r>
          </w:p>
        </w:tc>
      </w:tr>
    </w:tbl>
    <w:p w:rsidR="00AF3A48" w:rsidRDefault="00521DB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交银丰享收益债券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F3A48">
        <w:trPr>
          <w:jc w:val="center"/>
        </w:trPr>
        <w:tc>
          <w:tcPr>
            <w:tcW w:w="1266" w:type="dxa"/>
            <w:vAlign w:val="center"/>
          </w:tcPr>
          <w:p w:rsidR="00AF3A48" w:rsidRDefault="00521DB6">
            <w:pPr>
              <w:jc w:val="left"/>
            </w:pPr>
            <w:r>
              <w:rPr>
                <w:color w:val="000000"/>
                <w:sz w:val="24"/>
              </w:rPr>
              <w:t>过去三个月</w:t>
            </w:r>
          </w:p>
        </w:tc>
        <w:tc>
          <w:tcPr>
            <w:tcW w:w="1267" w:type="dxa"/>
            <w:vAlign w:val="center"/>
          </w:tcPr>
          <w:p w:rsidR="00AF3A48" w:rsidRDefault="00521DB6">
            <w:pPr>
              <w:jc w:val="center"/>
            </w:pPr>
            <w:r>
              <w:rPr>
                <w:color w:val="000000"/>
                <w:sz w:val="24"/>
              </w:rPr>
              <w:t>1.24%</w:t>
            </w:r>
          </w:p>
        </w:tc>
        <w:tc>
          <w:tcPr>
            <w:tcW w:w="1267" w:type="dxa"/>
            <w:vAlign w:val="center"/>
          </w:tcPr>
          <w:p w:rsidR="00AF3A48" w:rsidRDefault="00521DB6">
            <w:pPr>
              <w:jc w:val="center"/>
            </w:pPr>
            <w:r>
              <w:rPr>
                <w:color w:val="000000"/>
                <w:sz w:val="24"/>
              </w:rPr>
              <w:t>0.03%</w:t>
            </w:r>
          </w:p>
        </w:tc>
        <w:tc>
          <w:tcPr>
            <w:tcW w:w="1267" w:type="dxa"/>
            <w:vAlign w:val="center"/>
          </w:tcPr>
          <w:p w:rsidR="00AF3A48" w:rsidRDefault="00521DB6">
            <w:pPr>
              <w:jc w:val="center"/>
            </w:pPr>
            <w:r>
              <w:rPr>
                <w:color w:val="000000"/>
                <w:sz w:val="24"/>
              </w:rPr>
              <w:t>1.13%</w:t>
            </w:r>
          </w:p>
        </w:tc>
        <w:tc>
          <w:tcPr>
            <w:tcW w:w="1267" w:type="dxa"/>
            <w:vAlign w:val="center"/>
          </w:tcPr>
          <w:p w:rsidR="00AF3A48" w:rsidRDefault="00521DB6">
            <w:pPr>
              <w:jc w:val="center"/>
            </w:pPr>
            <w:r>
              <w:rPr>
                <w:color w:val="000000"/>
                <w:sz w:val="24"/>
              </w:rPr>
              <w:t>0.04%</w:t>
            </w:r>
          </w:p>
        </w:tc>
        <w:tc>
          <w:tcPr>
            <w:tcW w:w="1267" w:type="dxa"/>
            <w:vAlign w:val="center"/>
          </w:tcPr>
          <w:p w:rsidR="00AF3A48" w:rsidRDefault="00521DB6">
            <w:pPr>
              <w:jc w:val="center"/>
            </w:pPr>
            <w:r>
              <w:rPr>
                <w:color w:val="000000"/>
                <w:sz w:val="24"/>
              </w:rPr>
              <w:t>0.11%</w:t>
            </w:r>
          </w:p>
        </w:tc>
        <w:tc>
          <w:tcPr>
            <w:tcW w:w="1267" w:type="dxa"/>
            <w:vAlign w:val="center"/>
          </w:tcPr>
          <w:p w:rsidR="00AF3A48" w:rsidRDefault="00521DB6">
            <w:pPr>
              <w:jc w:val="center"/>
            </w:pPr>
            <w:r>
              <w:rPr>
                <w:color w:val="000000"/>
                <w:sz w:val="24"/>
              </w:rPr>
              <w:t>-0.01%</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交银丰享收益债券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F3A48">
        <w:trPr>
          <w:jc w:val="center"/>
        </w:trPr>
        <w:tc>
          <w:tcPr>
            <w:tcW w:w="1266" w:type="dxa"/>
            <w:vAlign w:val="center"/>
          </w:tcPr>
          <w:p w:rsidR="00AF3A48" w:rsidRDefault="00521DB6">
            <w:pPr>
              <w:jc w:val="left"/>
            </w:pPr>
            <w:r>
              <w:rPr>
                <w:color w:val="000000"/>
                <w:sz w:val="24"/>
              </w:rPr>
              <w:t>过去三个月</w:t>
            </w:r>
          </w:p>
        </w:tc>
        <w:tc>
          <w:tcPr>
            <w:tcW w:w="1267" w:type="dxa"/>
            <w:vAlign w:val="center"/>
          </w:tcPr>
          <w:p w:rsidR="00AF3A48" w:rsidRDefault="00521DB6">
            <w:pPr>
              <w:jc w:val="center"/>
            </w:pPr>
            <w:r>
              <w:rPr>
                <w:color w:val="000000"/>
                <w:sz w:val="24"/>
              </w:rPr>
              <w:t>1.18%</w:t>
            </w:r>
          </w:p>
        </w:tc>
        <w:tc>
          <w:tcPr>
            <w:tcW w:w="1267" w:type="dxa"/>
            <w:vAlign w:val="center"/>
          </w:tcPr>
          <w:p w:rsidR="00AF3A48" w:rsidRDefault="00521DB6">
            <w:pPr>
              <w:jc w:val="center"/>
            </w:pPr>
            <w:r>
              <w:rPr>
                <w:color w:val="000000"/>
                <w:sz w:val="24"/>
              </w:rPr>
              <w:t>0.05%</w:t>
            </w:r>
          </w:p>
        </w:tc>
        <w:tc>
          <w:tcPr>
            <w:tcW w:w="1267" w:type="dxa"/>
            <w:vAlign w:val="center"/>
          </w:tcPr>
          <w:p w:rsidR="00AF3A48" w:rsidRDefault="00521DB6">
            <w:pPr>
              <w:jc w:val="center"/>
            </w:pPr>
            <w:r>
              <w:rPr>
                <w:color w:val="000000"/>
                <w:sz w:val="24"/>
              </w:rPr>
              <w:t>1.13%</w:t>
            </w:r>
          </w:p>
        </w:tc>
        <w:tc>
          <w:tcPr>
            <w:tcW w:w="1267" w:type="dxa"/>
            <w:vAlign w:val="center"/>
          </w:tcPr>
          <w:p w:rsidR="00AF3A48" w:rsidRDefault="00521DB6">
            <w:pPr>
              <w:jc w:val="center"/>
            </w:pPr>
            <w:r>
              <w:rPr>
                <w:color w:val="000000"/>
                <w:sz w:val="24"/>
              </w:rPr>
              <w:t>0.04%</w:t>
            </w:r>
          </w:p>
        </w:tc>
        <w:tc>
          <w:tcPr>
            <w:tcW w:w="1267" w:type="dxa"/>
            <w:vAlign w:val="center"/>
          </w:tcPr>
          <w:p w:rsidR="00AF3A48" w:rsidRDefault="00521DB6">
            <w:pPr>
              <w:jc w:val="center"/>
            </w:pPr>
            <w:r>
              <w:rPr>
                <w:color w:val="000000"/>
                <w:sz w:val="24"/>
              </w:rPr>
              <w:t>0.05%</w:t>
            </w:r>
          </w:p>
        </w:tc>
        <w:tc>
          <w:tcPr>
            <w:tcW w:w="1267" w:type="dxa"/>
            <w:vAlign w:val="center"/>
          </w:tcPr>
          <w:p w:rsidR="00AF3A48" w:rsidRDefault="00521DB6">
            <w:pPr>
              <w:jc w:val="center"/>
            </w:pPr>
            <w:r>
              <w:rPr>
                <w:color w:val="000000"/>
                <w:sz w:val="24"/>
              </w:rPr>
              <w:t>0.01%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交银施罗德丰享收益债券型证券投资基金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w:t>
      </w:r>
      <w:r w:rsidR="0042785F" w:rsidRPr="007F52FA">
        <w:rPr>
          <w:color w:val="000000"/>
          <w:sz w:val="24"/>
        </w:rPr>
        <w:t>A</w:t>
      </w:r>
    </w:p>
    <w:p w:rsidR="00807B81" w:rsidRPr="007F52FA" w:rsidRDefault="00521DB6"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14:anchorId="14C4656C" wp14:editId="4D73A804">
            <wp:extent cx="5731510" cy="3356610"/>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日起，开始销售</w:t>
      </w:r>
      <w:r w:rsidRPr="007F52FA">
        <w:rPr>
          <w:color w:val="000000"/>
          <w:sz w:val="24"/>
        </w:rPr>
        <w:t>A</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交银丰享收益债券</w:t>
      </w:r>
      <w:r w:rsidR="00FE7FBD" w:rsidRPr="007F52FA">
        <w:rPr>
          <w:color w:val="000000"/>
          <w:sz w:val="24"/>
        </w:rPr>
        <w:t>C</w:t>
      </w:r>
    </w:p>
    <w:p w:rsidR="00D12D04" w:rsidRPr="007F52FA" w:rsidRDefault="00521DB6"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69A0351A" wp14:editId="42221D5B">
            <wp:extent cx="5731510" cy="3356610"/>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19</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F3A48">
        <w:trPr>
          <w:jc w:val="center"/>
        </w:trPr>
        <w:tc>
          <w:tcPr>
            <w:tcW w:w="946" w:type="dxa"/>
            <w:vAlign w:val="center"/>
          </w:tcPr>
          <w:p w:rsidR="00AF3A48" w:rsidRDefault="00521DB6">
            <w:pPr>
              <w:jc w:val="center"/>
            </w:pPr>
            <w:r>
              <w:rPr>
                <w:color w:val="000000"/>
                <w:sz w:val="24"/>
              </w:rPr>
              <w:t>黄莹洁</w:t>
            </w:r>
          </w:p>
        </w:tc>
        <w:tc>
          <w:tcPr>
            <w:tcW w:w="924" w:type="dxa"/>
            <w:vAlign w:val="center"/>
          </w:tcPr>
          <w:p w:rsidR="00AF3A48" w:rsidRDefault="00521DB6" w:rsidP="004405B9">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w:t>
            </w:r>
            <w:r>
              <w:rPr>
                <w:color w:val="000000"/>
                <w:sz w:val="24"/>
              </w:rPr>
              <w:lastRenderedPageBreak/>
              <w:t>宝货币、交银境尚收益债券的基金经理</w:t>
            </w:r>
          </w:p>
        </w:tc>
        <w:tc>
          <w:tcPr>
            <w:tcW w:w="1202" w:type="dxa"/>
            <w:vAlign w:val="center"/>
          </w:tcPr>
          <w:p w:rsidR="00AF3A48" w:rsidRDefault="00521DB6">
            <w:pPr>
              <w:jc w:val="center"/>
            </w:pPr>
            <w:r>
              <w:rPr>
                <w:color w:val="000000"/>
                <w:sz w:val="24"/>
              </w:rPr>
              <w:lastRenderedPageBreak/>
              <w:t>2015-07-25</w:t>
            </w:r>
          </w:p>
        </w:tc>
        <w:tc>
          <w:tcPr>
            <w:tcW w:w="1300" w:type="dxa"/>
            <w:vAlign w:val="center"/>
          </w:tcPr>
          <w:p w:rsidR="00AF3A48" w:rsidRDefault="00521DB6">
            <w:pPr>
              <w:jc w:val="center"/>
            </w:pPr>
            <w:r>
              <w:rPr>
                <w:color w:val="000000"/>
                <w:sz w:val="24"/>
              </w:rPr>
              <w:t>-</w:t>
            </w:r>
          </w:p>
        </w:tc>
        <w:tc>
          <w:tcPr>
            <w:tcW w:w="1245" w:type="dxa"/>
            <w:vAlign w:val="center"/>
          </w:tcPr>
          <w:p w:rsidR="00AF3A48" w:rsidRDefault="00521DB6">
            <w:pPr>
              <w:jc w:val="center"/>
            </w:pPr>
            <w:r>
              <w:rPr>
                <w:color w:val="000000"/>
                <w:sz w:val="24"/>
              </w:rPr>
              <w:t>10</w:t>
            </w:r>
            <w:r>
              <w:rPr>
                <w:color w:val="000000"/>
                <w:sz w:val="24"/>
              </w:rPr>
              <w:t>年</w:t>
            </w:r>
          </w:p>
        </w:tc>
        <w:tc>
          <w:tcPr>
            <w:tcW w:w="3251" w:type="dxa"/>
            <w:vAlign w:val="center"/>
          </w:tcPr>
          <w:p w:rsidR="00AF3A48" w:rsidRDefault="00521DB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sidR="004405B9" w:rsidRPr="004405B9">
              <w:rPr>
                <w:rFonts w:hint="eastAsia"/>
                <w:color w:val="000000"/>
                <w:sz w:val="24"/>
              </w:rPr>
              <w:t>2015</w:t>
            </w:r>
            <w:r w:rsidR="004405B9" w:rsidRPr="004405B9">
              <w:rPr>
                <w:rFonts w:hint="eastAsia"/>
                <w:color w:val="000000"/>
                <w:sz w:val="24"/>
              </w:rPr>
              <w:t>年</w:t>
            </w:r>
            <w:r w:rsidR="004405B9" w:rsidRPr="004405B9">
              <w:rPr>
                <w:rFonts w:hint="eastAsia"/>
                <w:color w:val="000000"/>
                <w:sz w:val="24"/>
              </w:rPr>
              <w:t>7</w:t>
            </w:r>
            <w:r w:rsidR="004405B9" w:rsidRPr="004405B9">
              <w:rPr>
                <w:rFonts w:hint="eastAsia"/>
                <w:color w:val="000000"/>
                <w:sz w:val="24"/>
              </w:rPr>
              <w:t>月</w:t>
            </w:r>
            <w:r w:rsidR="004405B9" w:rsidRPr="004405B9">
              <w:rPr>
                <w:rFonts w:hint="eastAsia"/>
                <w:color w:val="000000"/>
                <w:sz w:val="24"/>
              </w:rPr>
              <w:t>25</w:t>
            </w:r>
            <w:r w:rsidR="004405B9" w:rsidRPr="004405B9">
              <w:rPr>
                <w:rFonts w:hint="eastAsia"/>
                <w:color w:val="000000"/>
                <w:sz w:val="24"/>
              </w:rPr>
              <w:t>日至</w:t>
            </w:r>
            <w:r w:rsidR="004405B9" w:rsidRPr="004405B9">
              <w:rPr>
                <w:rFonts w:hint="eastAsia"/>
                <w:color w:val="000000"/>
                <w:sz w:val="24"/>
              </w:rPr>
              <w:t>2018</w:t>
            </w:r>
            <w:r w:rsidR="004405B9" w:rsidRPr="004405B9">
              <w:rPr>
                <w:rFonts w:hint="eastAsia"/>
                <w:color w:val="000000"/>
                <w:sz w:val="24"/>
              </w:rPr>
              <w:t>年</w:t>
            </w:r>
            <w:r w:rsidR="004405B9" w:rsidRPr="004405B9">
              <w:rPr>
                <w:rFonts w:hint="eastAsia"/>
                <w:color w:val="000000"/>
                <w:sz w:val="24"/>
              </w:rPr>
              <w:t>3</w:t>
            </w:r>
            <w:r w:rsidR="004405B9" w:rsidRPr="004405B9">
              <w:rPr>
                <w:rFonts w:hint="eastAsia"/>
                <w:color w:val="000000"/>
                <w:sz w:val="24"/>
              </w:rPr>
              <w:t>月</w:t>
            </w:r>
            <w:r w:rsidR="004405B9" w:rsidRPr="004405B9">
              <w:rPr>
                <w:rFonts w:hint="eastAsia"/>
                <w:color w:val="000000"/>
                <w:sz w:val="24"/>
              </w:rPr>
              <w:t>19</w:t>
            </w:r>
            <w:r w:rsidR="004405B9" w:rsidRPr="004405B9">
              <w:rPr>
                <w:rFonts w:hint="eastAsia"/>
                <w:color w:val="000000"/>
                <w:sz w:val="24"/>
              </w:rPr>
              <w:t>日担任交银施罗德丰泽收益债券型证券投资基金的基金经理</w:t>
            </w:r>
            <w:r w:rsidR="00335060">
              <w:rPr>
                <w:rFonts w:hint="eastAsia"/>
                <w:color w:val="000000"/>
                <w:sz w:val="24"/>
              </w:rPr>
              <w:t>。</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F3A48" w:rsidRDefault="00521DB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F3A48" w:rsidRDefault="00521DB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F3A48" w:rsidRDefault="00521DB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lastRenderedPageBreak/>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F3A48" w:rsidRDefault="00521DB6">
      <w:pPr>
        <w:spacing w:before="29" w:line="288" w:lineRule="auto"/>
        <w:ind w:firstLineChars="200" w:firstLine="480"/>
        <w:rPr>
          <w:color w:val="000000"/>
          <w:sz w:val="24"/>
        </w:rPr>
      </w:pPr>
      <w:r>
        <w:rPr>
          <w:color w:val="000000"/>
          <w:sz w:val="24"/>
        </w:rPr>
        <w:t>本报告期内，受节假日等季节性因素影响，</w:t>
      </w:r>
      <w:r>
        <w:rPr>
          <w:color w:val="000000"/>
          <w:sz w:val="24"/>
        </w:rPr>
        <w:t>2018</w:t>
      </w:r>
      <w:r>
        <w:rPr>
          <w:color w:val="000000"/>
          <w:sz w:val="24"/>
        </w:rPr>
        <w:t>年一至二月的经济增长数据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行。同期债券收益率在一月中后旬触及历史高点后，开启了一波下行趋势，其中经济增长态势趋缓、美联储加息靴子落地、狭义流动性边际宽松等因素成为债券市场收益率变动的主要原因。报告期内，</w:t>
      </w:r>
      <w:r>
        <w:rPr>
          <w:color w:val="000000"/>
          <w:sz w:val="24"/>
        </w:rPr>
        <w:t>10</w:t>
      </w:r>
      <w:r>
        <w:rPr>
          <w:color w:val="000000"/>
          <w:sz w:val="24"/>
        </w:rPr>
        <w:t>年期国债收益率下行</w:t>
      </w:r>
      <w:r>
        <w:rPr>
          <w:color w:val="000000"/>
          <w:sz w:val="24"/>
        </w:rPr>
        <w:t>14BP</w:t>
      </w:r>
      <w:r>
        <w:rPr>
          <w:color w:val="000000"/>
          <w:sz w:val="24"/>
        </w:rPr>
        <w:t>至</w:t>
      </w:r>
      <w:r>
        <w:rPr>
          <w:color w:val="000000"/>
          <w:sz w:val="24"/>
        </w:rPr>
        <w:t>3.74%</w:t>
      </w:r>
      <w:r>
        <w:rPr>
          <w:color w:val="000000"/>
          <w:sz w:val="24"/>
        </w:rPr>
        <w:t>，</w:t>
      </w:r>
      <w:r>
        <w:rPr>
          <w:color w:val="000000"/>
          <w:sz w:val="24"/>
        </w:rPr>
        <w:t>10</w:t>
      </w:r>
      <w:r>
        <w:rPr>
          <w:color w:val="000000"/>
          <w:sz w:val="24"/>
        </w:rPr>
        <w:t>年期国开债收益率下行</w:t>
      </w:r>
      <w:r>
        <w:rPr>
          <w:color w:val="000000"/>
          <w:sz w:val="24"/>
        </w:rPr>
        <w:t>18BP</w:t>
      </w:r>
      <w:r>
        <w:rPr>
          <w:color w:val="000000"/>
          <w:sz w:val="24"/>
        </w:rPr>
        <w:t>到</w:t>
      </w:r>
      <w:r>
        <w:rPr>
          <w:color w:val="000000"/>
          <w:sz w:val="24"/>
        </w:rPr>
        <w:t>4.65%</w:t>
      </w:r>
      <w:r>
        <w:rPr>
          <w:color w:val="000000"/>
          <w:sz w:val="24"/>
        </w:rPr>
        <w:t>。</w:t>
      </w:r>
    </w:p>
    <w:p w:rsidR="00AF3A48" w:rsidRDefault="00521DB6">
      <w:pPr>
        <w:spacing w:before="29" w:line="288" w:lineRule="auto"/>
        <w:ind w:firstLineChars="200" w:firstLine="480"/>
        <w:rPr>
          <w:color w:val="000000"/>
          <w:sz w:val="24"/>
        </w:rPr>
      </w:pPr>
      <w:r>
        <w:rPr>
          <w:color w:val="000000"/>
          <w:sz w:val="24"/>
        </w:rPr>
        <w:t>基金操作方面，从绝对收益率、期限利差和金融去杠杆角度看，目前中短端仍是较好的选择，本基金以配置短久期的信用债为主。</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年二季度，基本面在一季度的复杂分化将逐步清晰起来，通胀在春节后的回落确定性虽高，但仍需关注原油走势和中美贸易摩擦带来的预期变化，警惕中美贸易战升级带来的</w:t>
      </w:r>
      <w:r w:rsidRPr="007F52FA">
        <w:rPr>
          <w:color w:val="000000"/>
          <w:sz w:val="24"/>
        </w:rPr>
        <w:t>“</w:t>
      </w:r>
      <w:r w:rsidRPr="007F52FA">
        <w:rPr>
          <w:color w:val="000000"/>
          <w:sz w:val="24"/>
        </w:rPr>
        <w:t>灰犀牛风险</w:t>
      </w:r>
      <w:r w:rsidRPr="007F52FA">
        <w:rPr>
          <w:color w:val="000000"/>
          <w:sz w:val="24"/>
        </w:rPr>
        <w:t>”</w:t>
      </w:r>
      <w:r w:rsidRPr="007F52FA">
        <w:rPr>
          <w:color w:val="000000"/>
          <w:sz w:val="24"/>
        </w:rPr>
        <w:t>。在货币政策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短端利率或受益于狭义流动性改善维持中低位，但长端收益率的进一步下行需要基本面和政策面的支持。我们将密切关注资管新规的落地实施、中美贸易摩擦发展、通胀预期变化、海外货币政策变化等因素对市场的影响。组合管理方面，本基金计划将维持合理仓位，采用中短久期的票息策略，等待长期趋势性机会，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AF3A48" w:rsidRDefault="00521DB6">
      <w:pPr>
        <w:spacing w:before="29" w:line="288" w:lineRule="auto"/>
        <w:ind w:firstLineChars="200" w:firstLine="480"/>
        <w:rPr>
          <w:color w:val="000000"/>
          <w:sz w:val="24"/>
        </w:rPr>
      </w:pPr>
      <w:r>
        <w:rPr>
          <w:color w:val="000000"/>
          <w:sz w:val="24"/>
        </w:rPr>
        <w:t>截至</w:t>
      </w:r>
      <w:r>
        <w:rPr>
          <w:color w:val="000000"/>
          <w:sz w:val="24"/>
        </w:rPr>
        <w:t>2018</w:t>
      </w:r>
      <w:r>
        <w:rPr>
          <w:color w:val="000000"/>
          <w:sz w:val="24"/>
        </w:rPr>
        <w:t>年</w:t>
      </w:r>
      <w:r>
        <w:rPr>
          <w:color w:val="000000"/>
          <w:sz w:val="24"/>
        </w:rPr>
        <w:t>3</w:t>
      </w:r>
      <w:r>
        <w:rPr>
          <w:color w:val="000000"/>
          <w:sz w:val="24"/>
        </w:rPr>
        <w:t>月</w:t>
      </w:r>
      <w:r>
        <w:rPr>
          <w:color w:val="000000"/>
          <w:sz w:val="24"/>
        </w:rPr>
        <w:t>31</w:t>
      </w:r>
      <w:r>
        <w:rPr>
          <w:color w:val="000000"/>
          <w:sz w:val="24"/>
        </w:rPr>
        <w:t>日，交银丰享收益债券</w:t>
      </w:r>
      <w:r>
        <w:rPr>
          <w:color w:val="000000"/>
          <w:sz w:val="24"/>
        </w:rPr>
        <w:t>A</w:t>
      </w:r>
      <w:r>
        <w:rPr>
          <w:color w:val="000000"/>
          <w:sz w:val="24"/>
        </w:rPr>
        <w:t>份额净值为</w:t>
      </w:r>
      <w:r>
        <w:rPr>
          <w:color w:val="000000"/>
          <w:sz w:val="24"/>
        </w:rPr>
        <w:t>2.034</w:t>
      </w:r>
      <w:r>
        <w:rPr>
          <w:color w:val="000000"/>
          <w:sz w:val="24"/>
        </w:rPr>
        <w:t>元，本报告期份额净值增长率为</w:t>
      </w:r>
      <w:r>
        <w:rPr>
          <w:color w:val="000000"/>
          <w:sz w:val="24"/>
        </w:rPr>
        <w:t>1.24%</w:t>
      </w:r>
      <w:r>
        <w:rPr>
          <w:color w:val="000000"/>
          <w:sz w:val="24"/>
        </w:rPr>
        <w:t>，同期业绩比较基准增长率为</w:t>
      </w:r>
      <w:r>
        <w:rPr>
          <w:color w:val="000000"/>
          <w:sz w:val="24"/>
        </w:rPr>
        <w:t>1.13%</w:t>
      </w:r>
      <w:r>
        <w:rPr>
          <w:rFonts w:hint="eastAsia"/>
          <w:color w:val="000000"/>
          <w:sz w:val="24"/>
        </w:rPr>
        <w:t>；</w:t>
      </w:r>
    </w:p>
    <w:p w:rsidR="00952A72" w:rsidRPr="007F52FA" w:rsidRDefault="00323F25" w:rsidP="007C14DF">
      <w:pPr>
        <w:spacing w:before="29" w:line="288" w:lineRule="auto"/>
        <w:ind w:firstLineChars="200" w:firstLine="480"/>
        <w:rPr>
          <w:color w:val="000000"/>
          <w:sz w:val="24"/>
        </w:rPr>
      </w:pPr>
      <w:r w:rsidRPr="007F52FA">
        <w:rPr>
          <w:color w:val="000000"/>
          <w:sz w:val="24"/>
        </w:rPr>
        <w:t>交银丰享收益债券</w:t>
      </w:r>
      <w:r w:rsidRPr="007F52FA">
        <w:rPr>
          <w:color w:val="000000"/>
          <w:sz w:val="24"/>
        </w:rPr>
        <w:t>C</w:t>
      </w:r>
      <w:r w:rsidRPr="007F52FA">
        <w:rPr>
          <w:color w:val="000000"/>
          <w:sz w:val="24"/>
        </w:rPr>
        <w:t>份额净值为</w:t>
      </w:r>
      <w:r w:rsidRPr="007F52FA">
        <w:rPr>
          <w:color w:val="000000"/>
          <w:sz w:val="24"/>
        </w:rPr>
        <w:t>1.033</w:t>
      </w:r>
      <w:r w:rsidRPr="007F52FA">
        <w:rPr>
          <w:color w:val="000000"/>
          <w:sz w:val="24"/>
        </w:rPr>
        <w:t>元，本报告期份额净值增长率为</w:t>
      </w:r>
      <w:r w:rsidRPr="007F52FA">
        <w:rPr>
          <w:color w:val="000000"/>
          <w:sz w:val="24"/>
        </w:rPr>
        <w:t>1.18%</w:t>
      </w:r>
      <w:r w:rsidRPr="007F52FA">
        <w:rPr>
          <w:color w:val="000000"/>
          <w:sz w:val="24"/>
        </w:rPr>
        <w:t>，同期业绩比较基准增长率为</w:t>
      </w:r>
      <w:r w:rsidRPr="007F52FA">
        <w:rPr>
          <w:color w:val="000000"/>
          <w:sz w:val="24"/>
        </w:rPr>
        <w:t>1.13%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470,744,000.00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83.97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470,744,000.00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83.97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77,900,278.95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2,499,803.80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0.45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9,479,135.75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560,623,218.50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60,051,000.00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10.72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60,051,000.00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10.72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341,727,000.00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61.02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68,966,000.00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12.31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470,744,000.00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84.05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F3A48">
        <w:trPr>
          <w:jc w:val="center"/>
        </w:trPr>
        <w:tc>
          <w:tcPr>
            <w:tcW w:w="1075" w:type="dxa"/>
            <w:vAlign w:val="center"/>
          </w:tcPr>
          <w:p w:rsidR="00AF3A48" w:rsidRDefault="00521DB6">
            <w:pPr>
              <w:jc w:val="center"/>
            </w:pPr>
            <w:r>
              <w:rPr>
                <w:color w:val="000000"/>
                <w:sz w:val="24"/>
              </w:rPr>
              <w:t>1</w:t>
            </w:r>
          </w:p>
        </w:tc>
        <w:tc>
          <w:tcPr>
            <w:tcW w:w="1533" w:type="dxa"/>
            <w:vAlign w:val="center"/>
          </w:tcPr>
          <w:p w:rsidR="00AF3A48" w:rsidRDefault="00521DB6">
            <w:pPr>
              <w:jc w:val="center"/>
            </w:pPr>
            <w:r>
              <w:rPr>
                <w:color w:val="000000"/>
                <w:sz w:val="24"/>
              </w:rPr>
              <w:t>011752061</w:t>
            </w:r>
          </w:p>
        </w:tc>
        <w:tc>
          <w:tcPr>
            <w:tcW w:w="1533" w:type="dxa"/>
            <w:vAlign w:val="center"/>
          </w:tcPr>
          <w:p w:rsidR="00AF3A48" w:rsidRDefault="00521DB6">
            <w:pPr>
              <w:jc w:val="center"/>
            </w:pPr>
            <w:r>
              <w:rPr>
                <w:color w:val="000000"/>
                <w:sz w:val="24"/>
              </w:rPr>
              <w:t>17</w:t>
            </w:r>
            <w:r>
              <w:rPr>
                <w:color w:val="000000"/>
                <w:sz w:val="24"/>
              </w:rPr>
              <w:t>国电集</w:t>
            </w:r>
            <w:r>
              <w:rPr>
                <w:color w:val="000000"/>
                <w:sz w:val="24"/>
              </w:rPr>
              <w:t>SCP006BC</w:t>
            </w:r>
          </w:p>
        </w:tc>
        <w:tc>
          <w:tcPr>
            <w:tcW w:w="1394" w:type="dxa"/>
            <w:vAlign w:val="center"/>
          </w:tcPr>
          <w:p w:rsidR="00AF3A48" w:rsidRDefault="00521DB6">
            <w:pPr>
              <w:jc w:val="right"/>
            </w:pPr>
            <w:r>
              <w:rPr>
                <w:color w:val="000000"/>
                <w:sz w:val="24"/>
              </w:rPr>
              <w:t>500,000</w:t>
            </w:r>
          </w:p>
        </w:tc>
        <w:tc>
          <w:tcPr>
            <w:tcW w:w="1944" w:type="dxa"/>
            <w:vAlign w:val="center"/>
          </w:tcPr>
          <w:p w:rsidR="00AF3A48" w:rsidRDefault="00521DB6">
            <w:pPr>
              <w:jc w:val="right"/>
            </w:pPr>
            <w:r>
              <w:rPr>
                <w:color w:val="000000"/>
                <w:sz w:val="24"/>
              </w:rPr>
              <w:t>50,310,000.00</w:t>
            </w:r>
          </w:p>
        </w:tc>
        <w:tc>
          <w:tcPr>
            <w:tcW w:w="1389" w:type="dxa"/>
            <w:vAlign w:val="center"/>
          </w:tcPr>
          <w:p w:rsidR="00AF3A48" w:rsidRDefault="00521DB6">
            <w:pPr>
              <w:jc w:val="right"/>
            </w:pPr>
            <w:r>
              <w:rPr>
                <w:color w:val="000000"/>
                <w:sz w:val="24"/>
              </w:rPr>
              <w:t>8.98</w:t>
            </w:r>
          </w:p>
        </w:tc>
      </w:tr>
      <w:tr w:rsidR="00AF3A48">
        <w:trPr>
          <w:jc w:val="center"/>
        </w:trPr>
        <w:tc>
          <w:tcPr>
            <w:tcW w:w="1075" w:type="dxa"/>
            <w:vAlign w:val="center"/>
          </w:tcPr>
          <w:p w:rsidR="00AF3A48" w:rsidRDefault="00521DB6">
            <w:pPr>
              <w:jc w:val="center"/>
            </w:pPr>
            <w:r>
              <w:rPr>
                <w:color w:val="000000"/>
                <w:sz w:val="24"/>
              </w:rPr>
              <w:t>2</w:t>
            </w:r>
          </w:p>
        </w:tc>
        <w:tc>
          <w:tcPr>
            <w:tcW w:w="1533" w:type="dxa"/>
            <w:vAlign w:val="center"/>
          </w:tcPr>
          <w:p w:rsidR="00AF3A48" w:rsidRDefault="00521DB6">
            <w:pPr>
              <w:jc w:val="center"/>
            </w:pPr>
            <w:r>
              <w:rPr>
                <w:color w:val="000000"/>
                <w:sz w:val="24"/>
              </w:rPr>
              <w:t>011754110</w:t>
            </w:r>
          </w:p>
        </w:tc>
        <w:tc>
          <w:tcPr>
            <w:tcW w:w="1533" w:type="dxa"/>
            <w:vAlign w:val="center"/>
          </w:tcPr>
          <w:p w:rsidR="00AF3A48" w:rsidRDefault="00521DB6">
            <w:pPr>
              <w:jc w:val="center"/>
            </w:pPr>
            <w:r>
              <w:rPr>
                <w:color w:val="000000"/>
                <w:sz w:val="24"/>
              </w:rPr>
              <w:t>17</w:t>
            </w:r>
            <w:r>
              <w:rPr>
                <w:color w:val="000000"/>
                <w:sz w:val="24"/>
              </w:rPr>
              <w:t>龙源电力</w:t>
            </w:r>
            <w:r>
              <w:rPr>
                <w:color w:val="000000"/>
                <w:sz w:val="24"/>
              </w:rPr>
              <w:t>SCP004</w:t>
            </w:r>
          </w:p>
        </w:tc>
        <w:tc>
          <w:tcPr>
            <w:tcW w:w="1394" w:type="dxa"/>
            <w:vAlign w:val="center"/>
          </w:tcPr>
          <w:p w:rsidR="00AF3A48" w:rsidRDefault="00521DB6">
            <w:pPr>
              <w:jc w:val="right"/>
            </w:pPr>
            <w:r>
              <w:rPr>
                <w:color w:val="000000"/>
                <w:sz w:val="24"/>
              </w:rPr>
              <w:t>500,000</w:t>
            </w:r>
          </w:p>
        </w:tc>
        <w:tc>
          <w:tcPr>
            <w:tcW w:w="1944" w:type="dxa"/>
            <w:vAlign w:val="center"/>
          </w:tcPr>
          <w:p w:rsidR="00AF3A48" w:rsidRDefault="00521DB6">
            <w:pPr>
              <w:jc w:val="right"/>
            </w:pPr>
            <w:r>
              <w:rPr>
                <w:color w:val="000000"/>
                <w:sz w:val="24"/>
              </w:rPr>
              <w:t>50,290,000.00</w:t>
            </w:r>
          </w:p>
        </w:tc>
        <w:tc>
          <w:tcPr>
            <w:tcW w:w="1389" w:type="dxa"/>
            <w:vAlign w:val="center"/>
          </w:tcPr>
          <w:p w:rsidR="00AF3A48" w:rsidRDefault="00521DB6">
            <w:pPr>
              <w:jc w:val="right"/>
            </w:pPr>
            <w:r>
              <w:rPr>
                <w:color w:val="000000"/>
                <w:sz w:val="24"/>
              </w:rPr>
              <w:t>8.98</w:t>
            </w:r>
          </w:p>
        </w:tc>
      </w:tr>
      <w:tr w:rsidR="00AF3A48">
        <w:trPr>
          <w:jc w:val="center"/>
        </w:trPr>
        <w:tc>
          <w:tcPr>
            <w:tcW w:w="1075" w:type="dxa"/>
            <w:vAlign w:val="center"/>
          </w:tcPr>
          <w:p w:rsidR="00AF3A48" w:rsidRDefault="00521DB6">
            <w:pPr>
              <w:jc w:val="center"/>
            </w:pPr>
            <w:r>
              <w:rPr>
                <w:color w:val="000000"/>
                <w:sz w:val="24"/>
              </w:rPr>
              <w:t>3</w:t>
            </w:r>
          </w:p>
        </w:tc>
        <w:tc>
          <w:tcPr>
            <w:tcW w:w="1533" w:type="dxa"/>
            <w:vAlign w:val="center"/>
          </w:tcPr>
          <w:p w:rsidR="00AF3A48" w:rsidRDefault="00521DB6">
            <w:pPr>
              <w:jc w:val="center"/>
            </w:pPr>
            <w:r>
              <w:rPr>
                <w:color w:val="000000"/>
                <w:sz w:val="24"/>
              </w:rPr>
              <w:t>011754128</w:t>
            </w:r>
          </w:p>
        </w:tc>
        <w:tc>
          <w:tcPr>
            <w:tcW w:w="1533" w:type="dxa"/>
            <w:vAlign w:val="center"/>
          </w:tcPr>
          <w:p w:rsidR="00AF3A48" w:rsidRDefault="00521DB6">
            <w:pPr>
              <w:jc w:val="center"/>
            </w:pPr>
            <w:r>
              <w:rPr>
                <w:color w:val="000000"/>
                <w:sz w:val="24"/>
              </w:rPr>
              <w:t>17</w:t>
            </w:r>
            <w:r>
              <w:rPr>
                <w:color w:val="000000"/>
                <w:sz w:val="24"/>
              </w:rPr>
              <w:t>珠海华发</w:t>
            </w:r>
            <w:r>
              <w:rPr>
                <w:color w:val="000000"/>
                <w:sz w:val="24"/>
              </w:rPr>
              <w:t>SCP008</w:t>
            </w:r>
          </w:p>
        </w:tc>
        <w:tc>
          <w:tcPr>
            <w:tcW w:w="1394" w:type="dxa"/>
            <w:vAlign w:val="center"/>
          </w:tcPr>
          <w:p w:rsidR="00AF3A48" w:rsidRDefault="00521DB6">
            <w:pPr>
              <w:jc w:val="right"/>
            </w:pPr>
            <w:r>
              <w:rPr>
                <w:color w:val="000000"/>
                <w:sz w:val="24"/>
              </w:rPr>
              <w:t>500,000</w:t>
            </w:r>
          </w:p>
        </w:tc>
        <w:tc>
          <w:tcPr>
            <w:tcW w:w="1944" w:type="dxa"/>
            <w:vAlign w:val="center"/>
          </w:tcPr>
          <w:p w:rsidR="00AF3A48" w:rsidRDefault="00521DB6">
            <w:pPr>
              <w:jc w:val="right"/>
            </w:pPr>
            <w:r>
              <w:rPr>
                <w:color w:val="000000"/>
                <w:sz w:val="24"/>
              </w:rPr>
              <w:t>50,280,000.00</w:t>
            </w:r>
          </w:p>
        </w:tc>
        <w:tc>
          <w:tcPr>
            <w:tcW w:w="1389" w:type="dxa"/>
            <w:vAlign w:val="center"/>
          </w:tcPr>
          <w:p w:rsidR="00AF3A48" w:rsidRDefault="00521DB6">
            <w:pPr>
              <w:jc w:val="right"/>
            </w:pPr>
            <w:r>
              <w:rPr>
                <w:color w:val="000000"/>
                <w:sz w:val="24"/>
              </w:rPr>
              <w:t>8.98</w:t>
            </w:r>
          </w:p>
        </w:tc>
      </w:tr>
      <w:tr w:rsidR="00AF3A48">
        <w:trPr>
          <w:jc w:val="center"/>
        </w:trPr>
        <w:tc>
          <w:tcPr>
            <w:tcW w:w="1075" w:type="dxa"/>
            <w:vAlign w:val="center"/>
          </w:tcPr>
          <w:p w:rsidR="00AF3A48" w:rsidRDefault="00521DB6">
            <w:pPr>
              <w:jc w:val="center"/>
            </w:pPr>
            <w:r>
              <w:rPr>
                <w:color w:val="000000"/>
                <w:sz w:val="24"/>
              </w:rPr>
              <w:t>4</w:t>
            </w:r>
          </w:p>
        </w:tc>
        <w:tc>
          <w:tcPr>
            <w:tcW w:w="1533" w:type="dxa"/>
            <w:vAlign w:val="center"/>
          </w:tcPr>
          <w:p w:rsidR="00AF3A48" w:rsidRDefault="00521DB6">
            <w:pPr>
              <w:jc w:val="center"/>
            </w:pPr>
            <w:r>
              <w:rPr>
                <w:color w:val="000000"/>
                <w:sz w:val="24"/>
              </w:rPr>
              <w:t>011800273</w:t>
            </w:r>
          </w:p>
        </w:tc>
        <w:tc>
          <w:tcPr>
            <w:tcW w:w="1533" w:type="dxa"/>
            <w:vAlign w:val="center"/>
          </w:tcPr>
          <w:p w:rsidR="00AF3A48" w:rsidRDefault="00521DB6">
            <w:pPr>
              <w:jc w:val="center"/>
            </w:pPr>
            <w:r>
              <w:rPr>
                <w:color w:val="000000"/>
                <w:sz w:val="24"/>
              </w:rPr>
              <w:t>18</w:t>
            </w:r>
            <w:r>
              <w:rPr>
                <w:color w:val="000000"/>
                <w:sz w:val="24"/>
              </w:rPr>
              <w:t>厦国贸</w:t>
            </w:r>
            <w:r>
              <w:rPr>
                <w:color w:val="000000"/>
                <w:sz w:val="24"/>
              </w:rPr>
              <w:t>SCP004</w:t>
            </w:r>
          </w:p>
        </w:tc>
        <w:tc>
          <w:tcPr>
            <w:tcW w:w="1394" w:type="dxa"/>
            <w:vAlign w:val="center"/>
          </w:tcPr>
          <w:p w:rsidR="00AF3A48" w:rsidRDefault="00521DB6">
            <w:pPr>
              <w:jc w:val="right"/>
            </w:pPr>
            <w:r>
              <w:rPr>
                <w:color w:val="000000"/>
                <w:sz w:val="24"/>
              </w:rPr>
              <w:t>500,000</w:t>
            </w:r>
          </w:p>
        </w:tc>
        <w:tc>
          <w:tcPr>
            <w:tcW w:w="1944" w:type="dxa"/>
            <w:vAlign w:val="center"/>
          </w:tcPr>
          <w:p w:rsidR="00AF3A48" w:rsidRDefault="00521DB6">
            <w:pPr>
              <w:jc w:val="right"/>
            </w:pPr>
            <w:r>
              <w:rPr>
                <w:color w:val="000000"/>
                <w:sz w:val="24"/>
              </w:rPr>
              <w:t>50,080,000.00</w:t>
            </w:r>
          </w:p>
        </w:tc>
        <w:tc>
          <w:tcPr>
            <w:tcW w:w="1389" w:type="dxa"/>
            <w:vAlign w:val="center"/>
          </w:tcPr>
          <w:p w:rsidR="00AF3A48" w:rsidRDefault="00521DB6">
            <w:pPr>
              <w:jc w:val="right"/>
            </w:pPr>
            <w:r>
              <w:rPr>
                <w:color w:val="000000"/>
                <w:sz w:val="24"/>
              </w:rPr>
              <w:t>8.94</w:t>
            </w:r>
          </w:p>
        </w:tc>
      </w:tr>
      <w:tr w:rsidR="00AF3A48">
        <w:trPr>
          <w:jc w:val="center"/>
        </w:trPr>
        <w:tc>
          <w:tcPr>
            <w:tcW w:w="1075" w:type="dxa"/>
            <w:vAlign w:val="center"/>
          </w:tcPr>
          <w:p w:rsidR="00AF3A48" w:rsidRDefault="00521DB6">
            <w:pPr>
              <w:jc w:val="center"/>
            </w:pPr>
            <w:r>
              <w:rPr>
                <w:color w:val="000000"/>
                <w:sz w:val="24"/>
              </w:rPr>
              <w:t>5</w:t>
            </w:r>
          </w:p>
        </w:tc>
        <w:tc>
          <w:tcPr>
            <w:tcW w:w="1533" w:type="dxa"/>
            <w:vAlign w:val="center"/>
          </w:tcPr>
          <w:p w:rsidR="00AF3A48" w:rsidRDefault="00521DB6">
            <w:pPr>
              <w:jc w:val="center"/>
            </w:pPr>
            <w:r>
              <w:rPr>
                <w:color w:val="000000"/>
                <w:sz w:val="24"/>
              </w:rPr>
              <w:t>011764078</w:t>
            </w:r>
          </w:p>
        </w:tc>
        <w:tc>
          <w:tcPr>
            <w:tcW w:w="1533" w:type="dxa"/>
            <w:vAlign w:val="center"/>
          </w:tcPr>
          <w:p w:rsidR="00AF3A48" w:rsidRDefault="00521DB6">
            <w:pPr>
              <w:jc w:val="center"/>
            </w:pPr>
            <w:r>
              <w:rPr>
                <w:color w:val="000000"/>
                <w:sz w:val="24"/>
              </w:rPr>
              <w:t>17</w:t>
            </w:r>
            <w:r>
              <w:rPr>
                <w:color w:val="000000"/>
                <w:sz w:val="24"/>
              </w:rPr>
              <w:t>京供销</w:t>
            </w:r>
            <w:r>
              <w:rPr>
                <w:color w:val="000000"/>
                <w:sz w:val="24"/>
              </w:rPr>
              <w:t>SCP003</w:t>
            </w:r>
          </w:p>
        </w:tc>
        <w:tc>
          <w:tcPr>
            <w:tcW w:w="1394" w:type="dxa"/>
            <w:vAlign w:val="center"/>
          </w:tcPr>
          <w:p w:rsidR="00AF3A48" w:rsidRDefault="00521DB6">
            <w:pPr>
              <w:jc w:val="right"/>
            </w:pPr>
            <w:r>
              <w:rPr>
                <w:color w:val="000000"/>
                <w:sz w:val="24"/>
              </w:rPr>
              <w:t>400,000</w:t>
            </w:r>
          </w:p>
        </w:tc>
        <w:tc>
          <w:tcPr>
            <w:tcW w:w="1944" w:type="dxa"/>
            <w:vAlign w:val="center"/>
          </w:tcPr>
          <w:p w:rsidR="00AF3A48" w:rsidRDefault="00521DB6">
            <w:pPr>
              <w:jc w:val="right"/>
            </w:pPr>
            <w:r>
              <w:rPr>
                <w:color w:val="000000"/>
                <w:sz w:val="24"/>
              </w:rPr>
              <w:t>40,228,000.00</w:t>
            </w:r>
          </w:p>
        </w:tc>
        <w:tc>
          <w:tcPr>
            <w:tcW w:w="1389" w:type="dxa"/>
            <w:vAlign w:val="center"/>
          </w:tcPr>
          <w:p w:rsidR="00AF3A48" w:rsidRDefault="00521DB6">
            <w:pPr>
              <w:jc w:val="right"/>
            </w:pPr>
            <w:r>
              <w:rPr>
                <w:color w:val="000000"/>
                <w:sz w:val="24"/>
              </w:rPr>
              <w:t>7.18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439.06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8,630,047.95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848,648.74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9,479,135.75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6E6CC7"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6E6CC7">
        <w:rPr>
          <w:rFonts w:eastAsiaTheme="minorEastAsia"/>
          <w:color w:val="000000" w:themeColor="text1"/>
          <w:kern w:val="0"/>
          <w:sz w:val="24"/>
          <w:szCs w:val="24"/>
        </w:rPr>
        <w:t xml:space="preserve">§6  </w:t>
      </w:r>
      <w:r w:rsidRPr="006E6CC7">
        <w:rPr>
          <w:rFonts w:eastAsiaTheme="minorEastAsia" w:hint="eastAsia"/>
          <w:color w:val="000000" w:themeColor="text1"/>
          <w:kern w:val="0"/>
          <w:sz w:val="24"/>
          <w:szCs w:val="24"/>
        </w:rPr>
        <w:t>基金中基金</w:t>
      </w:r>
    </w:p>
    <w:p w:rsidR="00C51B4E" w:rsidRPr="006E6CC7" w:rsidRDefault="00C51B4E" w:rsidP="00C51B4E">
      <w:pPr>
        <w:adjustRightInd w:val="0"/>
        <w:snapToGrid w:val="0"/>
        <w:spacing w:line="360" w:lineRule="auto"/>
        <w:rPr>
          <w:rFonts w:eastAsiaTheme="minorEastAsia"/>
          <w:b/>
          <w:color w:val="000000" w:themeColor="text1"/>
          <w:kern w:val="0"/>
          <w:sz w:val="24"/>
        </w:rPr>
      </w:pPr>
      <w:r w:rsidRPr="006E6CC7">
        <w:rPr>
          <w:rFonts w:eastAsiaTheme="minorEastAsia"/>
          <w:b/>
          <w:color w:val="000000" w:themeColor="text1"/>
          <w:kern w:val="0"/>
          <w:sz w:val="24"/>
        </w:rPr>
        <w:t xml:space="preserve">6.1 </w:t>
      </w:r>
      <w:r w:rsidRPr="006E6CC7">
        <w:rPr>
          <w:rFonts w:eastAsiaTheme="minorEastAsia" w:hint="eastAsia"/>
          <w:b/>
          <w:color w:val="000000" w:themeColor="text1"/>
          <w:kern w:val="0"/>
          <w:sz w:val="24"/>
        </w:rPr>
        <w:t>报告期末按公允价值占基金资产净值比例大小排序的前十名基金投资明细</w:t>
      </w:r>
    </w:p>
    <w:p w:rsidR="00C51B4E" w:rsidRPr="006E6CC7"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E6CC7">
        <w:rPr>
          <w:rFonts w:eastAsiaTheme="minorEastAsia" w:hint="eastAsia"/>
          <w:color w:val="000000" w:themeColor="text1"/>
          <w:sz w:val="24"/>
        </w:rPr>
        <w:t>本基金本报告期末未持有基金。</w:t>
      </w:r>
    </w:p>
    <w:p w:rsidR="00C51B4E" w:rsidRPr="006E6CC7" w:rsidRDefault="00C51B4E" w:rsidP="0028293E">
      <w:pPr>
        <w:adjustRightInd w:val="0"/>
        <w:snapToGrid w:val="0"/>
        <w:spacing w:beforeLines="50" w:before="156" w:line="360" w:lineRule="auto"/>
        <w:rPr>
          <w:rFonts w:eastAsiaTheme="minorEastAsia"/>
          <w:b/>
          <w:color w:val="000000" w:themeColor="text1"/>
          <w:kern w:val="0"/>
          <w:sz w:val="24"/>
        </w:rPr>
      </w:pPr>
      <w:r w:rsidRPr="006E6CC7">
        <w:rPr>
          <w:rFonts w:eastAsiaTheme="minorEastAsia"/>
          <w:b/>
          <w:color w:val="000000" w:themeColor="text1"/>
          <w:kern w:val="0"/>
          <w:sz w:val="24"/>
        </w:rPr>
        <w:t xml:space="preserve">6.2 </w:t>
      </w:r>
      <w:r w:rsidRPr="006E6CC7">
        <w:rPr>
          <w:rFonts w:eastAsiaTheme="minorEastAsia" w:hint="eastAsia"/>
          <w:b/>
          <w:color w:val="000000" w:themeColor="text1"/>
          <w:kern w:val="0"/>
          <w:sz w:val="24"/>
        </w:rPr>
        <w:t>当期交易及持有基金产生的费用</w:t>
      </w:r>
    </w:p>
    <w:p w:rsidR="00C51B4E" w:rsidRPr="006E6CC7"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E6CC7">
        <w:rPr>
          <w:rFonts w:eastAsiaTheme="minorEastAsia" w:hint="eastAsia"/>
          <w:color w:val="000000" w:themeColor="text1"/>
          <w:sz w:val="24"/>
        </w:rPr>
        <w:t>本基金本报告期内未交易或持有基金。</w:t>
      </w:r>
    </w:p>
    <w:p w:rsidR="005B2FB9" w:rsidRPr="005B2FB9" w:rsidRDefault="005B2FB9" w:rsidP="005B2FB9">
      <w:pPr>
        <w:adjustRightInd w:val="0"/>
        <w:snapToGrid w:val="0"/>
        <w:spacing w:beforeLines="50" w:before="156" w:line="360" w:lineRule="auto"/>
        <w:rPr>
          <w:rFonts w:eastAsiaTheme="minorEastAsia"/>
          <w:b/>
          <w:color w:val="000000" w:themeColor="text1"/>
          <w:kern w:val="0"/>
          <w:sz w:val="24"/>
        </w:rPr>
      </w:pPr>
      <w:r w:rsidRPr="005B2FB9">
        <w:rPr>
          <w:rFonts w:eastAsiaTheme="minorEastAsia"/>
          <w:b/>
          <w:color w:val="000000" w:themeColor="text1"/>
          <w:kern w:val="0"/>
          <w:sz w:val="24"/>
        </w:rPr>
        <w:t xml:space="preserve">6.3 </w:t>
      </w:r>
      <w:r w:rsidRPr="005B2FB9">
        <w:rPr>
          <w:rFonts w:eastAsiaTheme="minorEastAsia" w:hint="eastAsia"/>
          <w:b/>
          <w:color w:val="000000" w:themeColor="text1"/>
          <w:kern w:val="0"/>
          <w:sz w:val="24"/>
        </w:rPr>
        <w:t>本报告期持有的基金发生的重大影响事件</w:t>
      </w:r>
    </w:p>
    <w:p w:rsidR="005B2FB9" w:rsidRPr="005B2FB9" w:rsidRDefault="005B2FB9" w:rsidP="005B2FB9">
      <w:pPr>
        <w:autoSpaceDE w:val="0"/>
        <w:autoSpaceDN w:val="0"/>
        <w:adjustRightInd w:val="0"/>
        <w:spacing w:line="360" w:lineRule="auto"/>
        <w:ind w:firstLineChars="200" w:firstLine="480"/>
        <w:jc w:val="left"/>
        <w:rPr>
          <w:rFonts w:eastAsiaTheme="minorEastAsia"/>
          <w:color w:val="000000" w:themeColor="text1"/>
          <w:sz w:val="24"/>
        </w:rPr>
      </w:pPr>
      <w:r w:rsidRPr="005B2FB9">
        <w:rPr>
          <w:rFonts w:eastAsiaTheme="minorEastAsia" w:hint="eastAsia"/>
          <w:color w:val="000000" w:themeColor="text1"/>
          <w:sz w:val="24"/>
        </w:rPr>
        <w:t>无。</w:t>
      </w:r>
    </w:p>
    <w:p w:rsidR="005B2FB9" w:rsidRPr="005B2FB9" w:rsidRDefault="005B2FB9" w:rsidP="00C51B4E">
      <w:pPr>
        <w:autoSpaceDE w:val="0"/>
        <w:autoSpaceDN w:val="0"/>
        <w:adjustRightInd w:val="0"/>
        <w:spacing w:line="360" w:lineRule="auto"/>
        <w:ind w:firstLineChars="200" w:firstLine="420"/>
        <w:jc w:val="left"/>
        <w:rPr>
          <w:rFonts w:eastAsiaTheme="minor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260,425,742.53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26,983,659.35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14,048,467.15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519,788.75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8,093,356.06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9,927,140.56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EE520B" w:rsidP="007C14DF">
            <w:pPr>
              <w:autoSpaceDE w:val="0"/>
              <w:autoSpaceDN w:val="0"/>
              <w:adjustRightInd w:val="0"/>
              <w:spacing w:before="29" w:line="288" w:lineRule="auto"/>
              <w:ind w:left="17"/>
              <w:jc w:val="right"/>
              <w:rPr>
                <w:rFonts w:eastAsiaTheme="minorEastAsia"/>
                <w:color w:val="000000"/>
                <w:sz w:val="24"/>
              </w:rPr>
            </w:pPr>
            <w:r>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EE520B" w:rsidP="007C14DF">
            <w:pPr>
              <w:autoSpaceDE w:val="0"/>
              <w:autoSpaceDN w:val="0"/>
              <w:adjustRightInd w:val="0"/>
              <w:spacing w:before="29" w:line="288" w:lineRule="auto"/>
              <w:ind w:left="17"/>
              <w:jc w:val="right"/>
              <w:rPr>
                <w:rFonts w:eastAsiaTheme="minorEastAsia"/>
                <w:color w:val="000000"/>
                <w:sz w:val="24"/>
              </w:rPr>
            </w:pPr>
            <w:r>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266,380,853.62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17,576,307.54</w:t>
            </w:r>
          </w:p>
        </w:tc>
      </w:tr>
    </w:tbl>
    <w:p w:rsidR="00AF3A48" w:rsidRDefault="00521DB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注：如果本报告期间发生转换入、红利再投业务，则总申购份额中包含该业务</w:t>
      </w:r>
      <w:r w:rsidR="0001391D">
        <w:rPr>
          <w:rFonts w:eastAsiaTheme="minorEastAsia" w:hint="eastAsia"/>
          <w:color w:val="000000"/>
          <w:sz w:val="24"/>
        </w:rPr>
        <w:t>。</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F3A48">
        <w:tc>
          <w:tcPr>
            <w:tcW w:w="992" w:type="dxa"/>
          </w:tcPr>
          <w:p w:rsidR="00AF3A48" w:rsidRDefault="00AF3A48"/>
          <w:p w:rsidR="00AF3A48" w:rsidRDefault="00521DB6">
            <w:r>
              <w:rPr>
                <w:rFonts w:ascii="宋体" w:hAnsi="宋体" w:hint="eastAsia"/>
                <w:bCs/>
                <w:color w:val="000000"/>
                <w:kern w:val="0"/>
                <w:szCs w:val="21"/>
              </w:rPr>
              <w:t>机构</w:t>
            </w:r>
          </w:p>
        </w:tc>
        <w:tc>
          <w:tcPr>
            <w:tcW w:w="991" w:type="dxa"/>
            <w:vAlign w:val="center"/>
          </w:tcPr>
          <w:p w:rsidR="00AF3A48" w:rsidRDefault="00521DB6">
            <w:pPr>
              <w:jc w:val="center"/>
            </w:pPr>
            <w:r>
              <w:rPr>
                <w:rFonts w:ascii="宋体" w:hAnsi="宋体" w:hint="eastAsia"/>
                <w:color w:val="000000"/>
                <w:kern w:val="0"/>
                <w:szCs w:val="21"/>
              </w:rPr>
              <w:t>1</w:t>
            </w:r>
          </w:p>
        </w:tc>
        <w:tc>
          <w:tcPr>
            <w:tcW w:w="1843" w:type="dxa"/>
            <w:vAlign w:val="center"/>
          </w:tcPr>
          <w:p w:rsidR="00AF3A48" w:rsidRDefault="00521DB6">
            <w:pPr>
              <w:jc w:val="center"/>
            </w:pPr>
            <w:r>
              <w:rPr>
                <w:rFonts w:ascii="宋体" w:hAnsi="宋体" w:hint="eastAsia"/>
                <w:color w:val="000000"/>
                <w:kern w:val="0"/>
                <w:szCs w:val="21"/>
              </w:rPr>
              <w:t>2018/1/1-2018/3/31</w:t>
            </w:r>
          </w:p>
        </w:tc>
        <w:tc>
          <w:tcPr>
            <w:tcW w:w="851" w:type="dxa"/>
            <w:vAlign w:val="center"/>
          </w:tcPr>
          <w:p w:rsidR="00AF3A48" w:rsidRDefault="00521DB6">
            <w:pPr>
              <w:jc w:val="center"/>
            </w:pPr>
            <w:r>
              <w:rPr>
                <w:rFonts w:ascii="宋体" w:hAnsi="宋体" w:hint="eastAsia"/>
                <w:color w:val="000000"/>
                <w:kern w:val="0"/>
                <w:szCs w:val="21"/>
              </w:rPr>
              <w:t>251,888,664.99</w:t>
            </w:r>
          </w:p>
        </w:tc>
        <w:tc>
          <w:tcPr>
            <w:tcW w:w="850" w:type="dxa"/>
            <w:vAlign w:val="center"/>
          </w:tcPr>
          <w:p w:rsidR="00AF3A48" w:rsidRDefault="00521DB6">
            <w:pPr>
              <w:jc w:val="center"/>
            </w:pPr>
            <w:r>
              <w:rPr>
                <w:rFonts w:ascii="宋体" w:hAnsi="宋体" w:hint="eastAsia"/>
                <w:color w:val="000000"/>
                <w:kern w:val="0"/>
                <w:szCs w:val="21"/>
              </w:rPr>
              <w:t>-</w:t>
            </w:r>
          </w:p>
        </w:tc>
        <w:tc>
          <w:tcPr>
            <w:tcW w:w="1134" w:type="dxa"/>
            <w:vAlign w:val="center"/>
          </w:tcPr>
          <w:p w:rsidR="00AF3A48" w:rsidRDefault="00521DB6">
            <w:pPr>
              <w:jc w:val="center"/>
            </w:pPr>
            <w:r>
              <w:rPr>
                <w:rFonts w:ascii="宋体" w:hAnsi="宋体" w:hint="eastAsia"/>
                <w:color w:val="000000"/>
                <w:kern w:val="0"/>
                <w:szCs w:val="21"/>
              </w:rPr>
              <w:t>-</w:t>
            </w:r>
          </w:p>
        </w:tc>
        <w:tc>
          <w:tcPr>
            <w:tcW w:w="1419" w:type="dxa"/>
            <w:vAlign w:val="center"/>
          </w:tcPr>
          <w:p w:rsidR="00AF3A48" w:rsidRDefault="00521DB6">
            <w:pPr>
              <w:jc w:val="center"/>
            </w:pPr>
            <w:r>
              <w:rPr>
                <w:rFonts w:ascii="宋体" w:hAnsi="宋体" w:hint="eastAsia"/>
                <w:color w:val="000000"/>
                <w:kern w:val="0"/>
                <w:szCs w:val="21"/>
              </w:rPr>
              <w:t>251,888,664.99</w:t>
            </w:r>
          </w:p>
        </w:tc>
        <w:tc>
          <w:tcPr>
            <w:tcW w:w="1130" w:type="dxa"/>
            <w:vAlign w:val="center"/>
          </w:tcPr>
          <w:p w:rsidR="00AF3A48" w:rsidRDefault="00521DB6">
            <w:pPr>
              <w:jc w:val="center"/>
            </w:pPr>
            <w:r>
              <w:rPr>
                <w:rFonts w:ascii="宋体" w:hAnsi="宋体" w:hint="eastAsia"/>
                <w:color w:val="000000"/>
                <w:kern w:val="0"/>
                <w:szCs w:val="21"/>
              </w:rPr>
              <w:t>88.71%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RPr="00595412"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6E6CC7" w:rsidRDefault="00ED0E09">
            <w:pPr>
              <w:autoSpaceDE w:val="0"/>
              <w:autoSpaceDN w:val="0"/>
              <w:adjustRightInd w:val="0"/>
              <w:jc w:val="left"/>
              <w:rPr>
                <w:rFonts w:ascii="宋体" w:hAnsi="宋体"/>
                <w:kern w:val="0"/>
                <w:sz w:val="24"/>
              </w:rPr>
            </w:pPr>
            <w:r w:rsidRPr="006E6CC7">
              <w:rPr>
                <w:rFonts w:ascii="宋体" w:hAnsi="宋体" w:hint="eastAsia"/>
                <w:kern w:val="0"/>
                <w:sz w:val="24"/>
              </w:rPr>
              <w:t>本基金本报告期内出现单一投资者持有基金份额比例超过基金总份额</w:t>
            </w:r>
            <w:r w:rsidRPr="006E6CC7">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595412" w:rsidRPr="006E6CC7" w:rsidRDefault="00595412" w:rsidP="00ED0E09">
      <w:pPr>
        <w:autoSpaceDE w:val="0"/>
        <w:autoSpaceDN w:val="0"/>
        <w:adjustRightInd w:val="0"/>
        <w:spacing w:line="360" w:lineRule="auto"/>
        <w:jc w:val="left"/>
        <w:rPr>
          <w:rFonts w:ascii="宋体" w:hAnsi="宋体"/>
          <w:b/>
          <w:bCs/>
          <w:color w:val="000000"/>
          <w:kern w:val="0"/>
          <w:sz w:val="24"/>
        </w:rPr>
      </w:pPr>
    </w:p>
    <w:p w:rsidR="00ED0E09" w:rsidRPr="006E6CC7" w:rsidRDefault="00ED0E09" w:rsidP="00ED0E09">
      <w:pPr>
        <w:autoSpaceDE w:val="0"/>
        <w:autoSpaceDN w:val="0"/>
        <w:adjustRightInd w:val="0"/>
        <w:spacing w:line="360" w:lineRule="auto"/>
        <w:jc w:val="left"/>
        <w:rPr>
          <w:rFonts w:ascii="宋体" w:hAnsi="宋体"/>
          <w:b/>
          <w:bCs/>
          <w:color w:val="000000"/>
          <w:kern w:val="0"/>
          <w:sz w:val="24"/>
        </w:rPr>
      </w:pPr>
      <w:r w:rsidRPr="006E6CC7">
        <w:rPr>
          <w:rFonts w:ascii="宋体" w:hAnsi="宋体"/>
          <w:b/>
          <w:bCs/>
          <w:color w:val="000000"/>
          <w:kern w:val="0"/>
          <w:sz w:val="24"/>
        </w:rPr>
        <w:t xml:space="preserve">9.2 </w:t>
      </w:r>
      <w:r w:rsidRPr="006E6CC7">
        <w:rPr>
          <w:rFonts w:ascii="宋体" w:hAnsi="宋体" w:hint="eastAsia"/>
          <w:b/>
          <w:bCs/>
          <w:color w:val="000000"/>
          <w:kern w:val="0"/>
          <w:sz w:val="24"/>
        </w:rPr>
        <w:t>影响投资者决策的其他重要信息</w:t>
      </w:r>
    </w:p>
    <w:p w:rsidR="00AF3A48" w:rsidRPr="006E6CC7" w:rsidRDefault="00521DB6">
      <w:pPr>
        <w:spacing w:line="360" w:lineRule="auto"/>
        <w:ind w:firstLineChars="200" w:firstLine="480"/>
        <w:rPr>
          <w:rFonts w:ascii="宋体" w:hAnsi="宋体"/>
          <w:color w:val="000000"/>
          <w:sz w:val="24"/>
        </w:rPr>
      </w:pPr>
      <w:r w:rsidRPr="006E6CC7">
        <w:rPr>
          <w:rFonts w:ascii="宋体" w:hAnsi="宋体"/>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BB1033" w:rsidRPr="007F52FA" w:rsidRDefault="00ED0E09" w:rsidP="006E6CC7">
      <w:pPr>
        <w:spacing w:line="360" w:lineRule="auto"/>
        <w:ind w:firstLineChars="200" w:firstLine="480"/>
        <w:rPr>
          <w:rFonts w:eastAsiaTheme="minorEastAsia"/>
          <w:color w:val="000000"/>
          <w:sz w:val="24"/>
        </w:rPr>
      </w:pPr>
      <w:r w:rsidRPr="006E6CC7">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、报告期内交银施罗德丰享收益债券型证券投资基金在指定报刊上各项公告的原稿。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AF3A48" w:rsidRDefault="00521DB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FC4" w:rsidRDefault="00652FC4">
      <w:r>
        <w:separator/>
      </w:r>
    </w:p>
  </w:endnote>
  <w:endnote w:type="continuationSeparator" w:id="0">
    <w:p w:rsidR="00652FC4" w:rsidRDefault="0065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6E6CC7">
      <w:rPr>
        <w:noProof/>
        <w:kern w:val="0"/>
        <w:szCs w:val="21"/>
      </w:rPr>
      <w:t>3</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6E6CC7">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FC4" w:rsidRDefault="00652FC4">
      <w:r>
        <w:separator/>
      </w:r>
    </w:p>
  </w:footnote>
  <w:footnote w:type="continuationSeparator" w:id="0">
    <w:p w:rsidR="00652FC4" w:rsidRDefault="00652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391D"/>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6F1"/>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5060"/>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0FA0"/>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5B9"/>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21DB6"/>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5412"/>
    <w:rsid w:val="00597D8B"/>
    <w:rsid w:val="005A46FF"/>
    <w:rsid w:val="005A557E"/>
    <w:rsid w:val="005A63FD"/>
    <w:rsid w:val="005A677E"/>
    <w:rsid w:val="005B0532"/>
    <w:rsid w:val="005B2FB9"/>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C4"/>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E6CC7"/>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594F"/>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48"/>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263"/>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3A7"/>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20B"/>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596640556">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0718-7974-47BA-A6BB-3D02A9AE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212</TotalTime>
  <Pages>14</Pages>
  <Words>1236</Words>
  <Characters>7051</Characters>
  <Application>Microsoft Office Word</Application>
  <DocSecurity>0</DocSecurity>
  <Lines>58</Lines>
  <Paragraphs>16</Paragraphs>
  <ScaleCrop>false</ScaleCrop>
  <Company>TRT. Ltd. Co.</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384</cp:revision>
  <cp:lastPrinted>2007-07-19T00:46:00Z</cp:lastPrinted>
  <dcterms:created xsi:type="dcterms:W3CDTF">2014-01-17T06:19:00Z</dcterms:created>
  <dcterms:modified xsi:type="dcterms:W3CDTF">2018-04-19T01:38:00Z</dcterms:modified>
</cp:coreProperties>
</file>