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4,909,691,025.69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BB7EC3" w:rsidRDefault="00A3694A">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BB7EC3" w:rsidRDefault="00A3694A">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504553">
            <w:pPr>
              <w:spacing w:before="29" w:line="288" w:lineRule="auto"/>
              <w:jc w:val="left"/>
              <w:rPr>
                <w:sz w:val="24"/>
              </w:rPr>
            </w:pPr>
            <w:r w:rsidRPr="007F52FA">
              <w:rPr>
                <w:color w:val="000000" w:themeColor="text1"/>
                <w:sz w:val="24"/>
              </w:rPr>
              <w:t>519743</w:t>
            </w:r>
            <w:r w:rsidRPr="007F52FA">
              <w:rPr>
                <w:color w:val="000000" w:themeColor="text1"/>
                <w:sz w:val="24"/>
              </w:rPr>
              <w:t>（前端）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4,908,816,351.02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874,674.67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58,085,076.35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13,294.01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94,520,001.67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23,157.23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0.0164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5,035,830,550.64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882,487.27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1.009</w:t>
            </w:r>
          </w:p>
        </w:tc>
      </w:tr>
    </w:tbl>
    <w:p w:rsidR="00BB7EC3" w:rsidRDefault="00A3694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w:t>
      </w:r>
      <w:r>
        <w:rPr>
          <w:rFonts w:eastAsiaTheme="minorEastAsia"/>
          <w:color w:val="000000"/>
          <w:sz w:val="24"/>
        </w:rPr>
        <w:lastRenderedPageBreak/>
        <w:t>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B7EC3">
        <w:trPr>
          <w:jc w:val="center"/>
        </w:trPr>
        <w:tc>
          <w:tcPr>
            <w:tcW w:w="1266" w:type="dxa"/>
            <w:vAlign w:val="center"/>
          </w:tcPr>
          <w:p w:rsidR="00BB7EC3" w:rsidRDefault="00A3694A">
            <w:pPr>
              <w:jc w:val="left"/>
            </w:pPr>
            <w:r>
              <w:rPr>
                <w:color w:val="000000"/>
                <w:sz w:val="24"/>
              </w:rPr>
              <w:t>过去三个月</w:t>
            </w:r>
          </w:p>
        </w:tc>
        <w:tc>
          <w:tcPr>
            <w:tcW w:w="1267" w:type="dxa"/>
            <w:vAlign w:val="center"/>
          </w:tcPr>
          <w:p w:rsidR="00BB7EC3" w:rsidRDefault="00A3694A">
            <w:pPr>
              <w:jc w:val="center"/>
            </w:pPr>
            <w:r>
              <w:rPr>
                <w:color w:val="000000"/>
                <w:sz w:val="24"/>
              </w:rPr>
              <w:t>1.86%</w:t>
            </w:r>
          </w:p>
        </w:tc>
        <w:tc>
          <w:tcPr>
            <w:tcW w:w="1267" w:type="dxa"/>
            <w:vAlign w:val="center"/>
          </w:tcPr>
          <w:p w:rsidR="00BB7EC3" w:rsidRDefault="00A3694A">
            <w:pPr>
              <w:jc w:val="center"/>
            </w:pPr>
            <w:r>
              <w:rPr>
                <w:color w:val="000000"/>
                <w:sz w:val="24"/>
              </w:rPr>
              <w:t>0.05%</w:t>
            </w:r>
          </w:p>
        </w:tc>
        <w:tc>
          <w:tcPr>
            <w:tcW w:w="1267" w:type="dxa"/>
            <w:vAlign w:val="center"/>
          </w:tcPr>
          <w:p w:rsidR="00BB7EC3" w:rsidRDefault="00A3694A">
            <w:pPr>
              <w:jc w:val="center"/>
            </w:pPr>
            <w:r>
              <w:rPr>
                <w:color w:val="000000"/>
                <w:sz w:val="24"/>
              </w:rPr>
              <w:t>1.13%</w:t>
            </w:r>
          </w:p>
        </w:tc>
        <w:tc>
          <w:tcPr>
            <w:tcW w:w="1267" w:type="dxa"/>
            <w:vAlign w:val="center"/>
          </w:tcPr>
          <w:p w:rsidR="00BB7EC3" w:rsidRDefault="00A3694A">
            <w:pPr>
              <w:jc w:val="center"/>
            </w:pPr>
            <w:r>
              <w:rPr>
                <w:color w:val="000000"/>
                <w:sz w:val="24"/>
              </w:rPr>
              <w:t>0.04%</w:t>
            </w:r>
          </w:p>
        </w:tc>
        <w:tc>
          <w:tcPr>
            <w:tcW w:w="1267" w:type="dxa"/>
            <w:vAlign w:val="center"/>
          </w:tcPr>
          <w:p w:rsidR="00BB7EC3" w:rsidRDefault="00A3694A">
            <w:pPr>
              <w:jc w:val="center"/>
            </w:pPr>
            <w:r>
              <w:rPr>
                <w:color w:val="000000"/>
                <w:sz w:val="24"/>
              </w:rPr>
              <w:t>0.73%</w:t>
            </w:r>
          </w:p>
        </w:tc>
        <w:tc>
          <w:tcPr>
            <w:tcW w:w="1267" w:type="dxa"/>
            <w:vAlign w:val="center"/>
          </w:tcPr>
          <w:p w:rsidR="00BB7EC3" w:rsidRDefault="00A3694A">
            <w:pPr>
              <w:jc w:val="center"/>
            </w:pPr>
            <w:r>
              <w:rPr>
                <w:color w:val="000000"/>
                <w:sz w:val="24"/>
              </w:rPr>
              <w:t>0.01%</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B7EC3">
        <w:trPr>
          <w:jc w:val="center"/>
        </w:trPr>
        <w:tc>
          <w:tcPr>
            <w:tcW w:w="1266" w:type="dxa"/>
            <w:vAlign w:val="center"/>
          </w:tcPr>
          <w:p w:rsidR="00BB7EC3" w:rsidRDefault="00A3694A">
            <w:pPr>
              <w:jc w:val="left"/>
            </w:pPr>
            <w:r>
              <w:rPr>
                <w:color w:val="000000"/>
                <w:sz w:val="24"/>
              </w:rPr>
              <w:t>过去三个月</w:t>
            </w:r>
          </w:p>
        </w:tc>
        <w:tc>
          <w:tcPr>
            <w:tcW w:w="1267" w:type="dxa"/>
            <w:vAlign w:val="center"/>
          </w:tcPr>
          <w:p w:rsidR="00BB7EC3" w:rsidRDefault="00A3694A">
            <w:pPr>
              <w:jc w:val="center"/>
            </w:pPr>
            <w:r>
              <w:rPr>
                <w:color w:val="000000"/>
                <w:sz w:val="24"/>
              </w:rPr>
              <w:t>1.82%</w:t>
            </w:r>
          </w:p>
        </w:tc>
        <w:tc>
          <w:tcPr>
            <w:tcW w:w="1267" w:type="dxa"/>
            <w:vAlign w:val="center"/>
          </w:tcPr>
          <w:p w:rsidR="00BB7EC3" w:rsidRDefault="00A3694A">
            <w:pPr>
              <w:jc w:val="center"/>
            </w:pPr>
            <w:r>
              <w:rPr>
                <w:color w:val="000000"/>
                <w:sz w:val="24"/>
              </w:rPr>
              <w:t>0.05%</w:t>
            </w:r>
          </w:p>
        </w:tc>
        <w:tc>
          <w:tcPr>
            <w:tcW w:w="1267" w:type="dxa"/>
            <w:vAlign w:val="center"/>
          </w:tcPr>
          <w:p w:rsidR="00BB7EC3" w:rsidRDefault="00A3694A">
            <w:pPr>
              <w:jc w:val="center"/>
            </w:pPr>
            <w:r>
              <w:rPr>
                <w:color w:val="000000"/>
                <w:sz w:val="24"/>
              </w:rPr>
              <w:t>1.13%</w:t>
            </w:r>
          </w:p>
        </w:tc>
        <w:tc>
          <w:tcPr>
            <w:tcW w:w="1267" w:type="dxa"/>
            <w:vAlign w:val="center"/>
          </w:tcPr>
          <w:p w:rsidR="00BB7EC3" w:rsidRDefault="00A3694A">
            <w:pPr>
              <w:jc w:val="center"/>
            </w:pPr>
            <w:r>
              <w:rPr>
                <w:color w:val="000000"/>
                <w:sz w:val="24"/>
              </w:rPr>
              <w:t>0.04%</w:t>
            </w:r>
          </w:p>
        </w:tc>
        <w:tc>
          <w:tcPr>
            <w:tcW w:w="1267" w:type="dxa"/>
            <w:vAlign w:val="center"/>
          </w:tcPr>
          <w:p w:rsidR="00BB7EC3" w:rsidRDefault="00A3694A">
            <w:pPr>
              <w:jc w:val="center"/>
            </w:pPr>
            <w:r>
              <w:rPr>
                <w:color w:val="000000"/>
                <w:sz w:val="24"/>
              </w:rPr>
              <w:t>0.69%</w:t>
            </w:r>
          </w:p>
        </w:tc>
        <w:tc>
          <w:tcPr>
            <w:tcW w:w="1267" w:type="dxa"/>
            <w:vAlign w:val="center"/>
          </w:tcPr>
          <w:p w:rsidR="00BB7EC3" w:rsidRDefault="00A3694A">
            <w:pPr>
              <w:jc w:val="center"/>
            </w:pPr>
            <w:r>
              <w:rPr>
                <w:color w:val="000000"/>
                <w:sz w:val="24"/>
              </w:rPr>
              <w:t>0.01%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B7EC3">
        <w:trPr>
          <w:jc w:val="center"/>
        </w:trPr>
        <w:tc>
          <w:tcPr>
            <w:tcW w:w="946" w:type="dxa"/>
            <w:vAlign w:val="center"/>
          </w:tcPr>
          <w:p w:rsidR="00BB7EC3" w:rsidRDefault="00A3694A">
            <w:pPr>
              <w:jc w:val="center"/>
            </w:pPr>
            <w:r>
              <w:rPr>
                <w:color w:val="000000"/>
                <w:sz w:val="24"/>
              </w:rPr>
              <w:t>连端清</w:t>
            </w:r>
          </w:p>
        </w:tc>
        <w:tc>
          <w:tcPr>
            <w:tcW w:w="924" w:type="dxa"/>
            <w:vAlign w:val="center"/>
          </w:tcPr>
          <w:p w:rsidR="00BB7EC3" w:rsidRDefault="00A3694A">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w:t>
            </w:r>
            <w:r>
              <w:rPr>
                <w:color w:val="000000"/>
                <w:sz w:val="24"/>
              </w:rPr>
              <w:lastRenderedPageBreak/>
              <w:t>利纯债债券、交银裕隆纯债债券、交银天鑫宝货币、交银天益宝货币、交银境尚收益债券、交银天运宝货币的基金经理</w:t>
            </w:r>
          </w:p>
        </w:tc>
        <w:tc>
          <w:tcPr>
            <w:tcW w:w="1202" w:type="dxa"/>
            <w:vAlign w:val="center"/>
          </w:tcPr>
          <w:p w:rsidR="00BB7EC3" w:rsidRDefault="00A3694A">
            <w:pPr>
              <w:jc w:val="center"/>
            </w:pPr>
            <w:r>
              <w:rPr>
                <w:color w:val="000000"/>
                <w:sz w:val="24"/>
              </w:rPr>
              <w:lastRenderedPageBreak/>
              <w:t>2015-08-04</w:t>
            </w:r>
          </w:p>
        </w:tc>
        <w:tc>
          <w:tcPr>
            <w:tcW w:w="1300" w:type="dxa"/>
            <w:vAlign w:val="center"/>
          </w:tcPr>
          <w:p w:rsidR="00BB7EC3" w:rsidRDefault="00A3694A">
            <w:pPr>
              <w:jc w:val="center"/>
            </w:pPr>
            <w:r>
              <w:rPr>
                <w:color w:val="000000"/>
                <w:sz w:val="24"/>
              </w:rPr>
              <w:t>-</w:t>
            </w:r>
          </w:p>
        </w:tc>
        <w:tc>
          <w:tcPr>
            <w:tcW w:w="1245" w:type="dxa"/>
            <w:vAlign w:val="center"/>
          </w:tcPr>
          <w:p w:rsidR="00BB7EC3" w:rsidRDefault="00A3694A">
            <w:pPr>
              <w:jc w:val="center"/>
            </w:pPr>
            <w:r>
              <w:rPr>
                <w:color w:val="000000"/>
                <w:sz w:val="24"/>
              </w:rPr>
              <w:t>5</w:t>
            </w:r>
            <w:r>
              <w:rPr>
                <w:color w:val="000000"/>
                <w:sz w:val="24"/>
              </w:rPr>
              <w:t>年</w:t>
            </w:r>
          </w:p>
        </w:tc>
        <w:tc>
          <w:tcPr>
            <w:tcW w:w="3251" w:type="dxa"/>
            <w:vAlign w:val="center"/>
          </w:tcPr>
          <w:p w:rsidR="00BB7EC3" w:rsidRDefault="00A3694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BB7EC3" w:rsidRDefault="00A3694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BB7EC3" w:rsidRDefault="00A3694A">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BB7EC3" w:rsidRDefault="00A3694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BB7EC3" w:rsidRDefault="00A3694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B7EC3" w:rsidRDefault="00A3694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B7EC3" w:rsidRDefault="00A3694A">
      <w:pPr>
        <w:spacing w:before="29" w:line="288" w:lineRule="auto"/>
        <w:ind w:firstLineChars="200" w:firstLine="480"/>
        <w:rPr>
          <w:color w:val="000000"/>
          <w:sz w:val="24"/>
        </w:rPr>
      </w:pPr>
      <w:r>
        <w:rPr>
          <w:color w:val="000000"/>
          <w:sz w:val="24"/>
        </w:rPr>
        <w:t>2018</w:t>
      </w:r>
      <w:r>
        <w:rPr>
          <w:color w:val="000000"/>
          <w:sz w:val="24"/>
        </w:rPr>
        <w:t>年一季度，国内经济整体上延续平稳态势。一至二月份固定资产投资与工业增加值出现反弹，且出口保持较快增长，但是持续性尚待进一步观察，制造业景气度维持在较高的扩张区间。</w:t>
      </w:r>
      <w:r>
        <w:rPr>
          <w:color w:val="000000"/>
          <w:sz w:val="24"/>
        </w:rPr>
        <w:t>2018</w:t>
      </w:r>
      <w:r>
        <w:rPr>
          <w:color w:val="000000"/>
          <w:sz w:val="24"/>
        </w:rPr>
        <w:t>年一至二月，固定资产投资累计同比增速为</w:t>
      </w:r>
      <w:r>
        <w:rPr>
          <w:color w:val="000000"/>
          <w:sz w:val="24"/>
        </w:rPr>
        <w:t>7.9%</w:t>
      </w:r>
      <w:r>
        <w:rPr>
          <w:color w:val="000000"/>
          <w:sz w:val="24"/>
        </w:rPr>
        <w:t>，工业增加值累计同比增速为</w:t>
      </w:r>
      <w:r>
        <w:rPr>
          <w:color w:val="000000"/>
          <w:sz w:val="24"/>
        </w:rPr>
        <w:t>7.2%</w:t>
      </w:r>
      <w:r>
        <w:rPr>
          <w:color w:val="000000"/>
          <w:sz w:val="24"/>
        </w:rPr>
        <w:t>，一月与二月出口季调后同比增速分别为</w:t>
      </w:r>
      <w:r>
        <w:rPr>
          <w:color w:val="000000"/>
          <w:sz w:val="24"/>
        </w:rPr>
        <w:t>5.6%</w:t>
      </w:r>
      <w:r>
        <w:rPr>
          <w:color w:val="000000"/>
          <w:sz w:val="24"/>
        </w:rPr>
        <w:t>与</w:t>
      </w:r>
      <w:r>
        <w:rPr>
          <w:color w:val="000000"/>
          <w:sz w:val="24"/>
        </w:rPr>
        <w:t>15.4%</w:t>
      </w:r>
      <w:r>
        <w:rPr>
          <w:color w:val="000000"/>
          <w:sz w:val="24"/>
        </w:rPr>
        <w:t>，中采</w:t>
      </w:r>
      <w:r>
        <w:rPr>
          <w:color w:val="000000"/>
          <w:sz w:val="24"/>
        </w:rPr>
        <w:t>PMI</w:t>
      </w:r>
      <w:r>
        <w:rPr>
          <w:color w:val="000000"/>
          <w:sz w:val="24"/>
        </w:rPr>
        <w:t>尽管二月份受春节等因素影响出现回落，但三月份反弹至</w:t>
      </w:r>
      <w:r>
        <w:rPr>
          <w:color w:val="000000"/>
          <w:sz w:val="24"/>
        </w:rPr>
        <w:t>51.5%</w:t>
      </w:r>
      <w:r>
        <w:rPr>
          <w:color w:val="000000"/>
          <w:sz w:val="24"/>
        </w:rPr>
        <w:t>。一季度央行货币政策操作上中性偏松，尽管央行通过公开市场及</w:t>
      </w:r>
      <w:r>
        <w:rPr>
          <w:color w:val="000000"/>
          <w:sz w:val="24"/>
        </w:rPr>
        <w:t>MLF</w:t>
      </w:r>
      <w:r>
        <w:rPr>
          <w:color w:val="000000"/>
          <w:sz w:val="24"/>
        </w:rPr>
        <w:t>在一季度实现净回笼</w:t>
      </w:r>
      <w:r>
        <w:rPr>
          <w:color w:val="000000"/>
          <w:sz w:val="24"/>
        </w:rPr>
        <w:t>5645</w:t>
      </w:r>
      <w:r>
        <w:rPr>
          <w:color w:val="000000"/>
          <w:sz w:val="24"/>
        </w:rPr>
        <w:t>亿元，但是定向降准落地以及</w:t>
      </w:r>
      <w:r>
        <w:rPr>
          <w:color w:val="000000"/>
          <w:sz w:val="24"/>
        </w:rPr>
        <w:t>“</w:t>
      </w:r>
      <w:r>
        <w:rPr>
          <w:color w:val="000000"/>
          <w:sz w:val="24"/>
        </w:rPr>
        <w:t>临时准备金动用安排</w:t>
      </w:r>
      <w:r>
        <w:rPr>
          <w:color w:val="000000"/>
          <w:sz w:val="24"/>
        </w:rPr>
        <w:t>”</w:t>
      </w:r>
      <w:r>
        <w:rPr>
          <w:color w:val="000000"/>
          <w:sz w:val="24"/>
        </w:rPr>
        <w:t>释放了大量流动性，为二月份跨春节及三月份跨季提供了充沛的流动性。</w:t>
      </w:r>
    </w:p>
    <w:p w:rsidR="00BB7EC3" w:rsidRDefault="00A3694A">
      <w:pPr>
        <w:spacing w:before="29" w:line="288" w:lineRule="auto"/>
        <w:ind w:firstLineChars="200" w:firstLine="480"/>
        <w:rPr>
          <w:color w:val="000000"/>
          <w:sz w:val="24"/>
        </w:rPr>
      </w:pPr>
      <w:r>
        <w:rPr>
          <w:color w:val="000000"/>
          <w:sz w:val="24"/>
        </w:rPr>
        <w:t>资金面上，一季度市场资金面非常宽松，一季度</w:t>
      </w:r>
      <w:r>
        <w:rPr>
          <w:color w:val="000000"/>
          <w:sz w:val="24"/>
        </w:rPr>
        <w:t>R001</w:t>
      </w:r>
      <w:r>
        <w:rPr>
          <w:color w:val="000000"/>
          <w:sz w:val="24"/>
        </w:rPr>
        <w:t>均值较</w:t>
      </w:r>
      <w:r>
        <w:rPr>
          <w:color w:val="000000"/>
          <w:sz w:val="24"/>
        </w:rPr>
        <w:t>2017</w:t>
      </w:r>
      <w:r>
        <w:rPr>
          <w:color w:val="000000"/>
          <w:sz w:val="24"/>
        </w:rPr>
        <w:t>年第四季度下降</w:t>
      </w:r>
      <w:r>
        <w:rPr>
          <w:color w:val="000000"/>
          <w:sz w:val="24"/>
        </w:rPr>
        <w:t>11</w:t>
      </w:r>
      <w:r>
        <w:rPr>
          <w:color w:val="000000"/>
          <w:sz w:val="24"/>
        </w:rPr>
        <w:t>个</w:t>
      </w:r>
      <w:r>
        <w:rPr>
          <w:color w:val="000000"/>
          <w:sz w:val="24"/>
        </w:rPr>
        <w:t>BP</w:t>
      </w:r>
      <w:r>
        <w:rPr>
          <w:color w:val="000000"/>
          <w:sz w:val="24"/>
        </w:rPr>
        <w:t>以上。受资金持续宽松等因素影响，三月下旬同业存款及存单一级发行利率大幅下行。受资金面宽松及中美贸易战等影响，一季度债市大幅上涨，三月底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17</w:t>
      </w:r>
      <w:r>
        <w:rPr>
          <w:color w:val="000000"/>
          <w:sz w:val="24"/>
        </w:rPr>
        <w:t>个</w:t>
      </w:r>
      <w:r>
        <w:rPr>
          <w:color w:val="000000"/>
          <w:sz w:val="24"/>
        </w:rPr>
        <w:t>BP</w:t>
      </w:r>
      <w:r>
        <w:rPr>
          <w:color w:val="000000"/>
          <w:sz w:val="24"/>
        </w:rPr>
        <w:t>以上。</w:t>
      </w:r>
    </w:p>
    <w:p w:rsidR="00BB7EC3" w:rsidRDefault="00A3694A">
      <w:pPr>
        <w:spacing w:before="29" w:line="288" w:lineRule="auto"/>
        <w:ind w:firstLineChars="200" w:firstLine="480"/>
        <w:rPr>
          <w:color w:val="000000"/>
          <w:sz w:val="24"/>
        </w:rPr>
      </w:pPr>
      <w:r>
        <w:rPr>
          <w:color w:val="000000"/>
          <w:sz w:val="24"/>
        </w:rPr>
        <w:t>基金操作方面，报告期内本基金根据市场情况，调整持仓债券，提升组合杠杆，继续加强风险管控，为持有人创造稳健的回报。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年二季度，我们预计短期内经济韧劲依旧较强，且金融防风险是今年的重要任务，因此短期内货币政策可能不具备趋势性转松的条件。我们预计短期内央行将</w:t>
      </w:r>
      <w:r w:rsidRPr="007F52FA">
        <w:rPr>
          <w:color w:val="000000"/>
          <w:sz w:val="24"/>
        </w:rPr>
        <w:lastRenderedPageBreak/>
        <w:t>以中性的货币政策为主。此外，我们将密切关注美国引发的贸易战对经济走势的影响。组合管理方面，本基金将努力研判宏观经济走势，密切跟踪央行货币政策操作与金融监管政策动态，尽力控制信用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1.026</w:t>
      </w:r>
      <w:r w:rsidRPr="007F52FA">
        <w:rPr>
          <w:color w:val="000000"/>
          <w:sz w:val="24"/>
        </w:rPr>
        <w:t>元，本报告期份额净值增长率为</w:t>
      </w:r>
      <w:r w:rsidRPr="007F52FA">
        <w:rPr>
          <w:color w:val="000000"/>
          <w:sz w:val="24"/>
        </w:rPr>
        <w:t>1.86%</w:t>
      </w:r>
      <w:r w:rsidRPr="007F52FA">
        <w:rPr>
          <w:color w:val="000000"/>
          <w:sz w:val="24"/>
        </w:rPr>
        <w:t>，同期业绩比较基准增长率为</w:t>
      </w:r>
      <w:r w:rsidRPr="007F52FA">
        <w:rPr>
          <w:color w:val="000000"/>
          <w:sz w:val="24"/>
        </w:rPr>
        <w:t>1.13%</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1.009</w:t>
      </w:r>
      <w:r w:rsidRPr="007F52FA">
        <w:rPr>
          <w:color w:val="000000"/>
          <w:sz w:val="24"/>
        </w:rPr>
        <w:t>元，本报告期份额净值增长率为</w:t>
      </w:r>
      <w:r w:rsidRPr="007F52FA">
        <w:rPr>
          <w:color w:val="000000"/>
          <w:sz w:val="24"/>
        </w:rPr>
        <w:t>1.82%</w:t>
      </w:r>
      <w:r w:rsidRPr="007F52FA">
        <w:rPr>
          <w:color w:val="000000"/>
          <w:sz w:val="24"/>
        </w:rPr>
        <w:t>，同期业绩比较基准增长率为</w:t>
      </w:r>
      <w:r w:rsidRPr="007F52FA">
        <w:rPr>
          <w:color w:val="000000"/>
          <w:sz w:val="24"/>
        </w:rPr>
        <w:t>1.13%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万元的情形，但截至本报告期末，本基金基金资产净值已高于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6,815,784,000.00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6,815,784,000.00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98.32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9,730,147.10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0.14</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97,736,332.15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6,932,250,479.25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611C5" w:rsidRPr="001611C5" w:rsidRDefault="001611C5"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259,690,000.00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259,690,000.00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2,067,697,000.00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41.05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1,906,488,000.00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37.85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2,581,909,000.00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51.26</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6,815,784,000.00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135.32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B7EC3">
        <w:trPr>
          <w:jc w:val="center"/>
        </w:trPr>
        <w:tc>
          <w:tcPr>
            <w:tcW w:w="1075" w:type="dxa"/>
            <w:vAlign w:val="center"/>
          </w:tcPr>
          <w:p w:rsidR="00BB7EC3" w:rsidRDefault="00A3694A">
            <w:pPr>
              <w:jc w:val="center"/>
            </w:pPr>
            <w:r>
              <w:rPr>
                <w:color w:val="000000"/>
                <w:sz w:val="24"/>
              </w:rPr>
              <w:t>1</w:t>
            </w:r>
          </w:p>
        </w:tc>
        <w:tc>
          <w:tcPr>
            <w:tcW w:w="1533" w:type="dxa"/>
            <w:vAlign w:val="center"/>
          </w:tcPr>
          <w:p w:rsidR="00BB7EC3" w:rsidRDefault="00A3694A">
            <w:pPr>
              <w:jc w:val="center"/>
            </w:pPr>
            <w:r>
              <w:rPr>
                <w:color w:val="000000"/>
                <w:sz w:val="24"/>
              </w:rPr>
              <w:t>111714315</w:t>
            </w:r>
          </w:p>
        </w:tc>
        <w:tc>
          <w:tcPr>
            <w:tcW w:w="1533" w:type="dxa"/>
            <w:vAlign w:val="center"/>
          </w:tcPr>
          <w:p w:rsidR="00BB7EC3" w:rsidRDefault="00A3694A">
            <w:pPr>
              <w:jc w:val="center"/>
            </w:pPr>
            <w:r>
              <w:rPr>
                <w:color w:val="000000"/>
                <w:sz w:val="24"/>
              </w:rPr>
              <w:t>17</w:t>
            </w:r>
            <w:r>
              <w:rPr>
                <w:color w:val="000000"/>
                <w:sz w:val="24"/>
              </w:rPr>
              <w:t>江苏银行</w:t>
            </w:r>
            <w:r>
              <w:rPr>
                <w:color w:val="000000"/>
                <w:sz w:val="24"/>
              </w:rPr>
              <w:lastRenderedPageBreak/>
              <w:t>CD315</w:t>
            </w:r>
          </w:p>
        </w:tc>
        <w:tc>
          <w:tcPr>
            <w:tcW w:w="1394" w:type="dxa"/>
            <w:vAlign w:val="center"/>
          </w:tcPr>
          <w:p w:rsidR="00BB7EC3" w:rsidRDefault="00A3694A">
            <w:pPr>
              <w:jc w:val="right"/>
            </w:pPr>
            <w:r>
              <w:rPr>
                <w:color w:val="000000"/>
                <w:sz w:val="24"/>
              </w:rPr>
              <w:lastRenderedPageBreak/>
              <w:t>9,800,000</w:t>
            </w:r>
          </w:p>
        </w:tc>
        <w:tc>
          <w:tcPr>
            <w:tcW w:w="1944" w:type="dxa"/>
            <w:vAlign w:val="center"/>
          </w:tcPr>
          <w:p w:rsidR="00BB7EC3" w:rsidRDefault="00A3694A">
            <w:pPr>
              <w:jc w:val="right"/>
            </w:pPr>
            <w:r>
              <w:rPr>
                <w:color w:val="000000"/>
                <w:sz w:val="24"/>
              </w:rPr>
              <w:t>935,214,000.00</w:t>
            </w:r>
          </w:p>
        </w:tc>
        <w:tc>
          <w:tcPr>
            <w:tcW w:w="1389" w:type="dxa"/>
            <w:vAlign w:val="center"/>
          </w:tcPr>
          <w:p w:rsidR="00BB7EC3" w:rsidRDefault="00A3694A">
            <w:pPr>
              <w:jc w:val="right"/>
            </w:pPr>
            <w:r>
              <w:rPr>
                <w:color w:val="000000"/>
                <w:sz w:val="24"/>
              </w:rPr>
              <w:t>18.57</w:t>
            </w:r>
          </w:p>
        </w:tc>
      </w:tr>
      <w:tr w:rsidR="00BB7EC3">
        <w:trPr>
          <w:jc w:val="center"/>
        </w:trPr>
        <w:tc>
          <w:tcPr>
            <w:tcW w:w="1075" w:type="dxa"/>
            <w:vAlign w:val="center"/>
          </w:tcPr>
          <w:p w:rsidR="00BB7EC3" w:rsidRDefault="00A3694A">
            <w:pPr>
              <w:jc w:val="center"/>
            </w:pPr>
            <w:r>
              <w:rPr>
                <w:color w:val="000000"/>
                <w:sz w:val="24"/>
              </w:rPr>
              <w:t>2</w:t>
            </w:r>
          </w:p>
        </w:tc>
        <w:tc>
          <w:tcPr>
            <w:tcW w:w="1533" w:type="dxa"/>
            <w:vAlign w:val="center"/>
          </w:tcPr>
          <w:p w:rsidR="00BB7EC3" w:rsidRDefault="00A3694A">
            <w:pPr>
              <w:jc w:val="center"/>
            </w:pPr>
            <w:r>
              <w:rPr>
                <w:color w:val="000000"/>
                <w:sz w:val="24"/>
              </w:rPr>
              <w:t>101751034</w:t>
            </w:r>
          </w:p>
        </w:tc>
        <w:tc>
          <w:tcPr>
            <w:tcW w:w="1533" w:type="dxa"/>
            <w:vAlign w:val="center"/>
          </w:tcPr>
          <w:p w:rsidR="00BB7EC3" w:rsidRDefault="00A3694A">
            <w:pPr>
              <w:jc w:val="center"/>
            </w:pPr>
            <w:r>
              <w:rPr>
                <w:color w:val="000000"/>
                <w:sz w:val="24"/>
              </w:rPr>
              <w:t>17</w:t>
            </w:r>
            <w:r>
              <w:rPr>
                <w:color w:val="000000"/>
                <w:sz w:val="24"/>
              </w:rPr>
              <w:t>鲁高速</w:t>
            </w:r>
            <w:r>
              <w:rPr>
                <w:color w:val="000000"/>
                <w:sz w:val="24"/>
              </w:rPr>
              <w:t>MTN003</w:t>
            </w:r>
          </w:p>
        </w:tc>
        <w:tc>
          <w:tcPr>
            <w:tcW w:w="1394" w:type="dxa"/>
            <w:vAlign w:val="center"/>
          </w:tcPr>
          <w:p w:rsidR="00BB7EC3" w:rsidRDefault="00A3694A">
            <w:pPr>
              <w:jc w:val="right"/>
            </w:pPr>
            <w:r>
              <w:rPr>
                <w:color w:val="000000"/>
                <w:sz w:val="24"/>
              </w:rPr>
              <w:t>2,500,000</w:t>
            </w:r>
          </w:p>
        </w:tc>
        <w:tc>
          <w:tcPr>
            <w:tcW w:w="1944" w:type="dxa"/>
            <w:vAlign w:val="center"/>
          </w:tcPr>
          <w:p w:rsidR="00BB7EC3" w:rsidRDefault="00A3694A">
            <w:pPr>
              <w:jc w:val="right"/>
            </w:pPr>
            <w:r>
              <w:rPr>
                <w:color w:val="000000"/>
                <w:sz w:val="24"/>
              </w:rPr>
              <w:t>248,875,000.00</w:t>
            </w:r>
          </w:p>
        </w:tc>
        <w:tc>
          <w:tcPr>
            <w:tcW w:w="1389" w:type="dxa"/>
            <w:vAlign w:val="center"/>
          </w:tcPr>
          <w:p w:rsidR="00BB7EC3" w:rsidRDefault="00A3694A">
            <w:pPr>
              <w:jc w:val="right"/>
            </w:pPr>
            <w:r>
              <w:rPr>
                <w:color w:val="000000"/>
                <w:sz w:val="24"/>
              </w:rPr>
              <w:t>4.94</w:t>
            </w:r>
          </w:p>
        </w:tc>
      </w:tr>
      <w:tr w:rsidR="00BB7EC3">
        <w:trPr>
          <w:jc w:val="center"/>
        </w:trPr>
        <w:tc>
          <w:tcPr>
            <w:tcW w:w="1075" w:type="dxa"/>
            <w:vAlign w:val="center"/>
          </w:tcPr>
          <w:p w:rsidR="00BB7EC3" w:rsidRDefault="00A3694A">
            <w:pPr>
              <w:jc w:val="center"/>
            </w:pPr>
            <w:r>
              <w:rPr>
                <w:color w:val="000000"/>
                <w:sz w:val="24"/>
              </w:rPr>
              <w:t>3</w:t>
            </w:r>
          </w:p>
        </w:tc>
        <w:tc>
          <w:tcPr>
            <w:tcW w:w="1533" w:type="dxa"/>
            <w:vAlign w:val="center"/>
          </w:tcPr>
          <w:p w:rsidR="00BB7EC3" w:rsidRDefault="00A3694A">
            <w:pPr>
              <w:jc w:val="center"/>
            </w:pPr>
            <w:r>
              <w:rPr>
                <w:color w:val="000000"/>
                <w:sz w:val="24"/>
              </w:rPr>
              <w:t>011800054</w:t>
            </w:r>
          </w:p>
        </w:tc>
        <w:tc>
          <w:tcPr>
            <w:tcW w:w="1533" w:type="dxa"/>
            <w:vAlign w:val="center"/>
          </w:tcPr>
          <w:p w:rsidR="00BB7EC3" w:rsidRDefault="00A3694A">
            <w:pPr>
              <w:jc w:val="center"/>
            </w:pPr>
            <w:r>
              <w:rPr>
                <w:color w:val="000000"/>
                <w:sz w:val="24"/>
              </w:rPr>
              <w:t>18</w:t>
            </w:r>
            <w:r>
              <w:rPr>
                <w:color w:val="000000"/>
                <w:sz w:val="24"/>
              </w:rPr>
              <w:t>陕交建</w:t>
            </w:r>
            <w:r>
              <w:rPr>
                <w:color w:val="000000"/>
                <w:sz w:val="24"/>
              </w:rPr>
              <w:t>SCP001</w:t>
            </w:r>
          </w:p>
        </w:tc>
        <w:tc>
          <w:tcPr>
            <w:tcW w:w="1394" w:type="dxa"/>
            <w:vAlign w:val="center"/>
          </w:tcPr>
          <w:p w:rsidR="00BB7EC3" w:rsidRDefault="00A3694A">
            <w:pPr>
              <w:jc w:val="right"/>
            </w:pPr>
            <w:r>
              <w:rPr>
                <w:color w:val="000000"/>
                <w:sz w:val="24"/>
              </w:rPr>
              <w:t>2,000,000</w:t>
            </w:r>
          </w:p>
        </w:tc>
        <w:tc>
          <w:tcPr>
            <w:tcW w:w="1944" w:type="dxa"/>
            <w:vAlign w:val="center"/>
          </w:tcPr>
          <w:p w:rsidR="00BB7EC3" w:rsidRDefault="00A3694A">
            <w:pPr>
              <w:jc w:val="right"/>
            </w:pPr>
            <w:r>
              <w:rPr>
                <w:color w:val="000000"/>
                <w:sz w:val="24"/>
              </w:rPr>
              <w:t>200,780,000.00</w:t>
            </w:r>
          </w:p>
        </w:tc>
        <w:tc>
          <w:tcPr>
            <w:tcW w:w="1389" w:type="dxa"/>
            <w:vAlign w:val="center"/>
          </w:tcPr>
          <w:p w:rsidR="00BB7EC3" w:rsidRDefault="00A3694A">
            <w:pPr>
              <w:jc w:val="right"/>
            </w:pPr>
            <w:r>
              <w:rPr>
                <w:color w:val="000000"/>
                <w:sz w:val="24"/>
              </w:rPr>
              <w:t>3.99</w:t>
            </w:r>
          </w:p>
        </w:tc>
      </w:tr>
      <w:tr w:rsidR="00BB7EC3">
        <w:trPr>
          <w:jc w:val="center"/>
        </w:trPr>
        <w:tc>
          <w:tcPr>
            <w:tcW w:w="1075" w:type="dxa"/>
            <w:vAlign w:val="center"/>
          </w:tcPr>
          <w:p w:rsidR="00BB7EC3" w:rsidRDefault="00A3694A">
            <w:pPr>
              <w:jc w:val="center"/>
            </w:pPr>
            <w:r>
              <w:rPr>
                <w:color w:val="000000"/>
                <w:sz w:val="24"/>
              </w:rPr>
              <w:t>4</w:t>
            </w:r>
          </w:p>
        </w:tc>
        <w:tc>
          <w:tcPr>
            <w:tcW w:w="1533" w:type="dxa"/>
            <w:vAlign w:val="center"/>
          </w:tcPr>
          <w:p w:rsidR="00BB7EC3" w:rsidRDefault="00A3694A">
            <w:pPr>
              <w:jc w:val="center"/>
            </w:pPr>
            <w:r>
              <w:rPr>
                <w:color w:val="000000"/>
                <w:sz w:val="24"/>
              </w:rPr>
              <w:t>111890970</w:t>
            </w:r>
          </w:p>
        </w:tc>
        <w:tc>
          <w:tcPr>
            <w:tcW w:w="1533" w:type="dxa"/>
            <w:vAlign w:val="center"/>
          </w:tcPr>
          <w:p w:rsidR="00BB7EC3" w:rsidRDefault="00A3694A">
            <w:pPr>
              <w:jc w:val="center"/>
            </w:pPr>
            <w:r>
              <w:rPr>
                <w:color w:val="000000"/>
                <w:sz w:val="24"/>
              </w:rPr>
              <w:t>18</w:t>
            </w:r>
            <w:r>
              <w:rPr>
                <w:color w:val="000000"/>
                <w:sz w:val="24"/>
              </w:rPr>
              <w:t>长沙银行</w:t>
            </w:r>
            <w:r>
              <w:rPr>
                <w:color w:val="000000"/>
                <w:sz w:val="24"/>
              </w:rPr>
              <w:t>CD021</w:t>
            </w:r>
          </w:p>
        </w:tc>
        <w:tc>
          <w:tcPr>
            <w:tcW w:w="1394" w:type="dxa"/>
            <w:vAlign w:val="center"/>
          </w:tcPr>
          <w:p w:rsidR="00BB7EC3" w:rsidRDefault="00A3694A">
            <w:pPr>
              <w:jc w:val="right"/>
            </w:pPr>
            <w:r>
              <w:rPr>
                <w:color w:val="000000"/>
                <w:sz w:val="24"/>
              </w:rPr>
              <w:t>2,000,000</w:t>
            </w:r>
          </w:p>
        </w:tc>
        <w:tc>
          <w:tcPr>
            <w:tcW w:w="1944" w:type="dxa"/>
            <w:vAlign w:val="center"/>
          </w:tcPr>
          <w:p w:rsidR="00BB7EC3" w:rsidRDefault="00A3694A">
            <w:pPr>
              <w:jc w:val="right"/>
            </w:pPr>
            <w:r>
              <w:rPr>
                <w:color w:val="000000"/>
                <w:sz w:val="24"/>
              </w:rPr>
              <w:t>195,520,000.00</w:t>
            </w:r>
          </w:p>
        </w:tc>
        <w:tc>
          <w:tcPr>
            <w:tcW w:w="1389" w:type="dxa"/>
            <w:vAlign w:val="center"/>
          </w:tcPr>
          <w:p w:rsidR="00BB7EC3" w:rsidRDefault="00A3694A">
            <w:pPr>
              <w:jc w:val="right"/>
            </w:pPr>
            <w:r>
              <w:rPr>
                <w:color w:val="000000"/>
                <w:sz w:val="24"/>
              </w:rPr>
              <w:t>3.88</w:t>
            </w:r>
          </w:p>
        </w:tc>
      </w:tr>
      <w:tr w:rsidR="00BB7EC3">
        <w:trPr>
          <w:jc w:val="center"/>
        </w:trPr>
        <w:tc>
          <w:tcPr>
            <w:tcW w:w="1075" w:type="dxa"/>
            <w:vAlign w:val="center"/>
          </w:tcPr>
          <w:p w:rsidR="00BB7EC3" w:rsidRDefault="00A3694A">
            <w:pPr>
              <w:jc w:val="center"/>
            </w:pPr>
            <w:r>
              <w:rPr>
                <w:color w:val="000000"/>
                <w:sz w:val="24"/>
              </w:rPr>
              <w:t>5</w:t>
            </w:r>
          </w:p>
        </w:tc>
        <w:tc>
          <w:tcPr>
            <w:tcW w:w="1533" w:type="dxa"/>
            <w:vAlign w:val="center"/>
          </w:tcPr>
          <w:p w:rsidR="00BB7EC3" w:rsidRDefault="00A3694A">
            <w:pPr>
              <w:jc w:val="center"/>
            </w:pPr>
            <w:r>
              <w:rPr>
                <w:color w:val="000000"/>
                <w:sz w:val="24"/>
              </w:rPr>
              <w:t>111890989</w:t>
            </w:r>
          </w:p>
        </w:tc>
        <w:tc>
          <w:tcPr>
            <w:tcW w:w="1533" w:type="dxa"/>
            <w:vAlign w:val="center"/>
          </w:tcPr>
          <w:p w:rsidR="00BB7EC3" w:rsidRDefault="00A3694A">
            <w:pPr>
              <w:jc w:val="center"/>
            </w:pPr>
            <w:r>
              <w:rPr>
                <w:color w:val="000000"/>
                <w:sz w:val="24"/>
              </w:rPr>
              <w:t>18</w:t>
            </w:r>
            <w:r>
              <w:rPr>
                <w:color w:val="000000"/>
                <w:sz w:val="24"/>
              </w:rPr>
              <w:t>河北银行</w:t>
            </w:r>
            <w:r>
              <w:rPr>
                <w:color w:val="000000"/>
                <w:sz w:val="24"/>
              </w:rPr>
              <w:t>CD005</w:t>
            </w:r>
          </w:p>
        </w:tc>
        <w:tc>
          <w:tcPr>
            <w:tcW w:w="1394" w:type="dxa"/>
            <w:vAlign w:val="center"/>
          </w:tcPr>
          <w:p w:rsidR="00BB7EC3" w:rsidRDefault="00A3694A">
            <w:pPr>
              <w:jc w:val="right"/>
            </w:pPr>
            <w:r>
              <w:rPr>
                <w:color w:val="000000"/>
                <w:sz w:val="24"/>
              </w:rPr>
              <w:t>2,000,000</w:t>
            </w:r>
          </w:p>
        </w:tc>
        <w:tc>
          <w:tcPr>
            <w:tcW w:w="1944" w:type="dxa"/>
            <w:vAlign w:val="center"/>
          </w:tcPr>
          <w:p w:rsidR="00BB7EC3" w:rsidRDefault="00A3694A">
            <w:pPr>
              <w:jc w:val="right"/>
            </w:pPr>
            <w:r>
              <w:rPr>
                <w:color w:val="000000"/>
                <w:sz w:val="24"/>
              </w:rPr>
              <w:t>195,480,000.00</w:t>
            </w:r>
          </w:p>
        </w:tc>
        <w:tc>
          <w:tcPr>
            <w:tcW w:w="1389" w:type="dxa"/>
            <w:vAlign w:val="center"/>
          </w:tcPr>
          <w:p w:rsidR="00BB7EC3" w:rsidRDefault="00A3694A">
            <w:pPr>
              <w:jc w:val="right"/>
            </w:pPr>
            <w:r>
              <w:rPr>
                <w:color w:val="000000"/>
                <w:sz w:val="24"/>
              </w:rPr>
              <w:t>3.88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328.44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97,729,503.71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6,500.00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97,736,332.15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1611C5"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1611C5">
        <w:rPr>
          <w:rFonts w:eastAsiaTheme="minorEastAsia"/>
          <w:color w:val="000000" w:themeColor="text1"/>
          <w:kern w:val="0"/>
          <w:sz w:val="24"/>
          <w:szCs w:val="24"/>
        </w:rPr>
        <w:t>§6</w:t>
      </w:r>
      <w:r w:rsidRPr="001611C5">
        <w:rPr>
          <w:rFonts w:eastAsiaTheme="minorEastAsia" w:hint="eastAsia"/>
          <w:color w:val="000000" w:themeColor="text1"/>
          <w:kern w:val="0"/>
          <w:sz w:val="24"/>
          <w:szCs w:val="24"/>
        </w:rPr>
        <w:t xml:space="preserve">  </w:t>
      </w:r>
      <w:r w:rsidRPr="001611C5">
        <w:rPr>
          <w:rFonts w:eastAsiaTheme="minorEastAsia" w:hint="eastAsia"/>
          <w:color w:val="000000" w:themeColor="text1"/>
          <w:kern w:val="0"/>
          <w:sz w:val="24"/>
          <w:szCs w:val="24"/>
        </w:rPr>
        <w:t>基金中基金</w:t>
      </w:r>
    </w:p>
    <w:p w:rsidR="00C51B4E" w:rsidRPr="001611C5" w:rsidRDefault="00C51B4E" w:rsidP="00C51B4E">
      <w:pPr>
        <w:adjustRightInd w:val="0"/>
        <w:snapToGrid w:val="0"/>
        <w:spacing w:line="360" w:lineRule="auto"/>
        <w:rPr>
          <w:rFonts w:eastAsiaTheme="minorEastAsia"/>
          <w:b/>
          <w:color w:val="000000" w:themeColor="text1"/>
          <w:kern w:val="0"/>
          <w:sz w:val="24"/>
        </w:rPr>
      </w:pPr>
      <w:r w:rsidRPr="001611C5">
        <w:rPr>
          <w:rFonts w:eastAsiaTheme="minorEastAsia"/>
          <w:b/>
          <w:color w:val="000000" w:themeColor="text1"/>
          <w:kern w:val="0"/>
          <w:sz w:val="24"/>
        </w:rPr>
        <w:t>6.1</w:t>
      </w:r>
      <w:r w:rsidRPr="001611C5">
        <w:rPr>
          <w:rFonts w:eastAsiaTheme="minorEastAsia" w:hint="eastAsia"/>
          <w:b/>
          <w:color w:val="000000" w:themeColor="text1"/>
          <w:kern w:val="0"/>
          <w:sz w:val="24"/>
        </w:rPr>
        <w:t xml:space="preserve"> </w:t>
      </w:r>
      <w:r w:rsidRPr="001611C5">
        <w:rPr>
          <w:rFonts w:eastAsiaTheme="minorEastAsia" w:hint="eastAsia"/>
          <w:b/>
          <w:color w:val="000000" w:themeColor="text1"/>
          <w:kern w:val="0"/>
          <w:sz w:val="24"/>
        </w:rPr>
        <w:t>报告期末按公允价值占基金资产净值比例大小排序的前十名基金投资明细</w:t>
      </w:r>
    </w:p>
    <w:p w:rsidR="00C51B4E" w:rsidRPr="001611C5"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1611C5">
        <w:rPr>
          <w:rFonts w:eastAsiaTheme="minorEastAsia"/>
          <w:color w:val="000000" w:themeColor="text1"/>
          <w:sz w:val="24"/>
        </w:rPr>
        <w:t>本基金本报告期末未持有基金。</w:t>
      </w:r>
    </w:p>
    <w:p w:rsidR="00C51B4E" w:rsidRPr="001611C5" w:rsidRDefault="00C51B4E" w:rsidP="0028293E">
      <w:pPr>
        <w:adjustRightInd w:val="0"/>
        <w:snapToGrid w:val="0"/>
        <w:spacing w:beforeLines="50" w:before="156" w:line="360" w:lineRule="auto"/>
        <w:rPr>
          <w:rFonts w:eastAsiaTheme="minorEastAsia"/>
          <w:b/>
          <w:color w:val="000000" w:themeColor="text1"/>
          <w:kern w:val="0"/>
          <w:sz w:val="24"/>
        </w:rPr>
      </w:pPr>
      <w:r w:rsidRPr="001611C5">
        <w:rPr>
          <w:rFonts w:eastAsiaTheme="minorEastAsia"/>
          <w:b/>
          <w:color w:val="000000" w:themeColor="text1"/>
          <w:kern w:val="0"/>
          <w:sz w:val="24"/>
        </w:rPr>
        <w:t>6.2</w:t>
      </w:r>
      <w:r w:rsidRPr="001611C5">
        <w:rPr>
          <w:rFonts w:eastAsiaTheme="minorEastAsia" w:hint="eastAsia"/>
          <w:b/>
          <w:color w:val="000000" w:themeColor="text1"/>
          <w:kern w:val="0"/>
          <w:sz w:val="24"/>
        </w:rPr>
        <w:t xml:space="preserve"> </w:t>
      </w:r>
      <w:r w:rsidRPr="001611C5">
        <w:rPr>
          <w:rFonts w:eastAsiaTheme="minorEastAsia" w:hint="eastAsia"/>
          <w:b/>
          <w:color w:val="000000" w:themeColor="text1"/>
          <w:kern w:val="0"/>
          <w:sz w:val="24"/>
        </w:rPr>
        <w:t>当期交易及持有基金产生的费用</w:t>
      </w:r>
    </w:p>
    <w:p w:rsidR="00C51B4E" w:rsidRPr="001611C5"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1611C5">
        <w:rPr>
          <w:rFonts w:eastAsiaTheme="minorEastAsia"/>
          <w:color w:val="000000" w:themeColor="text1"/>
          <w:sz w:val="24"/>
        </w:rPr>
        <w:t>本基金本报告期内未交易或持有基金。</w:t>
      </w:r>
    </w:p>
    <w:p w:rsidR="001611C5" w:rsidRDefault="001611C5" w:rsidP="001611C5">
      <w:pPr>
        <w:adjustRightInd w:val="0"/>
        <w:snapToGrid w:val="0"/>
        <w:spacing w:beforeLines="50" w:before="156" w:line="360" w:lineRule="auto"/>
        <w:rPr>
          <w:rFonts w:eastAsiaTheme="minorEastAsia"/>
          <w:b/>
          <w:color w:val="000000" w:themeColor="text1"/>
          <w:kern w:val="0"/>
          <w:sz w:val="24"/>
        </w:rPr>
      </w:pPr>
      <w:r>
        <w:rPr>
          <w:rFonts w:eastAsiaTheme="minorEastAsia"/>
          <w:b/>
          <w:color w:val="000000" w:themeColor="text1"/>
          <w:kern w:val="0"/>
          <w:sz w:val="24"/>
        </w:rPr>
        <w:t xml:space="preserve">6.3 </w:t>
      </w:r>
      <w:r>
        <w:rPr>
          <w:rFonts w:eastAsiaTheme="minorEastAsia" w:hint="eastAsia"/>
          <w:b/>
          <w:color w:val="000000" w:themeColor="text1"/>
          <w:kern w:val="0"/>
          <w:sz w:val="24"/>
        </w:rPr>
        <w:t>本报告期持有的基金发生的重大影响事件</w:t>
      </w:r>
    </w:p>
    <w:p w:rsidR="001611C5" w:rsidRDefault="001611C5" w:rsidP="001611C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hint="eastAsia"/>
          <w:color w:val="000000" w:themeColor="text1"/>
          <w:sz w:val="24"/>
        </w:rPr>
        <w:t>无。</w:t>
      </w:r>
    </w:p>
    <w:p w:rsidR="001611C5" w:rsidRPr="001611C5" w:rsidRDefault="001611C5" w:rsidP="00C51B4E">
      <w:pPr>
        <w:autoSpaceDE w:val="0"/>
        <w:autoSpaceDN w:val="0"/>
        <w:adjustRightInd w:val="0"/>
        <w:spacing w:line="360" w:lineRule="auto"/>
        <w:ind w:firstLineChars="200" w:firstLine="420"/>
        <w:jc w:val="left"/>
        <w:rPr>
          <w:rFonts w:eastAsiaTheme="minor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4,911,298,076.71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1,984,412.03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301,702.42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258,420.42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2,783,428.11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1,368,157.78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4,908,816,351.02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874,674.67</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B7EC3">
        <w:tc>
          <w:tcPr>
            <w:tcW w:w="992" w:type="dxa"/>
            <w:vMerge w:val="restart"/>
          </w:tcPr>
          <w:p w:rsidR="00BB7EC3" w:rsidRDefault="00BB7EC3"/>
          <w:p w:rsidR="00BB7EC3" w:rsidRDefault="00A3694A">
            <w:r>
              <w:rPr>
                <w:rFonts w:ascii="宋体" w:hAnsi="宋体" w:hint="eastAsia"/>
                <w:bCs/>
                <w:color w:val="000000"/>
                <w:kern w:val="0"/>
                <w:szCs w:val="21"/>
              </w:rPr>
              <w:t>机构</w:t>
            </w:r>
          </w:p>
        </w:tc>
        <w:tc>
          <w:tcPr>
            <w:tcW w:w="991" w:type="dxa"/>
            <w:vAlign w:val="center"/>
          </w:tcPr>
          <w:p w:rsidR="00BB7EC3" w:rsidRDefault="00A3694A">
            <w:pPr>
              <w:jc w:val="center"/>
            </w:pPr>
            <w:r>
              <w:rPr>
                <w:rFonts w:ascii="宋体" w:hAnsi="宋体" w:hint="eastAsia"/>
                <w:color w:val="000000"/>
                <w:kern w:val="0"/>
                <w:szCs w:val="21"/>
              </w:rPr>
              <w:t>1</w:t>
            </w:r>
          </w:p>
        </w:tc>
        <w:tc>
          <w:tcPr>
            <w:tcW w:w="1843" w:type="dxa"/>
            <w:vAlign w:val="center"/>
          </w:tcPr>
          <w:p w:rsidR="00BB7EC3" w:rsidRDefault="00A3694A">
            <w:pPr>
              <w:jc w:val="center"/>
            </w:pPr>
            <w:r>
              <w:rPr>
                <w:rFonts w:ascii="宋体" w:hAnsi="宋体" w:hint="eastAsia"/>
                <w:color w:val="000000"/>
                <w:kern w:val="0"/>
                <w:szCs w:val="21"/>
              </w:rPr>
              <w:t>2018/1/1-2018/3/31</w:t>
            </w:r>
          </w:p>
        </w:tc>
        <w:tc>
          <w:tcPr>
            <w:tcW w:w="851" w:type="dxa"/>
            <w:vAlign w:val="center"/>
          </w:tcPr>
          <w:p w:rsidR="00BB7EC3" w:rsidRDefault="00A3694A">
            <w:pPr>
              <w:jc w:val="center"/>
            </w:pPr>
            <w:r>
              <w:rPr>
                <w:rFonts w:ascii="宋体" w:hAnsi="宋体" w:hint="eastAsia"/>
                <w:color w:val="000000"/>
                <w:kern w:val="0"/>
                <w:szCs w:val="21"/>
              </w:rPr>
              <w:t>4,892,366,927.59</w:t>
            </w:r>
          </w:p>
        </w:tc>
        <w:tc>
          <w:tcPr>
            <w:tcW w:w="850" w:type="dxa"/>
            <w:vAlign w:val="center"/>
          </w:tcPr>
          <w:p w:rsidR="00BB7EC3" w:rsidRDefault="00A3694A">
            <w:pPr>
              <w:jc w:val="center"/>
            </w:pPr>
            <w:r>
              <w:rPr>
                <w:rFonts w:ascii="宋体" w:hAnsi="宋体" w:hint="eastAsia"/>
                <w:color w:val="000000"/>
                <w:kern w:val="0"/>
                <w:szCs w:val="21"/>
              </w:rPr>
              <w:t>-</w:t>
            </w:r>
          </w:p>
        </w:tc>
        <w:tc>
          <w:tcPr>
            <w:tcW w:w="1134" w:type="dxa"/>
            <w:vAlign w:val="center"/>
          </w:tcPr>
          <w:p w:rsidR="00BB7EC3" w:rsidRDefault="00A3694A">
            <w:pPr>
              <w:jc w:val="center"/>
            </w:pPr>
            <w:r>
              <w:rPr>
                <w:rFonts w:ascii="宋体" w:hAnsi="宋体" w:hint="eastAsia"/>
                <w:color w:val="000000"/>
                <w:kern w:val="0"/>
                <w:szCs w:val="21"/>
              </w:rPr>
              <w:t>-</w:t>
            </w:r>
          </w:p>
        </w:tc>
        <w:tc>
          <w:tcPr>
            <w:tcW w:w="1419" w:type="dxa"/>
            <w:vAlign w:val="center"/>
          </w:tcPr>
          <w:p w:rsidR="00BB7EC3" w:rsidRDefault="00A3694A">
            <w:pPr>
              <w:jc w:val="center"/>
            </w:pPr>
            <w:r>
              <w:rPr>
                <w:rFonts w:ascii="宋体" w:hAnsi="宋体" w:hint="eastAsia"/>
                <w:color w:val="000000"/>
                <w:kern w:val="0"/>
                <w:szCs w:val="21"/>
              </w:rPr>
              <w:t>4,892,366,927.59</w:t>
            </w:r>
          </w:p>
        </w:tc>
        <w:tc>
          <w:tcPr>
            <w:tcW w:w="1130" w:type="dxa"/>
            <w:vAlign w:val="center"/>
          </w:tcPr>
          <w:p w:rsidR="00BB7EC3" w:rsidRDefault="00A3694A">
            <w:pPr>
              <w:jc w:val="center"/>
            </w:pPr>
            <w:r>
              <w:rPr>
                <w:rFonts w:ascii="宋体" w:hAnsi="宋体" w:hint="eastAsia"/>
                <w:color w:val="000000"/>
                <w:kern w:val="0"/>
                <w:szCs w:val="21"/>
              </w:rPr>
              <w:t>99.65%</w:t>
            </w:r>
          </w:p>
        </w:tc>
      </w:tr>
      <w:tr w:rsidR="00ED0E09" w:rsidRPr="004F1784"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4F1784" w:rsidRDefault="00ED0E09">
            <w:pPr>
              <w:autoSpaceDE w:val="0"/>
              <w:autoSpaceDN w:val="0"/>
              <w:adjustRightInd w:val="0"/>
              <w:jc w:val="center"/>
              <w:rPr>
                <w:rFonts w:ascii="宋体" w:hAnsi="宋体"/>
                <w:kern w:val="0"/>
                <w:sz w:val="24"/>
              </w:rPr>
            </w:pPr>
            <w:r w:rsidRPr="004F1784">
              <w:rPr>
                <w:rFonts w:ascii="宋体" w:hAnsi="宋体" w:hint="eastAsia"/>
                <w:color w:val="000000"/>
                <w:kern w:val="0"/>
                <w:sz w:val="24"/>
              </w:rPr>
              <w:t>产品特有风险</w:t>
            </w:r>
          </w:p>
        </w:tc>
      </w:tr>
      <w:tr w:rsidR="00ED0E09" w:rsidRPr="004F1784"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4F1784" w:rsidRDefault="00ED0E09">
            <w:pPr>
              <w:autoSpaceDE w:val="0"/>
              <w:autoSpaceDN w:val="0"/>
              <w:adjustRightInd w:val="0"/>
              <w:jc w:val="left"/>
              <w:rPr>
                <w:rFonts w:ascii="宋体" w:hAnsi="宋体"/>
                <w:kern w:val="0"/>
                <w:sz w:val="24"/>
              </w:rPr>
            </w:pPr>
            <w:r w:rsidRPr="004F1784">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F1784" w:rsidRDefault="004F1784" w:rsidP="00ED0E09">
      <w:pPr>
        <w:autoSpaceDE w:val="0"/>
        <w:autoSpaceDN w:val="0"/>
        <w:adjustRightInd w:val="0"/>
        <w:spacing w:line="360" w:lineRule="auto"/>
        <w:jc w:val="left"/>
        <w:rPr>
          <w:rFonts w:ascii="宋体" w:hAnsi="宋体"/>
          <w:b/>
          <w:bCs/>
          <w:color w:val="000000"/>
          <w:kern w:val="0"/>
          <w:sz w:val="24"/>
        </w:rPr>
      </w:pPr>
    </w:p>
    <w:p w:rsidR="00ED0E09" w:rsidRPr="004F1784" w:rsidRDefault="00ED0E09" w:rsidP="00ED0E09">
      <w:pPr>
        <w:autoSpaceDE w:val="0"/>
        <w:autoSpaceDN w:val="0"/>
        <w:adjustRightInd w:val="0"/>
        <w:spacing w:line="360" w:lineRule="auto"/>
        <w:jc w:val="left"/>
        <w:rPr>
          <w:rFonts w:ascii="宋体" w:hAnsi="宋体"/>
          <w:b/>
          <w:bCs/>
          <w:color w:val="000000"/>
          <w:kern w:val="0"/>
          <w:sz w:val="24"/>
        </w:rPr>
      </w:pPr>
      <w:bookmarkStart w:id="0" w:name="_GoBack"/>
      <w:bookmarkEnd w:id="0"/>
      <w:r w:rsidRPr="004F1784">
        <w:rPr>
          <w:rFonts w:ascii="宋体" w:hAnsi="宋体" w:hint="eastAsia"/>
          <w:b/>
          <w:bCs/>
          <w:color w:val="000000"/>
          <w:kern w:val="0"/>
          <w:sz w:val="24"/>
        </w:rPr>
        <w:t>9.2 影响投资者决策的其他重要信息</w:t>
      </w:r>
    </w:p>
    <w:p w:rsidR="00BB7EC3" w:rsidRPr="004F1784" w:rsidRDefault="00A3694A">
      <w:pPr>
        <w:spacing w:line="360" w:lineRule="auto"/>
        <w:ind w:firstLineChars="200" w:firstLine="480"/>
        <w:rPr>
          <w:rFonts w:ascii="宋体" w:hAnsi="宋体"/>
          <w:color w:val="000000"/>
          <w:sz w:val="24"/>
        </w:rPr>
      </w:pPr>
      <w:r w:rsidRPr="004F1784">
        <w:rPr>
          <w:rFonts w:ascii="宋体" w:hAnsi="宋体" w:hint="eastAsia"/>
          <w:color w:val="000000"/>
          <w:sz w:val="24"/>
        </w:rPr>
        <w:t>1、根据财政部和国家税务总局于2016年12月21日联合发布的《关于明确金融、房地产开发、教育辅助服务等增值税政策的通知》（财税[2016]140号）以及于2017年</w:t>
      </w:r>
      <w:r w:rsidRPr="004F1784">
        <w:rPr>
          <w:rFonts w:ascii="宋体" w:hAnsi="宋体" w:hint="eastAsia"/>
          <w:color w:val="000000"/>
          <w:sz w:val="24"/>
        </w:rPr>
        <w:lastRenderedPageBreak/>
        <w:t>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4F1784" w:rsidRDefault="00ED0E09" w:rsidP="00ED0E09">
      <w:pPr>
        <w:spacing w:line="360" w:lineRule="auto"/>
        <w:ind w:firstLineChars="200" w:firstLine="480"/>
        <w:rPr>
          <w:rFonts w:ascii="宋体" w:hAnsi="宋体"/>
          <w:color w:val="000000"/>
          <w:sz w:val="24"/>
        </w:rPr>
      </w:pPr>
      <w:r w:rsidRPr="004F1784">
        <w:rPr>
          <w:rFonts w:ascii="宋体" w:hAnsi="宋体" w:hint="eastAsia"/>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BB7EC3" w:rsidRDefault="00A3694A">
      <w:pPr>
        <w:spacing w:before="29" w:line="288" w:lineRule="auto"/>
        <w:ind w:firstLineChars="200" w:firstLine="480"/>
        <w:rPr>
          <w:rFonts w:eastAsiaTheme="minorEastAsia"/>
          <w:color w:val="000000"/>
          <w:sz w:val="24"/>
        </w:rPr>
      </w:pPr>
      <w:r>
        <w:rPr>
          <w:rFonts w:eastAsiaTheme="minorEastAsia"/>
          <w:color w:val="000000"/>
          <w:sz w:val="24"/>
        </w:rPr>
        <w:lastRenderedPageBreak/>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A8C" w:rsidRDefault="006F0A8C">
      <w:r>
        <w:separator/>
      </w:r>
    </w:p>
  </w:endnote>
  <w:endnote w:type="continuationSeparator" w:id="0">
    <w:p w:rsidR="006F0A8C" w:rsidRDefault="006F0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4F1784">
      <w:rPr>
        <w:noProof/>
        <w:kern w:val="0"/>
        <w:szCs w:val="21"/>
      </w:rPr>
      <w:t>12</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4F1784">
      <w:rPr>
        <w:noProof/>
        <w:kern w:val="0"/>
        <w:szCs w:val="21"/>
      </w:rPr>
      <w:t>15</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A8C" w:rsidRDefault="006F0A8C">
      <w:r>
        <w:separator/>
      </w:r>
    </w:p>
  </w:footnote>
  <w:footnote w:type="continuationSeparator" w:id="0">
    <w:p w:rsidR="006F0A8C" w:rsidRDefault="006F0A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交银施罗德丰润收益债券型证券投资基金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1C5"/>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1784"/>
    <w:rsid w:val="004F2EB4"/>
    <w:rsid w:val="004F521C"/>
    <w:rsid w:val="004F5DD3"/>
    <w:rsid w:val="00502CD8"/>
    <w:rsid w:val="0050361C"/>
    <w:rsid w:val="00504553"/>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2C2"/>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0A8C"/>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94A"/>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B7EC3"/>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672222668">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2DA2A-1BC1-4C2A-86C3-D8F4EB2B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207</TotalTime>
  <Pages>15</Pages>
  <Words>1250</Words>
  <Characters>7130</Characters>
  <Application>Microsoft Office Word</Application>
  <DocSecurity>0</DocSecurity>
  <Lines>59</Lines>
  <Paragraphs>16</Paragraphs>
  <ScaleCrop>false</ScaleCrop>
  <Company>TRT. Ltd. Co.</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378</cp:revision>
  <cp:lastPrinted>2007-07-19T00:46:00Z</cp:lastPrinted>
  <dcterms:created xsi:type="dcterms:W3CDTF">2014-01-17T06:19:00Z</dcterms:created>
  <dcterms:modified xsi:type="dcterms:W3CDTF">2018-04-19T01:20:00Z</dcterms:modified>
</cp:coreProperties>
</file>