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交银施罗德丰盈收益债券型证券投资基金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2018</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2018</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二〇一八年四月二十一日</w:t>
      </w:r>
    </w:p>
    <w:p w:rsidR="009238DB" w:rsidRPr="007F52FA" w:rsidRDefault="009238DB" w:rsidP="0028293E">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FB7DEE" w:rsidRDefault="0044768E">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FB7DEE" w:rsidRDefault="0044768E">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2018</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FB7DEE" w:rsidRDefault="0044768E">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FB7DEE" w:rsidRDefault="0044768E">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FB7DEE" w:rsidRDefault="0044768E">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2018</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交银丰盈收益债券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519740</w:t>
            </w:r>
          </w:p>
        </w:tc>
      </w:tr>
      <w:tr w:rsidR="000E2A08" w:rsidRPr="007F52FA" w:rsidTr="00C74E2C">
        <w:trPr>
          <w:jc w:val="center"/>
        </w:trPr>
        <w:tc>
          <w:tcPr>
            <w:tcW w:w="3023" w:type="dxa"/>
            <w:vAlign w:val="center"/>
          </w:tcPr>
          <w:p w:rsidR="000E2A08" w:rsidRPr="007F52FA" w:rsidRDefault="000E2A08" w:rsidP="007C14DF">
            <w:pPr>
              <w:adjustRightInd w:val="0"/>
              <w:spacing w:before="29" w:line="288" w:lineRule="auto"/>
              <w:ind w:left="17"/>
              <w:jc w:val="left"/>
              <w:rPr>
                <w:kern w:val="0"/>
                <w:sz w:val="24"/>
              </w:rPr>
            </w:pPr>
            <w:bookmarkStart w:id="0" w:name="_GoBack" w:colFirst="1" w:colLast="1"/>
            <w:r w:rsidRPr="007F52FA">
              <w:rPr>
                <w:kern w:val="0"/>
                <w:sz w:val="24"/>
              </w:rPr>
              <w:t>交易代码</w:t>
            </w:r>
          </w:p>
        </w:tc>
        <w:tc>
          <w:tcPr>
            <w:tcW w:w="5970" w:type="dxa"/>
            <w:gridSpan w:val="2"/>
            <w:tcBorders>
              <w:bottom w:val="single" w:sz="4" w:space="0" w:color="auto"/>
            </w:tcBorders>
            <w:vAlign w:val="center"/>
          </w:tcPr>
          <w:p w:rsidR="000E2A08" w:rsidRPr="007F52FA" w:rsidRDefault="000E2A08" w:rsidP="007C14DF">
            <w:pPr>
              <w:adjustRightInd w:val="0"/>
              <w:spacing w:before="29" w:line="288" w:lineRule="auto"/>
              <w:ind w:left="17"/>
              <w:jc w:val="left"/>
              <w:rPr>
                <w:color w:val="000000"/>
                <w:kern w:val="0"/>
                <w:sz w:val="24"/>
              </w:rPr>
            </w:pPr>
            <w:r w:rsidRPr="007F52FA">
              <w:rPr>
                <w:color w:val="000000"/>
                <w:kern w:val="0"/>
                <w:sz w:val="24"/>
              </w:rPr>
              <w:t>519740</w:t>
            </w:r>
          </w:p>
        </w:tc>
      </w:tr>
      <w:bookmarkEnd w:id="0"/>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契约型，本基金在基金合同生效之日起三年（含三年）的期间内封闭式运作（按照基金合同的约定提前转换基金运作方式的除外），封闭期结束后转为开放式运作</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11</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43,504,297.12</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追求在有效控制风险的前提下，力争为基金资产获得稳健的投资收益和超额回报。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FB7DEE" w:rsidRDefault="0044768E">
            <w:pPr>
              <w:adjustRightInd w:val="0"/>
              <w:spacing w:before="29" w:line="288" w:lineRule="auto"/>
              <w:ind w:left="17"/>
              <w:jc w:val="left"/>
              <w:rPr>
                <w:color w:val="000000"/>
                <w:sz w:val="24"/>
              </w:rPr>
            </w:pPr>
            <w:r>
              <w:rPr>
                <w:color w:val="000000"/>
                <w:kern w:val="0"/>
                <w:sz w:val="24"/>
              </w:rPr>
              <w:t>封闭期内投资策略：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p w:rsidR="00FB7DEE" w:rsidRDefault="00FB7DEE">
            <w:pPr>
              <w:adjustRightInd w:val="0"/>
              <w:spacing w:before="29" w:line="288" w:lineRule="auto"/>
              <w:ind w:left="17"/>
              <w:jc w:val="left"/>
              <w:rPr>
                <w:color w:val="000000"/>
                <w:sz w:val="24"/>
              </w:rPr>
            </w:pP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投资策略：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FB7DEE" w:rsidRDefault="0044768E">
            <w:pPr>
              <w:adjustRightInd w:val="0"/>
              <w:spacing w:before="29" w:line="288" w:lineRule="auto"/>
              <w:ind w:left="17"/>
              <w:jc w:val="left"/>
              <w:rPr>
                <w:color w:val="000000"/>
                <w:sz w:val="24"/>
              </w:rPr>
            </w:pPr>
            <w:r>
              <w:rPr>
                <w:color w:val="000000"/>
                <w:kern w:val="0"/>
                <w:sz w:val="24"/>
              </w:rPr>
              <w:t>封闭期内业绩比较基准：三年期银行定期存款税后收益率</w:t>
            </w:r>
          </w:p>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开放期内业绩比较基准：中债综合全价指数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交银丰盈收益债券</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519740</w:t>
            </w:r>
          </w:p>
        </w:tc>
        <w:tc>
          <w:tcPr>
            <w:tcW w:w="3048" w:type="dxa"/>
            <w:vAlign w:val="center"/>
          </w:tcPr>
          <w:p w:rsidR="00C23B30" w:rsidRPr="000E4C40" w:rsidRDefault="00C23B30" w:rsidP="00A52A9E">
            <w:pPr>
              <w:spacing w:before="29" w:line="288" w:lineRule="auto"/>
              <w:jc w:val="left"/>
              <w:rPr>
                <w:sz w:val="24"/>
              </w:rPr>
            </w:pPr>
            <w:r w:rsidRPr="000E4C40">
              <w:rPr>
                <w:sz w:val="24"/>
              </w:rPr>
              <w:t>005025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43,472,430.68</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31,866.44</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8</w:t>
      </w:r>
      <w:r w:rsidRPr="007F52FA">
        <w:rPr>
          <w:rFonts w:eastAsiaTheme="minorEastAsia"/>
          <w:color w:val="000000"/>
          <w:sz w:val="24"/>
        </w:rPr>
        <w:t>月</w:t>
      </w:r>
      <w:r w:rsidRPr="007F52FA">
        <w:rPr>
          <w:rFonts w:eastAsiaTheme="minorEastAsia"/>
          <w:color w:val="000000"/>
          <w:sz w:val="24"/>
        </w:rPr>
        <w:t>14</w:t>
      </w:r>
      <w:r w:rsidRPr="007F52FA">
        <w:rPr>
          <w:rFonts w:eastAsiaTheme="minorEastAsia"/>
          <w:color w:val="000000"/>
          <w:sz w:val="24"/>
        </w:rPr>
        <w:t>日起转为开放式运作。</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(2018</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-2018</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交银丰盈收益债券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交银丰盈收益债券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104,009.90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67.16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605,472.87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293.10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0.0121</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0.0104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lastRenderedPageBreak/>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45,362,854.99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33,181.23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1.043</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1.041</w:t>
            </w:r>
          </w:p>
        </w:tc>
      </w:tr>
    </w:tbl>
    <w:p w:rsidR="00FB7DEE" w:rsidRDefault="0044768E">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交银丰盈收益债券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B7DEE">
        <w:trPr>
          <w:jc w:val="center"/>
        </w:trPr>
        <w:tc>
          <w:tcPr>
            <w:tcW w:w="1266" w:type="dxa"/>
            <w:vAlign w:val="center"/>
          </w:tcPr>
          <w:p w:rsidR="00FB7DEE" w:rsidRDefault="0044768E">
            <w:pPr>
              <w:jc w:val="left"/>
            </w:pPr>
            <w:r>
              <w:rPr>
                <w:color w:val="000000"/>
                <w:sz w:val="24"/>
              </w:rPr>
              <w:t>过去三个月</w:t>
            </w:r>
          </w:p>
        </w:tc>
        <w:tc>
          <w:tcPr>
            <w:tcW w:w="1267" w:type="dxa"/>
            <w:vAlign w:val="center"/>
          </w:tcPr>
          <w:p w:rsidR="00FB7DEE" w:rsidRDefault="0044768E">
            <w:pPr>
              <w:jc w:val="center"/>
            </w:pPr>
            <w:r>
              <w:rPr>
                <w:color w:val="000000"/>
                <w:sz w:val="24"/>
              </w:rPr>
              <w:t>1.07%</w:t>
            </w:r>
          </w:p>
        </w:tc>
        <w:tc>
          <w:tcPr>
            <w:tcW w:w="1267" w:type="dxa"/>
            <w:vAlign w:val="center"/>
          </w:tcPr>
          <w:p w:rsidR="00FB7DEE" w:rsidRDefault="0044768E">
            <w:pPr>
              <w:jc w:val="center"/>
            </w:pPr>
            <w:r>
              <w:rPr>
                <w:color w:val="000000"/>
                <w:sz w:val="24"/>
              </w:rPr>
              <w:t>0.05%</w:t>
            </w:r>
          </w:p>
        </w:tc>
        <w:tc>
          <w:tcPr>
            <w:tcW w:w="1267" w:type="dxa"/>
            <w:vAlign w:val="center"/>
          </w:tcPr>
          <w:p w:rsidR="00FB7DEE" w:rsidRDefault="0044768E">
            <w:pPr>
              <w:jc w:val="center"/>
            </w:pPr>
            <w:r>
              <w:rPr>
                <w:color w:val="000000"/>
                <w:sz w:val="24"/>
              </w:rPr>
              <w:t>1.13%</w:t>
            </w:r>
          </w:p>
        </w:tc>
        <w:tc>
          <w:tcPr>
            <w:tcW w:w="1267" w:type="dxa"/>
            <w:vAlign w:val="center"/>
          </w:tcPr>
          <w:p w:rsidR="00FB7DEE" w:rsidRDefault="0044768E">
            <w:pPr>
              <w:jc w:val="center"/>
            </w:pPr>
            <w:r>
              <w:rPr>
                <w:color w:val="000000"/>
                <w:sz w:val="24"/>
              </w:rPr>
              <w:t>0.04%</w:t>
            </w:r>
          </w:p>
        </w:tc>
        <w:tc>
          <w:tcPr>
            <w:tcW w:w="1267" w:type="dxa"/>
            <w:vAlign w:val="center"/>
          </w:tcPr>
          <w:p w:rsidR="00FB7DEE" w:rsidRDefault="0044768E">
            <w:pPr>
              <w:jc w:val="center"/>
            </w:pPr>
            <w:r>
              <w:rPr>
                <w:color w:val="000000"/>
                <w:sz w:val="24"/>
              </w:rPr>
              <w:t>-0.06%</w:t>
            </w:r>
          </w:p>
        </w:tc>
        <w:tc>
          <w:tcPr>
            <w:tcW w:w="1267" w:type="dxa"/>
            <w:vAlign w:val="center"/>
          </w:tcPr>
          <w:p w:rsidR="00FB7DEE" w:rsidRDefault="0044768E">
            <w:pPr>
              <w:jc w:val="center"/>
            </w:pPr>
            <w:r>
              <w:rPr>
                <w:color w:val="000000"/>
                <w:sz w:val="24"/>
              </w:rPr>
              <w:t>0.01%</w:t>
            </w:r>
          </w:p>
        </w:tc>
      </w:tr>
    </w:tbl>
    <w:p w:rsidR="009238DB" w:rsidRPr="007F52FA" w:rsidRDefault="004425E8"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交银丰盈收益债券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FB7DEE">
        <w:trPr>
          <w:jc w:val="center"/>
        </w:trPr>
        <w:tc>
          <w:tcPr>
            <w:tcW w:w="1266" w:type="dxa"/>
            <w:vAlign w:val="center"/>
          </w:tcPr>
          <w:p w:rsidR="00FB7DEE" w:rsidRDefault="0044768E">
            <w:pPr>
              <w:jc w:val="left"/>
            </w:pPr>
            <w:r>
              <w:rPr>
                <w:color w:val="000000"/>
                <w:sz w:val="24"/>
              </w:rPr>
              <w:t>过去三个月</w:t>
            </w:r>
          </w:p>
        </w:tc>
        <w:tc>
          <w:tcPr>
            <w:tcW w:w="1267" w:type="dxa"/>
            <w:vAlign w:val="center"/>
          </w:tcPr>
          <w:p w:rsidR="00FB7DEE" w:rsidRDefault="0044768E">
            <w:pPr>
              <w:jc w:val="center"/>
            </w:pPr>
            <w:r>
              <w:rPr>
                <w:color w:val="000000"/>
                <w:sz w:val="24"/>
              </w:rPr>
              <w:t>0.97%</w:t>
            </w:r>
          </w:p>
        </w:tc>
        <w:tc>
          <w:tcPr>
            <w:tcW w:w="1267" w:type="dxa"/>
            <w:vAlign w:val="center"/>
          </w:tcPr>
          <w:p w:rsidR="00FB7DEE" w:rsidRDefault="0044768E">
            <w:pPr>
              <w:jc w:val="center"/>
            </w:pPr>
            <w:r>
              <w:rPr>
                <w:color w:val="000000"/>
                <w:sz w:val="24"/>
              </w:rPr>
              <w:t>0.05%</w:t>
            </w:r>
          </w:p>
        </w:tc>
        <w:tc>
          <w:tcPr>
            <w:tcW w:w="1267" w:type="dxa"/>
            <w:vAlign w:val="center"/>
          </w:tcPr>
          <w:p w:rsidR="00FB7DEE" w:rsidRDefault="0044768E">
            <w:pPr>
              <w:jc w:val="center"/>
            </w:pPr>
            <w:r>
              <w:rPr>
                <w:color w:val="000000"/>
                <w:sz w:val="24"/>
              </w:rPr>
              <w:t>1.13%</w:t>
            </w:r>
          </w:p>
        </w:tc>
        <w:tc>
          <w:tcPr>
            <w:tcW w:w="1267" w:type="dxa"/>
            <w:vAlign w:val="center"/>
          </w:tcPr>
          <w:p w:rsidR="00FB7DEE" w:rsidRDefault="0044768E">
            <w:pPr>
              <w:jc w:val="center"/>
            </w:pPr>
            <w:r>
              <w:rPr>
                <w:color w:val="000000"/>
                <w:sz w:val="24"/>
              </w:rPr>
              <w:t>0.04%</w:t>
            </w:r>
          </w:p>
        </w:tc>
        <w:tc>
          <w:tcPr>
            <w:tcW w:w="1267" w:type="dxa"/>
            <w:vAlign w:val="center"/>
          </w:tcPr>
          <w:p w:rsidR="00FB7DEE" w:rsidRDefault="0044768E">
            <w:pPr>
              <w:jc w:val="center"/>
            </w:pPr>
            <w:r>
              <w:rPr>
                <w:color w:val="000000"/>
                <w:sz w:val="24"/>
              </w:rPr>
              <w:t>-0.16%</w:t>
            </w:r>
          </w:p>
        </w:tc>
        <w:tc>
          <w:tcPr>
            <w:tcW w:w="1267" w:type="dxa"/>
            <w:vAlign w:val="center"/>
          </w:tcPr>
          <w:p w:rsidR="00FB7DEE" w:rsidRDefault="0044768E">
            <w:pPr>
              <w:jc w:val="center"/>
            </w:pPr>
            <w:r>
              <w:rPr>
                <w:color w:val="000000"/>
                <w:sz w:val="24"/>
              </w:rPr>
              <w:t>0.01%</w:t>
            </w:r>
          </w:p>
        </w:tc>
      </w:tr>
    </w:tbl>
    <w:p w:rsidR="00E73221" w:rsidRPr="007F52FA" w:rsidRDefault="00FE7FBD" w:rsidP="007C14DF">
      <w:pPr>
        <w:autoSpaceDE w:val="0"/>
        <w:autoSpaceDN w:val="0"/>
        <w:adjustRightInd w:val="0"/>
        <w:spacing w:before="29" w:line="288" w:lineRule="auto"/>
        <w:jc w:val="left"/>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日起转为开放式运作，本基金的业绩比较基准由</w:t>
      </w:r>
      <w:r w:rsidRPr="007F52FA">
        <w:rPr>
          <w:color w:val="000000"/>
          <w:sz w:val="24"/>
        </w:rPr>
        <w:t>“</w:t>
      </w:r>
      <w:r w:rsidRPr="007F52FA">
        <w:rPr>
          <w:color w:val="000000"/>
          <w:sz w:val="24"/>
        </w:rPr>
        <w:t>三年期银行定期存款税后收益率</w:t>
      </w:r>
      <w:r w:rsidRPr="007F52FA">
        <w:rPr>
          <w:color w:val="000000"/>
          <w:sz w:val="24"/>
        </w:rPr>
        <w:t>”</w:t>
      </w:r>
      <w:r w:rsidRPr="007F52FA">
        <w:rPr>
          <w:color w:val="000000"/>
          <w:sz w:val="24"/>
        </w:rPr>
        <w:t>变更为</w:t>
      </w:r>
      <w:r w:rsidRPr="007F52FA">
        <w:rPr>
          <w:color w:val="000000"/>
          <w:sz w:val="24"/>
        </w:rPr>
        <w:t>“</w:t>
      </w:r>
      <w:r w:rsidRPr="007F52FA">
        <w:rPr>
          <w:color w:val="000000"/>
          <w:sz w:val="24"/>
        </w:rPr>
        <w:t>中债综合全价指数</w:t>
      </w:r>
      <w:r w:rsidRPr="007F52FA">
        <w:rPr>
          <w:color w:val="000000"/>
          <w:sz w:val="24"/>
        </w:rPr>
        <w:t>”</w:t>
      </w:r>
      <w:r w:rsidRPr="007F52FA">
        <w:rPr>
          <w:color w:val="000000"/>
          <w:sz w:val="24"/>
        </w:rPr>
        <w:t>，</w:t>
      </w:r>
      <w:r w:rsidRPr="007F52FA">
        <w:rPr>
          <w:color w:val="000000"/>
          <w:sz w:val="24"/>
        </w:rPr>
        <w:t>3.2.2</w:t>
      </w:r>
      <w:r w:rsidRPr="007F52FA">
        <w:rPr>
          <w:color w:val="000000"/>
          <w:sz w:val="24"/>
        </w:rPr>
        <w:t>同。</w:t>
      </w:r>
    </w:p>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交银施罗德丰盈收益债券型证券投资基金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11</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lastRenderedPageBreak/>
        <w:t>1</w:t>
      </w:r>
      <w:r w:rsidRPr="007F52FA">
        <w:rPr>
          <w:color w:val="000000"/>
          <w:sz w:val="24"/>
        </w:rPr>
        <w:t>．</w:t>
      </w:r>
      <w:r w:rsidR="0042785F" w:rsidRPr="007F52FA">
        <w:rPr>
          <w:color w:val="000000"/>
          <w:sz w:val="24"/>
        </w:rPr>
        <w:t>交银丰盈收益债券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交银丰盈收益债券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14</w:t>
      </w:r>
      <w:r w:rsidRPr="007F52FA">
        <w:rPr>
          <w:color w:val="000000"/>
          <w:sz w:val="24"/>
        </w:rPr>
        <w:t>日起增加</w:t>
      </w:r>
      <w:r w:rsidRPr="007F52FA">
        <w:rPr>
          <w:color w:val="000000"/>
          <w:sz w:val="24"/>
        </w:rPr>
        <w:t>C</w:t>
      </w:r>
      <w:r w:rsidRPr="007F52FA">
        <w:rPr>
          <w:color w:val="000000"/>
          <w:sz w:val="24"/>
        </w:rPr>
        <w:t>类份额，投资者提交的申购申请于</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15</w:t>
      </w:r>
      <w:r w:rsidRPr="007F52FA">
        <w:rPr>
          <w:color w:val="000000"/>
          <w:sz w:val="24"/>
        </w:rPr>
        <w:t>日被确认并将有效份额登记在册。图示日期为</w:t>
      </w:r>
      <w:r w:rsidRPr="007F52FA">
        <w:rPr>
          <w:color w:val="000000"/>
          <w:sz w:val="24"/>
        </w:rPr>
        <w:t>2017</w:t>
      </w:r>
      <w:r w:rsidRPr="007F52FA">
        <w:rPr>
          <w:color w:val="000000"/>
          <w:sz w:val="24"/>
        </w:rPr>
        <w:t>年</w:t>
      </w:r>
      <w:r w:rsidRPr="007F52FA">
        <w:rPr>
          <w:color w:val="000000"/>
          <w:sz w:val="24"/>
        </w:rPr>
        <w:t>8</w:t>
      </w:r>
      <w:r w:rsidRPr="007F52FA">
        <w:rPr>
          <w:color w:val="000000"/>
          <w:sz w:val="24"/>
        </w:rPr>
        <w:t>月</w:t>
      </w:r>
      <w:r w:rsidRPr="007F52FA">
        <w:rPr>
          <w:color w:val="000000"/>
          <w:sz w:val="24"/>
        </w:rPr>
        <w:t>15</w:t>
      </w:r>
      <w:r w:rsidRPr="007F52FA">
        <w:rPr>
          <w:color w:val="000000"/>
          <w:sz w:val="24"/>
        </w:rPr>
        <w:t>日至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FB7DEE">
        <w:trPr>
          <w:jc w:val="center"/>
        </w:trPr>
        <w:tc>
          <w:tcPr>
            <w:tcW w:w="946" w:type="dxa"/>
            <w:vAlign w:val="center"/>
          </w:tcPr>
          <w:p w:rsidR="00FB7DEE" w:rsidRDefault="0044768E">
            <w:pPr>
              <w:jc w:val="center"/>
            </w:pPr>
            <w:r>
              <w:rPr>
                <w:color w:val="000000"/>
                <w:sz w:val="24"/>
              </w:rPr>
              <w:t>连端清</w:t>
            </w:r>
          </w:p>
        </w:tc>
        <w:tc>
          <w:tcPr>
            <w:tcW w:w="924" w:type="dxa"/>
            <w:vAlign w:val="center"/>
          </w:tcPr>
          <w:p w:rsidR="00FB7DEE" w:rsidRDefault="0044768E">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w:t>
            </w:r>
            <w:r>
              <w:rPr>
                <w:color w:val="000000"/>
                <w:sz w:val="24"/>
              </w:rPr>
              <w:lastRenderedPageBreak/>
              <w:t>债债券、交银裕利纯债债券、交银裕隆纯债债券、交银天鑫宝货币、交银天益宝货币、交银境尚收益债券、交银天运宝货币的基金经理</w:t>
            </w:r>
          </w:p>
        </w:tc>
        <w:tc>
          <w:tcPr>
            <w:tcW w:w="1202" w:type="dxa"/>
            <w:vAlign w:val="center"/>
          </w:tcPr>
          <w:p w:rsidR="00FB7DEE" w:rsidRDefault="0044768E">
            <w:pPr>
              <w:jc w:val="center"/>
            </w:pPr>
            <w:r>
              <w:rPr>
                <w:color w:val="000000"/>
                <w:sz w:val="24"/>
              </w:rPr>
              <w:lastRenderedPageBreak/>
              <w:t>2015-08-04</w:t>
            </w:r>
          </w:p>
        </w:tc>
        <w:tc>
          <w:tcPr>
            <w:tcW w:w="1300" w:type="dxa"/>
            <w:vAlign w:val="center"/>
          </w:tcPr>
          <w:p w:rsidR="00FB7DEE" w:rsidRDefault="0044768E">
            <w:pPr>
              <w:jc w:val="center"/>
            </w:pPr>
            <w:r>
              <w:rPr>
                <w:color w:val="000000"/>
                <w:sz w:val="24"/>
              </w:rPr>
              <w:t>-</w:t>
            </w:r>
          </w:p>
        </w:tc>
        <w:tc>
          <w:tcPr>
            <w:tcW w:w="1245" w:type="dxa"/>
            <w:vAlign w:val="center"/>
          </w:tcPr>
          <w:p w:rsidR="00FB7DEE" w:rsidRDefault="0044768E">
            <w:pPr>
              <w:jc w:val="center"/>
            </w:pPr>
            <w:r>
              <w:rPr>
                <w:color w:val="000000"/>
                <w:sz w:val="24"/>
              </w:rPr>
              <w:t>5</w:t>
            </w:r>
            <w:r>
              <w:rPr>
                <w:color w:val="000000"/>
                <w:sz w:val="24"/>
              </w:rPr>
              <w:t>年</w:t>
            </w:r>
          </w:p>
        </w:tc>
        <w:tc>
          <w:tcPr>
            <w:tcW w:w="3251" w:type="dxa"/>
            <w:vAlign w:val="center"/>
          </w:tcPr>
          <w:p w:rsidR="00FB7DEE" w:rsidRDefault="0044768E">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r w:rsidR="00FB7DEE">
        <w:trPr>
          <w:jc w:val="center"/>
        </w:trPr>
        <w:tc>
          <w:tcPr>
            <w:tcW w:w="946" w:type="dxa"/>
            <w:vAlign w:val="center"/>
          </w:tcPr>
          <w:p w:rsidR="00FB7DEE" w:rsidRDefault="0044768E">
            <w:pPr>
              <w:jc w:val="center"/>
            </w:pPr>
            <w:r>
              <w:rPr>
                <w:color w:val="000000"/>
                <w:sz w:val="24"/>
              </w:rPr>
              <w:t>于海颖</w:t>
            </w:r>
          </w:p>
        </w:tc>
        <w:tc>
          <w:tcPr>
            <w:tcW w:w="924" w:type="dxa"/>
            <w:vAlign w:val="center"/>
          </w:tcPr>
          <w:p w:rsidR="00FB7DEE" w:rsidRDefault="0044768E">
            <w:pPr>
              <w:jc w:val="center"/>
            </w:pPr>
            <w:r>
              <w:rPr>
                <w:color w:val="000000"/>
                <w:sz w:val="24"/>
              </w:rPr>
              <w:t>交银增利债券、交银纯债债券发起、交银荣祥保本混合、交银定期支付月月丰债</w:t>
            </w:r>
            <w:r>
              <w:rPr>
                <w:color w:val="000000"/>
                <w:sz w:val="24"/>
              </w:rPr>
              <w:lastRenderedPageBreak/>
              <w:t>券、交银增强收益债券、交银强化回报债券、交银丰盈收益债券、交银丰硕收益债券、交银荣鑫保本混合、交银增利增强债券的基金经理，公司固定收益（公募）投资总监</w:t>
            </w:r>
          </w:p>
        </w:tc>
        <w:tc>
          <w:tcPr>
            <w:tcW w:w="1202" w:type="dxa"/>
            <w:vAlign w:val="center"/>
          </w:tcPr>
          <w:p w:rsidR="00FB7DEE" w:rsidRDefault="0044768E">
            <w:pPr>
              <w:jc w:val="center"/>
            </w:pPr>
            <w:r>
              <w:rPr>
                <w:color w:val="000000"/>
                <w:sz w:val="24"/>
              </w:rPr>
              <w:lastRenderedPageBreak/>
              <w:t>2016-12-29</w:t>
            </w:r>
          </w:p>
        </w:tc>
        <w:tc>
          <w:tcPr>
            <w:tcW w:w="1300" w:type="dxa"/>
            <w:vAlign w:val="center"/>
          </w:tcPr>
          <w:p w:rsidR="00FB7DEE" w:rsidRDefault="0044768E">
            <w:pPr>
              <w:jc w:val="center"/>
            </w:pPr>
            <w:r>
              <w:rPr>
                <w:color w:val="000000"/>
                <w:sz w:val="24"/>
              </w:rPr>
              <w:t>-</w:t>
            </w:r>
          </w:p>
        </w:tc>
        <w:tc>
          <w:tcPr>
            <w:tcW w:w="1245" w:type="dxa"/>
            <w:vAlign w:val="center"/>
          </w:tcPr>
          <w:p w:rsidR="00FB7DEE" w:rsidRDefault="0044768E">
            <w:pPr>
              <w:jc w:val="center"/>
            </w:pPr>
            <w:r>
              <w:rPr>
                <w:color w:val="000000"/>
                <w:sz w:val="24"/>
              </w:rPr>
              <w:t>12</w:t>
            </w:r>
            <w:r>
              <w:rPr>
                <w:color w:val="000000"/>
                <w:sz w:val="24"/>
              </w:rPr>
              <w:t>年</w:t>
            </w:r>
          </w:p>
        </w:tc>
        <w:tc>
          <w:tcPr>
            <w:tcW w:w="3251" w:type="dxa"/>
            <w:vAlign w:val="center"/>
          </w:tcPr>
          <w:p w:rsidR="00FB7DEE" w:rsidRDefault="0044768E">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w:t>
            </w:r>
            <w:r>
              <w:rPr>
                <w:color w:val="000000"/>
                <w:sz w:val="24"/>
              </w:rPr>
              <w:t>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lastRenderedPageBreak/>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FB7DEE" w:rsidRDefault="0044768E">
      <w:pPr>
        <w:autoSpaceDE w:val="0"/>
        <w:autoSpaceDN w:val="0"/>
        <w:adjustRightInd w:val="0"/>
        <w:spacing w:before="29" w:line="288" w:lineRule="auto"/>
        <w:jc w:val="left"/>
        <w:rPr>
          <w:color w:val="000000"/>
          <w:sz w:val="24"/>
        </w:rPr>
      </w:pPr>
      <w:r>
        <w:rPr>
          <w:color w:val="000000"/>
          <w:sz w:val="24"/>
        </w:rPr>
        <w:lastRenderedPageBreak/>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FB7DEE" w:rsidRDefault="0044768E">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3</w:t>
      </w:r>
      <w:r w:rsidRPr="007F52FA">
        <w:rPr>
          <w:color w:val="000000"/>
          <w:sz w:val="24"/>
        </w:rPr>
        <w:t>、基金经理（或基金经理小组）期后变动（如有）敬请关注基金管理人发布的相关公告。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lastRenderedPageBreak/>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FB7DEE" w:rsidRDefault="0044768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FB7DEE" w:rsidRDefault="0044768E">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FB7DEE" w:rsidRDefault="0044768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FB7DEE" w:rsidRDefault="0044768E">
      <w:pPr>
        <w:spacing w:before="29" w:line="288" w:lineRule="auto"/>
        <w:ind w:firstLineChars="200" w:firstLine="480"/>
        <w:rPr>
          <w:color w:val="000000"/>
          <w:sz w:val="24"/>
        </w:rPr>
      </w:pPr>
      <w:r>
        <w:rPr>
          <w:color w:val="000000"/>
          <w:sz w:val="24"/>
        </w:rPr>
        <w:t>2018</w:t>
      </w:r>
      <w:r>
        <w:rPr>
          <w:color w:val="000000"/>
          <w:sz w:val="24"/>
        </w:rPr>
        <w:t>年一季度，国内经济整体上延续平稳态势。一至二月份固定资产投资与工业增加值出现反弹，且出口保持较快增长，但是持续性尚待进一步观察，制造业景气度维持在较高的扩张区间。</w:t>
      </w:r>
      <w:r>
        <w:rPr>
          <w:color w:val="000000"/>
          <w:sz w:val="24"/>
        </w:rPr>
        <w:t>2018</w:t>
      </w:r>
      <w:r>
        <w:rPr>
          <w:color w:val="000000"/>
          <w:sz w:val="24"/>
        </w:rPr>
        <w:t>年一至二月，固定资产投资累计同比增速为</w:t>
      </w:r>
      <w:r>
        <w:rPr>
          <w:color w:val="000000"/>
          <w:sz w:val="24"/>
        </w:rPr>
        <w:t>7.9%</w:t>
      </w:r>
      <w:r>
        <w:rPr>
          <w:color w:val="000000"/>
          <w:sz w:val="24"/>
        </w:rPr>
        <w:t>，工业增加值累计同比增速为</w:t>
      </w:r>
      <w:r>
        <w:rPr>
          <w:color w:val="000000"/>
          <w:sz w:val="24"/>
        </w:rPr>
        <w:t>7.2%</w:t>
      </w:r>
      <w:r>
        <w:rPr>
          <w:color w:val="000000"/>
          <w:sz w:val="24"/>
        </w:rPr>
        <w:t>，一月与二月出口季调后同比增速分别为</w:t>
      </w:r>
      <w:r>
        <w:rPr>
          <w:color w:val="000000"/>
          <w:sz w:val="24"/>
        </w:rPr>
        <w:t>5.6%</w:t>
      </w:r>
      <w:r>
        <w:rPr>
          <w:color w:val="000000"/>
          <w:sz w:val="24"/>
        </w:rPr>
        <w:t>与</w:t>
      </w:r>
      <w:r>
        <w:rPr>
          <w:color w:val="000000"/>
          <w:sz w:val="24"/>
        </w:rPr>
        <w:t>15.4%</w:t>
      </w:r>
      <w:r>
        <w:rPr>
          <w:color w:val="000000"/>
          <w:sz w:val="24"/>
        </w:rPr>
        <w:t>，中采</w:t>
      </w:r>
      <w:r>
        <w:rPr>
          <w:color w:val="000000"/>
          <w:sz w:val="24"/>
        </w:rPr>
        <w:t>PMI</w:t>
      </w:r>
      <w:r>
        <w:rPr>
          <w:color w:val="000000"/>
          <w:sz w:val="24"/>
        </w:rPr>
        <w:t>尽管二月份受春节等因素影响出现回落，但三月份反弹至</w:t>
      </w:r>
      <w:r>
        <w:rPr>
          <w:color w:val="000000"/>
          <w:sz w:val="24"/>
        </w:rPr>
        <w:t>51.5%</w:t>
      </w:r>
      <w:r>
        <w:rPr>
          <w:color w:val="000000"/>
          <w:sz w:val="24"/>
        </w:rPr>
        <w:t>。一季度央行货币政策操作上中性偏松，尽管央行通过公开市场及</w:t>
      </w:r>
      <w:r>
        <w:rPr>
          <w:color w:val="000000"/>
          <w:sz w:val="24"/>
        </w:rPr>
        <w:t>MLF</w:t>
      </w:r>
      <w:r>
        <w:rPr>
          <w:color w:val="000000"/>
          <w:sz w:val="24"/>
        </w:rPr>
        <w:t>在一季度实现净回笼</w:t>
      </w:r>
      <w:r>
        <w:rPr>
          <w:color w:val="000000"/>
          <w:sz w:val="24"/>
        </w:rPr>
        <w:t>5645</w:t>
      </w:r>
      <w:r>
        <w:rPr>
          <w:color w:val="000000"/>
          <w:sz w:val="24"/>
        </w:rPr>
        <w:t>亿元，但是定向降准落地以及</w:t>
      </w:r>
      <w:r>
        <w:rPr>
          <w:color w:val="000000"/>
          <w:sz w:val="24"/>
        </w:rPr>
        <w:t>“</w:t>
      </w:r>
      <w:r>
        <w:rPr>
          <w:color w:val="000000"/>
          <w:sz w:val="24"/>
        </w:rPr>
        <w:t>临时准备</w:t>
      </w:r>
      <w:r>
        <w:rPr>
          <w:color w:val="000000"/>
          <w:sz w:val="24"/>
        </w:rPr>
        <w:t>金动用安排</w:t>
      </w:r>
      <w:r>
        <w:rPr>
          <w:color w:val="000000"/>
          <w:sz w:val="24"/>
        </w:rPr>
        <w:t>”</w:t>
      </w:r>
      <w:r>
        <w:rPr>
          <w:color w:val="000000"/>
          <w:sz w:val="24"/>
        </w:rPr>
        <w:t>释放了大量流动性，为二月份跨春节及三月份跨季提供了充沛的流动性。</w:t>
      </w:r>
    </w:p>
    <w:p w:rsidR="00FB7DEE" w:rsidRDefault="0044768E">
      <w:pPr>
        <w:spacing w:before="29" w:line="288" w:lineRule="auto"/>
        <w:ind w:firstLineChars="200" w:firstLine="480"/>
        <w:rPr>
          <w:color w:val="000000"/>
          <w:sz w:val="24"/>
        </w:rPr>
      </w:pPr>
      <w:r>
        <w:rPr>
          <w:color w:val="000000"/>
          <w:sz w:val="24"/>
        </w:rPr>
        <w:lastRenderedPageBreak/>
        <w:t>资金面上，一季度市场资金面较为宽松，一季度</w:t>
      </w:r>
      <w:r>
        <w:rPr>
          <w:color w:val="000000"/>
          <w:sz w:val="24"/>
        </w:rPr>
        <w:t>R001</w:t>
      </w:r>
      <w:r>
        <w:rPr>
          <w:color w:val="000000"/>
          <w:sz w:val="24"/>
        </w:rPr>
        <w:t>均值较</w:t>
      </w:r>
      <w:r>
        <w:rPr>
          <w:color w:val="000000"/>
          <w:sz w:val="24"/>
        </w:rPr>
        <w:t>2017</w:t>
      </w:r>
      <w:r>
        <w:rPr>
          <w:color w:val="000000"/>
          <w:sz w:val="24"/>
        </w:rPr>
        <w:t>年第四季度下降</w:t>
      </w:r>
      <w:r>
        <w:rPr>
          <w:color w:val="000000"/>
          <w:sz w:val="24"/>
        </w:rPr>
        <w:t>11</w:t>
      </w:r>
      <w:r>
        <w:rPr>
          <w:color w:val="000000"/>
          <w:sz w:val="24"/>
        </w:rPr>
        <w:t>个</w:t>
      </w:r>
      <w:r>
        <w:rPr>
          <w:color w:val="000000"/>
          <w:sz w:val="24"/>
        </w:rPr>
        <w:t>BP</w:t>
      </w:r>
      <w:r>
        <w:rPr>
          <w:color w:val="000000"/>
          <w:sz w:val="24"/>
        </w:rPr>
        <w:t>以上。受资金持续宽松等因素影响，三月下旬同业存款及存单一级发行利率大幅下行。受资金面宽松及中美贸易战等影响，一季度债市大幅上涨，三月底</w:t>
      </w:r>
      <w:r>
        <w:rPr>
          <w:color w:val="000000"/>
          <w:sz w:val="24"/>
        </w:rPr>
        <w:t>10</w:t>
      </w:r>
      <w:r>
        <w:rPr>
          <w:color w:val="000000"/>
          <w:sz w:val="24"/>
        </w:rPr>
        <w:t>年期国开债</w:t>
      </w:r>
      <w:r>
        <w:rPr>
          <w:color w:val="000000"/>
          <w:sz w:val="24"/>
        </w:rPr>
        <w:t>YTM</w:t>
      </w:r>
      <w:r>
        <w:rPr>
          <w:color w:val="000000"/>
          <w:sz w:val="24"/>
        </w:rPr>
        <w:t>较</w:t>
      </w:r>
      <w:r>
        <w:rPr>
          <w:color w:val="000000"/>
          <w:sz w:val="24"/>
        </w:rPr>
        <w:t>2017</w:t>
      </w:r>
      <w:r>
        <w:rPr>
          <w:color w:val="000000"/>
          <w:sz w:val="24"/>
        </w:rPr>
        <w:t>年年底回落</w:t>
      </w:r>
      <w:r>
        <w:rPr>
          <w:color w:val="000000"/>
          <w:sz w:val="24"/>
        </w:rPr>
        <w:t>17</w:t>
      </w:r>
      <w:r>
        <w:rPr>
          <w:color w:val="000000"/>
          <w:sz w:val="24"/>
        </w:rPr>
        <w:t>个</w:t>
      </w:r>
      <w:r>
        <w:rPr>
          <w:color w:val="000000"/>
          <w:sz w:val="24"/>
        </w:rPr>
        <w:t>BP</w:t>
      </w:r>
      <w:r>
        <w:rPr>
          <w:color w:val="000000"/>
          <w:sz w:val="24"/>
        </w:rPr>
        <w:t>以上。</w:t>
      </w:r>
    </w:p>
    <w:p w:rsidR="00FB7DEE" w:rsidRDefault="0044768E">
      <w:pPr>
        <w:spacing w:before="29" w:line="288" w:lineRule="auto"/>
        <w:ind w:firstLineChars="200" w:firstLine="480"/>
        <w:rPr>
          <w:color w:val="000000"/>
          <w:sz w:val="24"/>
        </w:rPr>
      </w:pPr>
      <w:r>
        <w:rPr>
          <w:color w:val="000000"/>
          <w:sz w:val="24"/>
        </w:rPr>
        <w:t>基金操作方面，报告期内本基金保持流动性，减持债券回笼资金，满足客户赎回需求，保持一定的组合杠杆，为持有人创造稳健的回报。</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2018</w:t>
      </w:r>
      <w:r w:rsidRPr="007F52FA">
        <w:rPr>
          <w:color w:val="000000"/>
          <w:sz w:val="24"/>
        </w:rPr>
        <w:t>年二季度，我们预计短期内经济韧劲依旧较强，且金融防风险是今年的重要任务，因此短期内货币政策可能不具备趋势性转松的条件。我们预计短期内央行将以中性的货币政策为主。此外，我们将密切关注美国引发的贸易战对经济走势的影响。组合管理方面，本基金将努力研判宏观经济走势，密切跟踪央行货币政策操作与金融监管政策动态，尽力控制信用风险，积极跟踪把握市场机会，努力为份额持有人创造稳健的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2018</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日，交银丰盈收益债券</w:t>
      </w:r>
      <w:r w:rsidRPr="007F52FA">
        <w:rPr>
          <w:color w:val="000000"/>
          <w:sz w:val="24"/>
        </w:rPr>
        <w:t>A</w:t>
      </w:r>
      <w:r w:rsidRPr="007F52FA">
        <w:rPr>
          <w:color w:val="000000"/>
          <w:sz w:val="24"/>
        </w:rPr>
        <w:t>份额净值为</w:t>
      </w:r>
      <w:r w:rsidRPr="007F52FA">
        <w:rPr>
          <w:color w:val="000000"/>
          <w:sz w:val="24"/>
        </w:rPr>
        <w:t>1.043</w:t>
      </w:r>
      <w:r w:rsidRPr="007F52FA">
        <w:rPr>
          <w:color w:val="000000"/>
          <w:sz w:val="24"/>
        </w:rPr>
        <w:t>元，本报告期份额净值增长率为</w:t>
      </w:r>
      <w:r w:rsidRPr="007F52FA">
        <w:rPr>
          <w:color w:val="000000"/>
          <w:sz w:val="24"/>
        </w:rPr>
        <w:t>1.07%</w:t>
      </w:r>
      <w:r w:rsidRPr="007F52FA">
        <w:rPr>
          <w:color w:val="000000"/>
          <w:sz w:val="24"/>
        </w:rPr>
        <w:t>，同期业绩比较基准增长率为</w:t>
      </w:r>
      <w:r w:rsidRPr="007F52FA">
        <w:rPr>
          <w:color w:val="000000"/>
          <w:sz w:val="24"/>
        </w:rPr>
        <w:t>1.13%</w:t>
      </w:r>
      <w:r w:rsidRPr="007F52FA">
        <w:rPr>
          <w:color w:val="000000"/>
          <w:sz w:val="24"/>
        </w:rPr>
        <w:t>；交银丰盈收益债券</w:t>
      </w:r>
      <w:r w:rsidRPr="007F52FA">
        <w:rPr>
          <w:color w:val="000000"/>
          <w:sz w:val="24"/>
        </w:rPr>
        <w:t>C</w:t>
      </w:r>
      <w:r w:rsidRPr="007F52FA">
        <w:rPr>
          <w:color w:val="000000"/>
          <w:sz w:val="24"/>
        </w:rPr>
        <w:t>份额净值为</w:t>
      </w:r>
      <w:r w:rsidRPr="007F52FA">
        <w:rPr>
          <w:color w:val="000000"/>
          <w:sz w:val="24"/>
        </w:rPr>
        <w:t>1.041</w:t>
      </w:r>
      <w:r w:rsidRPr="007F52FA">
        <w:rPr>
          <w:color w:val="000000"/>
          <w:sz w:val="24"/>
        </w:rPr>
        <w:t>元，本报告期份额净值增长率为</w:t>
      </w:r>
      <w:r w:rsidRPr="007F52FA">
        <w:rPr>
          <w:color w:val="000000"/>
          <w:sz w:val="24"/>
        </w:rPr>
        <w:t>0.97%</w:t>
      </w:r>
      <w:r w:rsidRPr="007F52FA">
        <w:rPr>
          <w:color w:val="000000"/>
          <w:sz w:val="24"/>
        </w:rPr>
        <w:t>，同期业绩比较基准增长率为</w:t>
      </w:r>
      <w:r w:rsidRPr="007F52FA">
        <w:rPr>
          <w:color w:val="000000"/>
          <w:sz w:val="24"/>
        </w:rPr>
        <w:t>1.13%</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本基金本报告期内连续二十个工作日以上出现基金资产净值低于</w:t>
      </w:r>
      <w:r w:rsidRPr="002070B4">
        <w:rPr>
          <w:color w:val="000000"/>
          <w:sz w:val="24"/>
        </w:rPr>
        <w:t>5000</w:t>
      </w:r>
      <w:r w:rsidRPr="002070B4">
        <w:rPr>
          <w:color w:val="000000"/>
          <w:sz w:val="24"/>
        </w:rPr>
        <w:t>万元的情形，截至本报告期末，本基金基金资产净值仍低于</w:t>
      </w:r>
      <w:r w:rsidRPr="002070B4">
        <w:rPr>
          <w:color w:val="000000"/>
          <w:sz w:val="24"/>
        </w:rPr>
        <w:t>5000</w:t>
      </w:r>
      <w:r w:rsidRPr="002070B4">
        <w:rPr>
          <w:color w:val="000000"/>
          <w:sz w:val="24"/>
        </w:rPr>
        <w:t>万元。</w:t>
      </w:r>
    </w:p>
    <w:p w:rsidR="00400FA6" w:rsidRPr="007F52FA" w:rsidRDefault="00400FA6" w:rsidP="007C14DF">
      <w:pPr>
        <w:spacing w:before="29" w:line="288" w:lineRule="auto"/>
        <w:ind w:firstLineChars="200" w:firstLine="480"/>
        <w:rPr>
          <w:color w:val="000000"/>
          <w:sz w:val="24"/>
        </w:rPr>
      </w:pPr>
    </w:p>
    <w:p w:rsidR="009238DB" w:rsidRPr="007C6127" w:rsidRDefault="009238DB" w:rsidP="007C6127">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Pr="0028293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tbl>
      <w:tblPr>
        <w:tblStyle w:val="af2"/>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r w:rsidRPr="0028293E">
              <w:rPr>
                <w:rFonts w:eastAsiaTheme="minorEastAsia"/>
                <w:color w:val="000000" w:themeColor="text1"/>
                <w:sz w:val="24"/>
              </w:rPr>
              <w:t>(</w:t>
            </w:r>
            <w:r w:rsidRPr="0028293E">
              <w:rPr>
                <w:rFonts w:eastAsiaTheme="minorEastAsia"/>
                <w:color w:val="000000" w:themeColor="text1"/>
                <w:sz w:val="24"/>
              </w:rPr>
              <w:t>元</w:t>
            </w: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47,315,462.00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97.55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47,315,462.00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97.55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lastRenderedPageBreak/>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28,446.07</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0.06</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1,158,000.45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2.39</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48,501,908.52</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6,311,262.00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13.90</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41,004,200.00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90.33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41,004,200.00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90.33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lastRenderedPageBreak/>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47,315,462.00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104.23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FB7DEE">
        <w:trPr>
          <w:jc w:val="center"/>
        </w:trPr>
        <w:tc>
          <w:tcPr>
            <w:tcW w:w="1075" w:type="dxa"/>
            <w:vAlign w:val="center"/>
          </w:tcPr>
          <w:p w:rsidR="00FB7DEE" w:rsidRDefault="0044768E">
            <w:pPr>
              <w:jc w:val="center"/>
            </w:pPr>
            <w:r>
              <w:rPr>
                <w:color w:val="000000"/>
                <w:sz w:val="24"/>
              </w:rPr>
              <w:t>1</w:t>
            </w:r>
          </w:p>
        </w:tc>
        <w:tc>
          <w:tcPr>
            <w:tcW w:w="1533" w:type="dxa"/>
            <w:vAlign w:val="center"/>
          </w:tcPr>
          <w:p w:rsidR="00FB7DEE" w:rsidRDefault="0044768E">
            <w:pPr>
              <w:jc w:val="center"/>
            </w:pPr>
            <w:r>
              <w:rPr>
                <w:color w:val="000000"/>
                <w:sz w:val="24"/>
              </w:rPr>
              <w:t>170410</w:t>
            </w:r>
          </w:p>
        </w:tc>
        <w:tc>
          <w:tcPr>
            <w:tcW w:w="1533" w:type="dxa"/>
            <w:vAlign w:val="center"/>
          </w:tcPr>
          <w:p w:rsidR="00FB7DEE" w:rsidRDefault="0044768E">
            <w:pPr>
              <w:jc w:val="center"/>
            </w:pPr>
            <w:r>
              <w:rPr>
                <w:color w:val="000000"/>
                <w:sz w:val="24"/>
              </w:rPr>
              <w:t>17</w:t>
            </w:r>
            <w:r>
              <w:rPr>
                <w:color w:val="000000"/>
                <w:sz w:val="24"/>
              </w:rPr>
              <w:t>农发</w:t>
            </w:r>
            <w:r>
              <w:rPr>
                <w:color w:val="000000"/>
                <w:sz w:val="24"/>
              </w:rPr>
              <w:t>10</w:t>
            </w:r>
          </w:p>
        </w:tc>
        <w:tc>
          <w:tcPr>
            <w:tcW w:w="1394" w:type="dxa"/>
            <w:vAlign w:val="center"/>
          </w:tcPr>
          <w:p w:rsidR="00FB7DEE" w:rsidRDefault="0044768E">
            <w:pPr>
              <w:jc w:val="right"/>
            </w:pPr>
            <w:r>
              <w:rPr>
                <w:color w:val="000000"/>
                <w:sz w:val="24"/>
              </w:rPr>
              <w:t>200,000</w:t>
            </w:r>
          </w:p>
        </w:tc>
        <w:tc>
          <w:tcPr>
            <w:tcW w:w="1944" w:type="dxa"/>
            <w:vAlign w:val="center"/>
          </w:tcPr>
          <w:p w:rsidR="00FB7DEE" w:rsidRDefault="0044768E">
            <w:pPr>
              <w:jc w:val="right"/>
            </w:pPr>
            <w:r>
              <w:rPr>
                <w:color w:val="000000"/>
                <w:sz w:val="24"/>
              </w:rPr>
              <w:t>20,008,000.00</w:t>
            </w:r>
          </w:p>
        </w:tc>
        <w:tc>
          <w:tcPr>
            <w:tcW w:w="1389" w:type="dxa"/>
            <w:vAlign w:val="center"/>
          </w:tcPr>
          <w:p w:rsidR="00FB7DEE" w:rsidRDefault="0044768E">
            <w:pPr>
              <w:jc w:val="right"/>
            </w:pPr>
            <w:r>
              <w:rPr>
                <w:color w:val="000000"/>
                <w:sz w:val="24"/>
              </w:rPr>
              <w:t>44.07</w:t>
            </w:r>
          </w:p>
        </w:tc>
      </w:tr>
      <w:tr w:rsidR="00FB7DEE">
        <w:trPr>
          <w:jc w:val="center"/>
        </w:trPr>
        <w:tc>
          <w:tcPr>
            <w:tcW w:w="1075" w:type="dxa"/>
            <w:vAlign w:val="center"/>
          </w:tcPr>
          <w:p w:rsidR="00FB7DEE" w:rsidRDefault="0044768E">
            <w:pPr>
              <w:jc w:val="center"/>
            </w:pPr>
            <w:r>
              <w:rPr>
                <w:color w:val="000000"/>
                <w:sz w:val="24"/>
              </w:rPr>
              <w:t>2</w:t>
            </w:r>
          </w:p>
        </w:tc>
        <w:tc>
          <w:tcPr>
            <w:tcW w:w="1533" w:type="dxa"/>
            <w:vAlign w:val="center"/>
          </w:tcPr>
          <w:p w:rsidR="00FB7DEE" w:rsidRDefault="0044768E">
            <w:pPr>
              <w:jc w:val="center"/>
            </w:pPr>
            <w:r>
              <w:rPr>
                <w:color w:val="000000"/>
                <w:sz w:val="24"/>
              </w:rPr>
              <w:t>170211</w:t>
            </w:r>
          </w:p>
        </w:tc>
        <w:tc>
          <w:tcPr>
            <w:tcW w:w="1533" w:type="dxa"/>
            <w:vAlign w:val="center"/>
          </w:tcPr>
          <w:p w:rsidR="00FB7DEE" w:rsidRDefault="0044768E">
            <w:pPr>
              <w:jc w:val="center"/>
            </w:pPr>
            <w:r>
              <w:rPr>
                <w:color w:val="000000"/>
                <w:sz w:val="24"/>
              </w:rPr>
              <w:t>17</w:t>
            </w:r>
            <w:r>
              <w:rPr>
                <w:color w:val="000000"/>
                <w:sz w:val="24"/>
              </w:rPr>
              <w:t>国开</w:t>
            </w:r>
            <w:r>
              <w:rPr>
                <w:color w:val="000000"/>
                <w:sz w:val="24"/>
              </w:rPr>
              <w:t>11</w:t>
            </w:r>
          </w:p>
        </w:tc>
        <w:tc>
          <w:tcPr>
            <w:tcW w:w="1394" w:type="dxa"/>
            <w:vAlign w:val="center"/>
          </w:tcPr>
          <w:p w:rsidR="00FB7DEE" w:rsidRDefault="0044768E">
            <w:pPr>
              <w:jc w:val="right"/>
            </w:pPr>
            <w:r>
              <w:rPr>
                <w:color w:val="000000"/>
                <w:sz w:val="24"/>
              </w:rPr>
              <w:t>200,000</w:t>
            </w:r>
          </w:p>
        </w:tc>
        <w:tc>
          <w:tcPr>
            <w:tcW w:w="1944" w:type="dxa"/>
            <w:vAlign w:val="center"/>
          </w:tcPr>
          <w:p w:rsidR="00FB7DEE" w:rsidRDefault="0044768E">
            <w:pPr>
              <w:jc w:val="right"/>
            </w:pPr>
            <w:r>
              <w:rPr>
                <w:color w:val="000000"/>
                <w:sz w:val="24"/>
              </w:rPr>
              <w:t>19,998,000.00</w:t>
            </w:r>
          </w:p>
        </w:tc>
        <w:tc>
          <w:tcPr>
            <w:tcW w:w="1389" w:type="dxa"/>
            <w:vAlign w:val="center"/>
          </w:tcPr>
          <w:p w:rsidR="00FB7DEE" w:rsidRDefault="0044768E">
            <w:pPr>
              <w:jc w:val="right"/>
            </w:pPr>
            <w:r>
              <w:rPr>
                <w:color w:val="000000"/>
                <w:sz w:val="24"/>
              </w:rPr>
              <w:t>44.05</w:t>
            </w:r>
          </w:p>
        </w:tc>
      </w:tr>
      <w:tr w:rsidR="00FB7DEE">
        <w:trPr>
          <w:jc w:val="center"/>
        </w:trPr>
        <w:tc>
          <w:tcPr>
            <w:tcW w:w="1075" w:type="dxa"/>
            <w:vAlign w:val="center"/>
          </w:tcPr>
          <w:p w:rsidR="00FB7DEE" w:rsidRDefault="0044768E">
            <w:pPr>
              <w:jc w:val="center"/>
            </w:pPr>
            <w:r>
              <w:rPr>
                <w:color w:val="000000"/>
                <w:sz w:val="24"/>
              </w:rPr>
              <w:t>3</w:t>
            </w:r>
          </w:p>
        </w:tc>
        <w:tc>
          <w:tcPr>
            <w:tcW w:w="1533" w:type="dxa"/>
            <w:vAlign w:val="center"/>
          </w:tcPr>
          <w:p w:rsidR="00FB7DEE" w:rsidRDefault="0044768E">
            <w:pPr>
              <w:jc w:val="center"/>
            </w:pPr>
            <w:r>
              <w:rPr>
                <w:color w:val="000000"/>
                <w:sz w:val="24"/>
              </w:rPr>
              <w:t>019563</w:t>
            </w:r>
          </w:p>
        </w:tc>
        <w:tc>
          <w:tcPr>
            <w:tcW w:w="1533" w:type="dxa"/>
            <w:vAlign w:val="center"/>
          </w:tcPr>
          <w:p w:rsidR="00FB7DEE" w:rsidRDefault="0044768E">
            <w:pPr>
              <w:jc w:val="center"/>
            </w:pPr>
            <w:r>
              <w:rPr>
                <w:color w:val="000000"/>
                <w:sz w:val="24"/>
              </w:rPr>
              <w:t>17</w:t>
            </w:r>
            <w:r>
              <w:rPr>
                <w:color w:val="000000"/>
                <w:sz w:val="24"/>
              </w:rPr>
              <w:t>国债</w:t>
            </w:r>
            <w:r>
              <w:rPr>
                <w:color w:val="000000"/>
                <w:sz w:val="24"/>
              </w:rPr>
              <w:t>09</w:t>
            </w:r>
          </w:p>
        </w:tc>
        <w:tc>
          <w:tcPr>
            <w:tcW w:w="1394" w:type="dxa"/>
            <w:vAlign w:val="center"/>
          </w:tcPr>
          <w:p w:rsidR="00FB7DEE" w:rsidRDefault="0044768E">
            <w:pPr>
              <w:jc w:val="right"/>
            </w:pPr>
            <w:r>
              <w:rPr>
                <w:color w:val="000000"/>
                <w:sz w:val="24"/>
              </w:rPr>
              <w:t>63,100</w:t>
            </w:r>
          </w:p>
        </w:tc>
        <w:tc>
          <w:tcPr>
            <w:tcW w:w="1944" w:type="dxa"/>
            <w:vAlign w:val="center"/>
          </w:tcPr>
          <w:p w:rsidR="00FB7DEE" w:rsidRDefault="0044768E">
            <w:pPr>
              <w:jc w:val="right"/>
            </w:pPr>
            <w:r>
              <w:rPr>
                <w:color w:val="000000"/>
                <w:sz w:val="24"/>
              </w:rPr>
              <w:t>6,311,262.00</w:t>
            </w:r>
          </w:p>
        </w:tc>
        <w:tc>
          <w:tcPr>
            <w:tcW w:w="1389" w:type="dxa"/>
            <w:vAlign w:val="center"/>
          </w:tcPr>
          <w:p w:rsidR="00FB7DEE" w:rsidRDefault="0044768E">
            <w:pPr>
              <w:jc w:val="right"/>
            </w:pPr>
            <w:r>
              <w:rPr>
                <w:color w:val="000000"/>
                <w:sz w:val="24"/>
              </w:rPr>
              <w:t>13.90</w:t>
            </w:r>
          </w:p>
        </w:tc>
      </w:tr>
      <w:tr w:rsidR="00FB7DEE">
        <w:trPr>
          <w:jc w:val="center"/>
        </w:trPr>
        <w:tc>
          <w:tcPr>
            <w:tcW w:w="1075" w:type="dxa"/>
            <w:vAlign w:val="center"/>
          </w:tcPr>
          <w:p w:rsidR="00FB7DEE" w:rsidRDefault="0044768E">
            <w:pPr>
              <w:jc w:val="center"/>
            </w:pPr>
            <w:r>
              <w:rPr>
                <w:color w:val="000000"/>
                <w:sz w:val="24"/>
              </w:rPr>
              <w:t>4</w:t>
            </w:r>
          </w:p>
        </w:tc>
        <w:tc>
          <w:tcPr>
            <w:tcW w:w="1533" w:type="dxa"/>
            <w:vAlign w:val="center"/>
          </w:tcPr>
          <w:p w:rsidR="00FB7DEE" w:rsidRDefault="0044768E">
            <w:pPr>
              <w:jc w:val="center"/>
            </w:pPr>
            <w:r>
              <w:rPr>
                <w:color w:val="000000"/>
                <w:sz w:val="24"/>
              </w:rPr>
              <w:t>018005</w:t>
            </w:r>
          </w:p>
        </w:tc>
        <w:tc>
          <w:tcPr>
            <w:tcW w:w="1533" w:type="dxa"/>
            <w:vAlign w:val="center"/>
          </w:tcPr>
          <w:p w:rsidR="00FB7DEE" w:rsidRDefault="0044768E">
            <w:pPr>
              <w:jc w:val="center"/>
            </w:pPr>
            <w:r>
              <w:rPr>
                <w:color w:val="000000"/>
                <w:sz w:val="24"/>
              </w:rPr>
              <w:t>国开</w:t>
            </w:r>
            <w:r>
              <w:rPr>
                <w:color w:val="000000"/>
                <w:sz w:val="24"/>
              </w:rPr>
              <w:t>1701</w:t>
            </w:r>
          </w:p>
        </w:tc>
        <w:tc>
          <w:tcPr>
            <w:tcW w:w="1394" w:type="dxa"/>
            <w:vAlign w:val="center"/>
          </w:tcPr>
          <w:p w:rsidR="00FB7DEE" w:rsidRDefault="0044768E">
            <w:pPr>
              <w:jc w:val="right"/>
            </w:pPr>
            <w:r>
              <w:rPr>
                <w:color w:val="000000"/>
                <w:sz w:val="24"/>
              </w:rPr>
              <w:t>10,000</w:t>
            </w:r>
          </w:p>
        </w:tc>
        <w:tc>
          <w:tcPr>
            <w:tcW w:w="1944" w:type="dxa"/>
            <w:vAlign w:val="center"/>
          </w:tcPr>
          <w:p w:rsidR="00FB7DEE" w:rsidRDefault="0044768E">
            <w:pPr>
              <w:jc w:val="right"/>
            </w:pPr>
            <w:r>
              <w:rPr>
                <w:color w:val="000000"/>
                <w:sz w:val="24"/>
              </w:rPr>
              <w:t>998,200.00</w:t>
            </w:r>
          </w:p>
        </w:tc>
        <w:tc>
          <w:tcPr>
            <w:tcW w:w="1389" w:type="dxa"/>
            <w:vAlign w:val="center"/>
          </w:tcPr>
          <w:p w:rsidR="00FB7DEE" w:rsidRDefault="0044768E">
            <w:pPr>
              <w:jc w:val="right"/>
            </w:pPr>
            <w:r>
              <w:rPr>
                <w:color w:val="000000"/>
                <w:sz w:val="24"/>
              </w:rPr>
              <w:t>2.20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lastRenderedPageBreak/>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2,473.64</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96,924.25</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1,058,582.57</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19.99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1,158,000.45</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C51B4E" w:rsidRPr="000E2A08" w:rsidRDefault="00C51B4E" w:rsidP="0028293E">
      <w:pPr>
        <w:pStyle w:val="1"/>
        <w:spacing w:beforeLines="100" w:before="312" w:afterLines="100" w:after="312" w:line="360" w:lineRule="auto"/>
        <w:jc w:val="center"/>
        <w:rPr>
          <w:rFonts w:eastAsiaTheme="minorEastAsia"/>
          <w:color w:val="000000" w:themeColor="text1"/>
          <w:kern w:val="0"/>
          <w:sz w:val="24"/>
          <w:szCs w:val="24"/>
        </w:rPr>
      </w:pPr>
      <w:r w:rsidRPr="000E2A08">
        <w:rPr>
          <w:rFonts w:eastAsiaTheme="minorEastAsia"/>
          <w:color w:val="000000" w:themeColor="text1"/>
          <w:kern w:val="0"/>
          <w:sz w:val="24"/>
          <w:szCs w:val="24"/>
        </w:rPr>
        <w:t>§6</w:t>
      </w:r>
      <w:r w:rsidRPr="000E2A08">
        <w:rPr>
          <w:rFonts w:eastAsiaTheme="minorEastAsia" w:hint="eastAsia"/>
          <w:color w:val="000000" w:themeColor="text1"/>
          <w:kern w:val="0"/>
          <w:sz w:val="24"/>
          <w:szCs w:val="24"/>
        </w:rPr>
        <w:t xml:space="preserve">  </w:t>
      </w:r>
      <w:r w:rsidRPr="000E2A08">
        <w:rPr>
          <w:rFonts w:eastAsiaTheme="minorEastAsia" w:hint="eastAsia"/>
          <w:color w:val="000000" w:themeColor="text1"/>
          <w:kern w:val="0"/>
          <w:sz w:val="24"/>
          <w:szCs w:val="24"/>
        </w:rPr>
        <w:t>基金中基金</w:t>
      </w:r>
    </w:p>
    <w:p w:rsidR="00C51B4E" w:rsidRPr="000E2A08" w:rsidRDefault="00C51B4E" w:rsidP="00C51B4E">
      <w:pPr>
        <w:adjustRightInd w:val="0"/>
        <w:snapToGrid w:val="0"/>
        <w:spacing w:line="360" w:lineRule="auto"/>
        <w:rPr>
          <w:rFonts w:eastAsiaTheme="minorEastAsia"/>
          <w:b/>
          <w:color w:val="000000" w:themeColor="text1"/>
          <w:kern w:val="0"/>
          <w:sz w:val="24"/>
        </w:rPr>
      </w:pPr>
      <w:r w:rsidRPr="000E2A08">
        <w:rPr>
          <w:rFonts w:eastAsiaTheme="minorEastAsia"/>
          <w:b/>
          <w:color w:val="000000" w:themeColor="text1"/>
          <w:kern w:val="0"/>
          <w:sz w:val="24"/>
        </w:rPr>
        <w:t>6.1</w:t>
      </w:r>
      <w:r w:rsidRPr="000E2A08">
        <w:rPr>
          <w:rFonts w:eastAsiaTheme="minorEastAsia" w:hint="eastAsia"/>
          <w:b/>
          <w:color w:val="000000" w:themeColor="text1"/>
          <w:kern w:val="0"/>
          <w:sz w:val="24"/>
        </w:rPr>
        <w:t xml:space="preserve"> </w:t>
      </w:r>
      <w:r w:rsidRPr="000E2A08">
        <w:rPr>
          <w:rFonts w:eastAsiaTheme="minorEastAsia" w:hint="eastAsia"/>
          <w:b/>
          <w:color w:val="000000" w:themeColor="text1"/>
          <w:kern w:val="0"/>
          <w:sz w:val="24"/>
        </w:rPr>
        <w:t>报告期末按公允价值占基金资产净值比例大小排序的前十名基金投资明细</w:t>
      </w:r>
    </w:p>
    <w:p w:rsidR="00C51B4E" w:rsidRPr="000E2A08"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0E2A08">
        <w:rPr>
          <w:rFonts w:eastAsiaTheme="minorEastAsia"/>
          <w:color w:val="000000" w:themeColor="text1"/>
          <w:sz w:val="24"/>
        </w:rPr>
        <w:t>本基金本报告期末未持有基金。</w:t>
      </w:r>
    </w:p>
    <w:p w:rsidR="00C51B4E" w:rsidRPr="000E2A08" w:rsidRDefault="00C51B4E" w:rsidP="0028293E">
      <w:pPr>
        <w:adjustRightInd w:val="0"/>
        <w:snapToGrid w:val="0"/>
        <w:spacing w:beforeLines="50" w:before="156" w:line="360" w:lineRule="auto"/>
        <w:rPr>
          <w:rFonts w:eastAsiaTheme="minorEastAsia"/>
          <w:b/>
          <w:color w:val="000000" w:themeColor="text1"/>
          <w:kern w:val="0"/>
          <w:sz w:val="24"/>
        </w:rPr>
      </w:pPr>
      <w:r w:rsidRPr="000E2A08">
        <w:rPr>
          <w:rFonts w:eastAsiaTheme="minorEastAsia"/>
          <w:b/>
          <w:color w:val="000000" w:themeColor="text1"/>
          <w:kern w:val="0"/>
          <w:sz w:val="24"/>
        </w:rPr>
        <w:t>6.2</w:t>
      </w:r>
      <w:r w:rsidRPr="000E2A08">
        <w:rPr>
          <w:rFonts w:eastAsiaTheme="minorEastAsia" w:hint="eastAsia"/>
          <w:b/>
          <w:color w:val="000000" w:themeColor="text1"/>
          <w:kern w:val="0"/>
          <w:sz w:val="24"/>
        </w:rPr>
        <w:t xml:space="preserve"> </w:t>
      </w:r>
      <w:r w:rsidRPr="000E2A08">
        <w:rPr>
          <w:rFonts w:eastAsiaTheme="minorEastAsia" w:hint="eastAsia"/>
          <w:b/>
          <w:color w:val="000000" w:themeColor="text1"/>
          <w:kern w:val="0"/>
          <w:sz w:val="24"/>
        </w:rPr>
        <w:t>当期交易及持有基金产生的费用</w:t>
      </w:r>
    </w:p>
    <w:p w:rsidR="00C51B4E" w:rsidRPr="000E2A08" w:rsidRDefault="00C51B4E" w:rsidP="00C51B4E">
      <w:pPr>
        <w:autoSpaceDE w:val="0"/>
        <w:autoSpaceDN w:val="0"/>
        <w:adjustRightInd w:val="0"/>
        <w:spacing w:line="360" w:lineRule="auto"/>
        <w:ind w:firstLineChars="200" w:firstLine="480"/>
        <w:jc w:val="left"/>
        <w:rPr>
          <w:rFonts w:eastAsiaTheme="minorEastAsia"/>
          <w:color w:val="000000" w:themeColor="text1"/>
          <w:sz w:val="24"/>
        </w:rPr>
      </w:pPr>
      <w:r w:rsidRPr="000E2A08">
        <w:rPr>
          <w:rFonts w:eastAsiaTheme="minorEastAsia"/>
          <w:color w:val="000000" w:themeColor="text1"/>
          <w:sz w:val="24"/>
        </w:rPr>
        <w:t>本基金本报告期内未交易或持有基金。</w:t>
      </w:r>
    </w:p>
    <w:p w:rsidR="000E2A08" w:rsidRPr="000E2A08" w:rsidRDefault="000E2A08" w:rsidP="000E2A08">
      <w:pPr>
        <w:adjustRightInd w:val="0"/>
        <w:snapToGrid w:val="0"/>
        <w:spacing w:beforeLines="50" w:before="156" w:line="360" w:lineRule="auto"/>
        <w:rPr>
          <w:rFonts w:eastAsiaTheme="minorEastAsia"/>
          <w:b/>
          <w:color w:val="000000" w:themeColor="text1"/>
          <w:kern w:val="0"/>
          <w:sz w:val="24"/>
        </w:rPr>
      </w:pPr>
      <w:r w:rsidRPr="000E2A08">
        <w:rPr>
          <w:rFonts w:eastAsiaTheme="minorEastAsia"/>
          <w:b/>
          <w:color w:val="000000" w:themeColor="text1"/>
          <w:kern w:val="0"/>
          <w:sz w:val="24"/>
        </w:rPr>
        <w:t xml:space="preserve">6.3 </w:t>
      </w:r>
      <w:r w:rsidRPr="000E2A08">
        <w:rPr>
          <w:rFonts w:eastAsiaTheme="minorEastAsia" w:hint="eastAsia"/>
          <w:b/>
          <w:color w:val="000000" w:themeColor="text1"/>
          <w:kern w:val="0"/>
          <w:sz w:val="24"/>
        </w:rPr>
        <w:t>本报告期持有的基金发生的重大影响事件</w:t>
      </w:r>
    </w:p>
    <w:p w:rsidR="000E2A08" w:rsidRPr="000E2A08" w:rsidRDefault="000E2A08" w:rsidP="000E2A08">
      <w:pPr>
        <w:autoSpaceDE w:val="0"/>
        <w:autoSpaceDN w:val="0"/>
        <w:adjustRightInd w:val="0"/>
        <w:spacing w:line="360" w:lineRule="auto"/>
        <w:ind w:firstLineChars="200" w:firstLine="480"/>
        <w:jc w:val="left"/>
        <w:rPr>
          <w:rFonts w:eastAsiaTheme="minorEastAsia"/>
          <w:color w:val="000000" w:themeColor="text1"/>
          <w:sz w:val="24"/>
        </w:rPr>
      </w:pPr>
      <w:r w:rsidRPr="000E2A08">
        <w:rPr>
          <w:rFonts w:eastAsiaTheme="minorEastAsia" w:hint="eastAsia"/>
          <w:color w:val="000000" w:themeColor="text1"/>
          <w:sz w:val="24"/>
        </w:rPr>
        <w:t>无。</w:t>
      </w:r>
    </w:p>
    <w:p w:rsidR="000E2A08" w:rsidRPr="000E2A08" w:rsidRDefault="000E2A08" w:rsidP="00C51B4E">
      <w:pPr>
        <w:autoSpaceDE w:val="0"/>
        <w:autoSpaceDN w:val="0"/>
        <w:adjustRightInd w:val="0"/>
        <w:spacing w:line="360" w:lineRule="auto"/>
        <w:ind w:firstLineChars="200" w:firstLine="420"/>
        <w:jc w:val="left"/>
        <w:rPr>
          <w:rFonts w:eastAsiaTheme="minorEastAsia" w:hint="eastAsia"/>
          <w:color w:val="000000" w:themeColor="text1"/>
          <w:szCs w:val="21"/>
        </w:rPr>
      </w:pPr>
    </w:p>
    <w:p w:rsidR="009238DB" w:rsidRPr="007F52FA" w:rsidRDefault="00C51B4E" w:rsidP="0028293E">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lastRenderedPageBreak/>
        <w:t>§7</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交银丰盈收益债券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61,158,325.15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22,815.82</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41,940.74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11,002.00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17,727,835.21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1,951.38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43,472,430.68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31,866.44</w:t>
            </w:r>
          </w:p>
        </w:tc>
      </w:tr>
    </w:tbl>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28293E">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8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8.1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8</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0E2A08" w:rsidRDefault="00ED0E09" w:rsidP="0028293E">
      <w:pPr>
        <w:pStyle w:val="1"/>
        <w:spacing w:beforeLines="100" w:before="312" w:afterLines="100" w:after="312" w:line="360" w:lineRule="auto"/>
        <w:jc w:val="center"/>
        <w:rPr>
          <w:rFonts w:eastAsiaTheme="minorEastAsia"/>
          <w:color w:val="000000" w:themeColor="text1"/>
          <w:kern w:val="0"/>
          <w:sz w:val="24"/>
          <w:szCs w:val="24"/>
        </w:rPr>
      </w:pPr>
      <w:r w:rsidRPr="000E2A08">
        <w:rPr>
          <w:rFonts w:eastAsiaTheme="minorEastAsia"/>
          <w:color w:val="000000" w:themeColor="text1"/>
          <w:kern w:val="0"/>
          <w:sz w:val="24"/>
          <w:szCs w:val="24"/>
        </w:rPr>
        <w:t xml:space="preserve">§9 </w:t>
      </w:r>
      <w:r w:rsidR="00F139D5" w:rsidRPr="000E2A08">
        <w:rPr>
          <w:rFonts w:eastAsiaTheme="minorEastAsia"/>
          <w:color w:val="000000" w:themeColor="text1"/>
          <w:kern w:val="0"/>
          <w:sz w:val="24"/>
          <w:szCs w:val="24"/>
        </w:rPr>
        <w:t xml:space="preserve"> </w:t>
      </w:r>
      <w:r w:rsidRPr="000E2A08">
        <w:rPr>
          <w:rFonts w:eastAsiaTheme="minorEastAsia" w:hint="eastAsia"/>
          <w:color w:val="000000" w:themeColor="text1"/>
          <w:kern w:val="0"/>
          <w:sz w:val="24"/>
          <w:szCs w:val="24"/>
        </w:rPr>
        <w:t>影响投资者决策的其他重要信息</w:t>
      </w:r>
    </w:p>
    <w:p w:rsidR="00ED0E09" w:rsidRPr="000E2A08" w:rsidRDefault="00ED0E09" w:rsidP="00ED0E09">
      <w:pPr>
        <w:autoSpaceDE w:val="0"/>
        <w:autoSpaceDN w:val="0"/>
        <w:adjustRightInd w:val="0"/>
        <w:spacing w:line="360" w:lineRule="auto"/>
        <w:jc w:val="left"/>
        <w:rPr>
          <w:rFonts w:ascii="宋体" w:hAnsi="宋体"/>
          <w:b/>
          <w:bCs/>
          <w:color w:val="000000"/>
          <w:kern w:val="0"/>
          <w:sz w:val="24"/>
        </w:rPr>
      </w:pPr>
      <w:r w:rsidRPr="000E2A08">
        <w:rPr>
          <w:rFonts w:ascii="宋体" w:hAnsi="宋体" w:hint="eastAsia"/>
          <w:b/>
          <w:bCs/>
          <w:color w:val="000000"/>
          <w:kern w:val="0"/>
          <w:sz w:val="24"/>
        </w:rPr>
        <w:t>9.1 影响投资者决策的其他重要信息</w:t>
      </w:r>
    </w:p>
    <w:p w:rsidR="00FB7DEE" w:rsidRPr="000E2A08" w:rsidRDefault="0044768E">
      <w:pPr>
        <w:spacing w:line="360" w:lineRule="auto"/>
        <w:ind w:firstLineChars="200" w:firstLine="480"/>
        <w:rPr>
          <w:rFonts w:ascii="宋体" w:hAnsi="宋体"/>
          <w:color w:val="000000"/>
          <w:sz w:val="24"/>
        </w:rPr>
      </w:pPr>
      <w:r w:rsidRPr="000E2A08">
        <w:rPr>
          <w:rFonts w:ascii="宋体" w:hAnsi="宋体" w:hint="eastAsia"/>
          <w:color w:val="000000"/>
          <w:sz w:val="24"/>
        </w:rPr>
        <w:t>1</w:t>
      </w:r>
      <w:r w:rsidRPr="000E2A08">
        <w:rPr>
          <w:rFonts w:ascii="宋体" w:hAnsi="宋体" w:hint="eastAsia"/>
          <w:color w:val="000000"/>
          <w:sz w:val="24"/>
        </w:rPr>
        <w:t>、根据财政部和国家税务总局于</w:t>
      </w:r>
      <w:r w:rsidRPr="000E2A08">
        <w:rPr>
          <w:rFonts w:ascii="宋体" w:hAnsi="宋体" w:hint="eastAsia"/>
          <w:color w:val="000000"/>
          <w:sz w:val="24"/>
        </w:rPr>
        <w:t>2016</w:t>
      </w:r>
      <w:r w:rsidRPr="000E2A08">
        <w:rPr>
          <w:rFonts w:ascii="宋体" w:hAnsi="宋体" w:hint="eastAsia"/>
          <w:color w:val="000000"/>
          <w:sz w:val="24"/>
        </w:rPr>
        <w:t>年</w:t>
      </w:r>
      <w:r w:rsidRPr="000E2A08">
        <w:rPr>
          <w:rFonts w:ascii="宋体" w:hAnsi="宋体" w:hint="eastAsia"/>
          <w:color w:val="000000"/>
          <w:sz w:val="24"/>
        </w:rPr>
        <w:t>12</w:t>
      </w:r>
      <w:r w:rsidRPr="000E2A08">
        <w:rPr>
          <w:rFonts w:ascii="宋体" w:hAnsi="宋体" w:hint="eastAsia"/>
          <w:color w:val="000000"/>
          <w:sz w:val="24"/>
        </w:rPr>
        <w:t>月</w:t>
      </w:r>
      <w:r w:rsidRPr="000E2A08">
        <w:rPr>
          <w:rFonts w:ascii="宋体" w:hAnsi="宋体" w:hint="eastAsia"/>
          <w:color w:val="000000"/>
          <w:sz w:val="24"/>
        </w:rPr>
        <w:t>21</w:t>
      </w:r>
      <w:r w:rsidRPr="000E2A08">
        <w:rPr>
          <w:rFonts w:ascii="宋体" w:hAnsi="宋体" w:hint="eastAsia"/>
          <w:color w:val="000000"/>
          <w:sz w:val="24"/>
        </w:rPr>
        <w:t>日联合发布的《关于明确金融、房地产开发、教育辅助服务等增值税政策的通知》（财税</w:t>
      </w:r>
      <w:r w:rsidRPr="000E2A08">
        <w:rPr>
          <w:rFonts w:ascii="宋体" w:hAnsi="宋体" w:hint="eastAsia"/>
          <w:color w:val="000000"/>
          <w:sz w:val="24"/>
        </w:rPr>
        <w:t>[2016]140</w:t>
      </w:r>
      <w:r w:rsidRPr="000E2A08">
        <w:rPr>
          <w:rFonts w:ascii="宋体" w:hAnsi="宋体" w:hint="eastAsia"/>
          <w:color w:val="000000"/>
          <w:sz w:val="24"/>
        </w:rPr>
        <w:t>号）以及于</w:t>
      </w:r>
      <w:r w:rsidRPr="000E2A08">
        <w:rPr>
          <w:rFonts w:ascii="宋体" w:hAnsi="宋体" w:hint="eastAsia"/>
          <w:color w:val="000000"/>
          <w:sz w:val="24"/>
        </w:rPr>
        <w:t>2017</w:t>
      </w:r>
      <w:r w:rsidRPr="000E2A08">
        <w:rPr>
          <w:rFonts w:ascii="宋体" w:hAnsi="宋体" w:hint="eastAsia"/>
          <w:color w:val="000000"/>
          <w:sz w:val="24"/>
        </w:rPr>
        <w:t>年</w:t>
      </w:r>
      <w:r w:rsidRPr="000E2A08">
        <w:rPr>
          <w:rFonts w:ascii="宋体" w:hAnsi="宋体" w:hint="eastAsia"/>
          <w:color w:val="000000"/>
          <w:sz w:val="24"/>
        </w:rPr>
        <w:t>6</w:t>
      </w:r>
      <w:r w:rsidRPr="000E2A08">
        <w:rPr>
          <w:rFonts w:ascii="宋体" w:hAnsi="宋体" w:hint="eastAsia"/>
          <w:color w:val="000000"/>
          <w:sz w:val="24"/>
        </w:rPr>
        <w:t>月</w:t>
      </w:r>
      <w:r w:rsidRPr="000E2A08">
        <w:rPr>
          <w:rFonts w:ascii="宋体" w:hAnsi="宋体" w:hint="eastAsia"/>
          <w:color w:val="000000"/>
          <w:sz w:val="24"/>
        </w:rPr>
        <w:t>30</w:t>
      </w:r>
      <w:r w:rsidRPr="000E2A08">
        <w:rPr>
          <w:rFonts w:ascii="宋体" w:hAnsi="宋体" w:hint="eastAsia"/>
          <w:color w:val="000000"/>
          <w:sz w:val="24"/>
        </w:rPr>
        <w:t>日联合发布的《财政部、税务总局关于资管产品增值税有关问题的通知》（财税</w:t>
      </w:r>
      <w:r w:rsidRPr="000E2A08">
        <w:rPr>
          <w:rFonts w:ascii="宋体" w:hAnsi="宋体" w:hint="eastAsia"/>
          <w:color w:val="000000"/>
          <w:sz w:val="24"/>
        </w:rPr>
        <w:t>[2017]56</w:t>
      </w:r>
      <w:r w:rsidRPr="000E2A08">
        <w:rPr>
          <w:rFonts w:ascii="宋体" w:hAnsi="宋体" w:hint="eastAsia"/>
          <w:color w:val="000000"/>
          <w:sz w:val="24"/>
        </w:rPr>
        <w:t>号）等规定，自</w:t>
      </w:r>
      <w:r w:rsidRPr="000E2A08">
        <w:rPr>
          <w:rFonts w:ascii="宋体" w:hAnsi="宋体" w:hint="eastAsia"/>
          <w:color w:val="000000"/>
          <w:sz w:val="24"/>
        </w:rPr>
        <w:t>2018</w:t>
      </w:r>
      <w:r w:rsidRPr="000E2A08">
        <w:rPr>
          <w:rFonts w:ascii="宋体" w:hAnsi="宋体" w:hint="eastAsia"/>
          <w:color w:val="000000"/>
          <w:sz w:val="24"/>
        </w:rPr>
        <w:t>年</w:t>
      </w:r>
      <w:r w:rsidRPr="000E2A08">
        <w:rPr>
          <w:rFonts w:ascii="宋体" w:hAnsi="宋体" w:hint="eastAsia"/>
          <w:color w:val="000000"/>
          <w:sz w:val="24"/>
        </w:rPr>
        <w:t>1</w:t>
      </w:r>
      <w:r w:rsidRPr="000E2A08">
        <w:rPr>
          <w:rFonts w:ascii="宋体" w:hAnsi="宋体" w:hint="eastAsia"/>
          <w:color w:val="000000"/>
          <w:sz w:val="24"/>
        </w:rPr>
        <w:t>月</w:t>
      </w:r>
      <w:r w:rsidRPr="000E2A08">
        <w:rPr>
          <w:rFonts w:ascii="宋体" w:hAnsi="宋体" w:hint="eastAsia"/>
          <w:color w:val="000000"/>
          <w:sz w:val="24"/>
        </w:rPr>
        <w:t>1</w:t>
      </w:r>
      <w:r w:rsidRPr="000E2A08">
        <w:rPr>
          <w:rFonts w:ascii="宋体" w:hAnsi="宋体" w:hint="eastAsia"/>
          <w:color w:val="000000"/>
          <w:sz w:val="24"/>
        </w:rPr>
        <w:t>日（含）起，基金管理人运营公开募集证券投资基金（以下简称“基金”）过程中发生的增值税应税行为，应按照现行规定缴纳增值税。本基金管理人将依据国家税收法律、法规、规章及税收规范性文件的规定，对管理的基金产品运营过程中产生的应税</w:t>
      </w:r>
      <w:r w:rsidRPr="000E2A08">
        <w:rPr>
          <w:rFonts w:ascii="宋体" w:hAnsi="宋体" w:hint="eastAsia"/>
          <w:color w:val="000000"/>
          <w:sz w:val="24"/>
        </w:rPr>
        <w:t>收入，计提及缴纳增值税及附加税费，该部分税费由基金资产承担。如后续国家法律法规、税收政策进行调整的，或者对基金产品的税收政策作出补充规定的，基金管理人将及时根据所涉及的税收政策作出相应调整，切实履行基金管理人的职责。</w:t>
      </w:r>
    </w:p>
    <w:p w:rsidR="00ED0E09" w:rsidRPr="000E2A08" w:rsidRDefault="00ED0E09" w:rsidP="00ED0E09">
      <w:pPr>
        <w:spacing w:line="360" w:lineRule="auto"/>
        <w:ind w:firstLineChars="200" w:firstLine="480"/>
        <w:rPr>
          <w:rFonts w:ascii="宋体" w:hAnsi="宋体"/>
          <w:color w:val="000000"/>
          <w:sz w:val="24"/>
        </w:rPr>
      </w:pPr>
      <w:r w:rsidRPr="000E2A08">
        <w:rPr>
          <w:rFonts w:ascii="宋体" w:hAnsi="宋体" w:hint="eastAsia"/>
          <w:color w:val="000000"/>
          <w:sz w:val="24"/>
        </w:rPr>
        <w:lastRenderedPageBreak/>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28293E">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10</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FB7DEE" w:rsidRDefault="0044768E">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、中国证监会准予交银施罗德丰盈收益债券型证券投资基金募集注册的文件；</w:t>
      </w:r>
      <w:r>
        <w:rPr>
          <w:rFonts w:eastAsiaTheme="minorEastAsia"/>
          <w:color w:val="000000"/>
          <w:sz w:val="24"/>
        </w:rPr>
        <w:t xml:space="preserve"> </w:t>
      </w:r>
    </w:p>
    <w:p w:rsidR="00FB7DEE" w:rsidRDefault="0044768E">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、《交银施罗德丰盈收益债券型证券投资基金基金合同》；</w:t>
      </w:r>
      <w:r>
        <w:rPr>
          <w:rFonts w:eastAsiaTheme="minorEastAsia"/>
          <w:color w:val="000000"/>
          <w:sz w:val="24"/>
        </w:rPr>
        <w:t xml:space="preserve"> </w:t>
      </w:r>
    </w:p>
    <w:p w:rsidR="00FB7DEE" w:rsidRDefault="0044768E">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、《交银施罗德丰盈收益债券型证券投资基金招募说明书》；</w:t>
      </w:r>
      <w:r>
        <w:rPr>
          <w:rFonts w:eastAsiaTheme="minorEastAsia"/>
          <w:color w:val="000000"/>
          <w:sz w:val="24"/>
        </w:rPr>
        <w:t xml:space="preserve"> </w:t>
      </w:r>
    </w:p>
    <w:p w:rsidR="00FB7DEE" w:rsidRDefault="0044768E">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、《交银施罗德丰盈收益债券型证券投资基金托管协议》；</w:t>
      </w:r>
      <w:r>
        <w:rPr>
          <w:rFonts w:eastAsiaTheme="minorEastAsia"/>
          <w:color w:val="000000"/>
          <w:sz w:val="24"/>
        </w:rPr>
        <w:t xml:space="preserve"> </w:t>
      </w:r>
    </w:p>
    <w:p w:rsidR="00FB7DEE" w:rsidRDefault="0044768E">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、关于申请募集注册交银施罗德丰盈收益债券型证券投资基金的法律意见书；</w:t>
      </w:r>
      <w:r>
        <w:rPr>
          <w:rFonts w:eastAsiaTheme="minorEastAsia"/>
          <w:color w:val="000000"/>
          <w:sz w:val="24"/>
        </w:rPr>
        <w:t xml:space="preserve"> </w:t>
      </w:r>
    </w:p>
    <w:p w:rsidR="00FB7DEE" w:rsidRDefault="0044768E">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FB7DEE" w:rsidRDefault="0044768E">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、报告期内交银施罗德丰盈收益债券型证券投资基金在指定报刊上各项公告的原稿。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10.3</w:t>
      </w:r>
      <w:r w:rsidR="00FB3C94" w:rsidRPr="007F52FA">
        <w:rPr>
          <w:rFonts w:eastAsiaTheme="minorEastAsia"/>
          <w:b/>
          <w:bCs/>
          <w:color w:val="000000"/>
          <w:kern w:val="0"/>
          <w:sz w:val="24"/>
        </w:rPr>
        <w:t>查阅方式</w:t>
      </w:r>
    </w:p>
    <w:p w:rsidR="00FB7DEE" w:rsidRDefault="0044768E">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r w:rsidRPr="007F52FA">
        <w:rPr>
          <w:rFonts w:eastAsiaTheme="minorEastAsia"/>
          <w:color w:val="000000"/>
          <w:sz w:val="24"/>
        </w:rPr>
        <w:t xml:space="preserve"> </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68E" w:rsidRDefault="0044768E">
      <w:r>
        <w:separator/>
      </w:r>
    </w:p>
  </w:endnote>
  <w:endnote w:type="continuationSeparator" w:id="0">
    <w:p w:rsidR="0044768E" w:rsidRDefault="00447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3F1674">
      <w:rPr>
        <w:kern w:val="0"/>
        <w:szCs w:val="21"/>
      </w:rPr>
      <w:fldChar w:fldCharType="begin"/>
    </w:r>
    <w:r>
      <w:rPr>
        <w:kern w:val="0"/>
        <w:szCs w:val="21"/>
      </w:rPr>
      <w:instrText xml:space="preserve"> PAGE </w:instrText>
    </w:r>
    <w:r w:rsidR="003F1674">
      <w:rPr>
        <w:kern w:val="0"/>
        <w:szCs w:val="21"/>
      </w:rPr>
      <w:fldChar w:fldCharType="separate"/>
    </w:r>
    <w:r w:rsidR="000E2A08">
      <w:rPr>
        <w:noProof/>
        <w:kern w:val="0"/>
        <w:szCs w:val="21"/>
      </w:rPr>
      <w:t>3</w:t>
    </w:r>
    <w:r w:rsidR="003F1674">
      <w:rPr>
        <w:kern w:val="0"/>
        <w:szCs w:val="21"/>
      </w:rPr>
      <w:fldChar w:fldCharType="end"/>
    </w:r>
    <w:r>
      <w:rPr>
        <w:rFonts w:hint="eastAsia"/>
        <w:kern w:val="0"/>
        <w:szCs w:val="21"/>
      </w:rPr>
      <w:t>页共</w:t>
    </w:r>
    <w:r w:rsidR="003F1674">
      <w:rPr>
        <w:kern w:val="0"/>
        <w:szCs w:val="21"/>
      </w:rPr>
      <w:fldChar w:fldCharType="begin"/>
    </w:r>
    <w:r>
      <w:rPr>
        <w:kern w:val="0"/>
        <w:szCs w:val="21"/>
      </w:rPr>
      <w:instrText xml:space="preserve"> NUMPAGES </w:instrText>
    </w:r>
    <w:r w:rsidR="003F1674">
      <w:rPr>
        <w:kern w:val="0"/>
        <w:szCs w:val="21"/>
      </w:rPr>
      <w:fldChar w:fldCharType="separate"/>
    </w:r>
    <w:r w:rsidR="000E2A08">
      <w:rPr>
        <w:noProof/>
        <w:kern w:val="0"/>
        <w:szCs w:val="21"/>
      </w:rPr>
      <w:t>15</w:t>
    </w:r>
    <w:r w:rsidR="003F1674">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3F1674">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68E" w:rsidRDefault="0044768E">
      <w:r>
        <w:separator/>
      </w:r>
    </w:p>
  </w:footnote>
  <w:footnote w:type="continuationSeparator" w:id="0">
    <w:p w:rsidR="0044768E" w:rsidRDefault="004476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交银施罗德丰盈收益债券型证券投资基金</w:t>
    </w:r>
    <w:r w:rsidRPr="00D3445F">
      <w:rPr>
        <w:rFonts w:eastAsiaTheme="minorEastAsia"/>
        <w:sz w:val="24"/>
      </w:rPr>
      <w:t>2018</w:t>
    </w:r>
    <w:r w:rsidRPr="00D3445F">
      <w:rPr>
        <w:rFonts w:eastAsiaTheme="minorEastAsia"/>
        <w:sz w:val="24"/>
      </w:rPr>
      <w:t>年第</w:t>
    </w:r>
    <w:r w:rsidRPr="00D3445F">
      <w:rPr>
        <w:rFonts w:eastAsiaTheme="minorEastAsia"/>
        <w:sz w:val="24"/>
      </w:rPr>
      <w:t>1</w:t>
    </w:r>
    <w:r w:rsidRPr="00D3445F">
      <w:rPr>
        <w:rFonts w:eastAsiaTheme="minorEastAsia"/>
        <w:sz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B4E" w:rsidRDefault="00C51B4E">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A08"/>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68E"/>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B7DEE"/>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324CF099-37DF-4127-A533-FF8760EB3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uiPriority w:val="99"/>
    <w:semiHidden/>
    <w:rsid w:val="006A4828"/>
    <w:rPr>
      <w:sz w:val="21"/>
      <w:szCs w:val="21"/>
    </w:rPr>
  </w:style>
  <w:style w:type="paragraph" w:styleId="af">
    <w:name w:val="annotation text"/>
    <w:basedOn w:val="a"/>
    <w:link w:val="Char2"/>
    <w:uiPriority w:val="99"/>
    <w:semiHidden/>
    <w:rsid w:val="006A4828"/>
    <w:pPr>
      <w:jc w:val="left"/>
    </w:pPr>
  </w:style>
  <w:style w:type="paragraph" w:styleId="af0">
    <w:name w:val="annotation subject"/>
    <w:basedOn w:val="af"/>
    <w:next w:val="af"/>
    <w:semiHidden/>
    <w:rsid w:val="006A4828"/>
    <w:rPr>
      <w:b/>
      <w:bCs/>
    </w:rPr>
  </w:style>
  <w:style w:type="paragraph" w:customStyle="1" w:styleId="Char3">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4"/>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5">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4">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uiPriority w:val="99"/>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character" w:customStyle="1" w:styleId="Char2">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1C5FA-9A15-4B68-8A8B-2706B3ED7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207</TotalTime>
  <Pages>15</Pages>
  <Words>1276</Words>
  <Characters>7275</Characters>
  <Application>Microsoft Office Word</Application>
  <DocSecurity>0</DocSecurity>
  <Lines>60</Lines>
  <Paragraphs>17</Paragraphs>
  <ScaleCrop>false</ScaleCrop>
  <Company>TRT. Ltd. Co.</Company>
  <LinksUpToDate>false</LinksUpToDate>
  <CharactersWithSpaces>8534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376</cp:revision>
  <cp:lastPrinted>2007-07-19T00:46:00Z</cp:lastPrinted>
  <dcterms:created xsi:type="dcterms:W3CDTF">2014-01-17T06:19:00Z</dcterms:created>
  <dcterms:modified xsi:type="dcterms:W3CDTF">2018-04-18T09:44:00Z</dcterms:modified>
</cp:coreProperties>
</file>