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t xml:space="preserve">§1  </w:t>
      </w:r>
      <w:r w:rsidRPr="00414345">
        <w:rPr>
          <w:color w:val="000000"/>
          <w:kern w:val="0"/>
          <w:sz w:val="24"/>
          <w:szCs w:val="24"/>
        </w:rPr>
        <w:t>重要提示</w:t>
      </w:r>
    </w:p>
    <w:p w:rsidR="00955805" w:rsidRDefault="0077142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55805" w:rsidRDefault="0077142C">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55805" w:rsidRDefault="0077142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55805" w:rsidRDefault="0077142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55805" w:rsidRDefault="0077142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1,172,976,244.97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7142C" w:rsidRPr="00414345" w:rsidTr="0077142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7142C" w:rsidRPr="00414345" w:rsidTr="007714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82,917,314.40</w:t>
            </w:r>
          </w:p>
        </w:tc>
      </w:tr>
      <w:tr w:rsidR="0077142C" w:rsidRPr="00414345" w:rsidTr="007714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49,478,800.15</w:t>
            </w:r>
          </w:p>
        </w:tc>
      </w:tr>
      <w:tr w:rsidR="0077142C" w:rsidRPr="00414345" w:rsidTr="007714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0.0478</w:t>
            </w:r>
          </w:p>
        </w:tc>
      </w:tr>
      <w:tr w:rsidR="0077142C" w:rsidRPr="00414345" w:rsidTr="007714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2,454,026,581.82</w:t>
            </w:r>
          </w:p>
        </w:tc>
      </w:tr>
      <w:tr w:rsidR="0077142C" w:rsidRPr="00414345" w:rsidTr="0077142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2.092</w:t>
            </w:r>
          </w:p>
        </w:tc>
      </w:tr>
    </w:tbl>
    <w:p w:rsidR="00955805" w:rsidRDefault="007714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55805">
        <w:trPr>
          <w:jc w:val="center"/>
        </w:trPr>
        <w:tc>
          <w:tcPr>
            <w:tcW w:w="1701" w:type="dxa"/>
            <w:vAlign w:val="center"/>
          </w:tcPr>
          <w:p w:rsidR="00955805" w:rsidRDefault="0077142C">
            <w:pPr>
              <w:jc w:val="left"/>
            </w:pPr>
            <w:r>
              <w:rPr>
                <w:color w:val="000000"/>
                <w:sz w:val="24"/>
                <w:szCs w:val="24"/>
              </w:rPr>
              <w:t>过去三个月</w:t>
            </w:r>
          </w:p>
        </w:tc>
        <w:tc>
          <w:tcPr>
            <w:tcW w:w="1045" w:type="dxa"/>
            <w:vAlign w:val="center"/>
          </w:tcPr>
          <w:p w:rsidR="00955805" w:rsidRDefault="0077142C">
            <w:pPr>
              <w:jc w:val="center"/>
            </w:pPr>
            <w:r>
              <w:rPr>
                <w:color w:val="000000"/>
                <w:sz w:val="24"/>
                <w:szCs w:val="24"/>
              </w:rPr>
              <w:t>2.60%</w:t>
            </w:r>
          </w:p>
        </w:tc>
        <w:tc>
          <w:tcPr>
            <w:tcW w:w="1344" w:type="dxa"/>
            <w:vAlign w:val="center"/>
          </w:tcPr>
          <w:p w:rsidR="00955805" w:rsidRDefault="0077142C">
            <w:pPr>
              <w:jc w:val="center"/>
            </w:pPr>
            <w:r>
              <w:rPr>
                <w:color w:val="000000"/>
                <w:sz w:val="24"/>
                <w:szCs w:val="24"/>
              </w:rPr>
              <w:t>1.23%</w:t>
            </w:r>
          </w:p>
        </w:tc>
        <w:tc>
          <w:tcPr>
            <w:tcW w:w="1194" w:type="dxa"/>
            <w:vAlign w:val="center"/>
          </w:tcPr>
          <w:p w:rsidR="00955805" w:rsidRDefault="0077142C">
            <w:pPr>
              <w:jc w:val="center"/>
            </w:pPr>
            <w:r>
              <w:rPr>
                <w:color w:val="000000"/>
                <w:sz w:val="24"/>
                <w:szCs w:val="24"/>
              </w:rPr>
              <w:t>-1.77%</w:t>
            </w:r>
          </w:p>
        </w:tc>
        <w:tc>
          <w:tcPr>
            <w:tcW w:w="1492" w:type="dxa"/>
            <w:vAlign w:val="center"/>
          </w:tcPr>
          <w:p w:rsidR="00955805" w:rsidRDefault="0077142C">
            <w:pPr>
              <w:jc w:val="center"/>
            </w:pPr>
            <w:r>
              <w:rPr>
                <w:color w:val="000000"/>
                <w:sz w:val="24"/>
                <w:szCs w:val="24"/>
              </w:rPr>
              <w:t>0.96%</w:t>
            </w:r>
          </w:p>
        </w:tc>
        <w:tc>
          <w:tcPr>
            <w:tcW w:w="1194" w:type="dxa"/>
            <w:vAlign w:val="center"/>
          </w:tcPr>
          <w:p w:rsidR="00955805" w:rsidRDefault="0077142C">
            <w:pPr>
              <w:jc w:val="center"/>
            </w:pPr>
            <w:r>
              <w:rPr>
                <w:color w:val="000000"/>
                <w:sz w:val="24"/>
                <w:szCs w:val="24"/>
              </w:rPr>
              <w:t>4.37%</w:t>
            </w:r>
          </w:p>
        </w:tc>
        <w:tc>
          <w:tcPr>
            <w:tcW w:w="898" w:type="dxa"/>
            <w:vAlign w:val="center"/>
          </w:tcPr>
          <w:p w:rsidR="00955805" w:rsidRDefault="0077142C">
            <w:pPr>
              <w:jc w:val="center"/>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55805">
        <w:trPr>
          <w:jc w:val="center"/>
        </w:trPr>
        <w:tc>
          <w:tcPr>
            <w:tcW w:w="846" w:type="dxa"/>
            <w:vAlign w:val="center"/>
          </w:tcPr>
          <w:p w:rsidR="00955805" w:rsidRDefault="0077142C">
            <w:pPr>
              <w:jc w:val="center"/>
            </w:pPr>
            <w:r>
              <w:rPr>
                <w:color w:val="000000"/>
                <w:sz w:val="24"/>
                <w:szCs w:val="24"/>
              </w:rPr>
              <w:t>王崇</w:t>
            </w:r>
          </w:p>
        </w:tc>
        <w:tc>
          <w:tcPr>
            <w:tcW w:w="845" w:type="dxa"/>
            <w:vAlign w:val="center"/>
          </w:tcPr>
          <w:p w:rsidR="00955805" w:rsidRDefault="0077142C">
            <w:pPr>
              <w:jc w:val="center"/>
            </w:pPr>
            <w:r>
              <w:rPr>
                <w:color w:val="000000"/>
                <w:sz w:val="24"/>
                <w:szCs w:val="24"/>
              </w:rPr>
              <w:t>交银精选混合、交银新成长混合的基金经理</w:t>
            </w:r>
          </w:p>
        </w:tc>
        <w:tc>
          <w:tcPr>
            <w:tcW w:w="1549" w:type="dxa"/>
            <w:vAlign w:val="center"/>
          </w:tcPr>
          <w:p w:rsidR="00955805" w:rsidRDefault="0077142C">
            <w:pPr>
              <w:jc w:val="center"/>
            </w:pPr>
            <w:r>
              <w:rPr>
                <w:color w:val="000000"/>
                <w:sz w:val="24"/>
                <w:szCs w:val="24"/>
              </w:rPr>
              <w:t>2014-10-22</w:t>
            </w:r>
          </w:p>
        </w:tc>
        <w:tc>
          <w:tcPr>
            <w:tcW w:w="1548" w:type="dxa"/>
            <w:vAlign w:val="center"/>
          </w:tcPr>
          <w:p w:rsidR="00955805" w:rsidRDefault="0077142C">
            <w:pPr>
              <w:jc w:val="center"/>
            </w:pPr>
            <w:r>
              <w:rPr>
                <w:color w:val="000000"/>
                <w:sz w:val="24"/>
                <w:szCs w:val="24"/>
              </w:rPr>
              <w:t>-</w:t>
            </w:r>
          </w:p>
        </w:tc>
        <w:tc>
          <w:tcPr>
            <w:tcW w:w="1407" w:type="dxa"/>
            <w:vAlign w:val="center"/>
          </w:tcPr>
          <w:p w:rsidR="00955805" w:rsidRDefault="0077142C">
            <w:pPr>
              <w:jc w:val="center"/>
            </w:pPr>
            <w:r>
              <w:rPr>
                <w:color w:val="000000"/>
                <w:sz w:val="24"/>
                <w:szCs w:val="24"/>
              </w:rPr>
              <w:t>10</w:t>
            </w:r>
            <w:r>
              <w:rPr>
                <w:color w:val="000000"/>
                <w:sz w:val="24"/>
                <w:szCs w:val="24"/>
              </w:rPr>
              <w:t>年</w:t>
            </w:r>
          </w:p>
        </w:tc>
        <w:tc>
          <w:tcPr>
            <w:tcW w:w="2673" w:type="dxa"/>
            <w:vAlign w:val="center"/>
          </w:tcPr>
          <w:p w:rsidR="00955805" w:rsidRDefault="0077142C">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55805" w:rsidRDefault="0077142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55805" w:rsidRDefault="0077142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55805" w:rsidRDefault="0077142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55805" w:rsidRDefault="0077142C">
      <w:pPr>
        <w:spacing w:before="29" w:line="288" w:lineRule="auto"/>
        <w:ind w:firstLineChars="200" w:firstLine="480"/>
        <w:rPr>
          <w:color w:val="000000"/>
          <w:sz w:val="24"/>
          <w:szCs w:val="24"/>
        </w:rPr>
      </w:pPr>
      <w:r>
        <w:rPr>
          <w:color w:val="000000"/>
          <w:sz w:val="24"/>
          <w:szCs w:val="24"/>
        </w:rPr>
        <w:t>2018</w:t>
      </w:r>
      <w:r>
        <w:rPr>
          <w:color w:val="000000"/>
          <w:sz w:val="24"/>
          <w:szCs w:val="24"/>
        </w:rPr>
        <w:t>年一季度经济增长平稳，通胀虽高仍旧处于合理可控区间，</w:t>
      </w:r>
      <w:r>
        <w:rPr>
          <w:color w:val="000000"/>
          <w:sz w:val="24"/>
          <w:szCs w:val="24"/>
        </w:rPr>
        <w:t>PPI</w:t>
      </w:r>
      <w:r>
        <w:rPr>
          <w:color w:val="000000"/>
          <w:sz w:val="24"/>
          <w:szCs w:val="24"/>
        </w:rPr>
        <w:t>和国债收益率小幅回落，货币政策总体中性偏紧，地产销售负增长，中美贸易冲突频发。</w:t>
      </w:r>
      <w:r>
        <w:rPr>
          <w:color w:val="000000"/>
          <w:sz w:val="24"/>
          <w:szCs w:val="24"/>
        </w:rPr>
        <w:t>A</w:t>
      </w:r>
      <w:r>
        <w:rPr>
          <w:color w:val="000000"/>
          <w:sz w:val="24"/>
          <w:szCs w:val="24"/>
        </w:rPr>
        <w:t>股一季度出现风格切换，开局以银行地产低估值大市值蓝筹股领涨，二、三月份以创业板指数为首的中小盘大幅反弹，而中大市值白马股出现较大幅度回落，市场风格蹊跷板效应明显。一季度整体来看市场偏好新兴成长，提高了估值的容忍度，以成长为美，以创新为美。行业层面分化明显，计算机、医药、半导体、军工等行业涨幅领先，表现亮眼，而以采掘、非银金融、食品饮料等为首的传统板块跌幅较大。</w:t>
      </w:r>
    </w:p>
    <w:p w:rsidR="00955805" w:rsidRDefault="0077142C">
      <w:pPr>
        <w:spacing w:before="29" w:line="288" w:lineRule="auto"/>
        <w:ind w:firstLineChars="200" w:firstLine="480"/>
        <w:rPr>
          <w:color w:val="000000"/>
          <w:sz w:val="24"/>
          <w:szCs w:val="24"/>
        </w:rPr>
      </w:pPr>
      <w:r>
        <w:rPr>
          <w:color w:val="000000"/>
          <w:sz w:val="24"/>
          <w:szCs w:val="24"/>
        </w:rPr>
        <w:t>2018</w:t>
      </w:r>
      <w:r>
        <w:rPr>
          <w:color w:val="000000"/>
          <w:sz w:val="24"/>
          <w:szCs w:val="24"/>
        </w:rPr>
        <w:t>年一季度本基金继续采取稳健投资策略，保持中性仓位，精选优质成长个股。行业配置减持半导体，增配地产，超配传媒、医药、电子、房地产。一季度本基金成功取得了正收益。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全年，我们维持谨慎乐观的态度。一方面，我们时刻警惕中美贸易摩擦、通货膨胀以及金融去杠杆深化对市场的冲击。另一方面，从中观层面看，优秀的行业和公司发展良好，其市值基于中期角度均处于合理偏低水平。本基金看好</w:t>
      </w:r>
      <w:r w:rsidRPr="00414345">
        <w:rPr>
          <w:color w:val="000000"/>
          <w:sz w:val="24"/>
          <w:szCs w:val="24"/>
        </w:rPr>
        <w:t>2018</w:t>
      </w:r>
      <w:r w:rsidRPr="00414345">
        <w:rPr>
          <w:color w:val="000000"/>
          <w:sz w:val="24"/>
          <w:szCs w:val="24"/>
        </w:rPr>
        <w:t>年传媒、医药、电子、房地产等成长领域投资机会，精选优质成长股票，恪守安全边际，努力为基金持有人带来稳定回报。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2.092</w:t>
      </w:r>
      <w:r w:rsidRPr="00414345">
        <w:rPr>
          <w:color w:val="000000"/>
          <w:sz w:val="24"/>
          <w:szCs w:val="24"/>
        </w:rPr>
        <w:t>元，本报告期份额净值增长率为</w:t>
      </w:r>
      <w:r w:rsidRPr="00414345">
        <w:rPr>
          <w:color w:val="000000"/>
          <w:sz w:val="24"/>
          <w:szCs w:val="24"/>
        </w:rPr>
        <w:t>2.60%</w:t>
      </w:r>
      <w:r w:rsidRPr="00414345">
        <w:rPr>
          <w:color w:val="000000"/>
          <w:sz w:val="24"/>
          <w:szCs w:val="24"/>
        </w:rPr>
        <w:t>，同期业绩比较基准增长率为</w:t>
      </w:r>
      <w:r w:rsidRPr="00414345">
        <w:rPr>
          <w:color w:val="000000"/>
          <w:sz w:val="24"/>
          <w:szCs w:val="24"/>
        </w:rPr>
        <w:t>-1.77%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jc w:val="center"/>
        <w:tblLayout w:type="fixed"/>
        <w:tblLook w:val="04A0" w:firstRow="1" w:lastRow="0" w:firstColumn="1" w:lastColumn="0" w:noHBand="0" w:noVBand="1"/>
      </w:tblPr>
      <w:tblGrid>
        <w:gridCol w:w="720"/>
        <w:gridCol w:w="2824"/>
        <w:gridCol w:w="2552"/>
        <w:gridCol w:w="2801"/>
      </w:tblGrid>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2,068,344,940.64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83.96</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2,068,344,940.64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83.96</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139,913,700.00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5.68</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139,913,700.00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5.68</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132,503,881.12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5.38</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122,796,813.16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4.98</w:t>
            </w:r>
          </w:p>
        </w:tc>
      </w:tr>
      <w:tr w:rsidR="00BF0019" w:rsidRPr="007B5F21" w:rsidTr="009C39C0">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2,463,559,334.92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865,462,706.25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26,402.87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220,524,295.17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303,852,638.57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240,993,612.00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219,626,555.00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79,014,810.00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138,807,261.16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2,068,344,940.64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84.28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55805">
        <w:trPr>
          <w:jc w:val="center"/>
        </w:trPr>
        <w:tc>
          <w:tcPr>
            <w:tcW w:w="855" w:type="dxa"/>
            <w:vAlign w:val="center"/>
          </w:tcPr>
          <w:p w:rsidR="00955805" w:rsidRDefault="0077142C">
            <w:pPr>
              <w:jc w:val="center"/>
            </w:pPr>
            <w:r>
              <w:rPr>
                <w:color w:val="000000"/>
                <w:sz w:val="24"/>
                <w:szCs w:val="24"/>
              </w:rPr>
              <w:t>1</w:t>
            </w:r>
          </w:p>
        </w:tc>
        <w:tc>
          <w:tcPr>
            <w:tcW w:w="1334" w:type="dxa"/>
            <w:vAlign w:val="center"/>
          </w:tcPr>
          <w:p w:rsidR="00955805" w:rsidRDefault="0077142C">
            <w:pPr>
              <w:jc w:val="center"/>
            </w:pPr>
            <w:r>
              <w:rPr>
                <w:color w:val="000000"/>
                <w:sz w:val="24"/>
                <w:szCs w:val="24"/>
              </w:rPr>
              <w:t>002027</w:t>
            </w:r>
          </w:p>
        </w:tc>
        <w:tc>
          <w:tcPr>
            <w:tcW w:w="1777" w:type="dxa"/>
            <w:vAlign w:val="center"/>
          </w:tcPr>
          <w:p w:rsidR="00955805" w:rsidRDefault="0077142C">
            <w:pPr>
              <w:jc w:val="center"/>
            </w:pPr>
            <w:r>
              <w:rPr>
                <w:color w:val="000000"/>
                <w:sz w:val="24"/>
                <w:szCs w:val="24"/>
              </w:rPr>
              <w:t>分众传媒</w:t>
            </w:r>
          </w:p>
        </w:tc>
        <w:tc>
          <w:tcPr>
            <w:tcW w:w="1334" w:type="dxa"/>
            <w:vAlign w:val="center"/>
          </w:tcPr>
          <w:p w:rsidR="00955805" w:rsidRDefault="0077142C">
            <w:pPr>
              <w:jc w:val="right"/>
            </w:pPr>
            <w:r>
              <w:rPr>
                <w:color w:val="000000"/>
                <w:sz w:val="24"/>
                <w:szCs w:val="24"/>
              </w:rPr>
              <w:t>17,199,500</w:t>
            </w:r>
          </w:p>
        </w:tc>
        <w:tc>
          <w:tcPr>
            <w:tcW w:w="1924" w:type="dxa"/>
            <w:vAlign w:val="center"/>
          </w:tcPr>
          <w:p w:rsidR="00955805" w:rsidRDefault="0077142C">
            <w:pPr>
              <w:jc w:val="right"/>
            </w:pPr>
            <w:r>
              <w:rPr>
                <w:color w:val="000000"/>
                <w:sz w:val="24"/>
                <w:szCs w:val="24"/>
              </w:rPr>
              <w:t>219,626,555.00</w:t>
            </w:r>
          </w:p>
        </w:tc>
        <w:tc>
          <w:tcPr>
            <w:tcW w:w="1644" w:type="dxa"/>
            <w:vAlign w:val="center"/>
          </w:tcPr>
          <w:p w:rsidR="00955805" w:rsidRDefault="0077142C">
            <w:pPr>
              <w:jc w:val="right"/>
            </w:pPr>
            <w:r>
              <w:rPr>
                <w:color w:val="000000"/>
                <w:sz w:val="24"/>
                <w:szCs w:val="24"/>
              </w:rPr>
              <w:t>8.95</w:t>
            </w:r>
          </w:p>
        </w:tc>
      </w:tr>
      <w:tr w:rsidR="00955805">
        <w:trPr>
          <w:jc w:val="center"/>
        </w:trPr>
        <w:tc>
          <w:tcPr>
            <w:tcW w:w="855" w:type="dxa"/>
            <w:vAlign w:val="center"/>
          </w:tcPr>
          <w:p w:rsidR="00955805" w:rsidRDefault="0077142C">
            <w:pPr>
              <w:jc w:val="center"/>
            </w:pPr>
            <w:r>
              <w:rPr>
                <w:color w:val="000000"/>
                <w:sz w:val="24"/>
                <w:szCs w:val="24"/>
              </w:rPr>
              <w:t>2</w:t>
            </w:r>
          </w:p>
        </w:tc>
        <w:tc>
          <w:tcPr>
            <w:tcW w:w="1334" w:type="dxa"/>
            <w:vAlign w:val="center"/>
          </w:tcPr>
          <w:p w:rsidR="00955805" w:rsidRDefault="0077142C">
            <w:pPr>
              <w:jc w:val="center"/>
            </w:pPr>
            <w:r>
              <w:rPr>
                <w:color w:val="000000"/>
                <w:sz w:val="24"/>
                <w:szCs w:val="24"/>
              </w:rPr>
              <w:t>601155</w:t>
            </w:r>
          </w:p>
        </w:tc>
        <w:tc>
          <w:tcPr>
            <w:tcW w:w="1777" w:type="dxa"/>
            <w:vAlign w:val="center"/>
          </w:tcPr>
          <w:p w:rsidR="00955805" w:rsidRDefault="0077142C">
            <w:pPr>
              <w:jc w:val="center"/>
            </w:pPr>
            <w:r>
              <w:rPr>
                <w:color w:val="000000"/>
                <w:sz w:val="24"/>
                <w:szCs w:val="24"/>
              </w:rPr>
              <w:t>新城控股</w:t>
            </w:r>
          </w:p>
        </w:tc>
        <w:tc>
          <w:tcPr>
            <w:tcW w:w="1334" w:type="dxa"/>
            <w:vAlign w:val="center"/>
          </w:tcPr>
          <w:p w:rsidR="00955805" w:rsidRDefault="0077142C">
            <w:pPr>
              <w:jc w:val="right"/>
            </w:pPr>
            <w:r>
              <w:rPr>
                <w:color w:val="000000"/>
                <w:sz w:val="24"/>
                <w:szCs w:val="24"/>
              </w:rPr>
              <w:t>3,965,700</w:t>
            </w:r>
          </w:p>
        </w:tc>
        <w:tc>
          <w:tcPr>
            <w:tcW w:w="1924" w:type="dxa"/>
            <w:vAlign w:val="center"/>
          </w:tcPr>
          <w:p w:rsidR="00955805" w:rsidRDefault="0077142C">
            <w:pPr>
              <w:jc w:val="right"/>
            </w:pPr>
            <w:r>
              <w:rPr>
                <w:color w:val="000000"/>
                <w:sz w:val="24"/>
                <w:szCs w:val="24"/>
              </w:rPr>
              <w:t>139,513,326.00</w:t>
            </w:r>
          </w:p>
        </w:tc>
        <w:tc>
          <w:tcPr>
            <w:tcW w:w="1644" w:type="dxa"/>
            <w:vAlign w:val="center"/>
          </w:tcPr>
          <w:p w:rsidR="00955805" w:rsidRDefault="0077142C">
            <w:pPr>
              <w:jc w:val="right"/>
            </w:pPr>
            <w:r>
              <w:rPr>
                <w:color w:val="000000"/>
                <w:sz w:val="24"/>
                <w:szCs w:val="24"/>
              </w:rPr>
              <w:t>5.69</w:t>
            </w:r>
          </w:p>
        </w:tc>
      </w:tr>
      <w:tr w:rsidR="00955805">
        <w:trPr>
          <w:jc w:val="center"/>
        </w:trPr>
        <w:tc>
          <w:tcPr>
            <w:tcW w:w="855" w:type="dxa"/>
            <w:vAlign w:val="center"/>
          </w:tcPr>
          <w:p w:rsidR="00955805" w:rsidRDefault="0077142C">
            <w:pPr>
              <w:jc w:val="center"/>
            </w:pPr>
            <w:r>
              <w:rPr>
                <w:color w:val="000000"/>
                <w:sz w:val="24"/>
                <w:szCs w:val="24"/>
              </w:rPr>
              <w:t>3</w:t>
            </w:r>
          </w:p>
        </w:tc>
        <w:tc>
          <w:tcPr>
            <w:tcW w:w="1334" w:type="dxa"/>
            <w:vAlign w:val="center"/>
          </w:tcPr>
          <w:p w:rsidR="00955805" w:rsidRDefault="0077142C">
            <w:pPr>
              <w:jc w:val="center"/>
            </w:pPr>
            <w:r>
              <w:rPr>
                <w:color w:val="000000"/>
                <w:sz w:val="24"/>
                <w:szCs w:val="24"/>
              </w:rPr>
              <w:t>300347</w:t>
            </w:r>
          </w:p>
        </w:tc>
        <w:tc>
          <w:tcPr>
            <w:tcW w:w="1777" w:type="dxa"/>
            <w:vAlign w:val="center"/>
          </w:tcPr>
          <w:p w:rsidR="00955805" w:rsidRDefault="0077142C">
            <w:pPr>
              <w:jc w:val="center"/>
            </w:pPr>
            <w:r>
              <w:rPr>
                <w:color w:val="000000"/>
                <w:sz w:val="24"/>
                <w:szCs w:val="24"/>
              </w:rPr>
              <w:t>泰格医药</w:t>
            </w:r>
          </w:p>
        </w:tc>
        <w:tc>
          <w:tcPr>
            <w:tcW w:w="1334" w:type="dxa"/>
            <w:vAlign w:val="center"/>
          </w:tcPr>
          <w:p w:rsidR="00955805" w:rsidRDefault="0077142C">
            <w:pPr>
              <w:jc w:val="right"/>
            </w:pPr>
            <w:r>
              <w:rPr>
                <w:color w:val="000000"/>
                <w:sz w:val="24"/>
                <w:szCs w:val="24"/>
              </w:rPr>
              <w:t>2,645,596</w:t>
            </w:r>
          </w:p>
        </w:tc>
        <w:tc>
          <w:tcPr>
            <w:tcW w:w="1924" w:type="dxa"/>
            <w:vAlign w:val="center"/>
          </w:tcPr>
          <w:p w:rsidR="00955805" w:rsidRDefault="0077142C">
            <w:pPr>
              <w:jc w:val="right"/>
            </w:pPr>
            <w:r>
              <w:rPr>
                <w:color w:val="000000"/>
                <w:sz w:val="24"/>
                <w:szCs w:val="24"/>
              </w:rPr>
              <w:t>138,807,261.16</w:t>
            </w:r>
          </w:p>
        </w:tc>
        <w:tc>
          <w:tcPr>
            <w:tcW w:w="1644" w:type="dxa"/>
            <w:vAlign w:val="center"/>
          </w:tcPr>
          <w:p w:rsidR="00955805" w:rsidRDefault="0077142C">
            <w:pPr>
              <w:jc w:val="right"/>
            </w:pPr>
            <w:r>
              <w:rPr>
                <w:color w:val="000000"/>
                <w:sz w:val="24"/>
                <w:szCs w:val="24"/>
              </w:rPr>
              <w:t>5.66</w:t>
            </w:r>
          </w:p>
        </w:tc>
      </w:tr>
      <w:tr w:rsidR="00955805">
        <w:trPr>
          <w:jc w:val="center"/>
        </w:trPr>
        <w:tc>
          <w:tcPr>
            <w:tcW w:w="855" w:type="dxa"/>
            <w:vAlign w:val="center"/>
          </w:tcPr>
          <w:p w:rsidR="00955805" w:rsidRDefault="0077142C">
            <w:pPr>
              <w:jc w:val="center"/>
            </w:pPr>
            <w:r>
              <w:rPr>
                <w:color w:val="000000"/>
                <w:sz w:val="24"/>
                <w:szCs w:val="24"/>
              </w:rPr>
              <w:t>4</w:t>
            </w:r>
          </w:p>
        </w:tc>
        <w:tc>
          <w:tcPr>
            <w:tcW w:w="1334" w:type="dxa"/>
            <w:vAlign w:val="center"/>
          </w:tcPr>
          <w:p w:rsidR="00955805" w:rsidRDefault="0077142C">
            <w:pPr>
              <w:jc w:val="center"/>
            </w:pPr>
            <w:r>
              <w:rPr>
                <w:color w:val="000000"/>
                <w:sz w:val="24"/>
                <w:szCs w:val="24"/>
              </w:rPr>
              <w:t>601100</w:t>
            </w:r>
          </w:p>
        </w:tc>
        <w:tc>
          <w:tcPr>
            <w:tcW w:w="1777" w:type="dxa"/>
            <w:vAlign w:val="center"/>
          </w:tcPr>
          <w:p w:rsidR="00955805" w:rsidRDefault="0077142C">
            <w:pPr>
              <w:jc w:val="center"/>
            </w:pPr>
            <w:r>
              <w:rPr>
                <w:color w:val="000000"/>
                <w:sz w:val="24"/>
                <w:szCs w:val="24"/>
              </w:rPr>
              <w:t>恒立液压</w:t>
            </w:r>
          </w:p>
        </w:tc>
        <w:tc>
          <w:tcPr>
            <w:tcW w:w="1334" w:type="dxa"/>
            <w:vAlign w:val="center"/>
          </w:tcPr>
          <w:p w:rsidR="00955805" w:rsidRDefault="0077142C">
            <w:pPr>
              <w:jc w:val="right"/>
            </w:pPr>
            <w:r>
              <w:rPr>
                <w:color w:val="000000"/>
                <w:sz w:val="24"/>
                <w:szCs w:val="24"/>
              </w:rPr>
              <w:t>4,333,795</w:t>
            </w:r>
          </w:p>
        </w:tc>
        <w:tc>
          <w:tcPr>
            <w:tcW w:w="1924" w:type="dxa"/>
            <w:vAlign w:val="center"/>
          </w:tcPr>
          <w:p w:rsidR="00955805" w:rsidRDefault="0077142C">
            <w:pPr>
              <w:jc w:val="right"/>
            </w:pPr>
            <w:r>
              <w:rPr>
                <w:color w:val="000000"/>
                <w:sz w:val="24"/>
                <w:szCs w:val="24"/>
              </w:rPr>
              <w:t>132,050,733.65</w:t>
            </w:r>
          </w:p>
        </w:tc>
        <w:tc>
          <w:tcPr>
            <w:tcW w:w="1644" w:type="dxa"/>
            <w:vAlign w:val="center"/>
          </w:tcPr>
          <w:p w:rsidR="00955805" w:rsidRDefault="0077142C">
            <w:pPr>
              <w:jc w:val="right"/>
            </w:pPr>
            <w:r>
              <w:rPr>
                <w:color w:val="000000"/>
                <w:sz w:val="24"/>
                <w:szCs w:val="24"/>
              </w:rPr>
              <w:t>5.38</w:t>
            </w:r>
          </w:p>
        </w:tc>
      </w:tr>
      <w:tr w:rsidR="00955805">
        <w:trPr>
          <w:jc w:val="center"/>
        </w:trPr>
        <w:tc>
          <w:tcPr>
            <w:tcW w:w="855" w:type="dxa"/>
            <w:vAlign w:val="center"/>
          </w:tcPr>
          <w:p w:rsidR="00955805" w:rsidRDefault="0077142C">
            <w:pPr>
              <w:jc w:val="center"/>
            </w:pPr>
            <w:r>
              <w:rPr>
                <w:color w:val="000000"/>
                <w:sz w:val="24"/>
                <w:szCs w:val="24"/>
              </w:rPr>
              <w:t>5</w:t>
            </w:r>
          </w:p>
        </w:tc>
        <w:tc>
          <w:tcPr>
            <w:tcW w:w="1334" w:type="dxa"/>
            <w:vAlign w:val="center"/>
          </w:tcPr>
          <w:p w:rsidR="00955805" w:rsidRDefault="0077142C">
            <w:pPr>
              <w:jc w:val="center"/>
            </w:pPr>
            <w:r>
              <w:rPr>
                <w:color w:val="000000"/>
                <w:sz w:val="24"/>
                <w:szCs w:val="24"/>
              </w:rPr>
              <w:t>002456</w:t>
            </w:r>
          </w:p>
        </w:tc>
        <w:tc>
          <w:tcPr>
            <w:tcW w:w="1777" w:type="dxa"/>
            <w:vAlign w:val="center"/>
          </w:tcPr>
          <w:p w:rsidR="00955805" w:rsidRDefault="0077142C">
            <w:pPr>
              <w:jc w:val="center"/>
            </w:pPr>
            <w:r>
              <w:rPr>
                <w:color w:val="000000"/>
                <w:sz w:val="24"/>
                <w:szCs w:val="24"/>
              </w:rPr>
              <w:t>欧菲科技</w:t>
            </w:r>
          </w:p>
        </w:tc>
        <w:tc>
          <w:tcPr>
            <w:tcW w:w="1334" w:type="dxa"/>
            <w:vAlign w:val="center"/>
          </w:tcPr>
          <w:p w:rsidR="00955805" w:rsidRDefault="0077142C">
            <w:pPr>
              <w:jc w:val="right"/>
            </w:pPr>
            <w:r>
              <w:rPr>
                <w:color w:val="000000"/>
                <w:sz w:val="24"/>
                <w:szCs w:val="24"/>
              </w:rPr>
              <w:t>6,221,995</w:t>
            </w:r>
          </w:p>
        </w:tc>
        <w:tc>
          <w:tcPr>
            <w:tcW w:w="1924" w:type="dxa"/>
            <w:vAlign w:val="center"/>
          </w:tcPr>
          <w:p w:rsidR="00955805" w:rsidRDefault="0077142C">
            <w:pPr>
              <w:jc w:val="right"/>
            </w:pPr>
            <w:r>
              <w:rPr>
                <w:color w:val="000000"/>
                <w:sz w:val="24"/>
                <w:szCs w:val="24"/>
              </w:rPr>
              <w:t>126,057,618.70</w:t>
            </w:r>
          </w:p>
        </w:tc>
        <w:tc>
          <w:tcPr>
            <w:tcW w:w="1644" w:type="dxa"/>
            <w:vAlign w:val="center"/>
          </w:tcPr>
          <w:p w:rsidR="00955805" w:rsidRDefault="0077142C">
            <w:pPr>
              <w:jc w:val="right"/>
            </w:pPr>
            <w:r>
              <w:rPr>
                <w:color w:val="000000"/>
                <w:sz w:val="24"/>
                <w:szCs w:val="24"/>
              </w:rPr>
              <w:t>5.14</w:t>
            </w:r>
          </w:p>
        </w:tc>
      </w:tr>
      <w:tr w:rsidR="00955805">
        <w:trPr>
          <w:jc w:val="center"/>
        </w:trPr>
        <w:tc>
          <w:tcPr>
            <w:tcW w:w="855" w:type="dxa"/>
            <w:vAlign w:val="center"/>
          </w:tcPr>
          <w:p w:rsidR="00955805" w:rsidRDefault="0077142C">
            <w:pPr>
              <w:jc w:val="center"/>
            </w:pPr>
            <w:r>
              <w:rPr>
                <w:color w:val="000000"/>
                <w:sz w:val="24"/>
                <w:szCs w:val="24"/>
              </w:rPr>
              <w:t>6</w:t>
            </w:r>
          </w:p>
        </w:tc>
        <w:tc>
          <w:tcPr>
            <w:tcW w:w="1334" w:type="dxa"/>
            <w:vAlign w:val="center"/>
          </w:tcPr>
          <w:p w:rsidR="00955805" w:rsidRDefault="0077142C">
            <w:pPr>
              <w:jc w:val="center"/>
            </w:pPr>
            <w:r>
              <w:rPr>
                <w:color w:val="000000"/>
                <w:sz w:val="24"/>
                <w:szCs w:val="24"/>
              </w:rPr>
              <w:t>601009</w:t>
            </w:r>
          </w:p>
        </w:tc>
        <w:tc>
          <w:tcPr>
            <w:tcW w:w="1777" w:type="dxa"/>
            <w:vAlign w:val="center"/>
          </w:tcPr>
          <w:p w:rsidR="00955805" w:rsidRDefault="0077142C">
            <w:pPr>
              <w:jc w:val="center"/>
            </w:pPr>
            <w:r>
              <w:rPr>
                <w:color w:val="000000"/>
                <w:sz w:val="24"/>
                <w:szCs w:val="24"/>
              </w:rPr>
              <w:t>南京银行</w:t>
            </w:r>
          </w:p>
        </w:tc>
        <w:tc>
          <w:tcPr>
            <w:tcW w:w="1334" w:type="dxa"/>
            <w:vAlign w:val="center"/>
          </w:tcPr>
          <w:p w:rsidR="00955805" w:rsidRDefault="0077142C">
            <w:pPr>
              <w:jc w:val="right"/>
            </w:pPr>
            <w:r>
              <w:rPr>
                <w:color w:val="000000"/>
                <w:sz w:val="24"/>
                <w:szCs w:val="24"/>
              </w:rPr>
              <w:t>14,371,404</w:t>
            </w:r>
          </w:p>
        </w:tc>
        <w:tc>
          <w:tcPr>
            <w:tcW w:w="1924" w:type="dxa"/>
            <w:vAlign w:val="center"/>
          </w:tcPr>
          <w:p w:rsidR="00955805" w:rsidRDefault="0077142C">
            <w:pPr>
              <w:jc w:val="right"/>
            </w:pPr>
            <w:r>
              <w:rPr>
                <w:color w:val="000000"/>
                <w:sz w:val="24"/>
                <w:szCs w:val="24"/>
              </w:rPr>
              <w:t>117,414,370.68</w:t>
            </w:r>
          </w:p>
        </w:tc>
        <w:tc>
          <w:tcPr>
            <w:tcW w:w="1644" w:type="dxa"/>
            <w:vAlign w:val="center"/>
          </w:tcPr>
          <w:p w:rsidR="00955805" w:rsidRDefault="0077142C">
            <w:pPr>
              <w:jc w:val="right"/>
            </w:pPr>
            <w:r>
              <w:rPr>
                <w:color w:val="000000"/>
                <w:sz w:val="24"/>
                <w:szCs w:val="24"/>
              </w:rPr>
              <w:t>4.78</w:t>
            </w:r>
          </w:p>
        </w:tc>
      </w:tr>
      <w:tr w:rsidR="00955805">
        <w:trPr>
          <w:jc w:val="center"/>
        </w:trPr>
        <w:tc>
          <w:tcPr>
            <w:tcW w:w="855" w:type="dxa"/>
            <w:vAlign w:val="center"/>
          </w:tcPr>
          <w:p w:rsidR="00955805" w:rsidRDefault="0077142C">
            <w:pPr>
              <w:jc w:val="center"/>
            </w:pPr>
            <w:r>
              <w:rPr>
                <w:color w:val="000000"/>
                <w:sz w:val="24"/>
                <w:szCs w:val="24"/>
              </w:rPr>
              <w:t>7</w:t>
            </w:r>
          </w:p>
        </w:tc>
        <w:tc>
          <w:tcPr>
            <w:tcW w:w="1334" w:type="dxa"/>
            <w:vAlign w:val="center"/>
          </w:tcPr>
          <w:p w:rsidR="00955805" w:rsidRDefault="0077142C">
            <w:pPr>
              <w:jc w:val="center"/>
            </w:pPr>
            <w:r>
              <w:rPr>
                <w:color w:val="000000"/>
                <w:sz w:val="24"/>
                <w:szCs w:val="24"/>
              </w:rPr>
              <w:t>002142</w:t>
            </w:r>
          </w:p>
        </w:tc>
        <w:tc>
          <w:tcPr>
            <w:tcW w:w="1777" w:type="dxa"/>
            <w:vAlign w:val="center"/>
          </w:tcPr>
          <w:p w:rsidR="00955805" w:rsidRDefault="0077142C">
            <w:pPr>
              <w:jc w:val="center"/>
            </w:pPr>
            <w:r>
              <w:rPr>
                <w:color w:val="000000"/>
                <w:sz w:val="24"/>
                <w:szCs w:val="24"/>
              </w:rPr>
              <w:t>宁波银行</w:t>
            </w:r>
          </w:p>
        </w:tc>
        <w:tc>
          <w:tcPr>
            <w:tcW w:w="1334" w:type="dxa"/>
            <w:vAlign w:val="center"/>
          </w:tcPr>
          <w:p w:rsidR="00955805" w:rsidRDefault="0077142C">
            <w:pPr>
              <w:jc w:val="right"/>
            </w:pPr>
            <w:r>
              <w:rPr>
                <w:color w:val="000000"/>
                <w:sz w:val="24"/>
                <w:szCs w:val="24"/>
              </w:rPr>
              <w:t>5,761,133</w:t>
            </w:r>
          </w:p>
        </w:tc>
        <w:tc>
          <w:tcPr>
            <w:tcW w:w="1924" w:type="dxa"/>
            <w:vAlign w:val="center"/>
          </w:tcPr>
          <w:p w:rsidR="00955805" w:rsidRDefault="0077142C">
            <w:pPr>
              <w:jc w:val="right"/>
            </w:pPr>
            <w:r>
              <w:rPr>
                <w:color w:val="000000"/>
                <w:sz w:val="24"/>
                <w:szCs w:val="24"/>
              </w:rPr>
              <w:t>109,634,360.99</w:t>
            </w:r>
          </w:p>
        </w:tc>
        <w:tc>
          <w:tcPr>
            <w:tcW w:w="1644" w:type="dxa"/>
            <w:vAlign w:val="center"/>
          </w:tcPr>
          <w:p w:rsidR="00955805" w:rsidRDefault="0077142C">
            <w:pPr>
              <w:jc w:val="right"/>
            </w:pPr>
            <w:r>
              <w:rPr>
                <w:color w:val="000000"/>
                <w:sz w:val="24"/>
                <w:szCs w:val="24"/>
              </w:rPr>
              <w:t>4.47</w:t>
            </w:r>
          </w:p>
        </w:tc>
      </w:tr>
      <w:tr w:rsidR="00955805">
        <w:trPr>
          <w:jc w:val="center"/>
        </w:trPr>
        <w:tc>
          <w:tcPr>
            <w:tcW w:w="855" w:type="dxa"/>
            <w:vAlign w:val="center"/>
          </w:tcPr>
          <w:p w:rsidR="00955805" w:rsidRDefault="0077142C">
            <w:pPr>
              <w:jc w:val="center"/>
            </w:pPr>
            <w:r>
              <w:rPr>
                <w:color w:val="000000"/>
                <w:sz w:val="24"/>
                <w:szCs w:val="24"/>
              </w:rPr>
              <w:t>8</w:t>
            </w:r>
          </w:p>
        </w:tc>
        <w:tc>
          <w:tcPr>
            <w:tcW w:w="1334" w:type="dxa"/>
            <w:vAlign w:val="center"/>
          </w:tcPr>
          <w:p w:rsidR="00955805" w:rsidRDefault="0077142C">
            <w:pPr>
              <w:jc w:val="center"/>
            </w:pPr>
            <w:r>
              <w:rPr>
                <w:color w:val="000000"/>
                <w:sz w:val="24"/>
                <w:szCs w:val="24"/>
              </w:rPr>
              <w:t>600048</w:t>
            </w:r>
          </w:p>
        </w:tc>
        <w:tc>
          <w:tcPr>
            <w:tcW w:w="1777" w:type="dxa"/>
            <w:vAlign w:val="center"/>
          </w:tcPr>
          <w:p w:rsidR="00955805" w:rsidRDefault="0077142C">
            <w:pPr>
              <w:jc w:val="center"/>
            </w:pPr>
            <w:r>
              <w:rPr>
                <w:color w:val="000000"/>
                <w:sz w:val="24"/>
                <w:szCs w:val="24"/>
              </w:rPr>
              <w:t>保利地产</w:t>
            </w:r>
          </w:p>
        </w:tc>
        <w:tc>
          <w:tcPr>
            <w:tcW w:w="1334" w:type="dxa"/>
            <w:vAlign w:val="center"/>
          </w:tcPr>
          <w:p w:rsidR="00955805" w:rsidRDefault="0077142C">
            <w:pPr>
              <w:jc w:val="right"/>
            </w:pPr>
            <w:r>
              <w:rPr>
                <w:color w:val="000000"/>
                <w:sz w:val="24"/>
                <w:szCs w:val="24"/>
              </w:rPr>
              <w:t>7,533,800</w:t>
            </w:r>
          </w:p>
        </w:tc>
        <w:tc>
          <w:tcPr>
            <w:tcW w:w="1924" w:type="dxa"/>
            <w:vAlign w:val="center"/>
          </w:tcPr>
          <w:p w:rsidR="00955805" w:rsidRDefault="0077142C">
            <w:pPr>
              <w:jc w:val="right"/>
            </w:pPr>
            <w:r>
              <w:rPr>
                <w:color w:val="000000"/>
                <w:sz w:val="24"/>
                <w:szCs w:val="24"/>
              </w:rPr>
              <w:t>101,480,286.00</w:t>
            </w:r>
          </w:p>
        </w:tc>
        <w:tc>
          <w:tcPr>
            <w:tcW w:w="1644" w:type="dxa"/>
            <w:vAlign w:val="center"/>
          </w:tcPr>
          <w:p w:rsidR="00955805" w:rsidRDefault="0077142C">
            <w:pPr>
              <w:jc w:val="right"/>
            </w:pPr>
            <w:r>
              <w:rPr>
                <w:color w:val="000000"/>
                <w:sz w:val="24"/>
                <w:szCs w:val="24"/>
              </w:rPr>
              <w:t>4.14</w:t>
            </w:r>
          </w:p>
        </w:tc>
      </w:tr>
      <w:tr w:rsidR="00955805">
        <w:trPr>
          <w:jc w:val="center"/>
        </w:trPr>
        <w:tc>
          <w:tcPr>
            <w:tcW w:w="855" w:type="dxa"/>
            <w:vAlign w:val="center"/>
          </w:tcPr>
          <w:p w:rsidR="00955805" w:rsidRDefault="0077142C">
            <w:pPr>
              <w:jc w:val="center"/>
            </w:pPr>
            <w:r>
              <w:rPr>
                <w:color w:val="000000"/>
                <w:sz w:val="24"/>
                <w:szCs w:val="24"/>
              </w:rPr>
              <w:t>9</w:t>
            </w:r>
          </w:p>
        </w:tc>
        <w:tc>
          <w:tcPr>
            <w:tcW w:w="1334" w:type="dxa"/>
            <w:vAlign w:val="center"/>
          </w:tcPr>
          <w:p w:rsidR="00955805" w:rsidRDefault="0077142C">
            <w:pPr>
              <w:jc w:val="center"/>
            </w:pPr>
            <w:r>
              <w:rPr>
                <w:color w:val="000000"/>
                <w:sz w:val="24"/>
                <w:szCs w:val="24"/>
              </w:rPr>
              <w:t>600066</w:t>
            </w:r>
          </w:p>
        </w:tc>
        <w:tc>
          <w:tcPr>
            <w:tcW w:w="1777" w:type="dxa"/>
            <w:vAlign w:val="center"/>
          </w:tcPr>
          <w:p w:rsidR="00955805" w:rsidRDefault="0077142C">
            <w:pPr>
              <w:jc w:val="center"/>
            </w:pPr>
            <w:r>
              <w:rPr>
                <w:color w:val="000000"/>
                <w:sz w:val="24"/>
                <w:szCs w:val="24"/>
              </w:rPr>
              <w:t>宇通客车</w:t>
            </w:r>
          </w:p>
        </w:tc>
        <w:tc>
          <w:tcPr>
            <w:tcW w:w="1334" w:type="dxa"/>
            <w:vAlign w:val="center"/>
          </w:tcPr>
          <w:p w:rsidR="00955805" w:rsidRDefault="0077142C">
            <w:pPr>
              <w:jc w:val="right"/>
            </w:pPr>
            <w:r>
              <w:rPr>
                <w:color w:val="000000"/>
                <w:sz w:val="24"/>
                <w:szCs w:val="24"/>
              </w:rPr>
              <w:t>4,365,427</w:t>
            </w:r>
          </w:p>
        </w:tc>
        <w:tc>
          <w:tcPr>
            <w:tcW w:w="1924" w:type="dxa"/>
            <w:vAlign w:val="center"/>
          </w:tcPr>
          <w:p w:rsidR="00955805" w:rsidRDefault="0077142C">
            <w:pPr>
              <w:jc w:val="right"/>
            </w:pPr>
            <w:r>
              <w:rPr>
                <w:color w:val="000000"/>
                <w:sz w:val="24"/>
                <w:szCs w:val="24"/>
              </w:rPr>
              <w:t>97,610,947.72</w:t>
            </w:r>
          </w:p>
        </w:tc>
        <w:tc>
          <w:tcPr>
            <w:tcW w:w="1644" w:type="dxa"/>
            <w:vAlign w:val="center"/>
          </w:tcPr>
          <w:p w:rsidR="00955805" w:rsidRDefault="0077142C">
            <w:pPr>
              <w:jc w:val="right"/>
            </w:pPr>
            <w:r>
              <w:rPr>
                <w:color w:val="000000"/>
                <w:sz w:val="24"/>
                <w:szCs w:val="24"/>
              </w:rPr>
              <w:t>3.98</w:t>
            </w:r>
          </w:p>
        </w:tc>
      </w:tr>
      <w:tr w:rsidR="00955805">
        <w:trPr>
          <w:jc w:val="center"/>
        </w:trPr>
        <w:tc>
          <w:tcPr>
            <w:tcW w:w="855" w:type="dxa"/>
            <w:vAlign w:val="center"/>
          </w:tcPr>
          <w:p w:rsidR="00955805" w:rsidRDefault="0077142C">
            <w:pPr>
              <w:jc w:val="center"/>
            </w:pPr>
            <w:r>
              <w:rPr>
                <w:color w:val="000000"/>
                <w:sz w:val="24"/>
                <w:szCs w:val="24"/>
              </w:rPr>
              <w:t>10</w:t>
            </w:r>
          </w:p>
        </w:tc>
        <w:tc>
          <w:tcPr>
            <w:tcW w:w="1334" w:type="dxa"/>
            <w:vAlign w:val="center"/>
          </w:tcPr>
          <w:p w:rsidR="00955805" w:rsidRDefault="0077142C">
            <w:pPr>
              <w:jc w:val="center"/>
            </w:pPr>
            <w:r>
              <w:rPr>
                <w:color w:val="000000"/>
                <w:sz w:val="24"/>
                <w:szCs w:val="24"/>
              </w:rPr>
              <w:t>000725</w:t>
            </w:r>
          </w:p>
        </w:tc>
        <w:tc>
          <w:tcPr>
            <w:tcW w:w="1777" w:type="dxa"/>
            <w:vAlign w:val="center"/>
          </w:tcPr>
          <w:p w:rsidR="00955805" w:rsidRDefault="0077142C">
            <w:pPr>
              <w:jc w:val="center"/>
            </w:pPr>
            <w:r>
              <w:rPr>
                <w:color w:val="000000"/>
                <w:sz w:val="24"/>
                <w:szCs w:val="24"/>
              </w:rPr>
              <w:t>京东方</w:t>
            </w:r>
            <w:r>
              <w:rPr>
                <w:color w:val="000000"/>
                <w:sz w:val="24"/>
                <w:szCs w:val="24"/>
              </w:rPr>
              <w:t>A</w:t>
            </w:r>
          </w:p>
        </w:tc>
        <w:tc>
          <w:tcPr>
            <w:tcW w:w="1334" w:type="dxa"/>
            <w:vAlign w:val="center"/>
          </w:tcPr>
          <w:p w:rsidR="00955805" w:rsidRDefault="0077142C">
            <w:pPr>
              <w:jc w:val="right"/>
            </w:pPr>
            <w:r>
              <w:rPr>
                <w:color w:val="000000"/>
                <w:sz w:val="24"/>
                <w:szCs w:val="24"/>
              </w:rPr>
              <w:t>17,914,719</w:t>
            </w:r>
          </w:p>
        </w:tc>
        <w:tc>
          <w:tcPr>
            <w:tcW w:w="1924" w:type="dxa"/>
            <w:vAlign w:val="center"/>
          </w:tcPr>
          <w:p w:rsidR="00955805" w:rsidRDefault="0077142C">
            <w:pPr>
              <w:jc w:val="right"/>
            </w:pPr>
            <w:r>
              <w:rPr>
                <w:color w:val="000000"/>
                <w:sz w:val="24"/>
                <w:szCs w:val="24"/>
              </w:rPr>
              <w:t>95,306,305.08</w:t>
            </w:r>
          </w:p>
        </w:tc>
        <w:tc>
          <w:tcPr>
            <w:tcW w:w="1644" w:type="dxa"/>
            <w:vAlign w:val="center"/>
          </w:tcPr>
          <w:p w:rsidR="00955805" w:rsidRDefault="0077142C">
            <w:pPr>
              <w:jc w:val="right"/>
            </w:pPr>
            <w:r>
              <w:rPr>
                <w:color w:val="000000"/>
                <w:sz w:val="24"/>
                <w:szCs w:val="24"/>
              </w:rPr>
              <w:t>3.88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51,012,700.00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51,012,700.00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88,901,000.00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3.62</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139,913,700.00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5.70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55805">
        <w:trPr>
          <w:jc w:val="center"/>
        </w:trPr>
        <w:tc>
          <w:tcPr>
            <w:tcW w:w="850" w:type="dxa"/>
            <w:vAlign w:val="center"/>
          </w:tcPr>
          <w:p w:rsidR="00955805" w:rsidRDefault="0077142C">
            <w:pPr>
              <w:jc w:val="center"/>
            </w:pPr>
            <w:r>
              <w:rPr>
                <w:color w:val="000000"/>
                <w:sz w:val="24"/>
                <w:szCs w:val="24"/>
              </w:rPr>
              <w:t>1</w:t>
            </w:r>
          </w:p>
        </w:tc>
        <w:tc>
          <w:tcPr>
            <w:tcW w:w="1475" w:type="dxa"/>
            <w:vAlign w:val="center"/>
          </w:tcPr>
          <w:p w:rsidR="00955805" w:rsidRDefault="0077142C">
            <w:pPr>
              <w:jc w:val="center"/>
            </w:pPr>
            <w:r>
              <w:rPr>
                <w:color w:val="000000"/>
                <w:sz w:val="24"/>
                <w:szCs w:val="24"/>
              </w:rPr>
              <w:t>111815091</w:t>
            </w:r>
          </w:p>
        </w:tc>
        <w:tc>
          <w:tcPr>
            <w:tcW w:w="1769" w:type="dxa"/>
            <w:vAlign w:val="center"/>
          </w:tcPr>
          <w:p w:rsidR="00955805" w:rsidRDefault="0077142C">
            <w:pPr>
              <w:jc w:val="center"/>
            </w:pPr>
            <w:r>
              <w:rPr>
                <w:color w:val="000000"/>
                <w:sz w:val="24"/>
                <w:szCs w:val="24"/>
              </w:rPr>
              <w:t>18</w:t>
            </w:r>
            <w:r>
              <w:rPr>
                <w:color w:val="000000"/>
                <w:sz w:val="24"/>
                <w:szCs w:val="24"/>
              </w:rPr>
              <w:t>民生银行</w:t>
            </w:r>
            <w:r>
              <w:rPr>
                <w:color w:val="000000"/>
                <w:sz w:val="24"/>
                <w:szCs w:val="24"/>
              </w:rPr>
              <w:t>CD091</w:t>
            </w:r>
          </w:p>
        </w:tc>
        <w:tc>
          <w:tcPr>
            <w:tcW w:w="1387" w:type="dxa"/>
            <w:vAlign w:val="center"/>
          </w:tcPr>
          <w:p w:rsidR="00955805" w:rsidRDefault="0077142C">
            <w:pPr>
              <w:jc w:val="right"/>
            </w:pPr>
            <w:r>
              <w:rPr>
                <w:color w:val="000000"/>
                <w:sz w:val="24"/>
                <w:szCs w:val="24"/>
              </w:rPr>
              <w:t>800,000</w:t>
            </w:r>
          </w:p>
        </w:tc>
        <w:tc>
          <w:tcPr>
            <w:tcW w:w="2150" w:type="dxa"/>
            <w:vAlign w:val="center"/>
          </w:tcPr>
          <w:p w:rsidR="00955805" w:rsidRDefault="0077142C">
            <w:pPr>
              <w:jc w:val="right"/>
            </w:pPr>
            <w:r>
              <w:rPr>
                <w:color w:val="000000"/>
                <w:sz w:val="24"/>
                <w:szCs w:val="24"/>
              </w:rPr>
              <w:t>79,136,000.00</w:t>
            </w:r>
          </w:p>
        </w:tc>
        <w:tc>
          <w:tcPr>
            <w:tcW w:w="1237" w:type="dxa"/>
            <w:vAlign w:val="center"/>
          </w:tcPr>
          <w:p w:rsidR="00955805" w:rsidRDefault="0077142C">
            <w:pPr>
              <w:jc w:val="right"/>
            </w:pPr>
            <w:r>
              <w:rPr>
                <w:color w:val="000000"/>
                <w:sz w:val="24"/>
                <w:szCs w:val="24"/>
              </w:rPr>
              <w:t>3.22</w:t>
            </w:r>
          </w:p>
        </w:tc>
      </w:tr>
      <w:tr w:rsidR="00955805">
        <w:trPr>
          <w:jc w:val="center"/>
        </w:trPr>
        <w:tc>
          <w:tcPr>
            <w:tcW w:w="850" w:type="dxa"/>
            <w:vAlign w:val="center"/>
          </w:tcPr>
          <w:p w:rsidR="00955805" w:rsidRDefault="0077142C">
            <w:pPr>
              <w:jc w:val="center"/>
            </w:pPr>
            <w:r>
              <w:rPr>
                <w:color w:val="000000"/>
                <w:sz w:val="24"/>
                <w:szCs w:val="24"/>
              </w:rPr>
              <w:t>2</w:t>
            </w:r>
          </w:p>
        </w:tc>
        <w:tc>
          <w:tcPr>
            <w:tcW w:w="1475" w:type="dxa"/>
            <w:vAlign w:val="center"/>
          </w:tcPr>
          <w:p w:rsidR="00955805" w:rsidRDefault="0077142C">
            <w:pPr>
              <w:jc w:val="center"/>
            </w:pPr>
            <w:r>
              <w:rPr>
                <w:color w:val="000000"/>
                <w:sz w:val="24"/>
                <w:szCs w:val="24"/>
              </w:rPr>
              <w:t>170207</w:t>
            </w:r>
          </w:p>
        </w:tc>
        <w:tc>
          <w:tcPr>
            <w:tcW w:w="1769" w:type="dxa"/>
            <w:vAlign w:val="center"/>
          </w:tcPr>
          <w:p w:rsidR="00955805" w:rsidRDefault="0077142C">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955805" w:rsidRDefault="0077142C">
            <w:pPr>
              <w:jc w:val="right"/>
            </w:pPr>
            <w:r>
              <w:rPr>
                <w:color w:val="000000"/>
                <w:sz w:val="24"/>
                <w:szCs w:val="24"/>
              </w:rPr>
              <w:t>400,000</w:t>
            </w:r>
          </w:p>
        </w:tc>
        <w:tc>
          <w:tcPr>
            <w:tcW w:w="2150" w:type="dxa"/>
            <w:vAlign w:val="center"/>
          </w:tcPr>
          <w:p w:rsidR="00955805" w:rsidRDefault="0077142C">
            <w:pPr>
              <w:jc w:val="right"/>
            </w:pPr>
            <w:r>
              <w:rPr>
                <w:color w:val="000000"/>
                <w:sz w:val="24"/>
                <w:szCs w:val="24"/>
              </w:rPr>
              <w:t>40,016,000.00</w:t>
            </w:r>
          </w:p>
        </w:tc>
        <w:tc>
          <w:tcPr>
            <w:tcW w:w="1237" w:type="dxa"/>
            <w:vAlign w:val="center"/>
          </w:tcPr>
          <w:p w:rsidR="00955805" w:rsidRDefault="0077142C">
            <w:pPr>
              <w:jc w:val="right"/>
            </w:pPr>
            <w:r>
              <w:rPr>
                <w:color w:val="000000"/>
                <w:sz w:val="24"/>
                <w:szCs w:val="24"/>
              </w:rPr>
              <w:t>1.63</w:t>
            </w:r>
          </w:p>
        </w:tc>
      </w:tr>
      <w:tr w:rsidR="00955805">
        <w:trPr>
          <w:jc w:val="center"/>
        </w:trPr>
        <w:tc>
          <w:tcPr>
            <w:tcW w:w="850" w:type="dxa"/>
            <w:vAlign w:val="center"/>
          </w:tcPr>
          <w:p w:rsidR="00955805" w:rsidRDefault="0077142C">
            <w:pPr>
              <w:jc w:val="center"/>
            </w:pPr>
            <w:r>
              <w:rPr>
                <w:color w:val="000000"/>
                <w:sz w:val="24"/>
                <w:szCs w:val="24"/>
              </w:rPr>
              <w:t>3</w:t>
            </w:r>
          </w:p>
        </w:tc>
        <w:tc>
          <w:tcPr>
            <w:tcW w:w="1475" w:type="dxa"/>
            <w:vAlign w:val="center"/>
          </w:tcPr>
          <w:p w:rsidR="00955805" w:rsidRDefault="0077142C">
            <w:pPr>
              <w:jc w:val="center"/>
            </w:pPr>
            <w:r>
              <w:rPr>
                <w:color w:val="000000"/>
                <w:sz w:val="24"/>
                <w:szCs w:val="24"/>
              </w:rPr>
              <w:t>108601</w:t>
            </w:r>
          </w:p>
        </w:tc>
        <w:tc>
          <w:tcPr>
            <w:tcW w:w="1769" w:type="dxa"/>
            <w:vAlign w:val="center"/>
          </w:tcPr>
          <w:p w:rsidR="00955805" w:rsidRDefault="0077142C">
            <w:pPr>
              <w:jc w:val="center"/>
            </w:pPr>
            <w:r>
              <w:rPr>
                <w:color w:val="000000"/>
                <w:sz w:val="24"/>
                <w:szCs w:val="24"/>
              </w:rPr>
              <w:t>国开</w:t>
            </w:r>
            <w:r>
              <w:rPr>
                <w:color w:val="000000"/>
                <w:sz w:val="24"/>
                <w:szCs w:val="24"/>
              </w:rPr>
              <w:t>1703</w:t>
            </w:r>
          </w:p>
        </w:tc>
        <w:tc>
          <w:tcPr>
            <w:tcW w:w="1387" w:type="dxa"/>
            <w:vAlign w:val="center"/>
          </w:tcPr>
          <w:p w:rsidR="00955805" w:rsidRDefault="0077142C">
            <w:pPr>
              <w:jc w:val="right"/>
            </w:pPr>
            <w:r>
              <w:rPr>
                <w:color w:val="000000"/>
                <w:sz w:val="24"/>
                <w:szCs w:val="24"/>
              </w:rPr>
              <w:t>110,000</w:t>
            </w:r>
          </w:p>
        </w:tc>
        <w:tc>
          <w:tcPr>
            <w:tcW w:w="2150" w:type="dxa"/>
            <w:vAlign w:val="center"/>
          </w:tcPr>
          <w:p w:rsidR="00955805" w:rsidRDefault="0077142C">
            <w:pPr>
              <w:jc w:val="right"/>
            </w:pPr>
            <w:r>
              <w:rPr>
                <w:color w:val="000000"/>
                <w:sz w:val="24"/>
                <w:szCs w:val="24"/>
              </w:rPr>
              <w:t>10,996,700.00</w:t>
            </w:r>
          </w:p>
        </w:tc>
        <w:tc>
          <w:tcPr>
            <w:tcW w:w="1237" w:type="dxa"/>
            <w:vAlign w:val="center"/>
          </w:tcPr>
          <w:p w:rsidR="00955805" w:rsidRDefault="0077142C">
            <w:pPr>
              <w:jc w:val="right"/>
            </w:pPr>
            <w:r>
              <w:rPr>
                <w:color w:val="000000"/>
                <w:sz w:val="24"/>
                <w:szCs w:val="24"/>
              </w:rPr>
              <w:t>0.45</w:t>
            </w:r>
          </w:p>
        </w:tc>
      </w:tr>
      <w:tr w:rsidR="00955805">
        <w:trPr>
          <w:jc w:val="center"/>
        </w:trPr>
        <w:tc>
          <w:tcPr>
            <w:tcW w:w="850" w:type="dxa"/>
            <w:vAlign w:val="center"/>
          </w:tcPr>
          <w:p w:rsidR="00955805" w:rsidRDefault="0077142C">
            <w:pPr>
              <w:jc w:val="center"/>
            </w:pPr>
            <w:r>
              <w:rPr>
                <w:color w:val="000000"/>
                <w:sz w:val="24"/>
                <w:szCs w:val="24"/>
              </w:rPr>
              <w:t>4</w:t>
            </w:r>
          </w:p>
        </w:tc>
        <w:tc>
          <w:tcPr>
            <w:tcW w:w="1475" w:type="dxa"/>
            <w:vAlign w:val="center"/>
          </w:tcPr>
          <w:p w:rsidR="00955805" w:rsidRDefault="0077142C">
            <w:pPr>
              <w:jc w:val="center"/>
            </w:pPr>
            <w:r>
              <w:rPr>
                <w:color w:val="000000"/>
                <w:sz w:val="24"/>
                <w:szCs w:val="24"/>
              </w:rPr>
              <w:t>111787447</w:t>
            </w:r>
          </w:p>
        </w:tc>
        <w:tc>
          <w:tcPr>
            <w:tcW w:w="1769" w:type="dxa"/>
            <w:vAlign w:val="center"/>
          </w:tcPr>
          <w:p w:rsidR="00955805" w:rsidRDefault="0077142C">
            <w:pPr>
              <w:jc w:val="center"/>
            </w:pPr>
            <w:r>
              <w:rPr>
                <w:color w:val="000000"/>
                <w:sz w:val="24"/>
                <w:szCs w:val="24"/>
              </w:rPr>
              <w:t>17</w:t>
            </w:r>
            <w:r>
              <w:rPr>
                <w:color w:val="000000"/>
                <w:sz w:val="24"/>
                <w:szCs w:val="24"/>
              </w:rPr>
              <w:t>齐鲁银行</w:t>
            </w:r>
            <w:r>
              <w:rPr>
                <w:color w:val="000000"/>
                <w:sz w:val="24"/>
                <w:szCs w:val="24"/>
              </w:rPr>
              <w:t>CD093</w:t>
            </w:r>
          </w:p>
        </w:tc>
        <w:tc>
          <w:tcPr>
            <w:tcW w:w="1387" w:type="dxa"/>
            <w:vAlign w:val="center"/>
          </w:tcPr>
          <w:p w:rsidR="00955805" w:rsidRDefault="0077142C">
            <w:pPr>
              <w:jc w:val="right"/>
            </w:pPr>
            <w:r>
              <w:rPr>
                <w:color w:val="000000"/>
                <w:sz w:val="24"/>
                <w:szCs w:val="24"/>
              </w:rPr>
              <w:t>100,000</w:t>
            </w:r>
          </w:p>
        </w:tc>
        <w:tc>
          <w:tcPr>
            <w:tcW w:w="2150" w:type="dxa"/>
            <w:vAlign w:val="center"/>
          </w:tcPr>
          <w:p w:rsidR="00955805" w:rsidRDefault="0077142C">
            <w:pPr>
              <w:jc w:val="right"/>
            </w:pPr>
            <w:r>
              <w:rPr>
                <w:color w:val="000000"/>
                <w:sz w:val="24"/>
                <w:szCs w:val="24"/>
              </w:rPr>
              <w:t>9,765,000.00</w:t>
            </w:r>
          </w:p>
        </w:tc>
        <w:tc>
          <w:tcPr>
            <w:tcW w:w="1237" w:type="dxa"/>
            <w:vAlign w:val="center"/>
          </w:tcPr>
          <w:p w:rsidR="00955805" w:rsidRDefault="0077142C">
            <w:pPr>
              <w:jc w:val="right"/>
            </w:pPr>
            <w:r>
              <w:rPr>
                <w:color w:val="000000"/>
                <w:sz w:val="24"/>
                <w:szCs w:val="24"/>
              </w:rPr>
              <w:t>0.40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报告期内本基金投资的前十名证券的发行主体除南京银行（证券代码：</w:t>
      </w:r>
      <w:r w:rsidRPr="00BE5388">
        <w:rPr>
          <w:bCs/>
          <w:color w:val="000000"/>
          <w:kern w:val="0"/>
          <w:sz w:val="24"/>
          <w:szCs w:val="24"/>
        </w:rPr>
        <w:t>601009</w:t>
      </w:r>
      <w:r w:rsidRPr="00BE5388">
        <w:rPr>
          <w:bCs/>
          <w:color w:val="000000"/>
          <w:kern w:val="0"/>
          <w:sz w:val="24"/>
          <w:szCs w:val="24"/>
        </w:rPr>
        <w:t>）外，未出现被监管部门立案调查，或在报告编制日前一年内受到公开谴责、处罚的情形。</w:t>
      </w:r>
    </w:p>
    <w:p w:rsidR="00955805" w:rsidRDefault="0077142C">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w:t>
      </w:r>
      <w:r>
        <w:rPr>
          <w:bCs/>
          <w:color w:val="000000"/>
          <w:kern w:val="0"/>
          <w:sz w:val="24"/>
          <w:szCs w:val="24"/>
        </w:rPr>
        <w:t>601009</w:t>
      </w:r>
      <w:r>
        <w:rPr>
          <w:bCs/>
          <w:color w:val="000000"/>
          <w:kern w:val="0"/>
          <w:sz w:val="24"/>
          <w:szCs w:val="24"/>
        </w:rPr>
        <w:t>）收到中国银行业监督管理委员会江苏监管局行政处罚决定书（苏银监罚决字【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955805" w:rsidRDefault="0077142C">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9C39C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9C39C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978,580.23</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115,920,284.95</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1,854,062.47</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4,043,885.51</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9C39C0">
        <w:trPr>
          <w:jc w:val="center"/>
        </w:trPr>
        <w:tc>
          <w:tcPr>
            <w:tcW w:w="1235" w:type="dxa"/>
            <w:vAlign w:val="center"/>
          </w:tcPr>
          <w:p w:rsidR="004C0914" w:rsidRPr="00414345" w:rsidRDefault="004C0914" w:rsidP="009C39C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9C39C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9C39C0">
            <w:pPr>
              <w:autoSpaceDE w:val="0"/>
              <w:autoSpaceDN w:val="0"/>
              <w:adjustRightInd w:val="0"/>
              <w:spacing w:before="29" w:line="288" w:lineRule="auto"/>
              <w:ind w:left="15"/>
              <w:jc w:val="right"/>
              <w:rPr>
                <w:color w:val="000000"/>
                <w:sz w:val="24"/>
                <w:szCs w:val="24"/>
              </w:rPr>
            </w:pPr>
            <w:r w:rsidRPr="00414345">
              <w:rPr>
                <w:color w:val="000000"/>
                <w:sz w:val="24"/>
                <w:szCs w:val="24"/>
              </w:rPr>
              <w:t>122,796,813.16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55805">
        <w:trPr>
          <w:jc w:val="center"/>
        </w:trPr>
        <w:tc>
          <w:tcPr>
            <w:tcW w:w="1129" w:type="dxa"/>
            <w:vAlign w:val="center"/>
          </w:tcPr>
          <w:p w:rsidR="00955805" w:rsidRDefault="0077142C">
            <w:pPr>
              <w:jc w:val="center"/>
            </w:pPr>
            <w:r>
              <w:rPr>
                <w:color w:val="000000"/>
                <w:sz w:val="24"/>
                <w:szCs w:val="24"/>
              </w:rPr>
              <w:t>1</w:t>
            </w:r>
          </w:p>
        </w:tc>
        <w:tc>
          <w:tcPr>
            <w:tcW w:w="1356" w:type="dxa"/>
            <w:vAlign w:val="center"/>
          </w:tcPr>
          <w:p w:rsidR="00955805" w:rsidRDefault="0077142C">
            <w:pPr>
              <w:jc w:val="center"/>
            </w:pPr>
            <w:r>
              <w:rPr>
                <w:color w:val="000000"/>
                <w:sz w:val="24"/>
                <w:szCs w:val="24"/>
              </w:rPr>
              <w:t>002027</w:t>
            </w:r>
          </w:p>
        </w:tc>
        <w:tc>
          <w:tcPr>
            <w:tcW w:w="1355" w:type="dxa"/>
            <w:vAlign w:val="center"/>
          </w:tcPr>
          <w:p w:rsidR="00955805" w:rsidRDefault="0077142C">
            <w:pPr>
              <w:jc w:val="center"/>
            </w:pPr>
            <w:r>
              <w:rPr>
                <w:color w:val="000000"/>
                <w:sz w:val="24"/>
                <w:szCs w:val="24"/>
              </w:rPr>
              <w:t>分众传媒</w:t>
            </w:r>
          </w:p>
        </w:tc>
        <w:tc>
          <w:tcPr>
            <w:tcW w:w="1880" w:type="dxa"/>
            <w:vAlign w:val="center"/>
          </w:tcPr>
          <w:p w:rsidR="00955805" w:rsidRDefault="0077142C">
            <w:pPr>
              <w:jc w:val="right"/>
            </w:pPr>
            <w:r>
              <w:rPr>
                <w:color w:val="000000"/>
                <w:sz w:val="24"/>
                <w:szCs w:val="24"/>
              </w:rPr>
              <w:t>30,150,000.00</w:t>
            </w:r>
          </w:p>
        </w:tc>
        <w:tc>
          <w:tcPr>
            <w:tcW w:w="1724" w:type="dxa"/>
            <w:vAlign w:val="center"/>
          </w:tcPr>
          <w:p w:rsidR="00955805" w:rsidRDefault="0077142C">
            <w:pPr>
              <w:jc w:val="right"/>
            </w:pPr>
            <w:r>
              <w:rPr>
                <w:color w:val="000000"/>
                <w:sz w:val="24"/>
                <w:szCs w:val="24"/>
              </w:rPr>
              <w:t>1.23</w:t>
            </w:r>
          </w:p>
        </w:tc>
        <w:tc>
          <w:tcPr>
            <w:tcW w:w="1424" w:type="dxa"/>
            <w:vAlign w:val="center"/>
          </w:tcPr>
          <w:p w:rsidR="00955805" w:rsidRDefault="0077142C" w:rsidP="0077142C">
            <w:pPr>
              <w:jc w:val="center"/>
            </w:pPr>
            <w:r w:rsidRPr="00763EE4">
              <w:rPr>
                <w:rFonts w:hint="eastAsia"/>
                <w:color w:val="000000"/>
                <w:sz w:val="24"/>
                <w:szCs w:val="24"/>
              </w:rPr>
              <w:t>限售股</w:t>
            </w:r>
          </w:p>
        </w:tc>
      </w:tr>
      <w:tr w:rsidR="00955805">
        <w:trPr>
          <w:jc w:val="center"/>
        </w:trPr>
        <w:tc>
          <w:tcPr>
            <w:tcW w:w="1129" w:type="dxa"/>
            <w:vAlign w:val="center"/>
          </w:tcPr>
          <w:p w:rsidR="00955805" w:rsidRDefault="0077142C">
            <w:pPr>
              <w:jc w:val="center"/>
            </w:pPr>
            <w:r>
              <w:rPr>
                <w:color w:val="000000"/>
                <w:sz w:val="24"/>
                <w:szCs w:val="24"/>
              </w:rPr>
              <w:t>2</w:t>
            </w:r>
          </w:p>
        </w:tc>
        <w:tc>
          <w:tcPr>
            <w:tcW w:w="1356" w:type="dxa"/>
            <w:vAlign w:val="center"/>
          </w:tcPr>
          <w:p w:rsidR="00955805" w:rsidRDefault="0077142C">
            <w:pPr>
              <w:jc w:val="center"/>
            </w:pPr>
            <w:r>
              <w:rPr>
                <w:color w:val="000000"/>
                <w:sz w:val="24"/>
                <w:szCs w:val="24"/>
              </w:rPr>
              <w:t>300347</w:t>
            </w:r>
          </w:p>
        </w:tc>
        <w:tc>
          <w:tcPr>
            <w:tcW w:w="1355" w:type="dxa"/>
            <w:vAlign w:val="center"/>
          </w:tcPr>
          <w:p w:rsidR="00955805" w:rsidRDefault="0077142C">
            <w:pPr>
              <w:jc w:val="center"/>
            </w:pPr>
            <w:r>
              <w:rPr>
                <w:color w:val="000000"/>
                <w:sz w:val="24"/>
                <w:szCs w:val="24"/>
              </w:rPr>
              <w:t>泰格医药</w:t>
            </w:r>
          </w:p>
        </w:tc>
        <w:tc>
          <w:tcPr>
            <w:tcW w:w="1880" w:type="dxa"/>
            <w:vAlign w:val="center"/>
          </w:tcPr>
          <w:p w:rsidR="00955805" w:rsidRDefault="0077142C">
            <w:pPr>
              <w:jc w:val="right"/>
            </w:pPr>
            <w:r>
              <w:rPr>
                <w:color w:val="000000"/>
                <w:sz w:val="24"/>
                <w:szCs w:val="24"/>
              </w:rPr>
              <w:t>59,553,000.00</w:t>
            </w:r>
          </w:p>
        </w:tc>
        <w:tc>
          <w:tcPr>
            <w:tcW w:w="1724" w:type="dxa"/>
            <w:vAlign w:val="center"/>
          </w:tcPr>
          <w:p w:rsidR="00955805" w:rsidRDefault="0077142C">
            <w:pPr>
              <w:jc w:val="right"/>
            </w:pPr>
            <w:r>
              <w:rPr>
                <w:color w:val="000000"/>
                <w:sz w:val="24"/>
                <w:szCs w:val="24"/>
              </w:rPr>
              <w:t>2.43</w:t>
            </w:r>
          </w:p>
        </w:tc>
        <w:tc>
          <w:tcPr>
            <w:tcW w:w="1424" w:type="dxa"/>
            <w:vAlign w:val="center"/>
          </w:tcPr>
          <w:p w:rsidR="00955805" w:rsidRDefault="0077142C" w:rsidP="0077142C">
            <w:pPr>
              <w:jc w:val="center"/>
            </w:pPr>
            <w:r w:rsidRPr="00763EE4">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bookmarkStart w:id="0" w:name="_GoBack"/>
      <w:bookmarkEnd w:id="0"/>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6510B8" w:rsidRPr="007715FF" w:rsidRDefault="006510B8" w:rsidP="006510B8">
      <w:pPr>
        <w:spacing w:before="29" w:line="288" w:lineRule="auto"/>
        <w:rPr>
          <w:rFonts w:eastAsiaTheme="minorEastAsia"/>
          <w:b/>
          <w:color w:val="000000" w:themeColor="text1"/>
          <w:kern w:val="0"/>
          <w:sz w:val="24"/>
          <w:szCs w:val="24"/>
        </w:rPr>
      </w:pPr>
      <w:r w:rsidRPr="007715FF">
        <w:rPr>
          <w:rFonts w:eastAsiaTheme="minorEastAsia" w:hint="eastAsia"/>
          <w:b/>
          <w:color w:val="000000" w:themeColor="text1"/>
          <w:kern w:val="0"/>
          <w:sz w:val="24"/>
          <w:szCs w:val="24"/>
        </w:rPr>
        <w:t xml:space="preserve">6.3 </w:t>
      </w:r>
      <w:r w:rsidRPr="007715FF">
        <w:rPr>
          <w:rFonts w:eastAsiaTheme="minorEastAsia" w:hint="eastAsia"/>
          <w:b/>
          <w:color w:val="000000" w:themeColor="text1"/>
          <w:kern w:val="0"/>
          <w:sz w:val="24"/>
          <w:szCs w:val="24"/>
        </w:rPr>
        <w:t>本报告期持有的基金发生的重大影响事件</w:t>
      </w:r>
    </w:p>
    <w:p w:rsidR="006510B8" w:rsidRPr="00575270" w:rsidRDefault="006510B8" w:rsidP="006510B8">
      <w:pPr>
        <w:autoSpaceDE w:val="0"/>
        <w:autoSpaceDN w:val="0"/>
        <w:adjustRightInd w:val="0"/>
        <w:spacing w:line="360" w:lineRule="auto"/>
        <w:ind w:firstLineChars="200" w:firstLine="480"/>
        <w:jc w:val="left"/>
        <w:rPr>
          <w:rFonts w:eastAsiaTheme="minorEastAsia"/>
          <w:color w:val="000000" w:themeColor="text1"/>
          <w:sz w:val="24"/>
          <w:szCs w:val="24"/>
        </w:rPr>
      </w:pPr>
      <w:r w:rsidRPr="00A04B8F">
        <w:rPr>
          <w:rFonts w:hint="eastAsia"/>
          <w:sz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983,520,837.25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274,544,520.34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85,089,112.62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1,172,976,244.97</w:t>
            </w:r>
          </w:p>
        </w:tc>
      </w:tr>
    </w:tbl>
    <w:p w:rsidR="00955805" w:rsidRDefault="007714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955805" w:rsidRDefault="0077142C">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55805" w:rsidRDefault="0077142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955805" w:rsidRDefault="0077142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955805" w:rsidRDefault="0077142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955805" w:rsidRDefault="0077142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955805" w:rsidRDefault="0077142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955805" w:rsidRDefault="0077142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955805" w:rsidRDefault="0077142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55805" w:rsidRDefault="0077142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55" w:rsidRDefault="00DF3855" w:rsidP="00876D65">
      <w:r>
        <w:separator/>
      </w:r>
    </w:p>
  </w:endnote>
  <w:endnote w:type="continuationSeparator" w:id="0">
    <w:p w:rsidR="00DF3855" w:rsidRDefault="00DF385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6510B8">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6510B8">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55" w:rsidRDefault="00DF3855" w:rsidP="00876D65">
      <w:r>
        <w:separator/>
      </w:r>
    </w:p>
  </w:footnote>
  <w:footnote w:type="continuationSeparator" w:id="0">
    <w:p w:rsidR="00DF3855" w:rsidRDefault="00DF385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10B8"/>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142C"/>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4F97"/>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805"/>
    <w:rsid w:val="00955BE8"/>
    <w:rsid w:val="00957594"/>
    <w:rsid w:val="00963F40"/>
    <w:rsid w:val="009730B8"/>
    <w:rsid w:val="009734BB"/>
    <w:rsid w:val="0097424F"/>
    <w:rsid w:val="0098122D"/>
    <w:rsid w:val="00986596"/>
    <w:rsid w:val="00990685"/>
    <w:rsid w:val="009A0ABE"/>
    <w:rsid w:val="009A4E5D"/>
    <w:rsid w:val="009B2D4B"/>
    <w:rsid w:val="009C39C0"/>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3855"/>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E568-89B9-4D46-B3E1-13F0FB54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汤深</dc:creator>
  <cp:lastModifiedBy>汤深</cp:lastModifiedBy>
  <cp:revision>3</cp:revision>
  <dcterms:created xsi:type="dcterms:W3CDTF">2018-04-19T02:43:00Z</dcterms:created>
  <dcterms:modified xsi:type="dcterms:W3CDTF">2018-04-19T03:07:00Z</dcterms:modified>
</cp:coreProperties>
</file>