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交银施罗德强化回报债券型证券投资基金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二〇一八年四月二十一日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3848F0" w:rsidRDefault="00A32D9B">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3848F0" w:rsidRDefault="00A32D9B">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3848F0" w:rsidRDefault="00A32D9B">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3848F0" w:rsidRDefault="00A32D9B">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3848F0" w:rsidRDefault="00A32D9B">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交银强化回报债券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28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38,349,947.10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本基金在严格控制风险和保持资产流动性的前提下，重点投资于债券资产，力争实现基金资产的长期稳定增值。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w:t>
            </w:r>
            <w:r w:rsidRPr="007F52FA">
              <w:rPr>
                <w:color w:val="000000"/>
                <w:kern w:val="0"/>
                <w:sz w:val="24"/>
              </w:rPr>
              <w:lastRenderedPageBreak/>
              <w:t>关注股票、权证市场的运行状况与相应风险收益特征，有效把握投资机会，适时增强组合收益。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519733</w:t>
            </w:r>
            <w:r w:rsidRPr="007F52FA">
              <w:rPr>
                <w:color w:val="000000" w:themeColor="text1"/>
                <w:sz w:val="24"/>
              </w:rPr>
              <w:t>（前端）、</w:t>
            </w:r>
            <w:r w:rsidRPr="007F52FA">
              <w:rPr>
                <w:color w:val="000000" w:themeColor="text1"/>
                <w:sz w:val="24"/>
              </w:rPr>
              <w:t>519734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34,825,618.87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3,524,328.23</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交银强化回报债券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交银强化回报债券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-540,446.20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-54,670.20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-78,982.41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-15,825.61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-0.0021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-0.0045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34,922,611.76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3,509,345.29</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1.003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0.996</w:t>
            </w:r>
          </w:p>
        </w:tc>
      </w:tr>
    </w:tbl>
    <w:p w:rsidR="003848F0" w:rsidRDefault="00A32D9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3848F0" w:rsidRDefault="00A32D9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交银强化回报债券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848F0">
        <w:trPr>
          <w:jc w:val="center"/>
        </w:trPr>
        <w:tc>
          <w:tcPr>
            <w:tcW w:w="1266" w:type="dxa"/>
            <w:vAlign w:val="center"/>
          </w:tcPr>
          <w:p w:rsidR="003848F0" w:rsidRDefault="00A32D9B">
            <w:pPr>
              <w:jc w:val="left"/>
            </w:pPr>
            <w:r>
              <w:rPr>
                <w:color w:val="000000"/>
                <w:sz w:val="24"/>
              </w:rPr>
              <w:t>过去三个月</w:t>
            </w:r>
          </w:p>
        </w:tc>
        <w:tc>
          <w:tcPr>
            <w:tcW w:w="1267" w:type="dxa"/>
            <w:vAlign w:val="center"/>
          </w:tcPr>
          <w:p w:rsidR="003848F0" w:rsidRDefault="00A32D9B">
            <w:pPr>
              <w:jc w:val="center"/>
            </w:pPr>
            <w:r>
              <w:rPr>
                <w:color w:val="000000"/>
                <w:sz w:val="24"/>
              </w:rPr>
              <w:t>-0.40%</w:t>
            </w:r>
          </w:p>
        </w:tc>
        <w:tc>
          <w:tcPr>
            <w:tcW w:w="1267" w:type="dxa"/>
            <w:vAlign w:val="center"/>
          </w:tcPr>
          <w:p w:rsidR="003848F0" w:rsidRDefault="00A32D9B">
            <w:pPr>
              <w:jc w:val="center"/>
            </w:pPr>
            <w:r>
              <w:rPr>
                <w:color w:val="000000"/>
                <w:sz w:val="24"/>
              </w:rPr>
              <w:t>0.34%</w:t>
            </w:r>
          </w:p>
        </w:tc>
        <w:tc>
          <w:tcPr>
            <w:tcW w:w="1267" w:type="dxa"/>
            <w:vAlign w:val="center"/>
          </w:tcPr>
          <w:p w:rsidR="003848F0" w:rsidRDefault="00A32D9B">
            <w:pPr>
              <w:jc w:val="center"/>
            </w:pPr>
            <w:r>
              <w:rPr>
                <w:color w:val="000000"/>
                <w:sz w:val="24"/>
              </w:rPr>
              <w:t>1.14%</w:t>
            </w:r>
          </w:p>
        </w:tc>
        <w:tc>
          <w:tcPr>
            <w:tcW w:w="1267" w:type="dxa"/>
            <w:vAlign w:val="center"/>
          </w:tcPr>
          <w:p w:rsidR="003848F0" w:rsidRDefault="00A32D9B">
            <w:pPr>
              <w:jc w:val="center"/>
            </w:pPr>
            <w:r>
              <w:rPr>
                <w:color w:val="000000"/>
                <w:sz w:val="24"/>
              </w:rPr>
              <w:t>0.04%</w:t>
            </w:r>
          </w:p>
        </w:tc>
        <w:tc>
          <w:tcPr>
            <w:tcW w:w="1267" w:type="dxa"/>
            <w:vAlign w:val="center"/>
          </w:tcPr>
          <w:p w:rsidR="003848F0" w:rsidRDefault="00A32D9B">
            <w:pPr>
              <w:jc w:val="center"/>
            </w:pPr>
            <w:r>
              <w:rPr>
                <w:color w:val="000000"/>
                <w:sz w:val="24"/>
              </w:rPr>
              <w:t>-1.54%</w:t>
            </w:r>
          </w:p>
        </w:tc>
        <w:tc>
          <w:tcPr>
            <w:tcW w:w="1267" w:type="dxa"/>
            <w:vAlign w:val="center"/>
          </w:tcPr>
          <w:p w:rsidR="003848F0" w:rsidRDefault="00A32D9B">
            <w:pPr>
              <w:jc w:val="center"/>
            </w:pPr>
            <w:r>
              <w:rPr>
                <w:color w:val="000000"/>
                <w:sz w:val="24"/>
              </w:rPr>
              <w:t>0.30%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交银强化回报债券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848F0">
        <w:trPr>
          <w:jc w:val="center"/>
        </w:trPr>
        <w:tc>
          <w:tcPr>
            <w:tcW w:w="1266" w:type="dxa"/>
            <w:vAlign w:val="center"/>
          </w:tcPr>
          <w:p w:rsidR="003848F0" w:rsidRDefault="00A32D9B">
            <w:pPr>
              <w:jc w:val="left"/>
            </w:pPr>
            <w:r>
              <w:rPr>
                <w:color w:val="000000"/>
                <w:sz w:val="24"/>
              </w:rPr>
              <w:t>过去三个月</w:t>
            </w:r>
          </w:p>
        </w:tc>
        <w:tc>
          <w:tcPr>
            <w:tcW w:w="1267" w:type="dxa"/>
            <w:vAlign w:val="center"/>
          </w:tcPr>
          <w:p w:rsidR="003848F0" w:rsidRDefault="00A32D9B">
            <w:pPr>
              <w:jc w:val="center"/>
            </w:pPr>
            <w:r>
              <w:rPr>
                <w:color w:val="000000"/>
                <w:sz w:val="24"/>
              </w:rPr>
              <w:t>-0.50%</w:t>
            </w:r>
          </w:p>
        </w:tc>
        <w:tc>
          <w:tcPr>
            <w:tcW w:w="1267" w:type="dxa"/>
            <w:vAlign w:val="center"/>
          </w:tcPr>
          <w:p w:rsidR="003848F0" w:rsidRDefault="00A32D9B">
            <w:pPr>
              <w:jc w:val="center"/>
            </w:pPr>
            <w:r>
              <w:rPr>
                <w:color w:val="000000"/>
                <w:sz w:val="24"/>
              </w:rPr>
              <w:t>0.34%</w:t>
            </w:r>
          </w:p>
        </w:tc>
        <w:tc>
          <w:tcPr>
            <w:tcW w:w="1267" w:type="dxa"/>
            <w:vAlign w:val="center"/>
          </w:tcPr>
          <w:p w:rsidR="003848F0" w:rsidRDefault="00A32D9B">
            <w:pPr>
              <w:jc w:val="center"/>
            </w:pPr>
            <w:r>
              <w:rPr>
                <w:color w:val="000000"/>
                <w:sz w:val="24"/>
              </w:rPr>
              <w:t>1.14%</w:t>
            </w:r>
          </w:p>
        </w:tc>
        <w:tc>
          <w:tcPr>
            <w:tcW w:w="1267" w:type="dxa"/>
            <w:vAlign w:val="center"/>
          </w:tcPr>
          <w:p w:rsidR="003848F0" w:rsidRDefault="00A32D9B">
            <w:pPr>
              <w:jc w:val="center"/>
            </w:pPr>
            <w:r>
              <w:rPr>
                <w:color w:val="000000"/>
                <w:sz w:val="24"/>
              </w:rPr>
              <w:t>0.04%</w:t>
            </w:r>
          </w:p>
        </w:tc>
        <w:tc>
          <w:tcPr>
            <w:tcW w:w="1267" w:type="dxa"/>
            <w:vAlign w:val="center"/>
          </w:tcPr>
          <w:p w:rsidR="003848F0" w:rsidRDefault="00A32D9B">
            <w:pPr>
              <w:jc w:val="center"/>
            </w:pPr>
            <w:r>
              <w:rPr>
                <w:color w:val="000000"/>
                <w:sz w:val="24"/>
              </w:rPr>
              <w:t>-1.64%</w:t>
            </w:r>
          </w:p>
        </w:tc>
        <w:tc>
          <w:tcPr>
            <w:tcW w:w="1267" w:type="dxa"/>
            <w:vAlign w:val="center"/>
          </w:tcPr>
          <w:p w:rsidR="003848F0" w:rsidRDefault="00A32D9B">
            <w:pPr>
              <w:jc w:val="center"/>
            </w:pPr>
            <w:r>
              <w:rPr>
                <w:color w:val="000000"/>
                <w:sz w:val="24"/>
              </w:rPr>
              <w:t>0.30%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交银施罗德强化回报债券型证券投资基金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28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交银强化回报债券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交银强化回报债券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3848F0">
        <w:trPr>
          <w:jc w:val="center"/>
        </w:trPr>
        <w:tc>
          <w:tcPr>
            <w:tcW w:w="946" w:type="dxa"/>
            <w:vAlign w:val="center"/>
          </w:tcPr>
          <w:p w:rsidR="003848F0" w:rsidRDefault="00A32D9B">
            <w:pPr>
              <w:jc w:val="center"/>
            </w:pPr>
            <w:r>
              <w:rPr>
                <w:color w:val="000000"/>
                <w:sz w:val="24"/>
              </w:rPr>
              <w:t>凌超</w:t>
            </w:r>
          </w:p>
        </w:tc>
        <w:tc>
          <w:tcPr>
            <w:tcW w:w="924" w:type="dxa"/>
            <w:vAlign w:val="center"/>
          </w:tcPr>
          <w:p w:rsidR="003848F0" w:rsidRDefault="00A32D9B">
            <w:pPr>
              <w:jc w:val="center"/>
            </w:pPr>
            <w:r>
              <w:rPr>
                <w:color w:val="000000"/>
                <w:sz w:val="24"/>
              </w:rPr>
              <w:t>交银定期支付月月丰债券、交银增强收益债券、交银强化回报债券、交银增利增强债券的基金经理，公司固定收益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3848F0" w:rsidRDefault="00A32D9B">
            <w:pPr>
              <w:jc w:val="center"/>
            </w:pPr>
            <w:r>
              <w:rPr>
                <w:color w:val="000000"/>
                <w:sz w:val="24"/>
              </w:rPr>
              <w:t>2018-02-13</w:t>
            </w:r>
          </w:p>
        </w:tc>
        <w:tc>
          <w:tcPr>
            <w:tcW w:w="1300" w:type="dxa"/>
            <w:vAlign w:val="center"/>
          </w:tcPr>
          <w:p w:rsidR="003848F0" w:rsidRDefault="00A32D9B">
            <w:pPr>
              <w:jc w:val="center"/>
            </w:pPr>
            <w:r>
              <w:rPr>
                <w:color w:val="000000"/>
                <w:sz w:val="24"/>
              </w:rPr>
              <w:t>-</w:t>
            </w:r>
          </w:p>
        </w:tc>
        <w:tc>
          <w:tcPr>
            <w:tcW w:w="1245" w:type="dxa"/>
            <w:vAlign w:val="center"/>
          </w:tcPr>
          <w:p w:rsidR="003848F0" w:rsidRDefault="00A32D9B">
            <w:pPr>
              <w:jc w:val="center"/>
            </w:pPr>
            <w:r>
              <w:rPr>
                <w:color w:val="000000"/>
                <w:sz w:val="24"/>
              </w:rPr>
              <w:t>12</w:t>
            </w:r>
            <w:r>
              <w:rPr>
                <w:color w:val="000000"/>
                <w:sz w:val="24"/>
              </w:rPr>
              <w:t>年</w:t>
            </w:r>
          </w:p>
        </w:tc>
        <w:tc>
          <w:tcPr>
            <w:tcW w:w="3251" w:type="dxa"/>
            <w:vAlign w:val="center"/>
          </w:tcPr>
          <w:p w:rsidR="003848F0" w:rsidRDefault="00A32D9B">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w:t>
            </w:r>
            <w:r>
              <w:rPr>
                <w:color w:val="000000"/>
                <w:sz w:val="24"/>
              </w:rPr>
              <w:t>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lastRenderedPageBreak/>
              <w:t>年</w:t>
            </w:r>
            <w:r>
              <w:rPr>
                <w:color w:val="000000"/>
                <w:sz w:val="24"/>
              </w:rPr>
              <w:t>7</w:t>
            </w:r>
            <w:r>
              <w:rPr>
                <w:color w:val="000000"/>
                <w:sz w:val="24"/>
              </w:rPr>
              <w:t>月加入交银施罗德基金管理有限公司。</w:t>
            </w:r>
          </w:p>
        </w:tc>
      </w:tr>
      <w:tr w:rsidR="003848F0">
        <w:trPr>
          <w:jc w:val="center"/>
        </w:trPr>
        <w:tc>
          <w:tcPr>
            <w:tcW w:w="946" w:type="dxa"/>
            <w:vAlign w:val="center"/>
          </w:tcPr>
          <w:p w:rsidR="003848F0" w:rsidRDefault="00A32D9B">
            <w:pPr>
              <w:jc w:val="center"/>
            </w:pPr>
            <w:r>
              <w:rPr>
                <w:color w:val="000000"/>
                <w:sz w:val="24"/>
              </w:rPr>
              <w:lastRenderedPageBreak/>
              <w:t>于海颖</w:t>
            </w:r>
          </w:p>
        </w:tc>
        <w:tc>
          <w:tcPr>
            <w:tcW w:w="924" w:type="dxa"/>
            <w:vAlign w:val="center"/>
          </w:tcPr>
          <w:p w:rsidR="003848F0" w:rsidRDefault="00A32D9B">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交银增利债券、交银纯债债券发起、交银荣祥保本混合、交银定期支付月月丰债券、交银增强收益债券、交银强化回报债券、交银丰盈收益债券、交银丰硕收益债券、交银荣鑫保本混合、交银增利增强债券的</w:t>
            </w:r>
            <w:r>
              <w:rPr>
                <w:color w:val="000000"/>
                <w:sz w:val="24"/>
              </w:rPr>
              <w:lastRenderedPageBreak/>
              <w:t>基金经理，公司固定收益（公募）投资总监</w:t>
            </w:r>
          </w:p>
        </w:tc>
        <w:tc>
          <w:tcPr>
            <w:tcW w:w="1202" w:type="dxa"/>
            <w:vAlign w:val="center"/>
          </w:tcPr>
          <w:p w:rsidR="003848F0" w:rsidRDefault="00A32D9B">
            <w:pPr>
              <w:jc w:val="center"/>
            </w:pPr>
            <w:r>
              <w:rPr>
                <w:color w:val="000000"/>
                <w:sz w:val="24"/>
              </w:rPr>
              <w:lastRenderedPageBreak/>
              <w:t>2017-06-10</w:t>
            </w:r>
          </w:p>
        </w:tc>
        <w:tc>
          <w:tcPr>
            <w:tcW w:w="1300" w:type="dxa"/>
            <w:vAlign w:val="center"/>
          </w:tcPr>
          <w:p w:rsidR="003848F0" w:rsidRDefault="00A32D9B">
            <w:pPr>
              <w:jc w:val="center"/>
            </w:pPr>
            <w:r>
              <w:rPr>
                <w:color w:val="000000"/>
                <w:sz w:val="24"/>
              </w:rPr>
              <w:t>-</w:t>
            </w:r>
          </w:p>
        </w:tc>
        <w:tc>
          <w:tcPr>
            <w:tcW w:w="1245" w:type="dxa"/>
            <w:vAlign w:val="center"/>
          </w:tcPr>
          <w:p w:rsidR="003848F0" w:rsidRDefault="00A32D9B">
            <w:pPr>
              <w:jc w:val="center"/>
            </w:pPr>
            <w:r>
              <w:rPr>
                <w:color w:val="000000"/>
                <w:sz w:val="24"/>
              </w:rPr>
              <w:t>12</w:t>
            </w:r>
            <w:r>
              <w:rPr>
                <w:color w:val="000000"/>
                <w:sz w:val="24"/>
              </w:rPr>
              <w:t>年</w:t>
            </w:r>
          </w:p>
        </w:tc>
        <w:tc>
          <w:tcPr>
            <w:tcW w:w="3251" w:type="dxa"/>
            <w:vAlign w:val="center"/>
          </w:tcPr>
          <w:p w:rsidR="003848F0" w:rsidRDefault="00A32D9B">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w:t>
            </w:r>
            <w:r>
              <w:rPr>
                <w:color w:val="000000"/>
                <w:sz w:val="24"/>
              </w:rPr>
              <w:t>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3848F0" w:rsidRDefault="00A32D9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848F0" w:rsidRDefault="00A32D9B">
      <w:pPr>
        <w:spacing w:before="29" w:line="288" w:lineRule="auto"/>
        <w:ind w:firstLineChars="200" w:firstLine="480"/>
        <w:rPr>
          <w:color w:val="000000"/>
          <w:sz w:val="24"/>
        </w:rPr>
      </w:pPr>
      <w:r>
        <w:rPr>
          <w:color w:val="000000"/>
          <w:sz w:val="24"/>
        </w:rPr>
        <w:t>公司建立资源共享的投资研究信息平台，确保各投资组合在获得</w:t>
      </w:r>
      <w:r>
        <w:rPr>
          <w:color w:val="000000"/>
          <w:sz w:val="24"/>
        </w:rPr>
        <w:t>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848F0" w:rsidRDefault="00A32D9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w:t>
      </w:r>
      <w:r>
        <w:rPr>
          <w:color w:val="000000"/>
          <w:sz w:val="24"/>
        </w:rPr>
        <w:t>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w:t>
      </w:r>
      <w:r w:rsidRPr="007F52FA">
        <w:rPr>
          <w:color w:val="000000"/>
          <w:sz w:val="24"/>
        </w:rPr>
        <w:lastRenderedPageBreak/>
        <w:t>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3848F0" w:rsidRDefault="00A32D9B">
      <w:pPr>
        <w:spacing w:before="29" w:line="288" w:lineRule="auto"/>
        <w:ind w:firstLineChars="200" w:firstLine="480"/>
        <w:rPr>
          <w:color w:val="000000"/>
          <w:sz w:val="24"/>
        </w:rPr>
      </w:pPr>
      <w:r>
        <w:rPr>
          <w:color w:val="000000"/>
          <w:sz w:val="24"/>
        </w:rPr>
        <w:t>今年以来，债券市场经历了一波收益率先上后下的行情。年初在流动性紧张等因素的综合影响下，关键年期</w:t>
      </w:r>
      <w:r>
        <w:rPr>
          <w:color w:val="000000"/>
          <w:sz w:val="24"/>
        </w:rPr>
        <w:t>10</w:t>
      </w:r>
      <w:r>
        <w:rPr>
          <w:color w:val="000000"/>
          <w:sz w:val="24"/>
        </w:rPr>
        <w:t>年期国开债收益率上行约</w:t>
      </w:r>
      <w:r>
        <w:rPr>
          <w:color w:val="000000"/>
          <w:sz w:val="24"/>
        </w:rPr>
        <w:t>30BP</w:t>
      </w:r>
      <w:r>
        <w:rPr>
          <w:color w:val="000000"/>
          <w:sz w:val="24"/>
        </w:rPr>
        <w:t>至年内</w:t>
      </w:r>
      <w:r>
        <w:rPr>
          <w:color w:val="000000"/>
          <w:sz w:val="24"/>
        </w:rPr>
        <w:t>5.12%</w:t>
      </w:r>
      <w:r>
        <w:rPr>
          <w:color w:val="000000"/>
          <w:sz w:val="24"/>
        </w:rPr>
        <w:t>的高点，随着基本面和资金面预期的修复，收益率出现较大幅度的下行，截至一季末，</w:t>
      </w:r>
      <w:r>
        <w:rPr>
          <w:color w:val="000000"/>
          <w:sz w:val="24"/>
        </w:rPr>
        <w:t>10</w:t>
      </w:r>
      <w:r>
        <w:rPr>
          <w:color w:val="000000"/>
          <w:sz w:val="24"/>
        </w:rPr>
        <w:t>年期国开债的收益率下行至</w:t>
      </w:r>
      <w:r>
        <w:rPr>
          <w:color w:val="000000"/>
          <w:sz w:val="24"/>
        </w:rPr>
        <w:t>4.7%</w:t>
      </w:r>
      <w:r>
        <w:rPr>
          <w:color w:val="000000"/>
          <w:sz w:val="24"/>
        </w:rPr>
        <w:t>左右，较去年年末下行了约</w:t>
      </w:r>
      <w:r>
        <w:rPr>
          <w:color w:val="000000"/>
          <w:sz w:val="24"/>
        </w:rPr>
        <w:t>18BP</w:t>
      </w:r>
      <w:r>
        <w:rPr>
          <w:color w:val="000000"/>
          <w:sz w:val="24"/>
        </w:rPr>
        <w:t>。多方面因素共同推动了债券收益率明显下行。经济增长方面，春节之后复工弱于往年，大宗商品库存高企，大宗商品价格回落，经济增长预期出现分歧，物价虽然在二月由于春节错位因素抬升，但猪肉价格大幅下挫</w:t>
      </w:r>
      <w:r>
        <w:rPr>
          <w:color w:val="000000"/>
          <w:sz w:val="24"/>
        </w:rPr>
        <w:t>，生产资料价格下行明显，整体通胀环境不构成担忧。资金面方面，年初以来流动性超预期宽松，货币政策没有边际上收紧，三月份美联储加息，中国央行跟随上调公开市场</w:t>
      </w:r>
      <w:r>
        <w:rPr>
          <w:color w:val="000000"/>
          <w:sz w:val="24"/>
        </w:rPr>
        <w:t>5BP</w:t>
      </w:r>
      <w:r>
        <w:rPr>
          <w:color w:val="000000"/>
          <w:sz w:val="24"/>
        </w:rPr>
        <w:t>，上调幅度符合市场预期。在以上因素的综合影响下，整体债券市场情绪明显恢复。</w:t>
      </w:r>
    </w:p>
    <w:p w:rsidR="003848F0" w:rsidRDefault="00A32D9B">
      <w:pPr>
        <w:spacing w:before="29" w:line="288" w:lineRule="auto"/>
        <w:ind w:firstLineChars="200" w:firstLine="480"/>
        <w:rPr>
          <w:color w:val="000000"/>
          <w:sz w:val="24"/>
        </w:rPr>
      </w:pPr>
      <w:r>
        <w:rPr>
          <w:color w:val="000000"/>
          <w:sz w:val="24"/>
        </w:rPr>
        <w:t>权益市场方面，地产产业链及油气产业链等大盘蓝筹板块引领市场近一个月左右的上涨行情，随着美股调整以及市场对地产政策的担忧，蓝筹板块回调，以计算机软件、集成电路板块为代表的成长板块接棒蓝筹成为市场上行的新动力。</w:t>
      </w:r>
    </w:p>
    <w:p w:rsidR="003848F0" w:rsidRDefault="00A32D9B">
      <w:pPr>
        <w:spacing w:before="29" w:line="288" w:lineRule="auto"/>
        <w:ind w:firstLineChars="200" w:firstLine="480"/>
        <w:rPr>
          <w:color w:val="000000"/>
          <w:sz w:val="24"/>
        </w:rPr>
      </w:pPr>
      <w:r>
        <w:rPr>
          <w:color w:val="000000"/>
          <w:sz w:val="24"/>
        </w:rPr>
        <w:t>本报告期内，组合在春节前适当拉长债券资产久期，权益方面在二月下旬逐步将</w:t>
      </w:r>
      <w:r>
        <w:rPr>
          <w:color w:val="000000"/>
          <w:sz w:val="24"/>
        </w:rPr>
        <w:t>配置重心调整至成长，而在三月下旬，考虑到监管政策的执行可能带来资金面短期的扰动，我们适当降低了组合仓位至中性。</w:t>
      </w:r>
    </w:p>
    <w:p w:rsidR="00952A72" w:rsidRPr="007F52FA" w:rsidRDefault="00323F25" w:rsidP="007C14DF">
      <w:pPr>
        <w:spacing w:before="29" w:line="288" w:lineRule="auto"/>
        <w:ind w:firstLineChars="200" w:firstLine="480"/>
        <w:rPr>
          <w:color w:val="000000"/>
          <w:sz w:val="24"/>
        </w:rPr>
      </w:pPr>
      <w:r w:rsidRPr="007F52FA">
        <w:rPr>
          <w:color w:val="000000"/>
          <w:sz w:val="24"/>
        </w:rPr>
        <w:t>展望二季度，我们对债市呈谨慎乐观看法。表外融资的收紧及环保力度加强将继续令经济基本面缓步承压，流动性总体较去年改善，但监管政策的落地及海外利率上行可能会对债市构成阶段性扰动，债券供给逐步放量也对债市收益率下行形成压力。权益方面，未来将根据景气度精选个股，择机加仓。</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日，交银强化回报债券</w:t>
      </w:r>
      <w:r w:rsidRPr="007F52FA">
        <w:rPr>
          <w:color w:val="000000"/>
          <w:sz w:val="24"/>
        </w:rPr>
        <w:t>A/B</w:t>
      </w:r>
      <w:r w:rsidRPr="007F52FA">
        <w:rPr>
          <w:color w:val="000000"/>
          <w:sz w:val="24"/>
        </w:rPr>
        <w:t>份额净值为</w:t>
      </w:r>
      <w:r w:rsidRPr="007F52FA">
        <w:rPr>
          <w:color w:val="000000"/>
          <w:sz w:val="24"/>
        </w:rPr>
        <w:t>1.003</w:t>
      </w:r>
      <w:r w:rsidRPr="007F52FA">
        <w:rPr>
          <w:color w:val="000000"/>
          <w:sz w:val="24"/>
        </w:rPr>
        <w:t>元，本报告期份额净值增长率为</w:t>
      </w:r>
      <w:r w:rsidRPr="007F52FA">
        <w:rPr>
          <w:color w:val="000000"/>
          <w:sz w:val="24"/>
        </w:rPr>
        <w:t>-0.40%</w:t>
      </w:r>
      <w:r w:rsidRPr="007F52FA">
        <w:rPr>
          <w:color w:val="000000"/>
          <w:sz w:val="24"/>
        </w:rPr>
        <w:t>，同期业绩比较基准增长率为</w:t>
      </w:r>
      <w:r w:rsidRPr="007F52FA">
        <w:rPr>
          <w:color w:val="000000"/>
          <w:sz w:val="24"/>
        </w:rPr>
        <w:t>1.14%</w:t>
      </w:r>
      <w:r w:rsidRPr="007F52FA">
        <w:rPr>
          <w:color w:val="000000"/>
          <w:sz w:val="24"/>
        </w:rPr>
        <w:t>；交银强化回报债券</w:t>
      </w:r>
      <w:r w:rsidRPr="007F52FA">
        <w:rPr>
          <w:color w:val="000000"/>
          <w:sz w:val="24"/>
        </w:rPr>
        <w:t>C</w:t>
      </w:r>
      <w:r w:rsidRPr="007F52FA">
        <w:rPr>
          <w:color w:val="000000"/>
          <w:sz w:val="24"/>
        </w:rPr>
        <w:t>份额净值为</w:t>
      </w:r>
      <w:r w:rsidRPr="007F52FA">
        <w:rPr>
          <w:color w:val="000000"/>
          <w:sz w:val="24"/>
        </w:rPr>
        <w:t>0.996</w:t>
      </w:r>
      <w:r w:rsidRPr="007F52FA">
        <w:rPr>
          <w:color w:val="000000"/>
          <w:sz w:val="24"/>
        </w:rPr>
        <w:t>元，本报告期份额净值增长率为</w:t>
      </w:r>
      <w:r w:rsidRPr="007F52FA">
        <w:rPr>
          <w:color w:val="000000"/>
          <w:sz w:val="24"/>
        </w:rPr>
        <w:t>-0.50%</w:t>
      </w:r>
      <w:r w:rsidRPr="007F52FA">
        <w:rPr>
          <w:color w:val="000000"/>
          <w:sz w:val="24"/>
        </w:rPr>
        <w:t>，同期业绩比较基准增长率为</w:t>
      </w:r>
      <w:r w:rsidRPr="007F52FA">
        <w:rPr>
          <w:color w:val="000000"/>
          <w:sz w:val="24"/>
        </w:rPr>
        <w:t>1.14%</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本基金本报告期内连续二十个工作日以上出现基金资产净值低于</w:t>
      </w:r>
      <w:r w:rsidRPr="002070B4">
        <w:rPr>
          <w:color w:val="000000"/>
          <w:sz w:val="24"/>
        </w:rPr>
        <w:t>5000</w:t>
      </w:r>
      <w:r w:rsidRPr="002070B4">
        <w:rPr>
          <w:color w:val="000000"/>
          <w:sz w:val="24"/>
        </w:rPr>
        <w:t>万元的情形，截至本报告期末，本基金基金资产净值仍低于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3,315,134.00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7.23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3,315,134.00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7.23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37,397,272.80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81.55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37,397,272.80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81.55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2,160,525.72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4.71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2,985,829.24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6.51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45,858,761.76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585,480.00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1.52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1,203,473.00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3.13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1,526,181.00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3.97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3,315,134.00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8.63</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3848F0">
        <w:trPr>
          <w:jc w:val="center"/>
        </w:trPr>
        <w:tc>
          <w:tcPr>
            <w:tcW w:w="850" w:type="dxa"/>
            <w:vAlign w:val="center"/>
          </w:tcPr>
          <w:p w:rsidR="003848F0" w:rsidRDefault="00A32D9B">
            <w:pPr>
              <w:jc w:val="center"/>
            </w:pPr>
            <w:r>
              <w:rPr>
                <w:color w:val="000000"/>
                <w:sz w:val="24"/>
              </w:rPr>
              <w:t>1</w:t>
            </w:r>
          </w:p>
        </w:tc>
        <w:tc>
          <w:tcPr>
            <w:tcW w:w="1327" w:type="dxa"/>
            <w:vAlign w:val="center"/>
          </w:tcPr>
          <w:p w:rsidR="003848F0" w:rsidRDefault="00A32D9B">
            <w:pPr>
              <w:jc w:val="center"/>
            </w:pPr>
            <w:r>
              <w:rPr>
                <w:color w:val="000000"/>
                <w:sz w:val="24"/>
              </w:rPr>
              <w:t>601398</w:t>
            </w:r>
          </w:p>
        </w:tc>
        <w:tc>
          <w:tcPr>
            <w:tcW w:w="1769" w:type="dxa"/>
            <w:vAlign w:val="center"/>
          </w:tcPr>
          <w:p w:rsidR="003848F0" w:rsidRDefault="00A32D9B">
            <w:pPr>
              <w:jc w:val="center"/>
            </w:pPr>
            <w:r>
              <w:rPr>
                <w:color w:val="000000"/>
                <w:sz w:val="24"/>
              </w:rPr>
              <w:t>工商银行</w:t>
            </w:r>
          </w:p>
        </w:tc>
        <w:tc>
          <w:tcPr>
            <w:tcW w:w="1327" w:type="dxa"/>
            <w:vAlign w:val="center"/>
          </w:tcPr>
          <w:p w:rsidR="003848F0" w:rsidRDefault="00A32D9B">
            <w:pPr>
              <w:jc w:val="right"/>
            </w:pPr>
            <w:r>
              <w:rPr>
                <w:color w:val="000000"/>
                <w:sz w:val="24"/>
              </w:rPr>
              <w:t>125,600</w:t>
            </w:r>
          </w:p>
        </w:tc>
        <w:tc>
          <w:tcPr>
            <w:tcW w:w="1915" w:type="dxa"/>
            <w:vAlign w:val="center"/>
          </w:tcPr>
          <w:p w:rsidR="003848F0" w:rsidRDefault="00A32D9B">
            <w:pPr>
              <w:jc w:val="right"/>
            </w:pPr>
            <w:r>
              <w:rPr>
                <w:color w:val="000000"/>
                <w:sz w:val="24"/>
              </w:rPr>
              <w:t>764,904.00</w:t>
            </w:r>
          </w:p>
        </w:tc>
        <w:tc>
          <w:tcPr>
            <w:tcW w:w="1680" w:type="dxa"/>
            <w:vAlign w:val="center"/>
          </w:tcPr>
          <w:p w:rsidR="003848F0" w:rsidRDefault="00A32D9B">
            <w:pPr>
              <w:jc w:val="right"/>
            </w:pPr>
            <w:r>
              <w:rPr>
                <w:color w:val="000000"/>
                <w:sz w:val="24"/>
              </w:rPr>
              <w:t>1.99</w:t>
            </w:r>
          </w:p>
        </w:tc>
      </w:tr>
      <w:tr w:rsidR="003848F0">
        <w:trPr>
          <w:jc w:val="center"/>
        </w:trPr>
        <w:tc>
          <w:tcPr>
            <w:tcW w:w="850" w:type="dxa"/>
            <w:vAlign w:val="center"/>
          </w:tcPr>
          <w:p w:rsidR="003848F0" w:rsidRDefault="00A32D9B">
            <w:pPr>
              <w:jc w:val="center"/>
            </w:pPr>
            <w:r>
              <w:rPr>
                <w:color w:val="000000"/>
                <w:sz w:val="24"/>
              </w:rPr>
              <w:t>2</w:t>
            </w:r>
          </w:p>
        </w:tc>
        <w:tc>
          <w:tcPr>
            <w:tcW w:w="1327" w:type="dxa"/>
            <w:vAlign w:val="center"/>
          </w:tcPr>
          <w:p w:rsidR="003848F0" w:rsidRDefault="00A32D9B">
            <w:pPr>
              <w:jc w:val="center"/>
            </w:pPr>
            <w:r>
              <w:rPr>
                <w:color w:val="000000"/>
                <w:sz w:val="24"/>
              </w:rPr>
              <w:t>601288</w:t>
            </w:r>
          </w:p>
        </w:tc>
        <w:tc>
          <w:tcPr>
            <w:tcW w:w="1769" w:type="dxa"/>
            <w:vAlign w:val="center"/>
          </w:tcPr>
          <w:p w:rsidR="003848F0" w:rsidRDefault="00A32D9B">
            <w:pPr>
              <w:jc w:val="center"/>
            </w:pPr>
            <w:r>
              <w:rPr>
                <w:color w:val="000000"/>
                <w:sz w:val="24"/>
              </w:rPr>
              <w:t>农业银行</w:t>
            </w:r>
          </w:p>
        </w:tc>
        <w:tc>
          <w:tcPr>
            <w:tcW w:w="1327" w:type="dxa"/>
            <w:vAlign w:val="center"/>
          </w:tcPr>
          <w:p w:rsidR="003848F0" w:rsidRDefault="00A32D9B">
            <w:pPr>
              <w:jc w:val="right"/>
            </w:pPr>
            <w:r>
              <w:rPr>
                <w:color w:val="000000"/>
                <w:sz w:val="24"/>
              </w:rPr>
              <w:t>194,700</w:t>
            </w:r>
          </w:p>
        </w:tc>
        <w:tc>
          <w:tcPr>
            <w:tcW w:w="1915" w:type="dxa"/>
            <w:vAlign w:val="center"/>
          </w:tcPr>
          <w:p w:rsidR="003848F0" w:rsidRDefault="00A32D9B">
            <w:pPr>
              <w:jc w:val="right"/>
            </w:pPr>
            <w:r>
              <w:rPr>
                <w:color w:val="000000"/>
                <w:sz w:val="24"/>
              </w:rPr>
              <w:t>761,277.00</w:t>
            </w:r>
          </w:p>
        </w:tc>
        <w:tc>
          <w:tcPr>
            <w:tcW w:w="1680" w:type="dxa"/>
            <w:vAlign w:val="center"/>
          </w:tcPr>
          <w:p w:rsidR="003848F0" w:rsidRDefault="00A32D9B">
            <w:pPr>
              <w:jc w:val="right"/>
            </w:pPr>
            <w:r>
              <w:rPr>
                <w:color w:val="000000"/>
                <w:sz w:val="24"/>
              </w:rPr>
              <w:t>1.98</w:t>
            </w:r>
          </w:p>
        </w:tc>
      </w:tr>
      <w:tr w:rsidR="003848F0">
        <w:trPr>
          <w:jc w:val="center"/>
        </w:trPr>
        <w:tc>
          <w:tcPr>
            <w:tcW w:w="850" w:type="dxa"/>
            <w:vAlign w:val="center"/>
          </w:tcPr>
          <w:p w:rsidR="003848F0" w:rsidRDefault="00A32D9B">
            <w:pPr>
              <w:jc w:val="center"/>
            </w:pPr>
            <w:r>
              <w:rPr>
                <w:color w:val="000000"/>
                <w:sz w:val="24"/>
              </w:rPr>
              <w:t>3</w:t>
            </w:r>
          </w:p>
        </w:tc>
        <w:tc>
          <w:tcPr>
            <w:tcW w:w="1327" w:type="dxa"/>
            <w:vAlign w:val="center"/>
          </w:tcPr>
          <w:p w:rsidR="003848F0" w:rsidRDefault="00A32D9B">
            <w:pPr>
              <w:jc w:val="center"/>
            </w:pPr>
            <w:r>
              <w:rPr>
                <w:color w:val="000000"/>
                <w:sz w:val="24"/>
              </w:rPr>
              <w:t>300616</w:t>
            </w:r>
          </w:p>
        </w:tc>
        <w:tc>
          <w:tcPr>
            <w:tcW w:w="1769" w:type="dxa"/>
            <w:vAlign w:val="center"/>
          </w:tcPr>
          <w:p w:rsidR="003848F0" w:rsidRDefault="00A32D9B">
            <w:pPr>
              <w:jc w:val="center"/>
            </w:pPr>
            <w:r>
              <w:rPr>
                <w:color w:val="000000"/>
                <w:sz w:val="24"/>
              </w:rPr>
              <w:t>尚品宅配</w:t>
            </w:r>
          </w:p>
        </w:tc>
        <w:tc>
          <w:tcPr>
            <w:tcW w:w="1327" w:type="dxa"/>
            <w:vAlign w:val="center"/>
          </w:tcPr>
          <w:p w:rsidR="003848F0" w:rsidRDefault="00A32D9B">
            <w:pPr>
              <w:jc w:val="right"/>
            </w:pPr>
            <w:r>
              <w:rPr>
                <w:color w:val="000000"/>
                <w:sz w:val="24"/>
              </w:rPr>
              <w:t>2,800</w:t>
            </w:r>
          </w:p>
        </w:tc>
        <w:tc>
          <w:tcPr>
            <w:tcW w:w="1915" w:type="dxa"/>
            <w:vAlign w:val="center"/>
          </w:tcPr>
          <w:p w:rsidR="003848F0" w:rsidRDefault="00A32D9B">
            <w:pPr>
              <w:jc w:val="right"/>
            </w:pPr>
            <w:r>
              <w:rPr>
                <w:color w:val="000000"/>
                <w:sz w:val="24"/>
              </w:rPr>
              <w:t>585,480.00</w:t>
            </w:r>
          </w:p>
        </w:tc>
        <w:tc>
          <w:tcPr>
            <w:tcW w:w="1680" w:type="dxa"/>
            <w:vAlign w:val="center"/>
          </w:tcPr>
          <w:p w:rsidR="003848F0" w:rsidRDefault="00A32D9B">
            <w:pPr>
              <w:jc w:val="right"/>
            </w:pPr>
            <w:r>
              <w:rPr>
                <w:color w:val="000000"/>
                <w:sz w:val="24"/>
              </w:rPr>
              <w:t>1.52</w:t>
            </w:r>
          </w:p>
        </w:tc>
      </w:tr>
      <w:tr w:rsidR="003848F0">
        <w:trPr>
          <w:jc w:val="center"/>
        </w:trPr>
        <w:tc>
          <w:tcPr>
            <w:tcW w:w="850" w:type="dxa"/>
            <w:vAlign w:val="center"/>
          </w:tcPr>
          <w:p w:rsidR="003848F0" w:rsidRDefault="00A32D9B">
            <w:pPr>
              <w:jc w:val="center"/>
            </w:pPr>
            <w:r>
              <w:rPr>
                <w:color w:val="000000"/>
                <w:sz w:val="24"/>
              </w:rPr>
              <w:t>4</w:t>
            </w:r>
          </w:p>
        </w:tc>
        <w:tc>
          <w:tcPr>
            <w:tcW w:w="1327" w:type="dxa"/>
            <w:vAlign w:val="center"/>
          </w:tcPr>
          <w:p w:rsidR="003848F0" w:rsidRDefault="00A32D9B">
            <w:pPr>
              <w:jc w:val="center"/>
            </w:pPr>
            <w:r>
              <w:rPr>
                <w:color w:val="000000"/>
                <w:sz w:val="24"/>
              </w:rPr>
              <w:t>300532</w:t>
            </w:r>
          </w:p>
        </w:tc>
        <w:tc>
          <w:tcPr>
            <w:tcW w:w="1769" w:type="dxa"/>
            <w:vAlign w:val="center"/>
          </w:tcPr>
          <w:p w:rsidR="003848F0" w:rsidRDefault="00A32D9B">
            <w:pPr>
              <w:jc w:val="center"/>
            </w:pPr>
            <w:r>
              <w:rPr>
                <w:color w:val="000000"/>
                <w:sz w:val="24"/>
              </w:rPr>
              <w:t>今天国际</w:t>
            </w:r>
          </w:p>
        </w:tc>
        <w:tc>
          <w:tcPr>
            <w:tcW w:w="1327" w:type="dxa"/>
            <w:vAlign w:val="center"/>
          </w:tcPr>
          <w:p w:rsidR="003848F0" w:rsidRDefault="00A32D9B">
            <w:pPr>
              <w:jc w:val="right"/>
            </w:pPr>
            <w:r>
              <w:rPr>
                <w:color w:val="000000"/>
                <w:sz w:val="24"/>
              </w:rPr>
              <w:t>13,300</w:t>
            </w:r>
          </w:p>
        </w:tc>
        <w:tc>
          <w:tcPr>
            <w:tcW w:w="1915" w:type="dxa"/>
            <w:vAlign w:val="center"/>
          </w:tcPr>
          <w:p w:rsidR="003848F0" w:rsidRDefault="00A32D9B">
            <w:pPr>
              <w:jc w:val="right"/>
            </w:pPr>
            <w:r>
              <w:rPr>
                <w:color w:val="000000"/>
                <w:sz w:val="24"/>
              </w:rPr>
              <w:t>420,280.00</w:t>
            </w:r>
          </w:p>
        </w:tc>
        <w:tc>
          <w:tcPr>
            <w:tcW w:w="1680" w:type="dxa"/>
            <w:vAlign w:val="center"/>
          </w:tcPr>
          <w:p w:rsidR="003848F0" w:rsidRDefault="00A32D9B">
            <w:pPr>
              <w:jc w:val="right"/>
            </w:pPr>
            <w:r>
              <w:rPr>
                <w:color w:val="000000"/>
                <w:sz w:val="24"/>
              </w:rPr>
              <w:t>1.09</w:t>
            </w:r>
          </w:p>
        </w:tc>
      </w:tr>
      <w:tr w:rsidR="003848F0">
        <w:trPr>
          <w:jc w:val="center"/>
        </w:trPr>
        <w:tc>
          <w:tcPr>
            <w:tcW w:w="850" w:type="dxa"/>
            <w:vAlign w:val="center"/>
          </w:tcPr>
          <w:p w:rsidR="003848F0" w:rsidRDefault="00A32D9B">
            <w:pPr>
              <w:jc w:val="center"/>
            </w:pPr>
            <w:r>
              <w:rPr>
                <w:color w:val="000000"/>
                <w:sz w:val="24"/>
              </w:rPr>
              <w:t>5</w:t>
            </w:r>
          </w:p>
        </w:tc>
        <w:tc>
          <w:tcPr>
            <w:tcW w:w="1327" w:type="dxa"/>
            <w:vAlign w:val="center"/>
          </w:tcPr>
          <w:p w:rsidR="003848F0" w:rsidRDefault="00A32D9B">
            <w:pPr>
              <w:jc w:val="center"/>
            </w:pPr>
            <w:r>
              <w:rPr>
                <w:color w:val="000000"/>
                <w:sz w:val="24"/>
              </w:rPr>
              <w:t>002410</w:t>
            </w:r>
          </w:p>
        </w:tc>
        <w:tc>
          <w:tcPr>
            <w:tcW w:w="1769" w:type="dxa"/>
            <w:vAlign w:val="center"/>
          </w:tcPr>
          <w:p w:rsidR="003848F0" w:rsidRDefault="00A32D9B">
            <w:pPr>
              <w:jc w:val="center"/>
            </w:pPr>
            <w:r>
              <w:rPr>
                <w:color w:val="000000"/>
                <w:sz w:val="24"/>
              </w:rPr>
              <w:t>广联达</w:t>
            </w:r>
          </w:p>
        </w:tc>
        <w:tc>
          <w:tcPr>
            <w:tcW w:w="1327" w:type="dxa"/>
            <w:vAlign w:val="center"/>
          </w:tcPr>
          <w:p w:rsidR="003848F0" w:rsidRDefault="00A32D9B">
            <w:pPr>
              <w:jc w:val="right"/>
            </w:pPr>
            <w:r>
              <w:rPr>
                <w:color w:val="000000"/>
                <w:sz w:val="24"/>
              </w:rPr>
              <w:t>16,100</w:t>
            </w:r>
          </w:p>
        </w:tc>
        <w:tc>
          <w:tcPr>
            <w:tcW w:w="1915" w:type="dxa"/>
            <w:vAlign w:val="center"/>
          </w:tcPr>
          <w:p w:rsidR="003848F0" w:rsidRDefault="00A32D9B">
            <w:pPr>
              <w:jc w:val="right"/>
            </w:pPr>
            <w:r>
              <w:rPr>
                <w:color w:val="000000"/>
                <w:sz w:val="24"/>
              </w:rPr>
              <w:t>408,457.00</w:t>
            </w:r>
          </w:p>
        </w:tc>
        <w:tc>
          <w:tcPr>
            <w:tcW w:w="1680" w:type="dxa"/>
            <w:vAlign w:val="center"/>
          </w:tcPr>
          <w:p w:rsidR="003848F0" w:rsidRDefault="00A32D9B">
            <w:pPr>
              <w:jc w:val="right"/>
            </w:pPr>
            <w:r>
              <w:rPr>
                <w:color w:val="000000"/>
                <w:sz w:val="24"/>
              </w:rPr>
              <w:t>1.06</w:t>
            </w:r>
          </w:p>
        </w:tc>
      </w:tr>
      <w:tr w:rsidR="003848F0">
        <w:trPr>
          <w:jc w:val="center"/>
        </w:trPr>
        <w:tc>
          <w:tcPr>
            <w:tcW w:w="850" w:type="dxa"/>
            <w:vAlign w:val="center"/>
          </w:tcPr>
          <w:p w:rsidR="003848F0" w:rsidRDefault="00A32D9B">
            <w:pPr>
              <w:jc w:val="center"/>
            </w:pPr>
            <w:r>
              <w:rPr>
                <w:color w:val="000000"/>
                <w:sz w:val="24"/>
              </w:rPr>
              <w:t>6</w:t>
            </w:r>
          </w:p>
        </w:tc>
        <w:tc>
          <w:tcPr>
            <w:tcW w:w="1327" w:type="dxa"/>
            <w:vAlign w:val="center"/>
          </w:tcPr>
          <w:p w:rsidR="003848F0" w:rsidRDefault="00A32D9B">
            <w:pPr>
              <w:jc w:val="center"/>
            </w:pPr>
            <w:r>
              <w:rPr>
                <w:color w:val="000000"/>
                <w:sz w:val="24"/>
              </w:rPr>
              <w:t>300170</w:t>
            </w:r>
          </w:p>
        </w:tc>
        <w:tc>
          <w:tcPr>
            <w:tcW w:w="1769" w:type="dxa"/>
            <w:vAlign w:val="center"/>
          </w:tcPr>
          <w:p w:rsidR="003848F0" w:rsidRDefault="00A32D9B">
            <w:pPr>
              <w:jc w:val="center"/>
            </w:pPr>
            <w:r>
              <w:rPr>
                <w:color w:val="000000"/>
                <w:sz w:val="24"/>
              </w:rPr>
              <w:t>汉得信息</w:t>
            </w:r>
          </w:p>
        </w:tc>
        <w:tc>
          <w:tcPr>
            <w:tcW w:w="1327" w:type="dxa"/>
            <w:vAlign w:val="center"/>
          </w:tcPr>
          <w:p w:rsidR="003848F0" w:rsidRDefault="00A32D9B">
            <w:pPr>
              <w:jc w:val="right"/>
            </w:pPr>
            <w:r>
              <w:rPr>
                <w:color w:val="000000"/>
                <w:sz w:val="24"/>
              </w:rPr>
              <w:t>21,100</w:t>
            </w:r>
          </w:p>
        </w:tc>
        <w:tc>
          <w:tcPr>
            <w:tcW w:w="1915" w:type="dxa"/>
            <w:vAlign w:val="center"/>
          </w:tcPr>
          <w:p w:rsidR="003848F0" w:rsidRDefault="00A32D9B">
            <w:pPr>
              <w:jc w:val="right"/>
            </w:pPr>
            <w:r>
              <w:rPr>
                <w:color w:val="000000"/>
                <w:sz w:val="24"/>
              </w:rPr>
              <w:t>374,736.00</w:t>
            </w:r>
          </w:p>
        </w:tc>
        <w:tc>
          <w:tcPr>
            <w:tcW w:w="1680" w:type="dxa"/>
            <w:vAlign w:val="center"/>
          </w:tcPr>
          <w:p w:rsidR="003848F0" w:rsidRDefault="00A32D9B">
            <w:pPr>
              <w:jc w:val="right"/>
            </w:pPr>
            <w:r>
              <w:rPr>
                <w:color w:val="000000"/>
                <w:sz w:val="24"/>
              </w:rPr>
              <w:t>0.98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5,684,841.80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14.79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31,037,471.00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80.76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31,037,471.00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80.76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674,960.00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37,397,272.80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97.31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3848F0">
        <w:trPr>
          <w:jc w:val="center"/>
        </w:trPr>
        <w:tc>
          <w:tcPr>
            <w:tcW w:w="1075" w:type="dxa"/>
            <w:vAlign w:val="center"/>
          </w:tcPr>
          <w:p w:rsidR="003848F0" w:rsidRDefault="00A32D9B">
            <w:pPr>
              <w:jc w:val="center"/>
            </w:pPr>
            <w:r>
              <w:rPr>
                <w:color w:val="000000"/>
                <w:sz w:val="24"/>
              </w:rPr>
              <w:t>1</w:t>
            </w:r>
          </w:p>
        </w:tc>
        <w:tc>
          <w:tcPr>
            <w:tcW w:w="1533" w:type="dxa"/>
            <w:vAlign w:val="center"/>
          </w:tcPr>
          <w:p w:rsidR="003848F0" w:rsidRDefault="00A32D9B">
            <w:pPr>
              <w:jc w:val="center"/>
            </w:pPr>
            <w:r>
              <w:rPr>
                <w:color w:val="000000"/>
                <w:sz w:val="24"/>
              </w:rPr>
              <w:t>018005</w:t>
            </w:r>
          </w:p>
        </w:tc>
        <w:tc>
          <w:tcPr>
            <w:tcW w:w="1533" w:type="dxa"/>
            <w:vAlign w:val="center"/>
          </w:tcPr>
          <w:p w:rsidR="003848F0" w:rsidRDefault="00A32D9B">
            <w:pPr>
              <w:jc w:val="center"/>
            </w:pPr>
            <w:r>
              <w:rPr>
                <w:color w:val="000000"/>
                <w:sz w:val="24"/>
              </w:rPr>
              <w:t>国开</w:t>
            </w:r>
            <w:r>
              <w:rPr>
                <w:color w:val="000000"/>
                <w:sz w:val="24"/>
              </w:rPr>
              <w:t>1701</w:t>
            </w:r>
          </w:p>
        </w:tc>
        <w:tc>
          <w:tcPr>
            <w:tcW w:w="1394" w:type="dxa"/>
            <w:vAlign w:val="center"/>
          </w:tcPr>
          <w:p w:rsidR="003848F0" w:rsidRDefault="00A32D9B">
            <w:pPr>
              <w:jc w:val="right"/>
            </w:pPr>
            <w:r>
              <w:rPr>
                <w:color w:val="000000"/>
                <w:sz w:val="24"/>
              </w:rPr>
              <w:t>222,250</w:t>
            </w:r>
          </w:p>
        </w:tc>
        <w:tc>
          <w:tcPr>
            <w:tcW w:w="1944" w:type="dxa"/>
            <w:vAlign w:val="center"/>
          </w:tcPr>
          <w:p w:rsidR="003848F0" w:rsidRDefault="00A32D9B">
            <w:pPr>
              <w:jc w:val="right"/>
            </w:pPr>
            <w:r>
              <w:rPr>
                <w:color w:val="000000"/>
                <w:sz w:val="24"/>
              </w:rPr>
              <w:t>22,184,995.00</w:t>
            </w:r>
          </w:p>
        </w:tc>
        <w:tc>
          <w:tcPr>
            <w:tcW w:w="1389" w:type="dxa"/>
            <w:vAlign w:val="center"/>
          </w:tcPr>
          <w:p w:rsidR="003848F0" w:rsidRDefault="00A32D9B">
            <w:pPr>
              <w:jc w:val="right"/>
            </w:pPr>
            <w:r>
              <w:rPr>
                <w:color w:val="000000"/>
                <w:sz w:val="24"/>
              </w:rPr>
              <w:t>57.73</w:t>
            </w:r>
          </w:p>
        </w:tc>
      </w:tr>
      <w:tr w:rsidR="003848F0">
        <w:trPr>
          <w:jc w:val="center"/>
        </w:trPr>
        <w:tc>
          <w:tcPr>
            <w:tcW w:w="1075" w:type="dxa"/>
            <w:vAlign w:val="center"/>
          </w:tcPr>
          <w:p w:rsidR="003848F0" w:rsidRDefault="00A32D9B">
            <w:pPr>
              <w:jc w:val="center"/>
            </w:pPr>
            <w:r>
              <w:rPr>
                <w:color w:val="000000"/>
                <w:sz w:val="24"/>
              </w:rPr>
              <w:t>2</w:t>
            </w:r>
          </w:p>
        </w:tc>
        <w:tc>
          <w:tcPr>
            <w:tcW w:w="1533" w:type="dxa"/>
            <w:vAlign w:val="center"/>
          </w:tcPr>
          <w:p w:rsidR="003848F0" w:rsidRDefault="00A32D9B">
            <w:pPr>
              <w:jc w:val="center"/>
            </w:pPr>
            <w:r>
              <w:rPr>
                <w:color w:val="000000"/>
                <w:sz w:val="24"/>
              </w:rPr>
              <w:t>010303</w:t>
            </w:r>
          </w:p>
        </w:tc>
        <w:tc>
          <w:tcPr>
            <w:tcW w:w="1533" w:type="dxa"/>
            <w:vAlign w:val="center"/>
          </w:tcPr>
          <w:p w:rsidR="003848F0" w:rsidRDefault="00A32D9B">
            <w:pPr>
              <w:jc w:val="center"/>
            </w:pPr>
            <w:r>
              <w:rPr>
                <w:color w:val="000000"/>
                <w:sz w:val="24"/>
              </w:rPr>
              <w:t>03</w:t>
            </w:r>
            <w:r>
              <w:rPr>
                <w:color w:val="000000"/>
                <w:sz w:val="24"/>
              </w:rPr>
              <w:t>国债</w:t>
            </w:r>
            <w:r>
              <w:rPr>
                <w:color w:val="000000"/>
                <w:sz w:val="24"/>
              </w:rPr>
              <w:t>⑶</w:t>
            </w:r>
          </w:p>
        </w:tc>
        <w:tc>
          <w:tcPr>
            <w:tcW w:w="1394" w:type="dxa"/>
            <w:vAlign w:val="center"/>
          </w:tcPr>
          <w:p w:rsidR="003848F0" w:rsidRDefault="00A32D9B">
            <w:pPr>
              <w:jc w:val="right"/>
            </w:pPr>
            <w:r>
              <w:rPr>
                <w:color w:val="000000"/>
                <w:sz w:val="24"/>
              </w:rPr>
              <w:t>58,330</w:t>
            </w:r>
          </w:p>
        </w:tc>
        <w:tc>
          <w:tcPr>
            <w:tcW w:w="1944" w:type="dxa"/>
            <w:vAlign w:val="center"/>
          </w:tcPr>
          <w:p w:rsidR="003848F0" w:rsidRDefault="00A32D9B">
            <w:pPr>
              <w:jc w:val="right"/>
            </w:pPr>
            <w:r>
              <w:rPr>
                <w:color w:val="000000"/>
                <w:sz w:val="24"/>
              </w:rPr>
              <w:t>5,684,841.80</w:t>
            </w:r>
          </w:p>
        </w:tc>
        <w:tc>
          <w:tcPr>
            <w:tcW w:w="1389" w:type="dxa"/>
            <w:vAlign w:val="center"/>
          </w:tcPr>
          <w:p w:rsidR="003848F0" w:rsidRDefault="00A32D9B">
            <w:pPr>
              <w:jc w:val="right"/>
            </w:pPr>
            <w:r>
              <w:rPr>
                <w:color w:val="000000"/>
                <w:sz w:val="24"/>
              </w:rPr>
              <w:t>14.79</w:t>
            </w:r>
          </w:p>
        </w:tc>
      </w:tr>
      <w:tr w:rsidR="003848F0">
        <w:trPr>
          <w:jc w:val="center"/>
        </w:trPr>
        <w:tc>
          <w:tcPr>
            <w:tcW w:w="1075" w:type="dxa"/>
            <w:vAlign w:val="center"/>
          </w:tcPr>
          <w:p w:rsidR="003848F0" w:rsidRDefault="00A32D9B">
            <w:pPr>
              <w:jc w:val="center"/>
            </w:pPr>
            <w:r>
              <w:rPr>
                <w:color w:val="000000"/>
                <w:sz w:val="24"/>
              </w:rPr>
              <w:t>3</w:t>
            </w:r>
          </w:p>
        </w:tc>
        <w:tc>
          <w:tcPr>
            <w:tcW w:w="1533" w:type="dxa"/>
            <w:vAlign w:val="center"/>
          </w:tcPr>
          <w:p w:rsidR="003848F0" w:rsidRDefault="00A32D9B">
            <w:pPr>
              <w:jc w:val="center"/>
            </w:pPr>
            <w:r>
              <w:rPr>
                <w:color w:val="000000"/>
                <w:sz w:val="24"/>
              </w:rPr>
              <w:t>170311</w:t>
            </w:r>
          </w:p>
        </w:tc>
        <w:tc>
          <w:tcPr>
            <w:tcW w:w="1533" w:type="dxa"/>
            <w:vAlign w:val="center"/>
          </w:tcPr>
          <w:p w:rsidR="003848F0" w:rsidRDefault="00A32D9B">
            <w:pPr>
              <w:jc w:val="center"/>
            </w:pPr>
            <w:r>
              <w:rPr>
                <w:color w:val="000000"/>
                <w:sz w:val="24"/>
              </w:rPr>
              <w:t>17</w:t>
            </w:r>
            <w:r>
              <w:rPr>
                <w:color w:val="000000"/>
                <w:sz w:val="24"/>
              </w:rPr>
              <w:t>进出</w:t>
            </w:r>
            <w:r>
              <w:rPr>
                <w:color w:val="000000"/>
                <w:sz w:val="24"/>
              </w:rPr>
              <w:t>11</w:t>
            </w:r>
          </w:p>
        </w:tc>
        <w:tc>
          <w:tcPr>
            <w:tcW w:w="1394" w:type="dxa"/>
            <w:vAlign w:val="center"/>
          </w:tcPr>
          <w:p w:rsidR="003848F0" w:rsidRDefault="00A32D9B">
            <w:pPr>
              <w:jc w:val="right"/>
            </w:pPr>
            <w:r>
              <w:rPr>
                <w:color w:val="000000"/>
                <w:sz w:val="24"/>
              </w:rPr>
              <w:t>50,000</w:t>
            </w:r>
          </w:p>
        </w:tc>
        <w:tc>
          <w:tcPr>
            <w:tcW w:w="1944" w:type="dxa"/>
            <w:vAlign w:val="center"/>
          </w:tcPr>
          <w:p w:rsidR="003848F0" w:rsidRDefault="00A32D9B">
            <w:pPr>
              <w:jc w:val="right"/>
            </w:pPr>
            <w:r>
              <w:rPr>
                <w:color w:val="000000"/>
                <w:sz w:val="24"/>
              </w:rPr>
              <w:t>4,999,000.00</w:t>
            </w:r>
          </w:p>
        </w:tc>
        <w:tc>
          <w:tcPr>
            <w:tcW w:w="1389" w:type="dxa"/>
            <w:vAlign w:val="center"/>
          </w:tcPr>
          <w:p w:rsidR="003848F0" w:rsidRDefault="00A32D9B">
            <w:pPr>
              <w:jc w:val="right"/>
            </w:pPr>
            <w:r>
              <w:rPr>
                <w:color w:val="000000"/>
                <w:sz w:val="24"/>
              </w:rPr>
              <w:t>13.01</w:t>
            </w:r>
          </w:p>
        </w:tc>
      </w:tr>
      <w:tr w:rsidR="003848F0">
        <w:trPr>
          <w:jc w:val="center"/>
        </w:trPr>
        <w:tc>
          <w:tcPr>
            <w:tcW w:w="1075" w:type="dxa"/>
            <w:vAlign w:val="center"/>
          </w:tcPr>
          <w:p w:rsidR="003848F0" w:rsidRDefault="00A32D9B">
            <w:pPr>
              <w:jc w:val="center"/>
            </w:pPr>
            <w:r>
              <w:rPr>
                <w:color w:val="000000"/>
                <w:sz w:val="24"/>
              </w:rPr>
              <w:t>4</w:t>
            </w:r>
          </w:p>
        </w:tc>
        <w:tc>
          <w:tcPr>
            <w:tcW w:w="1533" w:type="dxa"/>
            <w:vAlign w:val="center"/>
          </w:tcPr>
          <w:p w:rsidR="003848F0" w:rsidRDefault="00A32D9B">
            <w:pPr>
              <w:jc w:val="center"/>
            </w:pPr>
            <w:r>
              <w:rPr>
                <w:color w:val="000000"/>
                <w:sz w:val="24"/>
              </w:rPr>
              <w:t>018006</w:t>
            </w:r>
          </w:p>
        </w:tc>
        <w:tc>
          <w:tcPr>
            <w:tcW w:w="1533" w:type="dxa"/>
            <w:vAlign w:val="center"/>
          </w:tcPr>
          <w:p w:rsidR="003848F0" w:rsidRDefault="00A32D9B">
            <w:pPr>
              <w:jc w:val="center"/>
            </w:pPr>
            <w:r>
              <w:rPr>
                <w:color w:val="000000"/>
                <w:sz w:val="24"/>
              </w:rPr>
              <w:t>国开</w:t>
            </w:r>
            <w:r>
              <w:rPr>
                <w:color w:val="000000"/>
                <w:sz w:val="24"/>
              </w:rPr>
              <w:t>1702</w:t>
            </w:r>
          </w:p>
        </w:tc>
        <w:tc>
          <w:tcPr>
            <w:tcW w:w="1394" w:type="dxa"/>
            <w:vAlign w:val="center"/>
          </w:tcPr>
          <w:p w:rsidR="003848F0" w:rsidRDefault="00A32D9B">
            <w:pPr>
              <w:jc w:val="right"/>
            </w:pPr>
            <w:r>
              <w:rPr>
                <w:color w:val="000000"/>
                <w:sz w:val="24"/>
              </w:rPr>
              <w:t>39,450</w:t>
            </w:r>
          </w:p>
        </w:tc>
        <w:tc>
          <w:tcPr>
            <w:tcW w:w="1944" w:type="dxa"/>
            <w:vAlign w:val="center"/>
          </w:tcPr>
          <w:p w:rsidR="003848F0" w:rsidRDefault="00A32D9B">
            <w:pPr>
              <w:jc w:val="right"/>
            </w:pPr>
            <w:r>
              <w:rPr>
                <w:color w:val="000000"/>
                <w:sz w:val="24"/>
              </w:rPr>
              <w:t>3,853,476.00</w:t>
            </w:r>
          </w:p>
        </w:tc>
        <w:tc>
          <w:tcPr>
            <w:tcW w:w="1389" w:type="dxa"/>
            <w:vAlign w:val="center"/>
          </w:tcPr>
          <w:p w:rsidR="003848F0" w:rsidRDefault="00A32D9B">
            <w:pPr>
              <w:jc w:val="right"/>
            </w:pPr>
            <w:r>
              <w:rPr>
                <w:color w:val="000000"/>
                <w:sz w:val="24"/>
              </w:rPr>
              <w:t>10.03</w:t>
            </w:r>
          </w:p>
        </w:tc>
      </w:tr>
      <w:tr w:rsidR="003848F0">
        <w:trPr>
          <w:jc w:val="center"/>
        </w:trPr>
        <w:tc>
          <w:tcPr>
            <w:tcW w:w="1075" w:type="dxa"/>
            <w:vAlign w:val="center"/>
          </w:tcPr>
          <w:p w:rsidR="003848F0" w:rsidRDefault="00A32D9B">
            <w:pPr>
              <w:jc w:val="center"/>
            </w:pPr>
            <w:r>
              <w:rPr>
                <w:color w:val="000000"/>
                <w:sz w:val="24"/>
              </w:rPr>
              <w:t>5</w:t>
            </w:r>
          </w:p>
        </w:tc>
        <w:tc>
          <w:tcPr>
            <w:tcW w:w="1533" w:type="dxa"/>
            <w:vAlign w:val="center"/>
          </w:tcPr>
          <w:p w:rsidR="003848F0" w:rsidRDefault="00A32D9B">
            <w:pPr>
              <w:jc w:val="center"/>
            </w:pPr>
            <w:r>
              <w:rPr>
                <w:color w:val="000000"/>
                <w:sz w:val="24"/>
              </w:rPr>
              <w:t>124393</w:t>
            </w:r>
          </w:p>
        </w:tc>
        <w:tc>
          <w:tcPr>
            <w:tcW w:w="1533" w:type="dxa"/>
            <w:vAlign w:val="center"/>
          </w:tcPr>
          <w:p w:rsidR="003848F0" w:rsidRDefault="00A32D9B">
            <w:pPr>
              <w:jc w:val="center"/>
            </w:pPr>
            <w:r>
              <w:rPr>
                <w:color w:val="000000"/>
                <w:sz w:val="24"/>
              </w:rPr>
              <w:t>PR</w:t>
            </w:r>
            <w:r>
              <w:rPr>
                <w:color w:val="000000"/>
                <w:sz w:val="24"/>
              </w:rPr>
              <w:t>连顺兴</w:t>
            </w:r>
          </w:p>
        </w:tc>
        <w:tc>
          <w:tcPr>
            <w:tcW w:w="1394" w:type="dxa"/>
            <w:vAlign w:val="center"/>
          </w:tcPr>
          <w:p w:rsidR="003848F0" w:rsidRDefault="00A32D9B">
            <w:pPr>
              <w:jc w:val="right"/>
            </w:pPr>
            <w:r>
              <w:rPr>
                <w:color w:val="000000"/>
                <w:sz w:val="24"/>
              </w:rPr>
              <w:t>11,000</w:t>
            </w:r>
          </w:p>
        </w:tc>
        <w:tc>
          <w:tcPr>
            <w:tcW w:w="1944" w:type="dxa"/>
            <w:vAlign w:val="center"/>
          </w:tcPr>
          <w:p w:rsidR="003848F0" w:rsidRDefault="00A32D9B">
            <w:pPr>
              <w:jc w:val="right"/>
            </w:pPr>
            <w:r>
              <w:rPr>
                <w:color w:val="000000"/>
                <w:sz w:val="24"/>
              </w:rPr>
              <w:t>674,960.00</w:t>
            </w:r>
          </w:p>
        </w:tc>
        <w:tc>
          <w:tcPr>
            <w:tcW w:w="1389" w:type="dxa"/>
            <w:vAlign w:val="center"/>
          </w:tcPr>
          <w:p w:rsidR="003848F0" w:rsidRDefault="00A32D9B">
            <w:pPr>
              <w:jc w:val="right"/>
            </w:pPr>
            <w:r>
              <w:rPr>
                <w:color w:val="000000"/>
                <w:sz w:val="24"/>
              </w:rPr>
              <w:t>1.76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lastRenderedPageBreak/>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85,502.00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1,728,937.06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1,170,375.36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1,014.82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2,985,829.24</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54638F" w:rsidRDefault="00C51B4E" w:rsidP="0028293E">
      <w:pPr>
        <w:pStyle w:val="1"/>
        <w:spacing w:beforeLines="100" w:before="312" w:afterLines="100" w:after="312" w:line="360" w:lineRule="auto"/>
        <w:jc w:val="center"/>
        <w:rPr>
          <w:rFonts w:eastAsiaTheme="minorEastAsia"/>
          <w:color w:val="000000" w:themeColor="text1"/>
          <w:kern w:val="0"/>
          <w:sz w:val="24"/>
          <w:szCs w:val="24"/>
        </w:rPr>
      </w:pPr>
      <w:r w:rsidRPr="0054638F">
        <w:rPr>
          <w:rFonts w:eastAsiaTheme="minorEastAsia"/>
          <w:color w:val="000000" w:themeColor="text1"/>
          <w:kern w:val="0"/>
          <w:sz w:val="24"/>
          <w:szCs w:val="24"/>
        </w:rPr>
        <w:lastRenderedPageBreak/>
        <w:t>§6</w:t>
      </w:r>
      <w:r w:rsidRPr="0054638F">
        <w:rPr>
          <w:rFonts w:eastAsiaTheme="minorEastAsia" w:hint="eastAsia"/>
          <w:color w:val="000000" w:themeColor="text1"/>
          <w:kern w:val="0"/>
          <w:sz w:val="24"/>
          <w:szCs w:val="24"/>
        </w:rPr>
        <w:t xml:space="preserve">  </w:t>
      </w:r>
      <w:r w:rsidRPr="0054638F">
        <w:rPr>
          <w:rFonts w:eastAsiaTheme="minorEastAsia" w:hint="eastAsia"/>
          <w:color w:val="000000" w:themeColor="text1"/>
          <w:kern w:val="0"/>
          <w:sz w:val="24"/>
          <w:szCs w:val="24"/>
        </w:rPr>
        <w:t>基金中基金</w:t>
      </w:r>
    </w:p>
    <w:p w:rsidR="00C51B4E" w:rsidRPr="0054638F" w:rsidRDefault="00C51B4E" w:rsidP="00C51B4E">
      <w:pPr>
        <w:adjustRightInd w:val="0"/>
        <w:snapToGrid w:val="0"/>
        <w:spacing w:line="360" w:lineRule="auto"/>
        <w:rPr>
          <w:rFonts w:eastAsiaTheme="minorEastAsia"/>
          <w:b/>
          <w:color w:val="000000" w:themeColor="text1"/>
          <w:kern w:val="0"/>
          <w:sz w:val="24"/>
        </w:rPr>
      </w:pPr>
      <w:r w:rsidRPr="0054638F">
        <w:rPr>
          <w:rFonts w:eastAsiaTheme="minorEastAsia"/>
          <w:b/>
          <w:color w:val="000000" w:themeColor="text1"/>
          <w:kern w:val="0"/>
          <w:sz w:val="24"/>
        </w:rPr>
        <w:t>6.1</w:t>
      </w:r>
      <w:r w:rsidRPr="0054638F">
        <w:rPr>
          <w:rFonts w:eastAsiaTheme="minorEastAsia" w:hint="eastAsia"/>
          <w:b/>
          <w:color w:val="000000" w:themeColor="text1"/>
          <w:kern w:val="0"/>
          <w:sz w:val="24"/>
        </w:rPr>
        <w:t xml:space="preserve"> </w:t>
      </w:r>
      <w:r w:rsidRPr="0054638F">
        <w:rPr>
          <w:rFonts w:eastAsiaTheme="minorEastAsia" w:hint="eastAsia"/>
          <w:b/>
          <w:color w:val="000000" w:themeColor="text1"/>
          <w:kern w:val="0"/>
          <w:sz w:val="24"/>
        </w:rPr>
        <w:t>报告期末按公允价值占基金资产净值比例大小排序的前十名基金投资明细</w:t>
      </w:r>
    </w:p>
    <w:p w:rsidR="00C51B4E" w:rsidRPr="0054638F"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54638F">
        <w:rPr>
          <w:rFonts w:eastAsiaTheme="minorEastAsia"/>
          <w:color w:val="000000" w:themeColor="text1"/>
          <w:sz w:val="24"/>
        </w:rPr>
        <w:t>本基金本报告期末未持有基金。</w:t>
      </w:r>
    </w:p>
    <w:p w:rsidR="00C51B4E" w:rsidRPr="0054638F" w:rsidRDefault="00C51B4E" w:rsidP="0028293E">
      <w:pPr>
        <w:adjustRightInd w:val="0"/>
        <w:snapToGrid w:val="0"/>
        <w:spacing w:beforeLines="50" w:before="156" w:line="360" w:lineRule="auto"/>
        <w:rPr>
          <w:rFonts w:eastAsiaTheme="minorEastAsia"/>
          <w:b/>
          <w:color w:val="000000" w:themeColor="text1"/>
          <w:kern w:val="0"/>
          <w:sz w:val="24"/>
        </w:rPr>
      </w:pPr>
      <w:r w:rsidRPr="0054638F">
        <w:rPr>
          <w:rFonts w:eastAsiaTheme="minorEastAsia"/>
          <w:b/>
          <w:color w:val="000000" w:themeColor="text1"/>
          <w:kern w:val="0"/>
          <w:sz w:val="24"/>
        </w:rPr>
        <w:t>6.2</w:t>
      </w:r>
      <w:r w:rsidRPr="0054638F">
        <w:rPr>
          <w:rFonts w:eastAsiaTheme="minorEastAsia" w:hint="eastAsia"/>
          <w:b/>
          <w:color w:val="000000" w:themeColor="text1"/>
          <w:kern w:val="0"/>
          <w:sz w:val="24"/>
        </w:rPr>
        <w:t xml:space="preserve"> </w:t>
      </w:r>
      <w:r w:rsidRPr="0054638F">
        <w:rPr>
          <w:rFonts w:eastAsiaTheme="minorEastAsia" w:hint="eastAsia"/>
          <w:b/>
          <w:color w:val="000000" w:themeColor="text1"/>
          <w:kern w:val="0"/>
          <w:sz w:val="24"/>
        </w:rPr>
        <w:t>当期交易及持有基金产生的费用</w:t>
      </w:r>
    </w:p>
    <w:p w:rsidR="00C51B4E" w:rsidRPr="0054638F"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54638F">
        <w:rPr>
          <w:rFonts w:eastAsiaTheme="minorEastAsia"/>
          <w:color w:val="000000" w:themeColor="text1"/>
          <w:sz w:val="24"/>
        </w:rPr>
        <w:t>本基金本报告期内未交易或持有基金。</w:t>
      </w:r>
    </w:p>
    <w:p w:rsidR="0054638F" w:rsidRPr="0054638F" w:rsidRDefault="0054638F" w:rsidP="0054638F">
      <w:pPr>
        <w:adjustRightInd w:val="0"/>
        <w:snapToGrid w:val="0"/>
        <w:spacing w:beforeLines="50" w:before="156" w:line="360" w:lineRule="auto"/>
        <w:rPr>
          <w:rFonts w:eastAsiaTheme="minorEastAsia"/>
          <w:b/>
          <w:color w:val="000000" w:themeColor="text1"/>
          <w:kern w:val="0"/>
          <w:sz w:val="24"/>
        </w:rPr>
      </w:pPr>
      <w:r w:rsidRPr="0054638F">
        <w:rPr>
          <w:rFonts w:eastAsiaTheme="minorEastAsia"/>
          <w:b/>
          <w:color w:val="000000" w:themeColor="text1"/>
          <w:kern w:val="0"/>
          <w:sz w:val="24"/>
        </w:rPr>
        <w:t xml:space="preserve">6.3 </w:t>
      </w:r>
      <w:r w:rsidRPr="0054638F">
        <w:rPr>
          <w:rFonts w:eastAsiaTheme="minorEastAsia" w:hint="eastAsia"/>
          <w:b/>
          <w:color w:val="000000" w:themeColor="text1"/>
          <w:kern w:val="0"/>
          <w:sz w:val="24"/>
        </w:rPr>
        <w:t>本报告期持有的基金发生的重大影响事件</w:t>
      </w:r>
    </w:p>
    <w:p w:rsidR="0054638F" w:rsidRPr="0054638F" w:rsidRDefault="0054638F" w:rsidP="0054638F">
      <w:pPr>
        <w:autoSpaceDE w:val="0"/>
        <w:autoSpaceDN w:val="0"/>
        <w:adjustRightInd w:val="0"/>
        <w:spacing w:line="360" w:lineRule="auto"/>
        <w:ind w:firstLineChars="200" w:firstLine="480"/>
        <w:jc w:val="left"/>
        <w:rPr>
          <w:rFonts w:eastAsiaTheme="minorEastAsia"/>
          <w:color w:val="000000" w:themeColor="text1"/>
          <w:sz w:val="24"/>
        </w:rPr>
      </w:pPr>
      <w:r w:rsidRPr="0054638F">
        <w:rPr>
          <w:rFonts w:eastAsiaTheme="minorEastAsia" w:hint="eastAsia"/>
          <w:color w:val="000000" w:themeColor="text1"/>
          <w:sz w:val="24"/>
        </w:rPr>
        <w:t>无。</w:t>
      </w:r>
    </w:p>
    <w:p w:rsidR="0054638F" w:rsidRPr="0054638F" w:rsidRDefault="0054638F" w:rsidP="00C51B4E">
      <w:pPr>
        <w:autoSpaceDE w:val="0"/>
        <w:autoSpaceDN w:val="0"/>
        <w:adjustRightInd w:val="0"/>
        <w:spacing w:line="360" w:lineRule="auto"/>
        <w:ind w:firstLineChars="200" w:firstLine="420"/>
        <w:jc w:val="left"/>
        <w:rPr>
          <w:rFonts w:eastAsiaTheme="minorEastAsia" w:hint="eastAsia"/>
          <w:color w:val="000000" w:themeColor="text1"/>
          <w:szCs w:val="21"/>
        </w:rPr>
      </w:pP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交银强化回报债券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交银强化回报债券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46,475,839.07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5,062,347.17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245,297.43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740,502.16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11,895,517.63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2,278,521.10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34,825,618.87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3,524,328.23</w:t>
            </w:r>
          </w:p>
        </w:tc>
      </w:tr>
    </w:tbl>
    <w:p w:rsidR="003848F0" w:rsidRDefault="00A32D9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A4057C" w:rsidRDefault="00ED0E09" w:rsidP="0028293E">
      <w:pPr>
        <w:pStyle w:val="1"/>
        <w:spacing w:beforeLines="100" w:before="312" w:afterLines="100" w:after="312" w:line="360" w:lineRule="auto"/>
        <w:jc w:val="center"/>
        <w:rPr>
          <w:rFonts w:eastAsiaTheme="minorEastAsia"/>
          <w:color w:val="000000" w:themeColor="text1"/>
          <w:kern w:val="0"/>
          <w:sz w:val="24"/>
          <w:szCs w:val="24"/>
        </w:rPr>
      </w:pPr>
      <w:r w:rsidRPr="00A4057C">
        <w:rPr>
          <w:rFonts w:eastAsiaTheme="minorEastAsia"/>
          <w:color w:val="000000" w:themeColor="text1"/>
          <w:kern w:val="0"/>
          <w:sz w:val="24"/>
          <w:szCs w:val="24"/>
        </w:rPr>
        <w:lastRenderedPageBreak/>
        <w:t xml:space="preserve">§9 </w:t>
      </w:r>
      <w:r w:rsidR="00F139D5" w:rsidRPr="00A4057C">
        <w:rPr>
          <w:rFonts w:eastAsiaTheme="minorEastAsia"/>
          <w:color w:val="000000" w:themeColor="text1"/>
          <w:kern w:val="0"/>
          <w:sz w:val="24"/>
          <w:szCs w:val="24"/>
        </w:rPr>
        <w:t xml:space="preserve"> </w:t>
      </w:r>
      <w:r w:rsidRPr="00A4057C">
        <w:rPr>
          <w:rFonts w:eastAsiaTheme="minorEastAsia" w:hint="eastAsia"/>
          <w:color w:val="000000" w:themeColor="text1"/>
          <w:kern w:val="0"/>
          <w:sz w:val="24"/>
          <w:szCs w:val="24"/>
        </w:rPr>
        <w:t>影响投资者决策的其他重要信息</w:t>
      </w:r>
    </w:p>
    <w:p w:rsidR="00ED0E09" w:rsidRPr="00A4057C" w:rsidRDefault="00ED0E09" w:rsidP="00ED0E09">
      <w:pPr>
        <w:autoSpaceDE w:val="0"/>
        <w:autoSpaceDN w:val="0"/>
        <w:adjustRightInd w:val="0"/>
        <w:spacing w:line="360" w:lineRule="auto"/>
        <w:jc w:val="left"/>
        <w:rPr>
          <w:rFonts w:ascii="宋体" w:hAnsi="宋体"/>
          <w:b/>
          <w:bCs/>
          <w:color w:val="000000"/>
          <w:kern w:val="0"/>
          <w:sz w:val="24"/>
        </w:rPr>
      </w:pPr>
      <w:r w:rsidRPr="00A4057C">
        <w:rPr>
          <w:rFonts w:ascii="宋体" w:hAnsi="宋体" w:hint="eastAsia"/>
          <w:b/>
          <w:bCs/>
          <w:color w:val="000000"/>
          <w:kern w:val="0"/>
          <w:sz w:val="24"/>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3848F0">
        <w:tc>
          <w:tcPr>
            <w:tcW w:w="992" w:type="dxa"/>
            <w:vMerge w:val="restart"/>
          </w:tcPr>
          <w:p w:rsidR="003848F0" w:rsidRDefault="003848F0"/>
          <w:p w:rsidR="003848F0" w:rsidRDefault="00A32D9B">
            <w:r>
              <w:rPr>
                <w:rFonts w:ascii="宋体" w:hAnsi="宋体" w:hint="eastAsia"/>
                <w:bCs/>
                <w:color w:val="000000"/>
                <w:kern w:val="0"/>
                <w:szCs w:val="21"/>
              </w:rPr>
              <w:t>机构</w:t>
            </w:r>
          </w:p>
        </w:tc>
        <w:tc>
          <w:tcPr>
            <w:tcW w:w="991" w:type="dxa"/>
            <w:vAlign w:val="center"/>
          </w:tcPr>
          <w:p w:rsidR="003848F0" w:rsidRDefault="00A32D9B">
            <w:pPr>
              <w:jc w:val="center"/>
            </w:pPr>
            <w:r>
              <w:rPr>
                <w:rFonts w:ascii="宋体" w:hAnsi="宋体" w:hint="eastAsia"/>
                <w:color w:val="000000"/>
                <w:kern w:val="0"/>
                <w:szCs w:val="21"/>
              </w:rPr>
              <w:t>1</w:t>
            </w:r>
          </w:p>
        </w:tc>
        <w:tc>
          <w:tcPr>
            <w:tcW w:w="1843" w:type="dxa"/>
            <w:vAlign w:val="center"/>
          </w:tcPr>
          <w:p w:rsidR="003848F0" w:rsidRDefault="00A32D9B">
            <w:pPr>
              <w:jc w:val="center"/>
            </w:pPr>
            <w:r>
              <w:rPr>
                <w:rFonts w:ascii="宋体" w:hAnsi="宋体" w:hint="eastAsia"/>
                <w:color w:val="000000"/>
                <w:kern w:val="0"/>
                <w:szCs w:val="21"/>
              </w:rPr>
              <w:t>2018/1/1-2018/3/31</w:t>
            </w:r>
          </w:p>
        </w:tc>
        <w:tc>
          <w:tcPr>
            <w:tcW w:w="851" w:type="dxa"/>
            <w:vAlign w:val="center"/>
          </w:tcPr>
          <w:p w:rsidR="003848F0" w:rsidRDefault="00A32D9B">
            <w:pPr>
              <w:jc w:val="center"/>
            </w:pPr>
            <w:r>
              <w:rPr>
                <w:rFonts w:ascii="宋体" w:hAnsi="宋体" w:hint="eastAsia"/>
                <w:color w:val="000000"/>
                <w:kern w:val="0"/>
                <w:szCs w:val="21"/>
              </w:rPr>
              <w:t>19,735,124.63</w:t>
            </w:r>
          </w:p>
        </w:tc>
        <w:tc>
          <w:tcPr>
            <w:tcW w:w="850" w:type="dxa"/>
            <w:vAlign w:val="center"/>
          </w:tcPr>
          <w:p w:rsidR="003848F0" w:rsidRDefault="00A32D9B">
            <w:pPr>
              <w:jc w:val="center"/>
            </w:pPr>
            <w:r>
              <w:rPr>
                <w:rFonts w:ascii="宋体" w:hAnsi="宋体" w:hint="eastAsia"/>
                <w:color w:val="000000"/>
                <w:kern w:val="0"/>
                <w:szCs w:val="21"/>
              </w:rPr>
              <w:t>-</w:t>
            </w:r>
          </w:p>
        </w:tc>
        <w:tc>
          <w:tcPr>
            <w:tcW w:w="1134" w:type="dxa"/>
            <w:vAlign w:val="center"/>
          </w:tcPr>
          <w:p w:rsidR="003848F0" w:rsidRDefault="00A32D9B">
            <w:pPr>
              <w:jc w:val="center"/>
            </w:pPr>
            <w:r>
              <w:rPr>
                <w:rFonts w:ascii="宋体" w:hAnsi="宋体" w:hint="eastAsia"/>
                <w:color w:val="000000"/>
                <w:kern w:val="0"/>
                <w:szCs w:val="21"/>
              </w:rPr>
              <w:t>10,000,000.00</w:t>
            </w:r>
          </w:p>
        </w:tc>
        <w:tc>
          <w:tcPr>
            <w:tcW w:w="1419" w:type="dxa"/>
            <w:vAlign w:val="center"/>
          </w:tcPr>
          <w:p w:rsidR="003848F0" w:rsidRDefault="00A32D9B">
            <w:pPr>
              <w:jc w:val="center"/>
            </w:pPr>
            <w:r>
              <w:rPr>
                <w:rFonts w:ascii="宋体" w:hAnsi="宋体" w:hint="eastAsia"/>
                <w:color w:val="000000"/>
                <w:kern w:val="0"/>
                <w:szCs w:val="21"/>
              </w:rPr>
              <w:t>9,735,124.63</w:t>
            </w:r>
          </w:p>
        </w:tc>
        <w:tc>
          <w:tcPr>
            <w:tcW w:w="1130" w:type="dxa"/>
            <w:vAlign w:val="center"/>
          </w:tcPr>
          <w:p w:rsidR="003848F0" w:rsidRDefault="00A32D9B">
            <w:pPr>
              <w:jc w:val="center"/>
            </w:pPr>
            <w:r>
              <w:rPr>
                <w:rFonts w:ascii="宋体" w:hAnsi="宋体" w:hint="eastAsia"/>
                <w:color w:val="000000"/>
                <w:kern w:val="0"/>
                <w:szCs w:val="21"/>
              </w:rPr>
              <w:t>25.38%</w:t>
            </w:r>
          </w:p>
        </w:tc>
      </w:tr>
      <w:tr w:rsidR="003848F0">
        <w:tc>
          <w:tcPr>
            <w:tcW w:w="992" w:type="dxa"/>
            <w:vMerge/>
          </w:tcPr>
          <w:p w:rsidR="003848F0" w:rsidRDefault="003848F0"/>
        </w:tc>
        <w:tc>
          <w:tcPr>
            <w:tcW w:w="991" w:type="dxa"/>
            <w:vAlign w:val="center"/>
          </w:tcPr>
          <w:p w:rsidR="003848F0" w:rsidRDefault="00A32D9B">
            <w:pPr>
              <w:jc w:val="center"/>
            </w:pPr>
            <w:r>
              <w:rPr>
                <w:rFonts w:ascii="宋体" w:hAnsi="宋体" w:hint="eastAsia"/>
                <w:color w:val="000000"/>
                <w:kern w:val="0"/>
                <w:szCs w:val="21"/>
              </w:rPr>
              <w:t>2</w:t>
            </w:r>
          </w:p>
        </w:tc>
        <w:tc>
          <w:tcPr>
            <w:tcW w:w="1843" w:type="dxa"/>
            <w:vAlign w:val="center"/>
          </w:tcPr>
          <w:p w:rsidR="003848F0" w:rsidRDefault="00A32D9B">
            <w:pPr>
              <w:jc w:val="center"/>
            </w:pPr>
            <w:r>
              <w:rPr>
                <w:rFonts w:ascii="宋体" w:hAnsi="宋体" w:hint="eastAsia"/>
                <w:color w:val="000000"/>
                <w:kern w:val="0"/>
                <w:szCs w:val="21"/>
              </w:rPr>
              <w:t>2018/1/1-2018/3/31</w:t>
            </w:r>
          </w:p>
        </w:tc>
        <w:tc>
          <w:tcPr>
            <w:tcW w:w="851" w:type="dxa"/>
            <w:vAlign w:val="center"/>
          </w:tcPr>
          <w:p w:rsidR="003848F0" w:rsidRDefault="00A32D9B">
            <w:pPr>
              <w:jc w:val="center"/>
            </w:pPr>
            <w:r>
              <w:rPr>
                <w:rFonts w:ascii="宋体" w:hAnsi="宋体" w:hint="eastAsia"/>
                <w:color w:val="000000"/>
                <w:kern w:val="0"/>
                <w:szCs w:val="21"/>
              </w:rPr>
              <w:t>9,999,000.00</w:t>
            </w:r>
          </w:p>
        </w:tc>
        <w:tc>
          <w:tcPr>
            <w:tcW w:w="850" w:type="dxa"/>
            <w:vAlign w:val="center"/>
          </w:tcPr>
          <w:p w:rsidR="003848F0" w:rsidRDefault="00A32D9B">
            <w:pPr>
              <w:jc w:val="center"/>
            </w:pPr>
            <w:r>
              <w:rPr>
                <w:rFonts w:ascii="宋体" w:hAnsi="宋体" w:hint="eastAsia"/>
                <w:color w:val="000000"/>
                <w:kern w:val="0"/>
                <w:szCs w:val="21"/>
              </w:rPr>
              <w:t>-</w:t>
            </w:r>
          </w:p>
        </w:tc>
        <w:tc>
          <w:tcPr>
            <w:tcW w:w="1134" w:type="dxa"/>
            <w:vAlign w:val="center"/>
          </w:tcPr>
          <w:p w:rsidR="003848F0" w:rsidRDefault="00A32D9B">
            <w:pPr>
              <w:jc w:val="center"/>
            </w:pPr>
            <w:r>
              <w:rPr>
                <w:rFonts w:ascii="宋体" w:hAnsi="宋体" w:hint="eastAsia"/>
                <w:color w:val="000000"/>
                <w:kern w:val="0"/>
                <w:szCs w:val="21"/>
              </w:rPr>
              <w:t>-</w:t>
            </w:r>
          </w:p>
        </w:tc>
        <w:tc>
          <w:tcPr>
            <w:tcW w:w="1419" w:type="dxa"/>
            <w:vAlign w:val="center"/>
          </w:tcPr>
          <w:p w:rsidR="003848F0" w:rsidRDefault="00A32D9B">
            <w:pPr>
              <w:jc w:val="center"/>
            </w:pPr>
            <w:r>
              <w:rPr>
                <w:rFonts w:ascii="宋体" w:hAnsi="宋体" w:hint="eastAsia"/>
                <w:color w:val="000000"/>
                <w:kern w:val="0"/>
                <w:szCs w:val="21"/>
              </w:rPr>
              <w:t>9,999,000.00</w:t>
            </w:r>
          </w:p>
        </w:tc>
        <w:tc>
          <w:tcPr>
            <w:tcW w:w="1130" w:type="dxa"/>
            <w:vAlign w:val="center"/>
          </w:tcPr>
          <w:p w:rsidR="003848F0" w:rsidRDefault="00A32D9B">
            <w:pPr>
              <w:jc w:val="center"/>
            </w:pPr>
            <w:r>
              <w:rPr>
                <w:rFonts w:ascii="宋体" w:hAnsi="宋体" w:hint="eastAsia"/>
                <w:color w:val="000000"/>
                <w:kern w:val="0"/>
                <w:szCs w:val="21"/>
              </w:rPr>
              <w:t>26.07%</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4057C" w:rsidRDefault="00A4057C" w:rsidP="00A4057C">
      <w:pPr>
        <w:autoSpaceDE w:val="0"/>
        <w:autoSpaceDN w:val="0"/>
        <w:adjustRightInd w:val="0"/>
        <w:spacing w:line="288" w:lineRule="auto"/>
        <w:jc w:val="left"/>
        <w:rPr>
          <w:rFonts w:ascii="宋体" w:hAnsi="宋体"/>
          <w:b/>
          <w:bCs/>
          <w:color w:val="000000"/>
          <w:kern w:val="0"/>
          <w:sz w:val="24"/>
        </w:rPr>
      </w:pPr>
    </w:p>
    <w:p w:rsidR="00ED0E09" w:rsidRPr="00A4057C" w:rsidRDefault="00ED0E09" w:rsidP="00A4057C">
      <w:pPr>
        <w:autoSpaceDE w:val="0"/>
        <w:autoSpaceDN w:val="0"/>
        <w:adjustRightInd w:val="0"/>
        <w:spacing w:line="288" w:lineRule="auto"/>
        <w:jc w:val="left"/>
        <w:rPr>
          <w:rFonts w:ascii="宋体" w:hAnsi="宋体"/>
          <w:b/>
          <w:bCs/>
          <w:color w:val="000000"/>
          <w:kern w:val="0"/>
          <w:sz w:val="24"/>
        </w:rPr>
      </w:pPr>
      <w:bookmarkStart w:id="0" w:name="_GoBack"/>
      <w:bookmarkEnd w:id="0"/>
      <w:r w:rsidRPr="00A4057C">
        <w:rPr>
          <w:rFonts w:ascii="宋体" w:hAnsi="宋体" w:hint="eastAsia"/>
          <w:b/>
          <w:bCs/>
          <w:color w:val="000000"/>
          <w:kern w:val="0"/>
          <w:sz w:val="24"/>
        </w:rPr>
        <w:t>9.2 影响投资者决策的其他重要信息</w:t>
      </w:r>
    </w:p>
    <w:p w:rsidR="003848F0" w:rsidRPr="00A4057C" w:rsidRDefault="00A32D9B" w:rsidP="00A4057C">
      <w:pPr>
        <w:spacing w:line="288" w:lineRule="auto"/>
        <w:ind w:firstLineChars="200" w:firstLine="480"/>
        <w:rPr>
          <w:rFonts w:ascii="宋体" w:hAnsi="宋体"/>
          <w:color w:val="000000"/>
          <w:sz w:val="24"/>
        </w:rPr>
      </w:pPr>
      <w:r w:rsidRPr="00A4057C">
        <w:rPr>
          <w:rFonts w:ascii="宋体" w:hAnsi="宋体" w:hint="eastAsia"/>
          <w:color w:val="000000"/>
          <w:sz w:val="24"/>
        </w:rPr>
        <w:t>1</w:t>
      </w:r>
      <w:r w:rsidRPr="00A4057C">
        <w:rPr>
          <w:rFonts w:ascii="宋体" w:hAnsi="宋体" w:hint="eastAsia"/>
          <w:color w:val="000000"/>
          <w:sz w:val="24"/>
        </w:rPr>
        <w:t>、根据财政部和国家税务总局于</w:t>
      </w:r>
      <w:r w:rsidRPr="00A4057C">
        <w:rPr>
          <w:rFonts w:ascii="宋体" w:hAnsi="宋体" w:hint="eastAsia"/>
          <w:color w:val="000000"/>
          <w:sz w:val="24"/>
        </w:rPr>
        <w:t>2016</w:t>
      </w:r>
      <w:r w:rsidRPr="00A4057C">
        <w:rPr>
          <w:rFonts w:ascii="宋体" w:hAnsi="宋体" w:hint="eastAsia"/>
          <w:color w:val="000000"/>
          <w:sz w:val="24"/>
        </w:rPr>
        <w:t>年</w:t>
      </w:r>
      <w:r w:rsidRPr="00A4057C">
        <w:rPr>
          <w:rFonts w:ascii="宋体" w:hAnsi="宋体" w:hint="eastAsia"/>
          <w:color w:val="000000"/>
          <w:sz w:val="24"/>
        </w:rPr>
        <w:t>12</w:t>
      </w:r>
      <w:r w:rsidRPr="00A4057C">
        <w:rPr>
          <w:rFonts w:ascii="宋体" w:hAnsi="宋体" w:hint="eastAsia"/>
          <w:color w:val="000000"/>
          <w:sz w:val="24"/>
        </w:rPr>
        <w:t>月</w:t>
      </w:r>
      <w:r w:rsidRPr="00A4057C">
        <w:rPr>
          <w:rFonts w:ascii="宋体" w:hAnsi="宋体" w:hint="eastAsia"/>
          <w:color w:val="000000"/>
          <w:sz w:val="24"/>
        </w:rPr>
        <w:t>21</w:t>
      </w:r>
      <w:r w:rsidRPr="00A4057C">
        <w:rPr>
          <w:rFonts w:ascii="宋体" w:hAnsi="宋体" w:hint="eastAsia"/>
          <w:color w:val="000000"/>
          <w:sz w:val="24"/>
        </w:rPr>
        <w:t>日联合发布的《关于明确金融、房地产开发、教育辅助服务等增值税政策的通知》（财税</w:t>
      </w:r>
      <w:r w:rsidRPr="00A4057C">
        <w:rPr>
          <w:rFonts w:ascii="宋体" w:hAnsi="宋体" w:hint="eastAsia"/>
          <w:color w:val="000000"/>
          <w:sz w:val="24"/>
        </w:rPr>
        <w:t>[2016]140</w:t>
      </w:r>
      <w:r w:rsidRPr="00A4057C">
        <w:rPr>
          <w:rFonts w:ascii="宋体" w:hAnsi="宋体" w:hint="eastAsia"/>
          <w:color w:val="000000"/>
          <w:sz w:val="24"/>
        </w:rPr>
        <w:t>号）以及于</w:t>
      </w:r>
      <w:r w:rsidRPr="00A4057C">
        <w:rPr>
          <w:rFonts w:ascii="宋体" w:hAnsi="宋体" w:hint="eastAsia"/>
          <w:color w:val="000000"/>
          <w:sz w:val="24"/>
        </w:rPr>
        <w:t>2017</w:t>
      </w:r>
      <w:r w:rsidRPr="00A4057C">
        <w:rPr>
          <w:rFonts w:ascii="宋体" w:hAnsi="宋体" w:hint="eastAsia"/>
          <w:color w:val="000000"/>
          <w:sz w:val="24"/>
        </w:rPr>
        <w:t>年</w:t>
      </w:r>
      <w:r w:rsidRPr="00A4057C">
        <w:rPr>
          <w:rFonts w:ascii="宋体" w:hAnsi="宋体" w:hint="eastAsia"/>
          <w:color w:val="000000"/>
          <w:sz w:val="24"/>
        </w:rPr>
        <w:t>6</w:t>
      </w:r>
      <w:r w:rsidRPr="00A4057C">
        <w:rPr>
          <w:rFonts w:ascii="宋体" w:hAnsi="宋体" w:hint="eastAsia"/>
          <w:color w:val="000000"/>
          <w:sz w:val="24"/>
        </w:rPr>
        <w:t>月</w:t>
      </w:r>
      <w:r w:rsidRPr="00A4057C">
        <w:rPr>
          <w:rFonts w:ascii="宋体" w:hAnsi="宋体" w:hint="eastAsia"/>
          <w:color w:val="000000"/>
          <w:sz w:val="24"/>
        </w:rPr>
        <w:t>30</w:t>
      </w:r>
      <w:r w:rsidRPr="00A4057C">
        <w:rPr>
          <w:rFonts w:ascii="宋体" w:hAnsi="宋体" w:hint="eastAsia"/>
          <w:color w:val="000000"/>
          <w:sz w:val="24"/>
        </w:rPr>
        <w:t>日联合发布的《财政部、税务总局关于资管产品增值税有关问题的通知》（财税</w:t>
      </w:r>
      <w:r w:rsidRPr="00A4057C">
        <w:rPr>
          <w:rFonts w:ascii="宋体" w:hAnsi="宋体" w:hint="eastAsia"/>
          <w:color w:val="000000"/>
          <w:sz w:val="24"/>
        </w:rPr>
        <w:t>[2017]56</w:t>
      </w:r>
      <w:r w:rsidRPr="00A4057C">
        <w:rPr>
          <w:rFonts w:ascii="宋体" w:hAnsi="宋体" w:hint="eastAsia"/>
          <w:color w:val="000000"/>
          <w:sz w:val="24"/>
        </w:rPr>
        <w:t>号）等规定，自</w:t>
      </w:r>
      <w:r w:rsidRPr="00A4057C">
        <w:rPr>
          <w:rFonts w:ascii="宋体" w:hAnsi="宋体" w:hint="eastAsia"/>
          <w:color w:val="000000"/>
          <w:sz w:val="24"/>
        </w:rPr>
        <w:t>2018</w:t>
      </w:r>
      <w:r w:rsidRPr="00A4057C">
        <w:rPr>
          <w:rFonts w:ascii="宋体" w:hAnsi="宋体" w:hint="eastAsia"/>
          <w:color w:val="000000"/>
          <w:sz w:val="24"/>
        </w:rPr>
        <w:t>年</w:t>
      </w:r>
      <w:r w:rsidRPr="00A4057C">
        <w:rPr>
          <w:rFonts w:ascii="宋体" w:hAnsi="宋体" w:hint="eastAsia"/>
          <w:color w:val="000000"/>
          <w:sz w:val="24"/>
        </w:rPr>
        <w:t>1</w:t>
      </w:r>
      <w:r w:rsidRPr="00A4057C">
        <w:rPr>
          <w:rFonts w:ascii="宋体" w:hAnsi="宋体" w:hint="eastAsia"/>
          <w:color w:val="000000"/>
          <w:sz w:val="24"/>
        </w:rPr>
        <w:t>月</w:t>
      </w:r>
      <w:r w:rsidRPr="00A4057C">
        <w:rPr>
          <w:rFonts w:ascii="宋体" w:hAnsi="宋体" w:hint="eastAsia"/>
          <w:color w:val="000000"/>
          <w:sz w:val="24"/>
        </w:rPr>
        <w:t>1</w:t>
      </w:r>
      <w:r w:rsidRPr="00A4057C">
        <w:rPr>
          <w:rFonts w:ascii="宋体" w:hAnsi="宋体" w:hint="eastAsia"/>
          <w:color w:val="000000"/>
          <w:sz w:val="24"/>
        </w:rPr>
        <w:t>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w:t>
      </w:r>
      <w:r w:rsidRPr="00A4057C">
        <w:rPr>
          <w:rFonts w:ascii="宋体" w:hAnsi="宋体" w:hint="eastAsia"/>
          <w:color w:val="000000"/>
          <w:sz w:val="24"/>
        </w:rPr>
        <w:t>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ED0E09" w:rsidRDefault="00ED0E09" w:rsidP="00A4057C">
      <w:pPr>
        <w:spacing w:line="288" w:lineRule="auto"/>
        <w:ind w:firstLineChars="200" w:firstLine="480"/>
        <w:rPr>
          <w:rFonts w:ascii="宋体" w:hAnsi="宋体"/>
          <w:color w:val="000000"/>
          <w:szCs w:val="21"/>
        </w:rPr>
      </w:pPr>
      <w:r w:rsidRPr="00A4057C">
        <w:rPr>
          <w:rFonts w:ascii="宋体" w:hAnsi="宋体" w:hint="eastAsia"/>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3848F0" w:rsidRDefault="00A32D9B">
      <w:pPr>
        <w:spacing w:before="29" w:line="288" w:lineRule="auto"/>
        <w:ind w:firstLineChars="200" w:firstLine="480"/>
        <w:rPr>
          <w:rFonts w:eastAsiaTheme="minorEastAsia"/>
          <w:color w:val="000000"/>
          <w:sz w:val="24"/>
        </w:rPr>
      </w:pPr>
      <w:r>
        <w:rPr>
          <w:rFonts w:eastAsiaTheme="minorEastAsia"/>
          <w:color w:val="000000"/>
          <w:sz w:val="24"/>
        </w:rPr>
        <w:lastRenderedPageBreak/>
        <w:t>1</w:t>
      </w:r>
      <w:r>
        <w:rPr>
          <w:rFonts w:eastAsiaTheme="minorEastAsia"/>
          <w:color w:val="000000"/>
          <w:sz w:val="24"/>
        </w:rPr>
        <w:t>、中国证监会准予交银施罗德强化回报债券型证券投资基金募集注册的文件；</w:t>
      </w:r>
      <w:r>
        <w:rPr>
          <w:rFonts w:eastAsiaTheme="minorEastAsia"/>
          <w:color w:val="000000"/>
          <w:sz w:val="24"/>
        </w:rPr>
        <w:t xml:space="preserve"> </w:t>
      </w:r>
    </w:p>
    <w:p w:rsidR="003848F0" w:rsidRDefault="00A32D9B">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、《交银施罗德强化回报债券型证券投资基金基金合同》；</w:t>
      </w:r>
      <w:r>
        <w:rPr>
          <w:rFonts w:eastAsiaTheme="minorEastAsia"/>
          <w:color w:val="000000"/>
          <w:sz w:val="24"/>
        </w:rPr>
        <w:t xml:space="preserve"> </w:t>
      </w:r>
    </w:p>
    <w:p w:rsidR="003848F0" w:rsidRDefault="00A32D9B">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、《交银施罗德强化回报债券型证券投资基金招募说明书》；</w:t>
      </w:r>
      <w:r>
        <w:rPr>
          <w:rFonts w:eastAsiaTheme="minorEastAsia"/>
          <w:color w:val="000000"/>
          <w:sz w:val="24"/>
        </w:rPr>
        <w:t xml:space="preserve"> </w:t>
      </w:r>
    </w:p>
    <w:p w:rsidR="003848F0" w:rsidRDefault="00A32D9B">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、《交银施罗德强化回报债券型证券投资基金托管协议》；</w:t>
      </w:r>
      <w:r>
        <w:rPr>
          <w:rFonts w:eastAsiaTheme="minorEastAsia"/>
          <w:color w:val="000000"/>
          <w:sz w:val="24"/>
        </w:rPr>
        <w:t xml:space="preserve"> </w:t>
      </w:r>
    </w:p>
    <w:p w:rsidR="003848F0" w:rsidRDefault="00A32D9B">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、关于募集交银施罗德强化回报债券型证券投资基金之法律意见书；</w:t>
      </w:r>
      <w:r>
        <w:rPr>
          <w:rFonts w:eastAsiaTheme="minorEastAsia"/>
          <w:color w:val="000000"/>
          <w:sz w:val="24"/>
        </w:rPr>
        <w:t xml:space="preserve"> </w:t>
      </w:r>
    </w:p>
    <w:p w:rsidR="003848F0" w:rsidRDefault="00A32D9B">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3848F0" w:rsidRDefault="00A32D9B">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、报告期内交银施罗德强化回报债券型证券投资基金在指定报刊上各项公告的原稿。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3848F0" w:rsidRDefault="00A32D9B">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D9B" w:rsidRDefault="00A32D9B">
      <w:r>
        <w:separator/>
      </w:r>
    </w:p>
  </w:endnote>
  <w:endnote w:type="continuationSeparator" w:id="0">
    <w:p w:rsidR="00A32D9B" w:rsidRDefault="00A3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A4057C">
      <w:rPr>
        <w:noProof/>
        <w:kern w:val="0"/>
        <w:szCs w:val="21"/>
      </w:rPr>
      <w:t>16</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A4057C">
      <w:rPr>
        <w:noProof/>
        <w:kern w:val="0"/>
        <w:szCs w:val="21"/>
      </w:rPr>
      <w:t>16</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D9B" w:rsidRDefault="00A32D9B">
      <w:r>
        <w:separator/>
      </w:r>
    </w:p>
  </w:footnote>
  <w:footnote w:type="continuationSeparator" w:id="0">
    <w:p w:rsidR="00A32D9B" w:rsidRDefault="00A32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交银施罗德强化回报债券型证券投资基金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8F0"/>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38F"/>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2D9B"/>
    <w:rsid w:val="00A36D00"/>
    <w:rsid w:val="00A4057C"/>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395207574">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CF850-C710-4E33-B5B3-7467F366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209</TotalTime>
  <Pages>16</Pages>
  <Words>1447</Words>
  <Characters>8254</Characters>
  <Application>Microsoft Office Word</Application>
  <DocSecurity>0</DocSecurity>
  <Lines>68</Lines>
  <Paragraphs>19</Paragraphs>
  <ScaleCrop>false</ScaleCrop>
  <Company>TRT. Ltd. Co.</Company>
  <LinksUpToDate>false</LinksUpToDate>
  <CharactersWithSpaces>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377</cp:revision>
  <cp:lastPrinted>2007-07-19T00:46:00Z</cp:lastPrinted>
  <dcterms:created xsi:type="dcterms:W3CDTF">2014-01-17T06:19:00Z</dcterms:created>
  <dcterms:modified xsi:type="dcterms:W3CDTF">2018-04-18T09:43:00Z</dcterms:modified>
</cp:coreProperties>
</file>