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交银施罗德增强收益债券型证券投资基金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70AC2" w:rsidRDefault="00BE0EE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70AC2" w:rsidRDefault="00BE0EEB">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70AC2" w:rsidRDefault="00BE0EE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70AC2" w:rsidRDefault="00BE0EE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70AC2" w:rsidRDefault="00BE0EE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26,518,772.45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90%×</w:t>
            </w:r>
            <w:r w:rsidRPr="00414345">
              <w:rPr>
                <w:color w:val="000000"/>
                <w:kern w:val="0"/>
                <w:sz w:val="24"/>
                <w:szCs w:val="24"/>
              </w:rPr>
              <w:t>中证综合债券指数收益率</w:t>
            </w:r>
            <w:r w:rsidRPr="00414345">
              <w:rPr>
                <w:color w:val="000000"/>
                <w:kern w:val="0"/>
                <w:sz w:val="24"/>
                <w:szCs w:val="24"/>
              </w:rPr>
              <w:t>+10%×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w:t>
            </w:r>
            <w:r w:rsidRPr="00414345">
              <w:rPr>
                <w:color w:val="000000"/>
                <w:kern w:val="0"/>
                <w:sz w:val="24"/>
                <w:szCs w:val="24"/>
              </w:rPr>
              <w:lastRenderedPageBreak/>
              <w:t>益和风险高于货币市场基金，低于混合型基金和股票型基金，属于证券投资基金中中等风险品种。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E0EEB" w:rsidRPr="00414345" w:rsidTr="00BE0EE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E0EEB" w:rsidRPr="00414345" w:rsidTr="00BE0E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-650,025.99</w:t>
            </w:r>
          </w:p>
        </w:tc>
      </w:tr>
      <w:tr w:rsidR="00BE0EEB" w:rsidRPr="00414345" w:rsidTr="00BE0E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-170,223.42</w:t>
            </w:r>
          </w:p>
        </w:tc>
      </w:tr>
      <w:tr w:rsidR="00BE0EEB" w:rsidRPr="00414345" w:rsidTr="00BE0E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-0.0055</w:t>
            </w:r>
          </w:p>
        </w:tc>
      </w:tr>
      <w:tr w:rsidR="00BE0EEB" w:rsidRPr="00414345" w:rsidTr="00BE0E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33,531,571.62</w:t>
            </w:r>
          </w:p>
        </w:tc>
      </w:tr>
      <w:tr w:rsidR="00BE0EEB" w:rsidRPr="00414345" w:rsidTr="00BE0EE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1.264</w:t>
            </w:r>
          </w:p>
        </w:tc>
      </w:tr>
    </w:tbl>
    <w:p w:rsidR="00A70AC2" w:rsidRDefault="00BE0EE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70AC2">
        <w:trPr>
          <w:jc w:val="center"/>
        </w:trPr>
        <w:tc>
          <w:tcPr>
            <w:tcW w:w="1701" w:type="dxa"/>
            <w:vAlign w:val="center"/>
          </w:tcPr>
          <w:p w:rsidR="00A70AC2" w:rsidRDefault="00BE0EEB">
            <w:pPr>
              <w:jc w:val="left"/>
            </w:pPr>
            <w:r>
              <w:rPr>
                <w:color w:val="000000"/>
                <w:sz w:val="24"/>
                <w:szCs w:val="24"/>
              </w:rPr>
              <w:t>过去三个月</w:t>
            </w:r>
          </w:p>
        </w:tc>
        <w:tc>
          <w:tcPr>
            <w:tcW w:w="1045" w:type="dxa"/>
            <w:vAlign w:val="center"/>
          </w:tcPr>
          <w:p w:rsidR="00A70AC2" w:rsidRDefault="00BE0EEB">
            <w:pPr>
              <w:jc w:val="center"/>
            </w:pPr>
            <w:r>
              <w:rPr>
                <w:color w:val="000000"/>
                <w:sz w:val="24"/>
                <w:szCs w:val="24"/>
              </w:rPr>
              <w:t>-0.47%</w:t>
            </w:r>
          </w:p>
        </w:tc>
        <w:tc>
          <w:tcPr>
            <w:tcW w:w="1344" w:type="dxa"/>
            <w:vAlign w:val="center"/>
          </w:tcPr>
          <w:p w:rsidR="00A70AC2" w:rsidRDefault="00BE0EEB">
            <w:pPr>
              <w:jc w:val="center"/>
            </w:pPr>
            <w:r>
              <w:rPr>
                <w:color w:val="000000"/>
                <w:sz w:val="24"/>
                <w:szCs w:val="24"/>
              </w:rPr>
              <w:t>0.34%</w:t>
            </w:r>
          </w:p>
        </w:tc>
        <w:tc>
          <w:tcPr>
            <w:tcW w:w="1194" w:type="dxa"/>
            <w:vAlign w:val="center"/>
          </w:tcPr>
          <w:p w:rsidR="00A70AC2" w:rsidRDefault="00BE0EEB">
            <w:pPr>
              <w:jc w:val="center"/>
            </w:pPr>
            <w:r>
              <w:rPr>
                <w:color w:val="000000"/>
                <w:sz w:val="24"/>
                <w:szCs w:val="24"/>
              </w:rPr>
              <w:t>1.52%</w:t>
            </w:r>
          </w:p>
        </w:tc>
        <w:tc>
          <w:tcPr>
            <w:tcW w:w="1492" w:type="dxa"/>
            <w:vAlign w:val="center"/>
          </w:tcPr>
          <w:p w:rsidR="00A70AC2" w:rsidRDefault="00BE0EEB">
            <w:pPr>
              <w:jc w:val="center"/>
            </w:pPr>
            <w:r>
              <w:rPr>
                <w:color w:val="000000"/>
                <w:sz w:val="24"/>
                <w:szCs w:val="24"/>
              </w:rPr>
              <w:t>0.12%</w:t>
            </w:r>
          </w:p>
        </w:tc>
        <w:tc>
          <w:tcPr>
            <w:tcW w:w="1194" w:type="dxa"/>
            <w:vAlign w:val="center"/>
          </w:tcPr>
          <w:p w:rsidR="00A70AC2" w:rsidRDefault="00BE0EEB">
            <w:pPr>
              <w:jc w:val="center"/>
            </w:pPr>
            <w:r>
              <w:rPr>
                <w:color w:val="000000"/>
                <w:sz w:val="24"/>
                <w:szCs w:val="24"/>
              </w:rPr>
              <w:t>-1.99%</w:t>
            </w:r>
          </w:p>
        </w:tc>
        <w:tc>
          <w:tcPr>
            <w:tcW w:w="898" w:type="dxa"/>
            <w:vAlign w:val="center"/>
          </w:tcPr>
          <w:p w:rsidR="00A70AC2" w:rsidRDefault="00BE0EEB">
            <w:pPr>
              <w:jc w:val="center"/>
            </w:pPr>
            <w:r>
              <w:rPr>
                <w:color w:val="000000"/>
                <w:sz w:val="24"/>
                <w:szCs w:val="24"/>
              </w:rPr>
              <w:t>0.22%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交银施罗德增强收益债券型证券投资基金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注：本基金由交银施罗德荣泰保本混合型证券投资基金转型而来。基金转型日为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日。本基金的投资转型期为交银施罗德荣泰保本混合型证券投资基金保本周期到期期间截止日的次日（即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70AC2">
        <w:trPr>
          <w:jc w:val="center"/>
        </w:trPr>
        <w:tc>
          <w:tcPr>
            <w:tcW w:w="846" w:type="dxa"/>
            <w:vAlign w:val="center"/>
          </w:tcPr>
          <w:p w:rsidR="00A70AC2" w:rsidRDefault="00BE0EEB">
            <w:pPr>
              <w:jc w:val="center"/>
            </w:pPr>
            <w:r>
              <w:rPr>
                <w:color w:val="000000"/>
                <w:sz w:val="24"/>
                <w:szCs w:val="24"/>
              </w:rPr>
              <w:t>于海颖</w:t>
            </w:r>
          </w:p>
        </w:tc>
        <w:tc>
          <w:tcPr>
            <w:tcW w:w="845" w:type="dxa"/>
            <w:vAlign w:val="center"/>
          </w:tcPr>
          <w:p w:rsidR="00A70AC2" w:rsidRDefault="00BE0EEB">
            <w:pPr>
              <w:jc w:val="center"/>
            </w:pPr>
            <w:r>
              <w:rPr>
                <w:color w:val="000000"/>
                <w:sz w:val="24"/>
                <w:szCs w:val="24"/>
              </w:rPr>
              <w:t>交银增利债券、交银纯债债券发起、交银荣祥保本混合、交银定期</w:t>
            </w:r>
            <w:r>
              <w:rPr>
                <w:color w:val="000000"/>
                <w:sz w:val="24"/>
                <w:szCs w:val="24"/>
              </w:rPr>
              <w:lastRenderedPageBreak/>
              <w:t>支付月月丰债券、交银增强收益债券、交银强化回报债券、交银丰盈收益债券、交银丰硕收益债券、交银荣鑫保本混合、交银增利增强债券的基金经理，公司固定收益（公募）投资总监</w:t>
            </w:r>
          </w:p>
        </w:tc>
        <w:tc>
          <w:tcPr>
            <w:tcW w:w="1549" w:type="dxa"/>
            <w:vAlign w:val="center"/>
          </w:tcPr>
          <w:p w:rsidR="00A70AC2" w:rsidRDefault="00BE0EEB">
            <w:pPr>
              <w:jc w:val="center"/>
            </w:pPr>
            <w:r>
              <w:rPr>
                <w:color w:val="000000"/>
                <w:sz w:val="24"/>
                <w:szCs w:val="24"/>
              </w:rPr>
              <w:lastRenderedPageBreak/>
              <w:t>2017-06-10</w:t>
            </w:r>
          </w:p>
        </w:tc>
        <w:tc>
          <w:tcPr>
            <w:tcW w:w="1548" w:type="dxa"/>
            <w:vAlign w:val="center"/>
          </w:tcPr>
          <w:p w:rsidR="00A70AC2" w:rsidRDefault="00BE0EEB">
            <w:pPr>
              <w:jc w:val="center"/>
            </w:pPr>
            <w:r>
              <w:rPr>
                <w:color w:val="000000"/>
                <w:sz w:val="24"/>
                <w:szCs w:val="24"/>
              </w:rPr>
              <w:t>-</w:t>
            </w:r>
          </w:p>
        </w:tc>
        <w:tc>
          <w:tcPr>
            <w:tcW w:w="1407" w:type="dxa"/>
            <w:vAlign w:val="center"/>
          </w:tcPr>
          <w:p w:rsidR="00A70AC2" w:rsidRDefault="00BE0EEB">
            <w:pPr>
              <w:jc w:val="center"/>
            </w:pPr>
            <w:r>
              <w:rPr>
                <w:color w:val="000000"/>
                <w:sz w:val="24"/>
                <w:szCs w:val="24"/>
              </w:rPr>
              <w:t>12</w:t>
            </w:r>
            <w:r>
              <w:rPr>
                <w:color w:val="000000"/>
                <w:sz w:val="24"/>
                <w:szCs w:val="24"/>
              </w:rPr>
              <w:t>年</w:t>
            </w:r>
          </w:p>
        </w:tc>
        <w:tc>
          <w:tcPr>
            <w:tcW w:w="2673" w:type="dxa"/>
            <w:vAlign w:val="center"/>
          </w:tcPr>
          <w:p w:rsidR="00A70AC2" w:rsidRDefault="00BE0EEB">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lastRenderedPageBreak/>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r w:rsidR="00A70AC2">
        <w:trPr>
          <w:jc w:val="center"/>
        </w:trPr>
        <w:tc>
          <w:tcPr>
            <w:tcW w:w="846" w:type="dxa"/>
            <w:vAlign w:val="center"/>
          </w:tcPr>
          <w:p w:rsidR="00A70AC2" w:rsidRDefault="00BE0EEB">
            <w:pPr>
              <w:jc w:val="center"/>
            </w:pPr>
            <w:r>
              <w:rPr>
                <w:color w:val="000000"/>
                <w:sz w:val="24"/>
                <w:szCs w:val="24"/>
              </w:rPr>
              <w:lastRenderedPageBreak/>
              <w:t>凌超</w:t>
            </w:r>
          </w:p>
        </w:tc>
        <w:tc>
          <w:tcPr>
            <w:tcW w:w="845" w:type="dxa"/>
            <w:vAlign w:val="center"/>
          </w:tcPr>
          <w:p w:rsidR="00A70AC2" w:rsidRDefault="00BE0EEB">
            <w:pPr>
              <w:jc w:val="center"/>
            </w:pPr>
            <w:r>
              <w:rPr>
                <w:color w:val="000000"/>
                <w:sz w:val="24"/>
                <w:szCs w:val="24"/>
              </w:rPr>
              <w:t>交银定期支付月月丰债券、交银增</w:t>
            </w:r>
            <w:r>
              <w:rPr>
                <w:color w:val="000000"/>
                <w:sz w:val="24"/>
                <w:szCs w:val="24"/>
              </w:rPr>
              <w:lastRenderedPageBreak/>
              <w:t>强收益债券、交银强化回报债券、交银增利增强债券的基金经理，公司固定收益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A70AC2" w:rsidRDefault="00BE0EEB">
            <w:pPr>
              <w:jc w:val="center"/>
            </w:pPr>
            <w:r>
              <w:rPr>
                <w:color w:val="000000"/>
                <w:sz w:val="24"/>
                <w:szCs w:val="24"/>
              </w:rPr>
              <w:lastRenderedPageBreak/>
              <w:t>2018-02-13</w:t>
            </w:r>
          </w:p>
        </w:tc>
        <w:tc>
          <w:tcPr>
            <w:tcW w:w="1548" w:type="dxa"/>
            <w:vAlign w:val="center"/>
          </w:tcPr>
          <w:p w:rsidR="00A70AC2" w:rsidRDefault="00BE0EEB">
            <w:pPr>
              <w:jc w:val="center"/>
            </w:pPr>
            <w:r>
              <w:rPr>
                <w:color w:val="000000"/>
                <w:sz w:val="24"/>
                <w:szCs w:val="24"/>
              </w:rPr>
              <w:t>-</w:t>
            </w:r>
          </w:p>
        </w:tc>
        <w:tc>
          <w:tcPr>
            <w:tcW w:w="1407" w:type="dxa"/>
            <w:vAlign w:val="center"/>
          </w:tcPr>
          <w:p w:rsidR="00A70AC2" w:rsidRDefault="00BE0EEB">
            <w:pPr>
              <w:jc w:val="center"/>
            </w:pPr>
            <w:r>
              <w:rPr>
                <w:color w:val="000000"/>
                <w:sz w:val="24"/>
                <w:szCs w:val="24"/>
              </w:rPr>
              <w:t>12</w:t>
            </w:r>
            <w:r>
              <w:rPr>
                <w:color w:val="000000"/>
                <w:sz w:val="24"/>
                <w:szCs w:val="24"/>
              </w:rPr>
              <w:t>年</w:t>
            </w:r>
          </w:p>
        </w:tc>
        <w:tc>
          <w:tcPr>
            <w:tcW w:w="2673" w:type="dxa"/>
            <w:vAlign w:val="center"/>
          </w:tcPr>
          <w:p w:rsidR="00A70AC2" w:rsidRDefault="00BE0EEB">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lastRenderedPageBreak/>
              <w:t>年任光大保德信基金有限管理公司研究员、基金助理、基金经理，</w:t>
            </w:r>
            <w:r>
              <w:rPr>
                <w:color w:val="000000"/>
                <w:sz w:val="24"/>
                <w:szCs w:val="24"/>
              </w:rPr>
              <w:t>2012</w:t>
            </w:r>
            <w:r>
              <w:rPr>
                <w:color w:val="000000"/>
                <w:sz w:val="24"/>
                <w:szCs w:val="24"/>
              </w:rPr>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年任天弘基金管理有限公司固定收益部副总经理、基金经理。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日任光大保德信货币市场基金基金经理，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日任海富通一年定期开放债券型证券投资基金基金经理，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日任海富通纯债债券型证券投资基金基金经理，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日任海富通稳固收益债券型证券投资基金基金经理，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日任天弘弘利债券型证券投资基金基金经理，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日任天弘裕利灵活配置混合型证券投资基金基金经理，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日任天弘债券型发起式证券投资基金基金经理。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70AC2" w:rsidRDefault="00BE0EE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70AC2" w:rsidRDefault="00BE0EE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70AC2" w:rsidRDefault="00BE0EE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70AC2" w:rsidRDefault="00BE0EEB">
      <w:pPr>
        <w:spacing w:before="29" w:line="288" w:lineRule="auto"/>
        <w:ind w:firstLineChars="200" w:firstLine="480"/>
        <w:rPr>
          <w:color w:val="000000"/>
          <w:sz w:val="24"/>
          <w:szCs w:val="24"/>
        </w:rPr>
      </w:pPr>
      <w:r>
        <w:rPr>
          <w:color w:val="000000"/>
          <w:sz w:val="24"/>
          <w:szCs w:val="24"/>
        </w:rPr>
        <w:t>今年以来，债券市场经历了一波收益率先上后下的行情。年初在流动性紧张等因素的综合影响下，关键年期</w:t>
      </w:r>
      <w:r>
        <w:rPr>
          <w:color w:val="000000"/>
          <w:sz w:val="24"/>
          <w:szCs w:val="24"/>
        </w:rPr>
        <w:t>10</w:t>
      </w:r>
      <w:r>
        <w:rPr>
          <w:color w:val="000000"/>
          <w:sz w:val="24"/>
          <w:szCs w:val="24"/>
        </w:rPr>
        <w:t>年期国开债收益率上行约</w:t>
      </w:r>
      <w:r>
        <w:rPr>
          <w:color w:val="000000"/>
          <w:sz w:val="24"/>
          <w:szCs w:val="24"/>
        </w:rPr>
        <w:t>30BP</w:t>
      </w:r>
      <w:r>
        <w:rPr>
          <w:color w:val="000000"/>
          <w:sz w:val="24"/>
          <w:szCs w:val="24"/>
        </w:rPr>
        <w:t>至年内</w:t>
      </w:r>
      <w:r>
        <w:rPr>
          <w:color w:val="000000"/>
          <w:sz w:val="24"/>
          <w:szCs w:val="24"/>
        </w:rPr>
        <w:t>5.12%</w:t>
      </w:r>
      <w:r>
        <w:rPr>
          <w:color w:val="000000"/>
          <w:sz w:val="24"/>
          <w:szCs w:val="24"/>
        </w:rPr>
        <w:t>的高点，随着基本面和资金面预期的修复，收益率出现较大幅度的下行，截至一季末，</w:t>
      </w:r>
      <w:r>
        <w:rPr>
          <w:color w:val="000000"/>
          <w:sz w:val="24"/>
          <w:szCs w:val="24"/>
        </w:rPr>
        <w:t>10</w:t>
      </w:r>
      <w:r>
        <w:rPr>
          <w:color w:val="000000"/>
          <w:sz w:val="24"/>
          <w:szCs w:val="24"/>
        </w:rPr>
        <w:t>年期国开债的收益率下行至</w:t>
      </w:r>
      <w:r>
        <w:rPr>
          <w:color w:val="000000"/>
          <w:sz w:val="24"/>
          <w:szCs w:val="24"/>
        </w:rPr>
        <w:t>4.7%</w:t>
      </w:r>
      <w:r>
        <w:rPr>
          <w:color w:val="000000"/>
          <w:sz w:val="24"/>
          <w:szCs w:val="24"/>
        </w:rPr>
        <w:t>左右，较</w:t>
      </w:r>
      <w:r>
        <w:rPr>
          <w:color w:val="000000"/>
          <w:sz w:val="24"/>
          <w:szCs w:val="24"/>
        </w:rPr>
        <w:t>2017</w:t>
      </w:r>
      <w:r>
        <w:rPr>
          <w:color w:val="000000"/>
          <w:sz w:val="24"/>
          <w:szCs w:val="24"/>
        </w:rPr>
        <w:t>年年末下行了约</w:t>
      </w:r>
      <w:r>
        <w:rPr>
          <w:color w:val="000000"/>
          <w:sz w:val="24"/>
          <w:szCs w:val="24"/>
        </w:rPr>
        <w:t>18BP</w:t>
      </w:r>
      <w:r>
        <w:rPr>
          <w:color w:val="000000"/>
          <w:sz w:val="24"/>
          <w:szCs w:val="24"/>
        </w:rPr>
        <w:t>。多方面因素共同推动了债券收益率明显下行</w:t>
      </w:r>
      <w:r>
        <w:rPr>
          <w:color w:val="000000"/>
          <w:sz w:val="24"/>
          <w:szCs w:val="24"/>
        </w:rPr>
        <w:t>.</w:t>
      </w:r>
      <w:r>
        <w:rPr>
          <w:color w:val="000000"/>
          <w:sz w:val="24"/>
          <w:szCs w:val="24"/>
        </w:rPr>
        <w:t>经济增长方面，春节之后复工弱于往年，大宗商品库存高企，大宗商品价格回落，经济增长预期出现分歧，物价虽然在二月由于春节错位因素抬升，但猪肉价格大幅下挫，生产资料价格下行明显，整体通胀环境不构成担忧。资金面方面，年初以来流动性超预期宽松，货币政策没有边际上收紧，三月份美联储加息，中国央行跟随上调公开市场</w:t>
      </w:r>
      <w:r>
        <w:rPr>
          <w:color w:val="000000"/>
          <w:sz w:val="24"/>
          <w:szCs w:val="24"/>
        </w:rPr>
        <w:t>5BP</w:t>
      </w:r>
      <w:r>
        <w:rPr>
          <w:color w:val="000000"/>
          <w:sz w:val="24"/>
          <w:szCs w:val="24"/>
        </w:rPr>
        <w:t>，上调幅度符合市场预期。在以上因素的综合影响下，整体债券</w:t>
      </w:r>
      <w:r>
        <w:rPr>
          <w:color w:val="000000"/>
          <w:sz w:val="24"/>
          <w:szCs w:val="24"/>
        </w:rPr>
        <w:lastRenderedPageBreak/>
        <w:t>市场情绪明显恢复。</w:t>
      </w:r>
    </w:p>
    <w:p w:rsidR="00A70AC2" w:rsidRDefault="00BE0EEB">
      <w:pPr>
        <w:spacing w:before="29" w:line="288" w:lineRule="auto"/>
        <w:ind w:firstLineChars="200" w:firstLine="480"/>
        <w:rPr>
          <w:color w:val="000000"/>
          <w:sz w:val="24"/>
          <w:szCs w:val="24"/>
        </w:rPr>
      </w:pPr>
      <w:r>
        <w:rPr>
          <w:color w:val="000000"/>
          <w:sz w:val="24"/>
          <w:szCs w:val="24"/>
        </w:rPr>
        <w:t>权益市场方面，地产产业链及油气产业链等大盘蓝筹板块引领市场近一个月左右的上涨行情，随着美股调整以及市场对地产政策的担忧，蓝筹板块回调，以计算机软件、集成电路板块为代表的成长板块接棒蓝筹成为市场上行的新动力。</w:t>
      </w:r>
    </w:p>
    <w:p w:rsidR="00A70AC2" w:rsidRDefault="00BE0EEB">
      <w:pPr>
        <w:spacing w:before="29" w:line="288" w:lineRule="auto"/>
        <w:ind w:firstLineChars="200" w:firstLine="480"/>
        <w:rPr>
          <w:color w:val="000000"/>
          <w:sz w:val="24"/>
          <w:szCs w:val="24"/>
        </w:rPr>
      </w:pPr>
      <w:r>
        <w:rPr>
          <w:color w:val="000000"/>
          <w:sz w:val="24"/>
          <w:szCs w:val="24"/>
        </w:rPr>
        <w:t>本报告期内，组合在春节前适当拉长债券资产久期，权益方面二月下旬逐步将配置重心调整至成长，而在三月下旬，考虑到监管政策的执行可能带来资金面短期的扰动，我们适当降低了组合仓位至中性。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我们对债市呈谨慎乐观看法。表外融资的收紧及环保力度加强将继续令经济基本面缓步承压，流动性总体较去年改善，但监管政策的落地及海外利率上行可能会对债市构成阶段性扰动，债券供给逐步放量也对债市收益率下行形成压力。权益方面，未来将根据景气度精选个股，择机加仓。</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9C5186" w:rsidRDefault="00BE0EEB" w:rsidP="00C15CAC">
      <w:pPr>
        <w:spacing w:before="29" w:line="288" w:lineRule="auto"/>
        <w:ind w:firstLineChars="200" w:firstLine="480"/>
        <w:rPr>
          <w:color w:val="000000"/>
          <w:sz w:val="24"/>
          <w:szCs w:val="24"/>
        </w:rPr>
      </w:pPr>
      <w:r w:rsidRPr="00BE0EEB">
        <w:rPr>
          <w:rFonts w:hint="eastAsia"/>
          <w:color w:val="000000"/>
          <w:sz w:val="24"/>
          <w:szCs w:val="24"/>
        </w:rPr>
        <w:t>截至</w:t>
      </w:r>
      <w:r w:rsidRPr="00BE0EEB">
        <w:rPr>
          <w:rFonts w:hint="eastAsia"/>
          <w:color w:val="000000"/>
          <w:sz w:val="24"/>
          <w:szCs w:val="24"/>
        </w:rPr>
        <w:t>2018</w:t>
      </w:r>
      <w:r w:rsidRPr="00BE0EEB">
        <w:rPr>
          <w:rFonts w:hint="eastAsia"/>
          <w:color w:val="000000"/>
          <w:sz w:val="24"/>
          <w:szCs w:val="24"/>
        </w:rPr>
        <w:t>年</w:t>
      </w:r>
      <w:r w:rsidRPr="00BE0EEB">
        <w:rPr>
          <w:rFonts w:hint="eastAsia"/>
          <w:color w:val="000000"/>
          <w:sz w:val="24"/>
          <w:szCs w:val="24"/>
        </w:rPr>
        <w:t>3</w:t>
      </w:r>
      <w:r w:rsidRPr="00BE0EEB">
        <w:rPr>
          <w:rFonts w:hint="eastAsia"/>
          <w:color w:val="000000"/>
          <w:sz w:val="24"/>
          <w:szCs w:val="24"/>
        </w:rPr>
        <w:t>月</w:t>
      </w:r>
      <w:r w:rsidRPr="00BE0EEB">
        <w:rPr>
          <w:rFonts w:hint="eastAsia"/>
          <w:color w:val="000000"/>
          <w:sz w:val="24"/>
          <w:szCs w:val="24"/>
        </w:rPr>
        <w:t>31</w:t>
      </w:r>
      <w:r w:rsidRPr="00BE0EEB">
        <w:rPr>
          <w:rFonts w:hint="eastAsia"/>
          <w:color w:val="000000"/>
          <w:sz w:val="24"/>
          <w:szCs w:val="24"/>
        </w:rPr>
        <w:t>日，本基金份额净值为</w:t>
      </w:r>
      <w:r w:rsidRPr="00BE0EEB">
        <w:rPr>
          <w:rFonts w:hint="eastAsia"/>
          <w:color w:val="000000"/>
          <w:sz w:val="24"/>
          <w:szCs w:val="24"/>
        </w:rPr>
        <w:t>1.264</w:t>
      </w:r>
      <w:r w:rsidRPr="00BE0EEB">
        <w:rPr>
          <w:rFonts w:hint="eastAsia"/>
          <w:color w:val="000000"/>
          <w:sz w:val="24"/>
          <w:szCs w:val="24"/>
        </w:rPr>
        <w:t>元，本报告期份额净值增长率为</w:t>
      </w:r>
      <w:r w:rsidRPr="00BE0EEB">
        <w:rPr>
          <w:rFonts w:hint="eastAsia"/>
          <w:color w:val="000000"/>
          <w:sz w:val="24"/>
          <w:szCs w:val="24"/>
        </w:rPr>
        <w:t>-0.47%</w:t>
      </w:r>
      <w:r w:rsidRPr="00BE0EEB">
        <w:rPr>
          <w:rFonts w:hint="eastAsia"/>
          <w:color w:val="000000"/>
          <w:sz w:val="24"/>
          <w:szCs w:val="24"/>
        </w:rPr>
        <w:t>，同期业绩比较基准增长率为</w:t>
      </w:r>
      <w:r w:rsidRPr="00BE0EEB">
        <w:rPr>
          <w:rFonts w:hint="eastAsia"/>
          <w:color w:val="000000"/>
          <w:sz w:val="24"/>
          <w:szCs w:val="24"/>
        </w:rPr>
        <w:t>1.52%</w:t>
      </w:r>
      <w:r w:rsidRPr="00BE0EEB">
        <w:rPr>
          <w:rFonts w:hint="eastAsia"/>
          <w:color w:val="000000"/>
          <w:sz w:val="24"/>
          <w:szCs w:val="24"/>
        </w:rPr>
        <w:t>。</w:t>
      </w:r>
    </w:p>
    <w:p w:rsidR="00BE0EEB" w:rsidRPr="00BE0EEB" w:rsidRDefault="00BE0EEB"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2,928,772.00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2,928,772.00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32,217,648.80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80.84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32,217,648.80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80.84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1,637,720.55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3,067,366.55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7.70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39,851,507.90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522,750.00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1,073,249.00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1,332,773.00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2,928,772.00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70AC2">
        <w:trPr>
          <w:jc w:val="center"/>
        </w:trPr>
        <w:tc>
          <w:tcPr>
            <w:tcW w:w="855" w:type="dxa"/>
            <w:vAlign w:val="center"/>
          </w:tcPr>
          <w:p w:rsidR="00A70AC2" w:rsidRDefault="00BE0EEB">
            <w:pPr>
              <w:jc w:val="center"/>
            </w:pPr>
            <w:r>
              <w:rPr>
                <w:color w:val="000000"/>
                <w:sz w:val="24"/>
                <w:szCs w:val="24"/>
              </w:rPr>
              <w:t>1</w:t>
            </w:r>
          </w:p>
        </w:tc>
        <w:tc>
          <w:tcPr>
            <w:tcW w:w="1334" w:type="dxa"/>
            <w:vAlign w:val="center"/>
          </w:tcPr>
          <w:p w:rsidR="00A70AC2" w:rsidRDefault="00BE0EEB">
            <w:pPr>
              <w:jc w:val="center"/>
            </w:pPr>
            <w:r>
              <w:rPr>
                <w:color w:val="000000"/>
                <w:sz w:val="24"/>
                <w:szCs w:val="24"/>
              </w:rPr>
              <w:t>601398</w:t>
            </w:r>
          </w:p>
        </w:tc>
        <w:tc>
          <w:tcPr>
            <w:tcW w:w="1777" w:type="dxa"/>
            <w:vAlign w:val="center"/>
          </w:tcPr>
          <w:p w:rsidR="00A70AC2" w:rsidRDefault="00BE0EEB">
            <w:pPr>
              <w:jc w:val="center"/>
            </w:pPr>
            <w:r>
              <w:rPr>
                <w:color w:val="000000"/>
                <w:sz w:val="24"/>
                <w:szCs w:val="24"/>
              </w:rPr>
              <w:t>工商银行</w:t>
            </w:r>
          </w:p>
        </w:tc>
        <w:tc>
          <w:tcPr>
            <w:tcW w:w="1334" w:type="dxa"/>
            <w:vAlign w:val="center"/>
          </w:tcPr>
          <w:p w:rsidR="00A70AC2" w:rsidRDefault="00BE0EEB">
            <w:pPr>
              <w:jc w:val="right"/>
            </w:pPr>
            <w:r>
              <w:rPr>
                <w:color w:val="000000"/>
                <w:sz w:val="24"/>
                <w:szCs w:val="24"/>
              </w:rPr>
              <w:t>109,700</w:t>
            </w:r>
          </w:p>
        </w:tc>
        <w:tc>
          <w:tcPr>
            <w:tcW w:w="1924" w:type="dxa"/>
            <w:vAlign w:val="center"/>
          </w:tcPr>
          <w:p w:rsidR="00A70AC2" w:rsidRDefault="00BE0EEB">
            <w:pPr>
              <w:jc w:val="right"/>
            </w:pPr>
            <w:r>
              <w:rPr>
                <w:color w:val="000000"/>
                <w:sz w:val="24"/>
                <w:szCs w:val="24"/>
              </w:rPr>
              <w:t>668,073.00</w:t>
            </w:r>
          </w:p>
        </w:tc>
        <w:tc>
          <w:tcPr>
            <w:tcW w:w="1644" w:type="dxa"/>
            <w:vAlign w:val="center"/>
          </w:tcPr>
          <w:p w:rsidR="00A70AC2" w:rsidRDefault="00BE0EEB">
            <w:pPr>
              <w:jc w:val="right"/>
            </w:pPr>
            <w:r>
              <w:rPr>
                <w:color w:val="000000"/>
                <w:sz w:val="24"/>
                <w:szCs w:val="24"/>
              </w:rPr>
              <w:t>1.99</w:t>
            </w:r>
          </w:p>
        </w:tc>
      </w:tr>
      <w:tr w:rsidR="00A70AC2">
        <w:trPr>
          <w:jc w:val="center"/>
        </w:trPr>
        <w:tc>
          <w:tcPr>
            <w:tcW w:w="855" w:type="dxa"/>
            <w:vAlign w:val="center"/>
          </w:tcPr>
          <w:p w:rsidR="00A70AC2" w:rsidRDefault="00BE0EEB">
            <w:pPr>
              <w:jc w:val="center"/>
            </w:pPr>
            <w:r>
              <w:rPr>
                <w:color w:val="000000"/>
                <w:sz w:val="24"/>
                <w:szCs w:val="24"/>
              </w:rPr>
              <w:t>2</w:t>
            </w:r>
          </w:p>
        </w:tc>
        <w:tc>
          <w:tcPr>
            <w:tcW w:w="1334" w:type="dxa"/>
            <w:vAlign w:val="center"/>
          </w:tcPr>
          <w:p w:rsidR="00A70AC2" w:rsidRDefault="00BE0EEB">
            <w:pPr>
              <w:jc w:val="center"/>
            </w:pPr>
            <w:r>
              <w:rPr>
                <w:color w:val="000000"/>
                <w:sz w:val="24"/>
                <w:szCs w:val="24"/>
              </w:rPr>
              <w:t>601288</w:t>
            </w:r>
          </w:p>
        </w:tc>
        <w:tc>
          <w:tcPr>
            <w:tcW w:w="1777" w:type="dxa"/>
            <w:vAlign w:val="center"/>
          </w:tcPr>
          <w:p w:rsidR="00A70AC2" w:rsidRDefault="00BE0EEB">
            <w:pPr>
              <w:jc w:val="center"/>
            </w:pPr>
            <w:r>
              <w:rPr>
                <w:color w:val="000000"/>
                <w:sz w:val="24"/>
                <w:szCs w:val="24"/>
              </w:rPr>
              <w:t>农业银行</w:t>
            </w:r>
          </w:p>
        </w:tc>
        <w:tc>
          <w:tcPr>
            <w:tcW w:w="1334" w:type="dxa"/>
            <w:vAlign w:val="center"/>
          </w:tcPr>
          <w:p w:rsidR="00A70AC2" w:rsidRDefault="00BE0EEB">
            <w:pPr>
              <w:jc w:val="right"/>
            </w:pPr>
            <w:r>
              <w:rPr>
                <w:color w:val="000000"/>
                <w:sz w:val="24"/>
                <w:szCs w:val="24"/>
              </w:rPr>
              <w:t>170,000</w:t>
            </w:r>
          </w:p>
        </w:tc>
        <w:tc>
          <w:tcPr>
            <w:tcW w:w="1924" w:type="dxa"/>
            <w:vAlign w:val="center"/>
          </w:tcPr>
          <w:p w:rsidR="00A70AC2" w:rsidRDefault="00BE0EEB">
            <w:pPr>
              <w:jc w:val="right"/>
            </w:pPr>
            <w:r>
              <w:rPr>
                <w:color w:val="000000"/>
                <w:sz w:val="24"/>
                <w:szCs w:val="24"/>
              </w:rPr>
              <w:t>664,700.00</w:t>
            </w:r>
          </w:p>
        </w:tc>
        <w:tc>
          <w:tcPr>
            <w:tcW w:w="1644" w:type="dxa"/>
            <w:vAlign w:val="center"/>
          </w:tcPr>
          <w:p w:rsidR="00A70AC2" w:rsidRDefault="00BE0EEB">
            <w:pPr>
              <w:jc w:val="right"/>
            </w:pPr>
            <w:r>
              <w:rPr>
                <w:color w:val="000000"/>
                <w:sz w:val="24"/>
                <w:szCs w:val="24"/>
              </w:rPr>
              <w:t>1.98</w:t>
            </w:r>
          </w:p>
        </w:tc>
      </w:tr>
      <w:tr w:rsidR="00A70AC2">
        <w:trPr>
          <w:jc w:val="center"/>
        </w:trPr>
        <w:tc>
          <w:tcPr>
            <w:tcW w:w="855" w:type="dxa"/>
            <w:vAlign w:val="center"/>
          </w:tcPr>
          <w:p w:rsidR="00A70AC2" w:rsidRDefault="00BE0EEB">
            <w:pPr>
              <w:jc w:val="center"/>
            </w:pPr>
            <w:r>
              <w:rPr>
                <w:color w:val="000000"/>
                <w:sz w:val="24"/>
                <w:szCs w:val="24"/>
              </w:rPr>
              <w:t>3</w:t>
            </w:r>
          </w:p>
        </w:tc>
        <w:tc>
          <w:tcPr>
            <w:tcW w:w="1334" w:type="dxa"/>
            <w:vAlign w:val="center"/>
          </w:tcPr>
          <w:p w:rsidR="00A70AC2" w:rsidRDefault="00BE0EEB">
            <w:pPr>
              <w:jc w:val="center"/>
            </w:pPr>
            <w:r>
              <w:rPr>
                <w:color w:val="000000"/>
                <w:sz w:val="24"/>
                <w:szCs w:val="24"/>
              </w:rPr>
              <w:t>300616</w:t>
            </w:r>
          </w:p>
        </w:tc>
        <w:tc>
          <w:tcPr>
            <w:tcW w:w="1777" w:type="dxa"/>
            <w:vAlign w:val="center"/>
          </w:tcPr>
          <w:p w:rsidR="00A70AC2" w:rsidRDefault="00BE0EEB">
            <w:pPr>
              <w:jc w:val="center"/>
            </w:pPr>
            <w:r>
              <w:rPr>
                <w:color w:val="000000"/>
                <w:sz w:val="24"/>
                <w:szCs w:val="24"/>
              </w:rPr>
              <w:t>尚品宅配</w:t>
            </w:r>
          </w:p>
        </w:tc>
        <w:tc>
          <w:tcPr>
            <w:tcW w:w="1334" w:type="dxa"/>
            <w:vAlign w:val="center"/>
          </w:tcPr>
          <w:p w:rsidR="00A70AC2" w:rsidRDefault="00BE0EEB">
            <w:pPr>
              <w:jc w:val="right"/>
            </w:pPr>
            <w:r>
              <w:rPr>
                <w:color w:val="000000"/>
                <w:sz w:val="24"/>
                <w:szCs w:val="24"/>
              </w:rPr>
              <w:t>2,500</w:t>
            </w:r>
          </w:p>
        </w:tc>
        <w:tc>
          <w:tcPr>
            <w:tcW w:w="1924" w:type="dxa"/>
            <w:vAlign w:val="center"/>
          </w:tcPr>
          <w:p w:rsidR="00A70AC2" w:rsidRDefault="00BE0EEB">
            <w:pPr>
              <w:jc w:val="right"/>
            </w:pPr>
            <w:r>
              <w:rPr>
                <w:color w:val="000000"/>
                <w:sz w:val="24"/>
                <w:szCs w:val="24"/>
              </w:rPr>
              <w:t>522,750.00</w:t>
            </w:r>
          </w:p>
        </w:tc>
        <w:tc>
          <w:tcPr>
            <w:tcW w:w="1644" w:type="dxa"/>
            <w:vAlign w:val="center"/>
          </w:tcPr>
          <w:p w:rsidR="00A70AC2" w:rsidRDefault="00BE0EEB">
            <w:pPr>
              <w:jc w:val="right"/>
            </w:pPr>
            <w:r>
              <w:rPr>
                <w:color w:val="000000"/>
                <w:sz w:val="24"/>
                <w:szCs w:val="24"/>
              </w:rPr>
              <w:t>1.56</w:t>
            </w:r>
          </w:p>
        </w:tc>
      </w:tr>
      <w:tr w:rsidR="00A70AC2">
        <w:trPr>
          <w:jc w:val="center"/>
        </w:trPr>
        <w:tc>
          <w:tcPr>
            <w:tcW w:w="855" w:type="dxa"/>
            <w:vAlign w:val="center"/>
          </w:tcPr>
          <w:p w:rsidR="00A70AC2" w:rsidRDefault="00BE0EEB">
            <w:pPr>
              <w:jc w:val="center"/>
            </w:pPr>
            <w:r>
              <w:rPr>
                <w:color w:val="000000"/>
                <w:sz w:val="24"/>
                <w:szCs w:val="24"/>
              </w:rPr>
              <w:t>4</w:t>
            </w:r>
          </w:p>
        </w:tc>
        <w:tc>
          <w:tcPr>
            <w:tcW w:w="1334" w:type="dxa"/>
            <w:vAlign w:val="center"/>
          </w:tcPr>
          <w:p w:rsidR="00A70AC2" w:rsidRDefault="00BE0EEB">
            <w:pPr>
              <w:jc w:val="center"/>
            </w:pPr>
            <w:r>
              <w:rPr>
                <w:color w:val="000000"/>
                <w:sz w:val="24"/>
                <w:szCs w:val="24"/>
              </w:rPr>
              <w:t>300532</w:t>
            </w:r>
          </w:p>
        </w:tc>
        <w:tc>
          <w:tcPr>
            <w:tcW w:w="1777" w:type="dxa"/>
            <w:vAlign w:val="center"/>
          </w:tcPr>
          <w:p w:rsidR="00A70AC2" w:rsidRDefault="00BE0EEB">
            <w:pPr>
              <w:jc w:val="center"/>
            </w:pPr>
            <w:r>
              <w:rPr>
                <w:color w:val="000000"/>
                <w:sz w:val="24"/>
                <w:szCs w:val="24"/>
              </w:rPr>
              <w:t>今天国际</w:t>
            </w:r>
          </w:p>
        </w:tc>
        <w:tc>
          <w:tcPr>
            <w:tcW w:w="1334" w:type="dxa"/>
            <w:vAlign w:val="center"/>
          </w:tcPr>
          <w:p w:rsidR="00A70AC2" w:rsidRDefault="00BE0EEB">
            <w:pPr>
              <w:jc w:val="right"/>
            </w:pPr>
            <w:r>
              <w:rPr>
                <w:color w:val="000000"/>
                <w:sz w:val="24"/>
                <w:szCs w:val="24"/>
              </w:rPr>
              <w:t>11,700</w:t>
            </w:r>
          </w:p>
        </w:tc>
        <w:tc>
          <w:tcPr>
            <w:tcW w:w="1924" w:type="dxa"/>
            <w:vAlign w:val="center"/>
          </w:tcPr>
          <w:p w:rsidR="00A70AC2" w:rsidRDefault="00BE0EEB">
            <w:pPr>
              <w:jc w:val="right"/>
            </w:pPr>
            <w:r>
              <w:rPr>
                <w:color w:val="000000"/>
                <w:sz w:val="24"/>
                <w:szCs w:val="24"/>
              </w:rPr>
              <w:t>369,720.00</w:t>
            </w:r>
          </w:p>
        </w:tc>
        <w:tc>
          <w:tcPr>
            <w:tcW w:w="1644" w:type="dxa"/>
            <w:vAlign w:val="center"/>
          </w:tcPr>
          <w:p w:rsidR="00A70AC2" w:rsidRDefault="00BE0EEB">
            <w:pPr>
              <w:jc w:val="right"/>
            </w:pPr>
            <w:r>
              <w:rPr>
                <w:color w:val="000000"/>
                <w:sz w:val="24"/>
                <w:szCs w:val="24"/>
              </w:rPr>
              <w:t>1.10</w:t>
            </w:r>
          </w:p>
        </w:tc>
      </w:tr>
      <w:tr w:rsidR="00A70AC2">
        <w:trPr>
          <w:jc w:val="center"/>
        </w:trPr>
        <w:tc>
          <w:tcPr>
            <w:tcW w:w="855" w:type="dxa"/>
            <w:vAlign w:val="center"/>
          </w:tcPr>
          <w:p w:rsidR="00A70AC2" w:rsidRDefault="00BE0EEB">
            <w:pPr>
              <w:jc w:val="center"/>
            </w:pPr>
            <w:r>
              <w:rPr>
                <w:color w:val="000000"/>
                <w:sz w:val="24"/>
                <w:szCs w:val="24"/>
              </w:rPr>
              <w:t>5</w:t>
            </w:r>
          </w:p>
        </w:tc>
        <w:tc>
          <w:tcPr>
            <w:tcW w:w="1334" w:type="dxa"/>
            <w:vAlign w:val="center"/>
          </w:tcPr>
          <w:p w:rsidR="00A70AC2" w:rsidRDefault="00BE0EEB">
            <w:pPr>
              <w:jc w:val="center"/>
            </w:pPr>
            <w:r>
              <w:rPr>
                <w:color w:val="000000"/>
                <w:sz w:val="24"/>
                <w:szCs w:val="24"/>
              </w:rPr>
              <w:t>002410</w:t>
            </w:r>
          </w:p>
        </w:tc>
        <w:tc>
          <w:tcPr>
            <w:tcW w:w="1777" w:type="dxa"/>
            <w:vAlign w:val="center"/>
          </w:tcPr>
          <w:p w:rsidR="00A70AC2" w:rsidRDefault="00BE0EEB">
            <w:pPr>
              <w:jc w:val="center"/>
            </w:pPr>
            <w:r>
              <w:rPr>
                <w:color w:val="000000"/>
                <w:sz w:val="24"/>
                <w:szCs w:val="24"/>
              </w:rPr>
              <w:t>广联达</w:t>
            </w:r>
          </w:p>
        </w:tc>
        <w:tc>
          <w:tcPr>
            <w:tcW w:w="1334" w:type="dxa"/>
            <w:vAlign w:val="center"/>
          </w:tcPr>
          <w:p w:rsidR="00A70AC2" w:rsidRDefault="00BE0EEB">
            <w:pPr>
              <w:jc w:val="right"/>
            </w:pPr>
            <w:r>
              <w:rPr>
                <w:color w:val="000000"/>
                <w:sz w:val="24"/>
                <w:szCs w:val="24"/>
              </w:rPr>
              <w:t>14,500</w:t>
            </w:r>
          </w:p>
        </w:tc>
        <w:tc>
          <w:tcPr>
            <w:tcW w:w="1924" w:type="dxa"/>
            <w:vAlign w:val="center"/>
          </w:tcPr>
          <w:p w:rsidR="00A70AC2" w:rsidRDefault="00BE0EEB">
            <w:pPr>
              <w:jc w:val="right"/>
            </w:pPr>
            <w:r>
              <w:rPr>
                <w:color w:val="000000"/>
                <w:sz w:val="24"/>
                <w:szCs w:val="24"/>
              </w:rPr>
              <w:t>367,865.00</w:t>
            </w:r>
          </w:p>
        </w:tc>
        <w:tc>
          <w:tcPr>
            <w:tcW w:w="1644" w:type="dxa"/>
            <w:vAlign w:val="center"/>
          </w:tcPr>
          <w:p w:rsidR="00A70AC2" w:rsidRDefault="00BE0EEB">
            <w:pPr>
              <w:jc w:val="right"/>
            </w:pPr>
            <w:r>
              <w:rPr>
                <w:color w:val="000000"/>
                <w:sz w:val="24"/>
                <w:szCs w:val="24"/>
              </w:rPr>
              <w:t>1.10</w:t>
            </w:r>
          </w:p>
        </w:tc>
      </w:tr>
      <w:tr w:rsidR="00A70AC2">
        <w:trPr>
          <w:jc w:val="center"/>
        </w:trPr>
        <w:tc>
          <w:tcPr>
            <w:tcW w:w="855" w:type="dxa"/>
            <w:vAlign w:val="center"/>
          </w:tcPr>
          <w:p w:rsidR="00A70AC2" w:rsidRDefault="00BE0EEB">
            <w:pPr>
              <w:jc w:val="center"/>
            </w:pPr>
            <w:r>
              <w:rPr>
                <w:color w:val="000000"/>
                <w:sz w:val="24"/>
                <w:szCs w:val="24"/>
              </w:rPr>
              <w:t>6</w:t>
            </w:r>
          </w:p>
        </w:tc>
        <w:tc>
          <w:tcPr>
            <w:tcW w:w="1334" w:type="dxa"/>
            <w:vAlign w:val="center"/>
          </w:tcPr>
          <w:p w:rsidR="00A70AC2" w:rsidRDefault="00BE0EEB">
            <w:pPr>
              <w:jc w:val="center"/>
            </w:pPr>
            <w:r>
              <w:rPr>
                <w:color w:val="000000"/>
                <w:sz w:val="24"/>
                <w:szCs w:val="24"/>
              </w:rPr>
              <w:t>300170</w:t>
            </w:r>
          </w:p>
        </w:tc>
        <w:tc>
          <w:tcPr>
            <w:tcW w:w="1777" w:type="dxa"/>
            <w:vAlign w:val="center"/>
          </w:tcPr>
          <w:p w:rsidR="00A70AC2" w:rsidRDefault="00BE0EEB">
            <w:pPr>
              <w:jc w:val="center"/>
            </w:pPr>
            <w:r>
              <w:rPr>
                <w:color w:val="000000"/>
                <w:sz w:val="24"/>
                <w:szCs w:val="24"/>
              </w:rPr>
              <w:t>汉得信息</w:t>
            </w:r>
          </w:p>
        </w:tc>
        <w:tc>
          <w:tcPr>
            <w:tcW w:w="1334" w:type="dxa"/>
            <w:vAlign w:val="center"/>
          </w:tcPr>
          <w:p w:rsidR="00A70AC2" w:rsidRDefault="00BE0EEB">
            <w:pPr>
              <w:jc w:val="right"/>
            </w:pPr>
            <w:r>
              <w:rPr>
                <w:color w:val="000000"/>
                <w:sz w:val="24"/>
                <w:szCs w:val="24"/>
              </w:rPr>
              <w:t>18,900</w:t>
            </w:r>
          </w:p>
        </w:tc>
        <w:tc>
          <w:tcPr>
            <w:tcW w:w="1924" w:type="dxa"/>
            <w:vAlign w:val="center"/>
          </w:tcPr>
          <w:p w:rsidR="00A70AC2" w:rsidRDefault="00BE0EEB">
            <w:pPr>
              <w:jc w:val="right"/>
            </w:pPr>
            <w:r>
              <w:rPr>
                <w:color w:val="000000"/>
                <w:sz w:val="24"/>
                <w:szCs w:val="24"/>
              </w:rPr>
              <w:t>335,664.00</w:t>
            </w:r>
          </w:p>
        </w:tc>
        <w:tc>
          <w:tcPr>
            <w:tcW w:w="1644" w:type="dxa"/>
            <w:vAlign w:val="center"/>
          </w:tcPr>
          <w:p w:rsidR="00A70AC2" w:rsidRDefault="00BE0EEB">
            <w:pPr>
              <w:jc w:val="right"/>
            </w:pPr>
            <w:r>
              <w:rPr>
                <w:color w:val="000000"/>
                <w:sz w:val="24"/>
                <w:szCs w:val="24"/>
              </w:rPr>
              <w:t>1.00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4,493,880.60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13.40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27,723,768.20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27,723,768.20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32,217,648.80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w:t>
            </w:r>
            <w:r w:rsidRPr="00414345">
              <w:rPr>
                <w:color w:val="000000"/>
                <w:sz w:val="24"/>
                <w:szCs w:val="24"/>
              </w:rPr>
              <w:lastRenderedPageBreak/>
              <w:t>产净值比例</w:t>
            </w:r>
            <w:r w:rsidR="003B3494" w:rsidRPr="00414345">
              <w:rPr>
                <w:color w:val="000000"/>
                <w:sz w:val="24"/>
              </w:rPr>
              <w:t>（％）</w:t>
            </w:r>
          </w:p>
        </w:tc>
      </w:tr>
      <w:tr w:rsidR="00A70AC2">
        <w:trPr>
          <w:jc w:val="center"/>
        </w:trPr>
        <w:tc>
          <w:tcPr>
            <w:tcW w:w="850" w:type="dxa"/>
            <w:vAlign w:val="center"/>
          </w:tcPr>
          <w:p w:rsidR="00A70AC2" w:rsidRDefault="00BE0EEB">
            <w:pPr>
              <w:jc w:val="center"/>
            </w:pPr>
            <w:r>
              <w:rPr>
                <w:color w:val="000000"/>
                <w:sz w:val="24"/>
                <w:szCs w:val="24"/>
              </w:rPr>
              <w:lastRenderedPageBreak/>
              <w:t>1</w:t>
            </w:r>
          </w:p>
        </w:tc>
        <w:tc>
          <w:tcPr>
            <w:tcW w:w="1475" w:type="dxa"/>
            <w:vAlign w:val="center"/>
          </w:tcPr>
          <w:p w:rsidR="00A70AC2" w:rsidRDefault="00BE0EEB">
            <w:pPr>
              <w:jc w:val="center"/>
            </w:pPr>
            <w:r>
              <w:rPr>
                <w:color w:val="000000"/>
                <w:sz w:val="24"/>
                <w:szCs w:val="24"/>
              </w:rPr>
              <w:t>018005</w:t>
            </w:r>
          </w:p>
        </w:tc>
        <w:tc>
          <w:tcPr>
            <w:tcW w:w="1769" w:type="dxa"/>
            <w:vAlign w:val="center"/>
          </w:tcPr>
          <w:p w:rsidR="00A70AC2" w:rsidRDefault="00BE0EEB">
            <w:pPr>
              <w:jc w:val="center"/>
            </w:pPr>
            <w:r>
              <w:rPr>
                <w:color w:val="000000"/>
                <w:sz w:val="24"/>
                <w:szCs w:val="24"/>
              </w:rPr>
              <w:t>国开</w:t>
            </w:r>
            <w:r>
              <w:rPr>
                <w:color w:val="000000"/>
                <w:sz w:val="24"/>
                <w:szCs w:val="24"/>
              </w:rPr>
              <w:t>1701</w:t>
            </w:r>
          </w:p>
        </w:tc>
        <w:tc>
          <w:tcPr>
            <w:tcW w:w="1387" w:type="dxa"/>
            <w:vAlign w:val="center"/>
          </w:tcPr>
          <w:p w:rsidR="00A70AC2" w:rsidRDefault="00BE0EEB">
            <w:pPr>
              <w:jc w:val="right"/>
            </w:pPr>
            <w:r>
              <w:rPr>
                <w:color w:val="000000"/>
                <w:sz w:val="24"/>
                <w:szCs w:val="24"/>
              </w:rPr>
              <w:t>203,350</w:t>
            </w:r>
          </w:p>
        </w:tc>
        <w:tc>
          <w:tcPr>
            <w:tcW w:w="2150" w:type="dxa"/>
            <w:vAlign w:val="center"/>
          </w:tcPr>
          <w:p w:rsidR="00A70AC2" w:rsidRDefault="00BE0EEB">
            <w:pPr>
              <w:jc w:val="right"/>
            </w:pPr>
            <w:r>
              <w:rPr>
                <w:color w:val="000000"/>
                <w:sz w:val="24"/>
                <w:szCs w:val="24"/>
              </w:rPr>
              <w:t>20,298,397.00</w:t>
            </w:r>
          </w:p>
        </w:tc>
        <w:tc>
          <w:tcPr>
            <w:tcW w:w="1237" w:type="dxa"/>
            <w:vAlign w:val="center"/>
          </w:tcPr>
          <w:p w:rsidR="00A70AC2" w:rsidRDefault="00BE0EEB">
            <w:pPr>
              <w:jc w:val="right"/>
            </w:pPr>
            <w:r>
              <w:rPr>
                <w:color w:val="000000"/>
                <w:sz w:val="24"/>
                <w:szCs w:val="24"/>
              </w:rPr>
              <w:t>60.54</w:t>
            </w:r>
          </w:p>
        </w:tc>
      </w:tr>
      <w:tr w:rsidR="00A70AC2">
        <w:trPr>
          <w:jc w:val="center"/>
        </w:trPr>
        <w:tc>
          <w:tcPr>
            <w:tcW w:w="850" w:type="dxa"/>
            <w:vAlign w:val="center"/>
          </w:tcPr>
          <w:p w:rsidR="00A70AC2" w:rsidRDefault="00BE0EEB">
            <w:pPr>
              <w:jc w:val="center"/>
            </w:pPr>
            <w:r>
              <w:rPr>
                <w:color w:val="000000"/>
                <w:sz w:val="24"/>
                <w:szCs w:val="24"/>
              </w:rPr>
              <w:t>2</w:t>
            </w:r>
          </w:p>
        </w:tc>
        <w:tc>
          <w:tcPr>
            <w:tcW w:w="1475" w:type="dxa"/>
            <w:vAlign w:val="center"/>
          </w:tcPr>
          <w:p w:rsidR="00A70AC2" w:rsidRDefault="00BE0EEB">
            <w:pPr>
              <w:jc w:val="center"/>
            </w:pPr>
            <w:r>
              <w:rPr>
                <w:color w:val="000000"/>
                <w:sz w:val="24"/>
                <w:szCs w:val="24"/>
              </w:rPr>
              <w:t>170311</w:t>
            </w:r>
          </w:p>
        </w:tc>
        <w:tc>
          <w:tcPr>
            <w:tcW w:w="1769" w:type="dxa"/>
            <w:vAlign w:val="center"/>
          </w:tcPr>
          <w:p w:rsidR="00A70AC2" w:rsidRDefault="00BE0EEB">
            <w:pPr>
              <w:jc w:val="center"/>
            </w:pPr>
            <w:r>
              <w:rPr>
                <w:color w:val="000000"/>
                <w:sz w:val="24"/>
                <w:szCs w:val="24"/>
              </w:rPr>
              <w:t>17</w:t>
            </w:r>
            <w:r>
              <w:rPr>
                <w:color w:val="000000"/>
                <w:sz w:val="24"/>
                <w:szCs w:val="24"/>
              </w:rPr>
              <w:t>进出</w:t>
            </w:r>
            <w:r>
              <w:rPr>
                <w:color w:val="000000"/>
                <w:sz w:val="24"/>
                <w:szCs w:val="24"/>
              </w:rPr>
              <w:t>11</w:t>
            </w:r>
          </w:p>
        </w:tc>
        <w:tc>
          <w:tcPr>
            <w:tcW w:w="1387" w:type="dxa"/>
            <w:vAlign w:val="center"/>
          </w:tcPr>
          <w:p w:rsidR="00A70AC2" w:rsidRDefault="00BE0EEB">
            <w:pPr>
              <w:jc w:val="right"/>
            </w:pPr>
            <w:r>
              <w:rPr>
                <w:color w:val="000000"/>
                <w:sz w:val="24"/>
                <w:szCs w:val="24"/>
              </w:rPr>
              <w:t>50,000</w:t>
            </w:r>
          </w:p>
        </w:tc>
        <w:tc>
          <w:tcPr>
            <w:tcW w:w="2150" w:type="dxa"/>
            <w:vAlign w:val="center"/>
          </w:tcPr>
          <w:p w:rsidR="00A70AC2" w:rsidRDefault="00BE0EEB">
            <w:pPr>
              <w:jc w:val="right"/>
            </w:pPr>
            <w:r>
              <w:rPr>
                <w:color w:val="000000"/>
                <w:sz w:val="24"/>
                <w:szCs w:val="24"/>
              </w:rPr>
              <w:t>4,999,000.00</w:t>
            </w:r>
          </w:p>
        </w:tc>
        <w:tc>
          <w:tcPr>
            <w:tcW w:w="1237" w:type="dxa"/>
            <w:vAlign w:val="center"/>
          </w:tcPr>
          <w:p w:rsidR="00A70AC2" w:rsidRDefault="00BE0EEB">
            <w:pPr>
              <w:jc w:val="right"/>
            </w:pPr>
            <w:r>
              <w:rPr>
                <w:color w:val="000000"/>
                <w:sz w:val="24"/>
                <w:szCs w:val="24"/>
              </w:rPr>
              <w:t>14.91</w:t>
            </w:r>
          </w:p>
        </w:tc>
      </w:tr>
      <w:tr w:rsidR="00A70AC2">
        <w:trPr>
          <w:jc w:val="center"/>
        </w:trPr>
        <w:tc>
          <w:tcPr>
            <w:tcW w:w="850" w:type="dxa"/>
            <w:vAlign w:val="center"/>
          </w:tcPr>
          <w:p w:rsidR="00A70AC2" w:rsidRDefault="00BE0EEB">
            <w:pPr>
              <w:jc w:val="center"/>
            </w:pPr>
            <w:r>
              <w:rPr>
                <w:color w:val="000000"/>
                <w:sz w:val="24"/>
                <w:szCs w:val="24"/>
              </w:rPr>
              <w:t>3</w:t>
            </w:r>
          </w:p>
        </w:tc>
        <w:tc>
          <w:tcPr>
            <w:tcW w:w="1475" w:type="dxa"/>
            <w:vAlign w:val="center"/>
          </w:tcPr>
          <w:p w:rsidR="00A70AC2" w:rsidRDefault="00BE0EEB">
            <w:pPr>
              <w:jc w:val="center"/>
            </w:pPr>
            <w:r>
              <w:rPr>
                <w:color w:val="000000"/>
                <w:sz w:val="24"/>
                <w:szCs w:val="24"/>
              </w:rPr>
              <w:t>010303</w:t>
            </w:r>
          </w:p>
        </w:tc>
        <w:tc>
          <w:tcPr>
            <w:tcW w:w="1769" w:type="dxa"/>
            <w:vAlign w:val="center"/>
          </w:tcPr>
          <w:p w:rsidR="00A70AC2" w:rsidRDefault="00BE0EEB">
            <w:pPr>
              <w:jc w:val="center"/>
            </w:pPr>
            <w:r>
              <w:rPr>
                <w:color w:val="000000"/>
                <w:sz w:val="24"/>
                <w:szCs w:val="24"/>
              </w:rPr>
              <w:t>03</w:t>
            </w:r>
            <w:r>
              <w:rPr>
                <w:color w:val="000000"/>
                <w:sz w:val="24"/>
                <w:szCs w:val="24"/>
              </w:rPr>
              <w:t>国债</w:t>
            </w:r>
            <w:r>
              <w:rPr>
                <w:color w:val="000000"/>
                <w:sz w:val="24"/>
                <w:szCs w:val="24"/>
              </w:rPr>
              <w:t>⑶</w:t>
            </w:r>
          </w:p>
        </w:tc>
        <w:tc>
          <w:tcPr>
            <w:tcW w:w="1387" w:type="dxa"/>
            <w:vAlign w:val="center"/>
          </w:tcPr>
          <w:p w:rsidR="00A70AC2" w:rsidRDefault="00BE0EEB">
            <w:pPr>
              <w:jc w:val="right"/>
            </w:pPr>
            <w:r>
              <w:rPr>
                <w:color w:val="000000"/>
                <w:sz w:val="24"/>
                <w:szCs w:val="24"/>
              </w:rPr>
              <w:t>46,110</w:t>
            </w:r>
          </w:p>
        </w:tc>
        <w:tc>
          <w:tcPr>
            <w:tcW w:w="2150" w:type="dxa"/>
            <w:vAlign w:val="center"/>
          </w:tcPr>
          <w:p w:rsidR="00A70AC2" w:rsidRDefault="00BE0EEB">
            <w:pPr>
              <w:jc w:val="right"/>
            </w:pPr>
            <w:r>
              <w:rPr>
                <w:color w:val="000000"/>
                <w:sz w:val="24"/>
                <w:szCs w:val="24"/>
              </w:rPr>
              <w:t>4,493,880.60</w:t>
            </w:r>
          </w:p>
        </w:tc>
        <w:tc>
          <w:tcPr>
            <w:tcW w:w="1237" w:type="dxa"/>
            <w:vAlign w:val="center"/>
          </w:tcPr>
          <w:p w:rsidR="00A70AC2" w:rsidRDefault="00BE0EEB">
            <w:pPr>
              <w:jc w:val="right"/>
            </w:pPr>
            <w:r>
              <w:rPr>
                <w:color w:val="000000"/>
                <w:sz w:val="24"/>
                <w:szCs w:val="24"/>
              </w:rPr>
              <w:t>13.40</w:t>
            </w:r>
          </w:p>
        </w:tc>
      </w:tr>
      <w:tr w:rsidR="00A70AC2">
        <w:trPr>
          <w:jc w:val="center"/>
        </w:trPr>
        <w:tc>
          <w:tcPr>
            <w:tcW w:w="850" w:type="dxa"/>
            <w:vAlign w:val="center"/>
          </w:tcPr>
          <w:p w:rsidR="00A70AC2" w:rsidRDefault="00BE0EEB">
            <w:pPr>
              <w:jc w:val="center"/>
            </w:pPr>
            <w:r>
              <w:rPr>
                <w:color w:val="000000"/>
                <w:sz w:val="24"/>
                <w:szCs w:val="24"/>
              </w:rPr>
              <w:t>4</w:t>
            </w:r>
          </w:p>
        </w:tc>
        <w:tc>
          <w:tcPr>
            <w:tcW w:w="1475" w:type="dxa"/>
            <w:vAlign w:val="center"/>
          </w:tcPr>
          <w:p w:rsidR="00A70AC2" w:rsidRDefault="00BE0EEB">
            <w:pPr>
              <w:jc w:val="center"/>
            </w:pPr>
            <w:r>
              <w:rPr>
                <w:color w:val="000000"/>
                <w:sz w:val="24"/>
                <w:szCs w:val="24"/>
              </w:rPr>
              <w:t>018006</w:t>
            </w:r>
          </w:p>
        </w:tc>
        <w:tc>
          <w:tcPr>
            <w:tcW w:w="1769" w:type="dxa"/>
            <w:vAlign w:val="center"/>
          </w:tcPr>
          <w:p w:rsidR="00A70AC2" w:rsidRDefault="00BE0EEB">
            <w:pPr>
              <w:jc w:val="center"/>
            </w:pPr>
            <w:r>
              <w:rPr>
                <w:color w:val="000000"/>
                <w:sz w:val="24"/>
                <w:szCs w:val="24"/>
              </w:rPr>
              <w:t>国开</w:t>
            </w:r>
            <w:r>
              <w:rPr>
                <w:color w:val="000000"/>
                <w:sz w:val="24"/>
                <w:szCs w:val="24"/>
              </w:rPr>
              <w:t>1702</w:t>
            </w:r>
          </w:p>
        </w:tc>
        <w:tc>
          <w:tcPr>
            <w:tcW w:w="1387" w:type="dxa"/>
            <w:vAlign w:val="center"/>
          </w:tcPr>
          <w:p w:rsidR="00A70AC2" w:rsidRDefault="00BE0EEB">
            <w:pPr>
              <w:jc w:val="right"/>
            </w:pPr>
            <w:r>
              <w:rPr>
                <w:color w:val="000000"/>
                <w:sz w:val="24"/>
                <w:szCs w:val="24"/>
              </w:rPr>
              <w:t>24,840</w:t>
            </w:r>
          </w:p>
        </w:tc>
        <w:tc>
          <w:tcPr>
            <w:tcW w:w="2150" w:type="dxa"/>
            <w:vAlign w:val="center"/>
          </w:tcPr>
          <w:p w:rsidR="00A70AC2" w:rsidRDefault="00BE0EEB">
            <w:pPr>
              <w:jc w:val="right"/>
            </w:pPr>
            <w:r>
              <w:rPr>
                <w:color w:val="000000"/>
                <w:sz w:val="24"/>
                <w:szCs w:val="24"/>
              </w:rPr>
              <w:t>2,426,371.20</w:t>
            </w:r>
          </w:p>
        </w:tc>
        <w:tc>
          <w:tcPr>
            <w:tcW w:w="1237" w:type="dxa"/>
            <w:vAlign w:val="center"/>
          </w:tcPr>
          <w:p w:rsidR="00A70AC2" w:rsidRDefault="00BE0EEB">
            <w:pPr>
              <w:jc w:val="right"/>
            </w:pPr>
            <w:r>
              <w:rPr>
                <w:color w:val="000000"/>
                <w:sz w:val="24"/>
                <w:szCs w:val="24"/>
              </w:rPr>
              <w:t>7.24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56,434.11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1,977,922.31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1,008,108.62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24,901.51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3,067,366.55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B32B05" w:rsidRDefault="00B32B05" w:rsidP="00B32B05">
      <w:pPr>
        <w:adjustRightInd w:val="0"/>
        <w:snapToGrid w:val="0"/>
        <w:spacing w:beforeLines="50" w:before="156" w:line="360" w:lineRule="auto"/>
        <w:rPr>
          <w:rFonts w:eastAsiaTheme="minorEastAsia"/>
          <w:b/>
          <w:color w:val="000000" w:themeColor="text1"/>
          <w:kern w:val="0"/>
          <w:sz w:val="24"/>
          <w:szCs w:val="24"/>
        </w:rPr>
      </w:pPr>
      <w:r>
        <w:rPr>
          <w:rFonts w:eastAsiaTheme="minorEastAsia"/>
          <w:b/>
          <w:color w:val="000000" w:themeColor="text1"/>
          <w:kern w:val="0"/>
          <w:sz w:val="24"/>
          <w:szCs w:val="24"/>
        </w:rPr>
        <w:t xml:space="preserve">6.3 </w:t>
      </w:r>
      <w:r>
        <w:rPr>
          <w:rFonts w:eastAsiaTheme="minorEastAsia" w:hint="eastAsia"/>
          <w:b/>
          <w:color w:val="000000" w:themeColor="text1"/>
          <w:kern w:val="0"/>
          <w:sz w:val="24"/>
          <w:szCs w:val="24"/>
        </w:rPr>
        <w:t>本报告期持有的基金发生的重大影响事件</w:t>
      </w:r>
    </w:p>
    <w:p w:rsidR="00B32B05" w:rsidRDefault="00B32B05" w:rsidP="00B32B05">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hint="eastAsia"/>
          <w:color w:val="000000" w:themeColor="text1"/>
          <w:sz w:val="24"/>
          <w:szCs w:val="24"/>
        </w:rPr>
        <w:t>无。</w:t>
      </w:r>
    </w:p>
    <w:p w:rsidR="00B32B05" w:rsidRPr="00B32B05" w:rsidRDefault="00B32B05"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37,581,503.83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16,029,775.93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27,092,507.31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26,518,772.45</w:t>
            </w:r>
          </w:p>
        </w:tc>
      </w:tr>
    </w:tbl>
    <w:p w:rsidR="00A70AC2" w:rsidRDefault="00BE0EE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615A9" w:rsidTr="00DF4B14">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3615A9" w:rsidRDefault="003615A9" w:rsidP="00DF4B14">
            <w:pPr>
              <w:autoSpaceDE w:val="0"/>
              <w:autoSpaceDN w:val="0"/>
              <w:adjustRightInd w:val="0"/>
              <w:jc w:val="center"/>
              <w:rPr>
                <w:rFonts w:ascii="宋体" w:hAnsi="宋体"/>
                <w:b/>
                <w:bCs/>
                <w:color w:val="000000"/>
                <w:kern w:val="0"/>
              </w:rPr>
            </w:pPr>
            <w:r>
              <w:rPr>
                <w:rFonts w:ascii="宋体" w:hAnsi="宋体" w:hint="eastAsia"/>
                <w:color w:val="000000"/>
                <w:kern w:val="0"/>
              </w:rPr>
              <w:t xml:space="preserve">投资者类别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3615A9" w:rsidRDefault="003615A9" w:rsidP="00DF4B14">
            <w:pPr>
              <w:autoSpaceDE w:val="0"/>
              <w:autoSpaceDN w:val="0"/>
              <w:adjustRightInd w:val="0"/>
              <w:jc w:val="center"/>
              <w:rPr>
                <w:rFonts w:ascii="宋体" w:hAnsi="宋体"/>
                <w:b/>
                <w:bCs/>
                <w:color w:val="000000"/>
                <w:kern w:val="0"/>
              </w:rPr>
            </w:pPr>
            <w:r>
              <w:rPr>
                <w:rFonts w:ascii="宋体" w:hAnsi="宋体" w:hint="eastAsia"/>
                <w:color w:val="000000"/>
                <w:kern w:val="0"/>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615A9" w:rsidRDefault="003615A9" w:rsidP="00DF4B14">
            <w:pPr>
              <w:autoSpaceDE w:val="0"/>
              <w:autoSpaceDN w:val="0"/>
              <w:adjustRightInd w:val="0"/>
              <w:jc w:val="center"/>
              <w:rPr>
                <w:rFonts w:ascii="宋体" w:hAnsi="宋体"/>
                <w:b/>
                <w:bCs/>
                <w:color w:val="000000"/>
                <w:kern w:val="0"/>
              </w:rPr>
            </w:pPr>
            <w:r>
              <w:rPr>
                <w:rFonts w:ascii="宋体" w:hAnsi="宋体" w:hint="eastAsia"/>
                <w:color w:val="000000"/>
                <w:kern w:val="0"/>
              </w:rPr>
              <w:t>报告期末持有基金情况</w:t>
            </w:r>
          </w:p>
        </w:tc>
      </w:tr>
      <w:tr w:rsidR="003615A9" w:rsidTr="00DF4B14">
        <w:tc>
          <w:tcPr>
            <w:tcW w:w="992" w:type="dxa"/>
            <w:vMerge/>
            <w:tcBorders>
              <w:top w:val="single" w:sz="4" w:space="0" w:color="auto"/>
              <w:left w:val="single" w:sz="4" w:space="0" w:color="auto"/>
              <w:bottom w:val="single" w:sz="4" w:space="0" w:color="auto"/>
              <w:right w:val="single" w:sz="4" w:space="0" w:color="auto"/>
            </w:tcBorders>
            <w:vAlign w:val="center"/>
            <w:hideMark/>
          </w:tcPr>
          <w:p w:rsidR="003615A9" w:rsidRDefault="003615A9" w:rsidP="00DF4B14">
            <w:pPr>
              <w:widowControl/>
              <w:jc w:val="left"/>
              <w:rPr>
                <w:rFonts w:ascii="宋体" w:hAnsi="宋体"/>
                <w:b/>
                <w:bCs/>
                <w:color w:val="000000"/>
                <w:kern w:val="0"/>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3615A9" w:rsidRDefault="003615A9" w:rsidP="00DF4B14">
            <w:pPr>
              <w:autoSpaceDE w:val="0"/>
              <w:autoSpaceDN w:val="0"/>
              <w:adjustRightInd w:val="0"/>
              <w:jc w:val="center"/>
              <w:rPr>
                <w:rFonts w:ascii="宋体" w:hAnsi="宋体"/>
                <w:b/>
                <w:bCs/>
                <w:color w:val="000000"/>
                <w:kern w:val="0"/>
              </w:rPr>
            </w:pPr>
            <w:r>
              <w:rPr>
                <w:rFonts w:ascii="宋体" w:hAnsi="宋体" w:hint="eastAsia"/>
                <w:color w:val="000000"/>
                <w:kern w:val="0"/>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15A9" w:rsidRDefault="003615A9" w:rsidP="00DF4B14">
            <w:pPr>
              <w:autoSpaceDE w:val="0"/>
              <w:autoSpaceDN w:val="0"/>
              <w:adjustRightInd w:val="0"/>
              <w:jc w:val="center"/>
              <w:rPr>
                <w:rFonts w:ascii="宋体" w:hAnsi="宋体"/>
                <w:b/>
                <w:bCs/>
                <w:color w:val="000000"/>
                <w:kern w:val="0"/>
              </w:rPr>
            </w:pPr>
            <w:r>
              <w:rPr>
                <w:rFonts w:ascii="宋体" w:hAnsi="宋体" w:hint="eastAsia"/>
                <w:color w:val="000000"/>
                <w:kern w:val="0"/>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615A9" w:rsidRDefault="003615A9" w:rsidP="00DF4B14">
            <w:pPr>
              <w:widowControl/>
              <w:jc w:val="center"/>
              <w:rPr>
                <w:rFonts w:ascii="宋体" w:hAnsi="宋体"/>
                <w:b/>
                <w:bCs/>
                <w:color w:val="000000"/>
                <w:kern w:val="0"/>
              </w:rPr>
            </w:pPr>
            <w:r>
              <w:rPr>
                <w:rFonts w:ascii="宋体" w:hAnsi="宋体" w:hint="eastAsia"/>
                <w:color w:val="000000"/>
                <w:kern w:val="0"/>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615A9" w:rsidRDefault="003615A9" w:rsidP="00DF4B14">
            <w:pPr>
              <w:widowControl/>
              <w:jc w:val="center"/>
              <w:rPr>
                <w:rFonts w:ascii="宋体" w:hAnsi="宋体"/>
                <w:b/>
                <w:bCs/>
                <w:color w:val="000000"/>
                <w:kern w:val="0"/>
              </w:rPr>
            </w:pPr>
            <w:r>
              <w:rPr>
                <w:rFonts w:ascii="宋体" w:hAnsi="宋体" w:hint="eastAsia"/>
                <w:color w:val="000000"/>
                <w:kern w:val="0"/>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15A9" w:rsidRDefault="003615A9" w:rsidP="00DF4B14">
            <w:pPr>
              <w:widowControl/>
              <w:jc w:val="center"/>
              <w:rPr>
                <w:rFonts w:ascii="宋体" w:hAnsi="宋体"/>
                <w:b/>
                <w:bCs/>
                <w:color w:val="000000"/>
                <w:kern w:val="0"/>
              </w:rPr>
            </w:pPr>
            <w:r>
              <w:rPr>
                <w:rFonts w:ascii="宋体" w:hAnsi="宋体" w:hint="eastAsia"/>
                <w:color w:val="000000"/>
                <w:kern w:val="0"/>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615A9" w:rsidRDefault="003615A9" w:rsidP="00DF4B14">
            <w:pPr>
              <w:autoSpaceDE w:val="0"/>
              <w:autoSpaceDN w:val="0"/>
              <w:adjustRightInd w:val="0"/>
              <w:jc w:val="center"/>
              <w:rPr>
                <w:rFonts w:ascii="宋体" w:hAnsi="宋体"/>
                <w:b/>
                <w:bCs/>
                <w:color w:val="000000"/>
                <w:kern w:val="0"/>
              </w:rPr>
            </w:pPr>
            <w:r>
              <w:rPr>
                <w:rFonts w:ascii="宋体" w:hAnsi="宋体" w:hint="eastAsia"/>
                <w:color w:val="000000"/>
                <w:kern w:val="0"/>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615A9" w:rsidRDefault="003615A9" w:rsidP="00DF4B14">
            <w:pPr>
              <w:autoSpaceDE w:val="0"/>
              <w:autoSpaceDN w:val="0"/>
              <w:adjustRightInd w:val="0"/>
              <w:jc w:val="center"/>
              <w:rPr>
                <w:rFonts w:ascii="宋体" w:hAnsi="宋体"/>
                <w:b/>
                <w:bCs/>
                <w:color w:val="000000"/>
                <w:kern w:val="0"/>
              </w:rPr>
            </w:pPr>
            <w:r>
              <w:rPr>
                <w:rFonts w:ascii="宋体" w:hAnsi="宋体" w:hint="eastAsia"/>
                <w:color w:val="000000"/>
                <w:kern w:val="0"/>
              </w:rPr>
              <w:t>份额占比</w:t>
            </w:r>
          </w:p>
        </w:tc>
      </w:tr>
      <w:tr w:rsidR="003615A9" w:rsidTr="00042DC6">
        <w:tc>
          <w:tcPr>
            <w:tcW w:w="992" w:type="dxa"/>
          </w:tcPr>
          <w:p w:rsidR="003615A9" w:rsidRDefault="003615A9" w:rsidP="003615A9"/>
          <w:p w:rsidR="003615A9" w:rsidRDefault="003615A9" w:rsidP="003615A9">
            <w:r>
              <w:rPr>
                <w:rFonts w:ascii="宋体" w:hAnsi="宋体" w:hint="eastAsia"/>
                <w:bCs/>
                <w:color w:val="000000"/>
                <w:kern w:val="0"/>
              </w:rPr>
              <w:t>机构</w:t>
            </w:r>
          </w:p>
        </w:tc>
        <w:tc>
          <w:tcPr>
            <w:tcW w:w="991" w:type="dxa"/>
            <w:vAlign w:val="center"/>
          </w:tcPr>
          <w:p w:rsidR="003615A9" w:rsidRDefault="003615A9" w:rsidP="003615A9">
            <w:pPr>
              <w:jc w:val="center"/>
            </w:pPr>
            <w:r>
              <w:rPr>
                <w:rFonts w:ascii="宋体" w:hAnsi="宋体" w:hint="eastAsia"/>
                <w:color w:val="000000"/>
                <w:kern w:val="0"/>
              </w:rPr>
              <w:t>1</w:t>
            </w:r>
          </w:p>
        </w:tc>
        <w:tc>
          <w:tcPr>
            <w:tcW w:w="1843" w:type="dxa"/>
            <w:vAlign w:val="center"/>
          </w:tcPr>
          <w:p w:rsidR="003615A9" w:rsidRDefault="003615A9" w:rsidP="003615A9">
            <w:pPr>
              <w:jc w:val="center"/>
            </w:pPr>
            <w:r>
              <w:rPr>
                <w:rFonts w:ascii="宋体" w:hAnsi="宋体" w:hint="eastAsia"/>
                <w:color w:val="000000"/>
                <w:kern w:val="0"/>
              </w:rPr>
              <w:t>2018/1/1-2018/3/31</w:t>
            </w:r>
          </w:p>
        </w:tc>
        <w:tc>
          <w:tcPr>
            <w:tcW w:w="851" w:type="dxa"/>
          </w:tcPr>
          <w:p w:rsidR="003615A9" w:rsidRPr="009B694F" w:rsidRDefault="003615A9" w:rsidP="003615A9">
            <w:r w:rsidRPr="009B694F">
              <w:t xml:space="preserve"> -   </w:t>
            </w:r>
          </w:p>
        </w:tc>
        <w:tc>
          <w:tcPr>
            <w:tcW w:w="850" w:type="dxa"/>
          </w:tcPr>
          <w:p w:rsidR="003615A9" w:rsidRPr="009B694F" w:rsidRDefault="003615A9" w:rsidP="003615A9">
            <w:r w:rsidRPr="009B694F">
              <w:t xml:space="preserve"> 15,935,458.17 </w:t>
            </w:r>
          </w:p>
        </w:tc>
        <w:tc>
          <w:tcPr>
            <w:tcW w:w="1134" w:type="dxa"/>
          </w:tcPr>
          <w:p w:rsidR="003615A9" w:rsidRPr="009B694F" w:rsidRDefault="003615A9" w:rsidP="003615A9">
            <w:r w:rsidRPr="009B694F">
              <w:t xml:space="preserve"> 15,935,458.17 </w:t>
            </w:r>
          </w:p>
        </w:tc>
        <w:tc>
          <w:tcPr>
            <w:tcW w:w="1419" w:type="dxa"/>
          </w:tcPr>
          <w:p w:rsidR="003615A9" w:rsidRPr="009B694F" w:rsidRDefault="003615A9" w:rsidP="003615A9">
            <w:r w:rsidRPr="009B694F">
              <w:t xml:space="preserve"> -   </w:t>
            </w:r>
          </w:p>
        </w:tc>
        <w:tc>
          <w:tcPr>
            <w:tcW w:w="1130" w:type="dxa"/>
          </w:tcPr>
          <w:p w:rsidR="003615A9" w:rsidRDefault="003615A9" w:rsidP="003615A9">
            <w:r w:rsidRPr="009B694F">
              <w:t xml:space="preserve"> -   </w:t>
            </w:r>
          </w:p>
        </w:tc>
      </w:tr>
      <w:tr w:rsidR="003615A9" w:rsidRPr="00A75D63" w:rsidTr="00DF4B14">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3615A9" w:rsidRPr="00A75D63" w:rsidRDefault="003615A9" w:rsidP="00DF4B14">
            <w:pPr>
              <w:autoSpaceDE w:val="0"/>
              <w:autoSpaceDN w:val="0"/>
              <w:adjustRightInd w:val="0"/>
              <w:jc w:val="center"/>
              <w:rPr>
                <w:rFonts w:ascii="宋体" w:hAnsi="宋体"/>
                <w:kern w:val="0"/>
                <w:sz w:val="24"/>
                <w:szCs w:val="24"/>
              </w:rPr>
            </w:pPr>
            <w:r w:rsidRPr="00A75D63">
              <w:rPr>
                <w:rFonts w:ascii="宋体" w:hAnsi="宋体" w:hint="eastAsia"/>
                <w:color w:val="000000"/>
                <w:kern w:val="0"/>
                <w:sz w:val="24"/>
                <w:szCs w:val="24"/>
              </w:rPr>
              <w:t>产品特有风险</w:t>
            </w:r>
          </w:p>
        </w:tc>
      </w:tr>
      <w:tr w:rsidR="003615A9" w:rsidRPr="00A75D63" w:rsidTr="00DF4B14">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3615A9" w:rsidRPr="00A75D63" w:rsidRDefault="003615A9" w:rsidP="00DF4B14">
            <w:pPr>
              <w:autoSpaceDE w:val="0"/>
              <w:autoSpaceDN w:val="0"/>
              <w:adjustRightInd w:val="0"/>
              <w:jc w:val="left"/>
              <w:rPr>
                <w:rFonts w:ascii="宋体" w:hAnsi="宋体"/>
                <w:kern w:val="0"/>
                <w:sz w:val="24"/>
                <w:szCs w:val="24"/>
              </w:rPr>
            </w:pPr>
            <w:r w:rsidRPr="00A75D63">
              <w:rPr>
                <w:rFonts w:ascii="宋体" w:hAnsi="宋体" w:hint="eastAsia"/>
                <w:kern w:val="0"/>
                <w:sz w:val="24"/>
                <w:szCs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615A9" w:rsidRPr="00A75D63" w:rsidRDefault="003615A9" w:rsidP="003C50AD">
      <w:pPr>
        <w:autoSpaceDE w:val="0"/>
        <w:autoSpaceDN w:val="0"/>
        <w:adjustRightInd w:val="0"/>
        <w:spacing w:line="360" w:lineRule="auto"/>
        <w:jc w:val="left"/>
        <w:rPr>
          <w:rFonts w:ascii="宋体" w:hAnsi="宋体"/>
          <w:b/>
          <w:bCs/>
          <w:color w:val="000000"/>
          <w:kern w:val="0"/>
          <w:sz w:val="24"/>
          <w:szCs w:val="24"/>
        </w:rPr>
      </w:pPr>
    </w:p>
    <w:p w:rsidR="003C50AD" w:rsidRPr="00A75D63" w:rsidRDefault="003C50AD" w:rsidP="003C50AD">
      <w:pPr>
        <w:autoSpaceDE w:val="0"/>
        <w:autoSpaceDN w:val="0"/>
        <w:adjustRightInd w:val="0"/>
        <w:spacing w:line="360" w:lineRule="auto"/>
        <w:jc w:val="left"/>
        <w:rPr>
          <w:rFonts w:ascii="宋体" w:hAnsi="宋体"/>
          <w:b/>
          <w:bCs/>
          <w:color w:val="000000"/>
          <w:kern w:val="0"/>
          <w:sz w:val="24"/>
          <w:szCs w:val="24"/>
        </w:rPr>
      </w:pPr>
      <w:r w:rsidRPr="00A75D63">
        <w:rPr>
          <w:rFonts w:ascii="宋体" w:hAnsi="宋体" w:hint="eastAsia"/>
          <w:b/>
          <w:bCs/>
          <w:color w:val="000000"/>
          <w:kern w:val="0"/>
          <w:sz w:val="24"/>
          <w:szCs w:val="24"/>
        </w:rPr>
        <w:t>9.2 影响投资者决策的其他重要信息</w:t>
      </w:r>
    </w:p>
    <w:p w:rsidR="00A70AC2" w:rsidRPr="00A75D63" w:rsidRDefault="00BE0EEB">
      <w:pPr>
        <w:spacing w:line="360" w:lineRule="auto"/>
        <w:ind w:firstLineChars="200" w:firstLine="480"/>
        <w:rPr>
          <w:rFonts w:ascii="宋体" w:hAnsi="宋体"/>
          <w:color w:val="000000"/>
          <w:sz w:val="24"/>
          <w:szCs w:val="24"/>
        </w:rPr>
      </w:pPr>
      <w:r w:rsidRPr="00A75D63">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w:t>
      </w:r>
      <w:r w:rsidRPr="00A75D63">
        <w:rPr>
          <w:rFonts w:ascii="宋体" w:hAnsi="宋体"/>
          <w:color w:val="000000"/>
          <w:sz w:val="24"/>
          <w:szCs w:val="24"/>
        </w:rPr>
        <w:lastRenderedPageBreak/>
        <w:t>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A75D63" w:rsidRDefault="003C50AD" w:rsidP="003C50AD">
      <w:pPr>
        <w:spacing w:line="360" w:lineRule="auto"/>
        <w:ind w:firstLineChars="200" w:firstLine="480"/>
        <w:rPr>
          <w:rFonts w:ascii="宋体" w:hAnsi="宋体"/>
          <w:color w:val="000000"/>
          <w:sz w:val="24"/>
          <w:szCs w:val="24"/>
        </w:rPr>
      </w:pPr>
      <w:r w:rsidRPr="00A75D63">
        <w:rPr>
          <w:rFonts w:ascii="宋体" w:hAnsi="宋体"/>
          <w:color w:val="000000"/>
          <w:sz w:val="24"/>
          <w:szCs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70AC2" w:rsidRDefault="00BE0EE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A70AC2" w:rsidRDefault="00BE0EE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、《交银施罗德增强收益债券型证券投资基金基金合同》；</w:t>
      </w:r>
    </w:p>
    <w:p w:rsidR="00A70AC2" w:rsidRDefault="00BE0EE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、《交银施罗德增强收益债券型证券投资基金招募说明书》；</w:t>
      </w:r>
    </w:p>
    <w:p w:rsidR="00A70AC2" w:rsidRDefault="00BE0EE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、《交银施罗德增强收益债券型证券投资基金托管协议》；</w:t>
      </w:r>
    </w:p>
    <w:p w:rsidR="00A70AC2" w:rsidRDefault="00BE0EEB">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、《交银施罗德荣泰保本混合型证券投资基金基金合同》；</w:t>
      </w:r>
    </w:p>
    <w:p w:rsidR="00A70AC2" w:rsidRDefault="00BE0EEB">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、《交银施罗德荣泰保本混合型证券投资基金招募说明书》；</w:t>
      </w:r>
    </w:p>
    <w:p w:rsidR="00A70AC2" w:rsidRDefault="00BE0EEB">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、《交银施罗德荣泰保本混合型证券投资基金托管协议》；</w:t>
      </w:r>
    </w:p>
    <w:p w:rsidR="00A70AC2" w:rsidRDefault="00BE0EEB">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r>
        <w:rPr>
          <w:color w:val="000000"/>
          <w:sz w:val="24"/>
          <w:szCs w:val="24"/>
        </w:rPr>
        <w:t xml:space="preserve"> </w:t>
      </w:r>
    </w:p>
    <w:p w:rsidR="00A70AC2" w:rsidRDefault="00BE0EEB">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A70AC2" w:rsidRDefault="00BE0EEB">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A70AC2" w:rsidRDefault="00BE0EEB">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、关于申请募集交银施罗德荣泰保本混合型证券投资基金之法律意见书；</w:t>
      </w:r>
    </w:p>
    <w:p w:rsidR="00A70AC2" w:rsidRDefault="00BE0EEB">
      <w:pPr>
        <w:spacing w:before="29" w:line="288" w:lineRule="auto"/>
        <w:ind w:firstLineChars="200" w:firstLine="480"/>
        <w:rPr>
          <w:color w:val="000000"/>
          <w:sz w:val="24"/>
          <w:szCs w:val="24"/>
        </w:rPr>
      </w:pPr>
      <w:r>
        <w:rPr>
          <w:color w:val="000000"/>
          <w:sz w:val="24"/>
          <w:szCs w:val="24"/>
        </w:rPr>
        <w:t>12</w:t>
      </w:r>
      <w:r>
        <w:rPr>
          <w:color w:val="000000"/>
          <w:sz w:val="24"/>
          <w:szCs w:val="24"/>
        </w:rPr>
        <w:t>、关于交银施罗德荣泰保本混合型证券投资基金保本周期到期转型及基金合同修改的法律意见；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、报告期内交银施罗德增强收益债券型证券投资基金、交银施罗德荣泰保本混合型证券投资基金在指定报刊上各项公告的原稿。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70AC2" w:rsidRDefault="00BE0EE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26" w:rsidRDefault="00EE1F26" w:rsidP="00876D65">
      <w:r>
        <w:separator/>
      </w:r>
    </w:p>
  </w:endnote>
  <w:endnote w:type="continuationSeparator" w:id="0">
    <w:p w:rsidR="00EE1F26" w:rsidRDefault="00EE1F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66390A">
      <w:rPr>
        <w:noProof/>
        <w:kern w:val="0"/>
        <w:szCs w:val="21"/>
      </w:rPr>
      <w:t>3</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66390A">
      <w:rPr>
        <w:noProof/>
        <w:kern w:val="0"/>
        <w:szCs w:val="21"/>
      </w:rPr>
      <w:t>15</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26" w:rsidRDefault="00EE1F26" w:rsidP="00876D65">
      <w:r>
        <w:separator/>
      </w:r>
    </w:p>
  </w:footnote>
  <w:footnote w:type="continuationSeparator" w:id="0">
    <w:p w:rsidR="00EE1F26" w:rsidRDefault="00EE1F2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交银施罗德增强收益债券型证券投资基金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15A9"/>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739"/>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14BA"/>
    <w:rsid w:val="00653458"/>
    <w:rsid w:val="00654B0D"/>
    <w:rsid w:val="0065599B"/>
    <w:rsid w:val="00655CD8"/>
    <w:rsid w:val="00655E1C"/>
    <w:rsid w:val="006571DC"/>
    <w:rsid w:val="00660D4B"/>
    <w:rsid w:val="0066390A"/>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0AC2"/>
    <w:rsid w:val="00A75D63"/>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2B05"/>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0EEB"/>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1F26"/>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6824">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5BAD4-D8BD-4BA9-AD09-D66DC133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15</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581</cp:revision>
  <dcterms:created xsi:type="dcterms:W3CDTF">2012-10-16T06:07:00Z</dcterms:created>
  <dcterms:modified xsi:type="dcterms:W3CDTF">2018-04-19T01:37:00Z</dcterms:modified>
</cp:coreProperties>
</file>