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23EE" w:rsidRDefault="0039435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197,589,724.63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94355" w:rsidRPr="00414345" w:rsidTr="0039435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94355" w:rsidRPr="00414345" w:rsidTr="003943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6,505,715.31</w:t>
            </w:r>
          </w:p>
        </w:tc>
      </w:tr>
      <w:tr w:rsidR="00394355" w:rsidRPr="00414345" w:rsidTr="003943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45,330,229.18</w:t>
            </w:r>
          </w:p>
        </w:tc>
      </w:tr>
      <w:tr w:rsidR="00394355" w:rsidRPr="00414345" w:rsidTr="003943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394355">
            <w:pPr>
              <w:adjustRightInd w:val="0"/>
              <w:spacing w:before="29" w:line="288" w:lineRule="auto"/>
              <w:ind w:left="17"/>
              <w:jc w:val="right"/>
              <w:rPr>
                <w:color w:val="000000"/>
                <w:sz w:val="24"/>
                <w:szCs w:val="24"/>
              </w:rPr>
            </w:pPr>
            <w:r w:rsidRPr="00414345">
              <w:rPr>
                <w:color w:val="000000"/>
                <w:sz w:val="24"/>
                <w:szCs w:val="24"/>
              </w:rPr>
              <w:t>0.4</w:t>
            </w:r>
            <w:r w:rsidR="00394355">
              <w:rPr>
                <w:color w:val="000000"/>
                <w:sz w:val="24"/>
                <w:szCs w:val="24"/>
              </w:rPr>
              <w:t>271</w:t>
            </w:r>
          </w:p>
        </w:tc>
      </w:tr>
      <w:tr w:rsidR="00394355" w:rsidRPr="00414345" w:rsidTr="0039435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616,180,442.06</w:t>
            </w:r>
          </w:p>
        </w:tc>
      </w:tr>
      <w:tr w:rsidR="00394355" w:rsidRPr="00414345" w:rsidTr="0039435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3.118</w:t>
            </w:r>
          </w:p>
        </w:tc>
      </w:tr>
    </w:tbl>
    <w:p w:rsidR="000C23EE" w:rsidRDefault="0039435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23EE">
        <w:trPr>
          <w:jc w:val="center"/>
        </w:trPr>
        <w:tc>
          <w:tcPr>
            <w:tcW w:w="1701" w:type="dxa"/>
            <w:vAlign w:val="center"/>
          </w:tcPr>
          <w:p w:rsidR="000C23EE" w:rsidRDefault="00394355">
            <w:pPr>
              <w:jc w:val="left"/>
            </w:pPr>
            <w:r>
              <w:rPr>
                <w:color w:val="000000"/>
                <w:sz w:val="24"/>
                <w:szCs w:val="24"/>
              </w:rPr>
              <w:t>过去三个月</w:t>
            </w:r>
          </w:p>
        </w:tc>
        <w:tc>
          <w:tcPr>
            <w:tcW w:w="1045" w:type="dxa"/>
            <w:vAlign w:val="center"/>
          </w:tcPr>
          <w:p w:rsidR="000C23EE" w:rsidRDefault="00394355">
            <w:pPr>
              <w:jc w:val="center"/>
            </w:pPr>
            <w:r>
              <w:rPr>
                <w:color w:val="000000"/>
                <w:sz w:val="24"/>
                <w:szCs w:val="24"/>
              </w:rPr>
              <w:t>13.30%</w:t>
            </w:r>
          </w:p>
        </w:tc>
        <w:tc>
          <w:tcPr>
            <w:tcW w:w="1344" w:type="dxa"/>
            <w:vAlign w:val="center"/>
          </w:tcPr>
          <w:p w:rsidR="000C23EE" w:rsidRDefault="00394355">
            <w:pPr>
              <w:jc w:val="center"/>
            </w:pPr>
            <w:r>
              <w:rPr>
                <w:color w:val="000000"/>
                <w:sz w:val="24"/>
                <w:szCs w:val="24"/>
              </w:rPr>
              <w:t>1.36%</w:t>
            </w:r>
          </w:p>
        </w:tc>
        <w:tc>
          <w:tcPr>
            <w:tcW w:w="1194" w:type="dxa"/>
            <w:vAlign w:val="center"/>
          </w:tcPr>
          <w:p w:rsidR="000C23EE" w:rsidRDefault="00394355">
            <w:pPr>
              <w:jc w:val="center"/>
            </w:pPr>
            <w:r>
              <w:rPr>
                <w:color w:val="000000"/>
                <w:sz w:val="24"/>
                <w:szCs w:val="24"/>
              </w:rPr>
              <w:t>-0.93%</w:t>
            </w:r>
          </w:p>
        </w:tc>
        <w:tc>
          <w:tcPr>
            <w:tcW w:w="1492" w:type="dxa"/>
            <w:vAlign w:val="center"/>
          </w:tcPr>
          <w:p w:rsidR="000C23EE" w:rsidRDefault="00394355">
            <w:pPr>
              <w:jc w:val="center"/>
            </w:pPr>
            <w:r>
              <w:rPr>
                <w:color w:val="000000"/>
                <w:sz w:val="24"/>
                <w:szCs w:val="24"/>
              </w:rPr>
              <w:t>0.56%</w:t>
            </w:r>
          </w:p>
        </w:tc>
        <w:tc>
          <w:tcPr>
            <w:tcW w:w="1194" w:type="dxa"/>
            <w:vAlign w:val="center"/>
          </w:tcPr>
          <w:p w:rsidR="000C23EE" w:rsidRDefault="00394355">
            <w:pPr>
              <w:jc w:val="center"/>
            </w:pPr>
            <w:r>
              <w:rPr>
                <w:color w:val="000000"/>
                <w:sz w:val="24"/>
                <w:szCs w:val="24"/>
              </w:rPr>
              <w:t>14.23%</w:t>
            </w:r>
          </w:p>
        </w:tc>
        <w:tc>
          <w:tcPr>
            <w:tcW w:w="898" w:type="dxa"/>
            <w:vAlign w:val="center"/>
          </w:tcPr>
          <w:p w:rsidR="000C23EE" w:rsidRDefault="00394355">
            <w:pPr>
              <w:jc w:val="center"/>
            </w:pPr>
            <w:r>
              <w:rPr>
                <w:color w:val="000000"/>
                <w:sz w:val="24"/>
                <w:szCs w:val="24"/>
              </w:rPr>
              <w:t>0.80%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23EE">
        <w:trPr>
          <w:jc w:val="center"/>
        </w:trPr>
        <w:tc>
          <w:tcPr>
            <w:tcW w:w="846" w:type="dxa"/>
            <w:vAlign w:val="center"/>
          </w:tcPr>
          <w:p w:rsidR="000C23EE" w:rsidRDefault="00394355">
            <w:pPr>
              <w:jc w:val="center"/>
            </w:pPr>
            <w:r>
              <w:rPr>
                <w:color w:val="000000"/>
                <w:sz w:val="24"/>
                <w:szCs w:val="24"/>
              </w:rPr>
              <w:t>杨浩</w:t>
            </w:r>
          </w:p>
        </w:tc>
        <w:tc>
          <w:tcPr>
            <w:tcW w:w="845" w:type="dxa"/>
            <w:vAlign w:val="center"/>
          </w:tcPr>
          <w:p w:rsidR="000C23EE" w:rsidRDefault="00394355">
            <w:pPr>
              <w:jc w:val="center"/>
            </w:pPr>
            <w:r>
              <w:rPr>
                <w:color w:val="000000"/>
                <w:sz w:val="24"/>
                <w:szCs w:val="24"/>
              </w:rPr>
              <w:t>交银定期支付双息平衡混合、交银新生活力灵活配置混合的基金经理</w:t>
            </w:r>
          </w:p>
        </w:tc>
        <w:tc>
          <w:tcPr>
            <w:tcW w:w="1549" w:type="dxa"/>
            <w:vAlign w:val="center"/>
          </w:tcPr>
          <w:p w:rsidR="000C23EE" w:rsidRDefault="00394355">
            <w:pPr>
              <w:jc w:val="center"/>
            </w:pPr>
            <w:r>
              <w:rPr>
                <w:color w:val="000000"/>
                <w:sz w:val="24"/>
                <w:szCs w:val="24"/>
              </w:rPr>
              <w:t>2015-08-15</w:t>
            </w:r>
          </w:p>
        </w:tc>
        <w:tc>
          <w:tcPr>
            <w:tcW w:w="1548" w:type="dxa"/>
            <w:vAlign w:val="center"/>
          </w:tcPr>
          <w:p w:rsidR="000C23EE" w:rsidRDefault="00394355">
            <w:pPr>
              <w:jc w:val="center"/>
            </w:pPr>
            <w:r>
              <w:rPr>
                <w:color w:val="000000"/>
                <w:sz w:val="24"/>
                <w:szCs w:val="24"/>
              </w:rPr>
              <w:t>-</w:t>
            </w:r>
          </w:p>
        </w:tc>
        <w:tc>
          <w:tcPr>
            <w:tcW w:w="1407" w:type="dxa"/>
            <w:vAlign w:val="center"/>
          </w:tcPr>
          <w:p w:rsidR="000C23EE" w:rsidRDefault="00394355">
            <w:pPr>
              <w:jc w:val="center"/>
            </w:pPr>
            <w:r>
              <w:rPr>
                <w:color w:val="000000"/>
                <w:sz w:val="24"/>
                <w:szCs w:val="24"/>
              </w:rPr>
              <w:t>8</w:t>
            </w:r>
            <w:r>
              <w:rPr>
                <w:color w:val="000000"/>
                <w:sz w:val="24"/>
                <w:szCs w:val="24"/>
              </w:rPr>
              <w:t>年</w:t>
            </w:r>
          </w:p>
        </w:tc>
        <w:tc>
          <w:tcPr>
            <w:tcW w:w="2673" w:type="dxa"/>
            <w:vAlign w:val="center"/>
          </w:tcPr>
          <w:p w:rsidR="000C23EE" w:rsidRDefault="00394355">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23EE" w:rsidRDefault="0039435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23EE" w:rsidRDefault="0039435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23EE" w:rsidRDefault="0039435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23EE" w:rsidRDefault="00394355">
      <w:pPr>
        <w:spacing w:before="29" w:line="288" w:lineRule="auto"/>
        <w:ind w:firstLineChars="200" w:firstLine="480"/>
        <w:rPr>
          <w:color w:val="000000"/>
          <w:sz w:val="24"/>
          <w:szCs w:val="24"/>
        </w:rPr>
      </w:pPr>
      <w:r>
        <w:rPr>
          <w:color w:val="000000"/>
          <w:sz w:val="24"/>
          <w:szCs w:val="24"/>
        </w:rPr>
        <w:t>今年以来，资本市场又呈现出纷繁复杂的状况，去杠杆深化、美国加息，中美贸易战，市场再次出现较大的波动，并在春节前后出现截然不同的风格走势。以创业板为代表的新兴产业股票在春节后出现持续反弹，而大盘蓝筹股票则在一月中旬见顶后显现颓势。在此期间，部分白马蓝筹公司出现了后地产周期的景气度下行，反映到当期报表上</w:t>
      </w:r>
      <w:r>
        <w:rPr>
          <w:color w:val="000000"/>
          <w:sz w:val="24"/>
          <w:szCs w:val="24"/>
        </w:rPr>
        <w:lastRenderedPageBreak/>
        <w:t>的增速下滑，而中小创中的优质企业则部分交出了数据靓丽的财报，进而加剧了风格切换。整个一季度，沪深</w:t>
      </w:r>
      <w:r>
        <w:rPr>
          <w:color w:val="000000"/>
          <w:sz w:val="24"/>
          <w:szCs w:val="24"/>
        </w:rPr>
        <w:t>300</w:t>
      </w:r>
      <w:r>
        <w:rPr>
          <w:color w:val="000000"/>
          <w:sz w:val="24"/>
          <w:szCs w:val="24"/>
        </w:rPr>
        <w:t>指数下跌</w:t>
      </w:r>
      <w:r>
        <w:rPr>
          <w:color w:val="000000"/>
          <w:sz w:val="24"/>
          <w:szCs w:val="24"/>
        </w:rPr>
        <w:t>3.28%</w:t>
      </w:r>
      <w:r>
        <w:rPr>
          <w:color w:val="000000"/>
          <w:sz w:val="24"/>
          <w:szCs w:val="24"/>
        </w:rPr>
        <w:t>，创业板指数上涨</w:t>
      </w:r>
      <w:r>
        <w:rPr>
          <w:color w:val="000000"/>
          <w:sz w:val="24"/>
          <w:szCs w:val="24"/>
        </w:rPr>
        <w:t>8.43%</w:t>
      </w:r>
      <w:r>
        <w:rPr>
          <w:color w:val="000000"/>
          <w:sz w:val="24"/>
          <w:szCs w:val="24"/>
        </w:rPr>
        <w:t>。</w:t>
      </w:r>
    </w:p>
    <w:p w:rsidR="000C23EE" w:rsidRDefault="00394355">
      <w:pPr>
        <w:spacing w:before="29" w:line="288" w:lineRule="auto"/>
        <w:ind w:firstLineChars="200" w:firstLine="480"/>
        <w:rPr>
          <w:color w:val="000000"/>
          <w:sz w:val="24"/>
          <w:szCs w:val="24"/>
        </w:rPr>
      </w:pPr>
      <w:r>
        <w:rPr>
          <w:color w:val="000000"/>
          <w:sz w:val="24"/>
          <w:szCs w:val="24"/>
        </w:rPr>
        <w:t>本基金在本季度获得</w:t>
      </w:r>
      <w:r>
        <w:rPr>
          <w:color w:val="000000"/>
          <w:sz w:val="24"/>
          <w:szCs w:val="24"/>
        </w:rPr>
        <w:t>13.3%</w:t>
      </w:r>
      <w:r>
        <w:rPr>
          <w:color w:val="000000"/>
          <w:sz w:val="24"/>
          <w:szCs w:val="24"/>
        </w:rPr>
        <w:t>的收益，跑赢业绩比较基准。在上个季度的基金报告中，我们鲜明地指出了创新产业的机会。根据我们一直遵循的投资框架，我们发现信息技术行业进入了</w:t>
      </w:r>
      <w:r>
        <w:rPr>
          <w:color w:val="000000"/>
          <w:sz w:val="24"/>
          <w:szCs w:val="24"/>
        </w:rPr>
        <w:t>SMAC</w:t>
      </w:r>
      <w:r>
        <w:rPr>
          <w:color w:val="000000"/>
          <w:sz w:val="24"/>
          <w:szCs w:val="24"/>
        </w:rPr>
        <w:t>技术（即社交化、移动化、可分析化、云计算）的技术红利释放期，企业信息化涌现出大量新增需求以应对转型时代的到来，因此我们超配了相关行业。同时我们发现有迹象表明消费者对精神生活乐于付费的消费习惯愈发成熟，这给传媒公司带来了新的市场机遇，因此我们超配了传媒娱乐业。我们还挑选了一些代表着中国先进制造希望的公司标的。这些前瞻布局使得本基金在今年一季度取得较好的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中美贸易战可能是一个长期的过程，对存量的制造业出口部分可能迎来大国对弈的风险，使得经济增长的不确定有所增强。因此我们选择规避顺经济周期的板块，同时我们非常关注白马蓝筹公司在转型时代中所要承受的社会研发与投资责任，龙头公司过高的</w:t>
      </w:r>
      <w:r w:rsidRPr="00414345">
        <w:rPr>
          <w:color w:val="000000"/>
          <w:sz w:val="24"/>
          <w:szCs w:val="24"/>
        </w:rPr>
        <w:t>ROE</w:t>
      </w:r>
      <w:r w:rsidRPr="00414345">
        <w:rPr>
          <w:color w:val="000000"/>
          <w:sz w:val="24"/>
          <w:szCs w:val="24"/>
        </w:rPr>
        <w:t>也可能蕴含着回归的风险。我们仍然看好新兴科技产业和新兴消费领域的投资机会。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w:t>
      </w:r>
      <w:r w:rsidR="000267E3">
        <w:rPr>
          <w:color w:val="000000"/>
          <w:sz w:val="24"/>
          <w:szCs w:val="24"/>
        </w:rPr>
        <w:t>8</w:t>
      </w:r>
      <w:r w:rsidRPr="00414345">
        <w:rPr>
          <w:color w:val="000000"/>
          <w:sz w:val="24"/>
          <w:szCs w:val="24"/>
        </w:rPr>
        <w:t>年</w:t>
      </w:r>
      <w:r w:rsidR="000267E3">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000267E3">
        <w:rPr>
          <w:color w:val="000000"/>
          <w:sz w:val="24"/>
          <w:szCs w:val="24"/>
        </w:rPr>
        <w:t>3.118</w:t>
      </w:r>
      <w:r w:rsidRPr="00414345">
        <w:rPr>
          <w:color w:val="000000"/>
          <w:sz w:val="24"/>
          <w:szCs w:val="24"/>
        </w:rPr>
        <w:t>元，本报告期份额净值增长率为</w:t>
      </w:r>
      <w:r w:rsidR="000267E3">
        <w:rPr>
          <w:color w:val="000000"/>
          <w:sz w:val="24"/>
          <w:szCs w:val="24"/>
        </w:rPr>
        <w:t>13.30</w:t>
      </w:r>
      <w:r w:rsidRPr="00414345">
        <w:rPr>
          <w:color w:val="000000"/>
          <w:sz w:val="24"/>
          <w:szCs w:val="24"/>
        </w:rPr>
        <w:t>%</w:t>
      </w:r>
      <w:r w:rsidRPr="00414345">
        <w:rPr>
          <w:color w:val="000000"/>
          <w:sz w:val="24"/>
          <w:szCs w:val="24"/>
        </w:rPr>
        <w:t>，同期业绩比较基准增长率为</w:t>
      </w:r>
      <w:r w:rsidR="000267E3">
        <w:rPr>
          <w:color w:val="000000"/>
          <w:sz w:val="24"/>
          <w:szCs w:val="24"/>
        </w:rPr>
        <w:t>-0.93</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400,233,846.45</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61.27</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400,233,846.45</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61.27</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870A5A">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870A5A">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229,833,550.85</w:t>
            </w:r>
          </w:p>
        </w:tc>
        <w:tc>
          <w:tcPr>
            <w:tcW w:w="2801" w:type="dxa"/>
            <w:vAlign w:val="center"/>
          </w:tcPr>
          <w:p w:rsidR="00BF0019" w:rsidRPr="007B5F21" w:rsidRDefault="00BF0019" w:rsidP="00870A5A">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35.18</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870A5A">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870A5A">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23,162,189.41</w:t>
            </w:r>
          </w:p>
        </w:tc>
        <w:tc>
          <w:tcPr>
            <w:tcW w:w="2801" w:type="dxa"/>
            <w:vAlign w:val="center"/>
          </w:tcPr>
          <w:p w:rsidR="00BF0019" w:rsidRPr="007B5F21" w:rsidRDefault="00BF0019" w:rsidP="00870A5A">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3.55</w:t>
            </w:r>
          </w:p>
        </w:tc>
      </w:tr>
      <w:tr w:rsidR="00BF0019" w:rsidRPr="007B5F21" w:rsidTr="00870A5A">
        <w:tc>
          <w:tcPr>
            <w:tcW w:w="720" w:type="dxa"/>
            <w:vAlign w:val="center"/>
          </w:tcPr>
          <w:p w:rsidR="00BF0019" w:rsidRPr="007B5F21" w:rsidRDefault="00BF0019" w:rsidP="00870A5A">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870A5A">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870A5A">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653,229,586.71</w:t>
            </w:r>
          </w:p>
        </w:tc>
        <w:tc>
          <w:tcPr>
            <w:tcW w:w="2801" w:type="dxa"/>
            <w:vAlign w:val="center"/>
          </w:tcPr>
          <w:p w:rsidR="00BF0019" w:rsidRPr="007B5F21" w:rsidRDefault="00BF0019" w:rsidP="00870A5A">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394355" w:rsidP="00C15CAC">
            <w:pPr>
              <w:spacing w:before="29" w:line="288" w:lineRule="auto"/>
              <w:jc w:val="right"/>
              <w:rPr>
                <w:sz w:val="24"/>
                <w:szCs w:val="24"/>
              </w:rPr>
            </w:pPr>
            <w:r w:rsidRPr="00394355">
              <w:rPr>
                <w:sz w:val="24"/>
                <w:szCs w:val="24"/>
              </w:rPr>
              <w:t>82,323,852.46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94355">
            <w:pPr>
              <w:spacing w:before="29" w:line="288" w:lineRule="auto"/>
              <w:jc w:val="right"/>
              <w:rPr>
                <w:sz w:val="24"/>
                <w:szCs w:val="24"/>
              </w:rPr>
            </w:pPr>
            <w:r w:rsidRPr="00414345">
              <w:rPr>
                <w:sz w:val="24"/>
                <w:szCs w:val="24"/>
              </w:rPr>
              <w:t>13.3</w:t>
            </w:r>
            <w:r w:rsidR="00394355">
              <w:rPr>
                <w:sz w:val="24"/>
                <w:szCs w:val="24"/>
              </w:rPr>
              <w:t>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44,807,900.20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189,592,286.93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16,066,108.00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94355">
            <w:pPr>
              <w:spacing w:before="29" w:line="288" w:lineRule="auto"/>
              <w:jc w:val="right"/>
              <w:rPr>
                <w:sz w:val="24"/>
                <w:szCs w:val="24"/>
              </w:rPr>
            </w:pPr>
            <w:r w:rsidRPr="00414345">
              <w:rPr>
                <w:sz w:val="24"/>
                <w:szCs w:val="24"/>
              </w:rPr>
              <w:t>2.6</w:t>
            </w:r>
            <w:r w:rsidR="00394355">
              <w:rPr>
                <w:sz w:val="24"/>
                <w:szCs w:val="24"/>
              </w:rPr>
              <w:t>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18,869,061.60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9,716,859.58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38,821,118.06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400,233,846.45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23EE">
        <w:trPr>
          <w:jc w:val="center"/>
        </w:trPr>
        <w:tc>
          <w:tcPr>
            <w:tcW w:w="855" w:type="dxa"/>
            <w:vAlign w:val="center"/>
          </w:tcPr>
          <w:p w:rsidR="000C23EE" w:rsidRDefault="00394355">
            <w:pPr>
              <w:jc w:val="center"/>
            </w:pPr>
            <w:r>
              <w:rPr>
                <w:color w:val="000000"/>
                <w:sz w:val="24"/>
                <w:szCs w:val="24"/>
              </w:rPr>
              <w:t>1</w:t>
            </w:r>
          </w:p>
        </w:tc>
        <w:tc>
          <w:tcPr>
            <w:tcW w:w="1334" w:type="dxa"/>
            <w:vAlign w:val="center"/>
          </w:tcPr>
          <w:p w:rsidR="000C23EE" w:rsidRDefault="00394355">
            <w:pPr>
              <w:jc w:val="center"/>
            </w:pPr>
            <w:r>
              <w:rPr>
                <w:color w:val="000000"/>
                <w:sz w:val="24"/>
                <w:szCs w:val="24"/>
              </w:rPr>
              <w:t>300170</w:t>
            </w:r>
          </w:p>
        </w:tc>
        <w:tc>
          <w:tcPr>
            <w:tcW w:w="1777" w:type="dxa"/>
            <w:vAlign w:val="center"/>
          </w:tcPr>
          <w:p w:rsidR="000C23EE" w:rsidRDefault="00394355">
            <w:pPr>
              <w:jc w:val="center"/>
            </w:pPr>
            <w:r>
              <w:rPr>
                <w:color w:val="000000"/>
                <w:sz w:val="24"/>
                <w:szCs w:val="24"/>
              </w:rPr>
              <w:t>汉得信息</w:t>
            </w:r>
          </w:p>
        </w:tc>
        <w:tc>
          <w:tcPr>
            <w:tcW w:w="1334" w:type="dxa"/>
            <w:vAlign w:val="center"/>
          </w:tcPr>
          <w:p w:rsidR="000C23EE" w:rsidRDefault="00394355">
            <w:pPr>
              <w:jc w:val="right"/>
            </w:pPr>
            <w:r>
              <w:rPr>
                <w:color w:val="000000"/>
                <w:sz w:val="24"/>
                <w:szCs w:val="24"/>
              </w:rPr>
              <w:t>1,900,700</w:t>
            </w:r>
          </w:p>
        </w:tc>
        <w:tc>
          <w:tcPr>
            <w:tcW w:w="1924" w:type="dxa"/>
            <w:vAlign w:val="center"/>
          </w:tcPr>
          <w:p w:rsidR="000C23EE" w:rsidRDefault="00394355">
            <w:pPr>
              <w:jc w:val="right"/>
            </w:pPr>
            <w:r>
              <w:rPr>
                <w:color w:val="000000"/>
                <w:sz w:val="24"/>
                <w:szCs w:val="24"/>
              </w:rPr>
              <w:t>33,756,432.00</w:t>
            </w:r>
          </w:p>
        </w:tc>
        <w:tc>
          <w:tcPr>
            <w:tcW w:w="1644" w:type="dxa"/>
            <w:vAlign w:val="center"/>
          </w:tcPr>
          <w:p w:rsidR="000C23EE" w:rsidRDefault="00394355">
            <w:pPr>
              <w:jc w:val="right"/>
            </w:pPr>
            <w:r>
              <w:rPr>
                <w:color w:val="000000"/>
                <w:sz w:val="24"/>
                <w:szCs w:val="24"/>
              </w:rPr>
              <w:t>5.48</w:t>
            </w:r>
          </w:p>
        </w:tc>
      </w:tr>
      <w:tr w:rsidR="000C23EE">
        <w:trPr>
          <w:jc w:val="center"/>
        </w:trPr>
        <w:tc>
          <w:tcPr>
            <w:tcW w:w="855" w:type="dxa"/>
            <w:vAlign w:val="center"/>
          </w:tcPr>
          <w:p w:rsidR="000C23EE" w:rsidRDefault="00394355">
            <w:pPr>
              <w:jc w:val="center"/>
            </w:pPr>
            <w:r>
              <w:rPr>
                <w:color w:val="000000"/>
                <w:sz w:val="24"/>
                <w:szCs w:val="24"/>
              </w:rPr>
              <w:t>2</w:t>
            </w:r>
          </w:p>
        </w:tc>
        <w:tc>
          <w:tcPr>
            <w:tcW w:w="1334" w:type="dxa"/>
            <w:vAlign w:val="center"/>
          </w:tcPr>
          <w:p w:rsidR="000C23EE" w:rsidRDefault="00394355">
            <w:pPr>
              <w:jc w:val="center"/>
            </w:pPr>
            <w:r>
              <w:rPr>
                <w:color w:val="000000"/>
                <w:sz w:val="24"/>
                <w:szCs w:val="24"/>
              </w:rPr>
              <w:t>300413</w:t>
            </w:r>
          </w:p>
        </w:tc>
        <w:tc>
          <w:tcPr>
            <w:tcW w:w="1777" w:type="dxa"/>
            <w:vAlign w:val="center"/>
          </w:tcPr>
          <w:p w:rsidR="000C23EE" w:rsidRDefault="00394355">
            <w:pPr>
              <w:jc w:val="center"/>
            </w:pPr>
            <w:r>
              <w:rPr>
                <w:color w:val="000000"/>
                <w:sz w:val="24"/>
                <w:szCs w:val="24"/>
              </w:rPr>
              <w:t>快乐购</w:t>
            </w:r>
          </w:p>
        </w:tc>
        <w:tc>
          <w:tcPr>
            <w:tcW w:w="1334" w:type="dxa"/>
            <w:vAlign w:val="center"/>
          </w:tcPr>
          <w:p w:rsidR="000C23EE" w:rsidRDefault="00394355">
            <w:pPr>
              <w:jc w:val="right"/>
            </w:pPr>
            <w:r>
              <w:rPr>
                <w:color w:val="000000"/>
                <w:sz w:val="24"/>
                <w:szCs w:val="24"/>
              </w:rPr>
              <w:t>676,639</w:t>
            </w:r>
          </w:p>
        </w:tc>
        <w:tc>
          <w:tcPr>
            <w:tcW w:w="1924" w:type="dxa"/>
            <w:vAlign w:val="center"/>
          </w:tcPr>
          <w:p w:rsidR="000C23EE" w:rsidRDefault="00394355">
            <w:pPr>
              <w:jc w:val="right"/>
            </w:pPr>
            <w:r>
              <w:rPr>
                <w:color w:val="000000"/>
                <w:sz w:val="24"/>
                <w:szCs w:val="24"/>
              </w:rPr>
              <w:t>27,315,916.43</w:t>
            </w:r>
          </w:p>
        </w:tc>
        <w:tc>
          <w:tcPr>
            <w:tcW w:w="1644" w:type="dxa"/>
            <w:vAlign w:val="center"/>
          </w:tcPr>
          <w:p w:rsidR="000C23EE" w:rsidRDefault="00394355">
            <w:pPr>
              <w:jc w:val="right"/>
            </w:pPr>
            <w:r>
              <w:rPr>
                <w:color w:val="000000"/>
                <w:sz w:val="24"/>
                <w:szCs w:val="24"/>
              </w:rPr>
              <w:t>4.43</w:t>
            </w:r>
          </w:p>
        </w:tc>
      </w:tr>
      <w:tr w:rsidR="000C23EE">
        <w:trPr>
          <w:jc w:val="center"/>
        </w:trPr>
        <w:tc>
          <w:tcPr>
            <w:tcW w:w="855" w:type="dxa"/>
            <w:vAlign w:val="center"/>
          </w:tcPr>
          <w:p w:rsidR="000C23EE" w:rsidRDefault="00394355">
            <w:pPr>
              <w:jc w:val="center"/>
            </w:pPr>
            <w:r>
              <w:rPr>
                <w:color w:val="000000"/>
                <w:sz w:val="24"/>
                <w:szCs w:val="24"/>
              </w:rPr>
              <w:t>3</w:t>
            </w:r>
          </w:p>
        </w:tc>
        <w:tc>
          <w:tcPr>
            <w:tcW w:w="1334" w:type="dxa"/>
            <w:vAlign w:val="center"/>
          </w:tcPr>
          <w:p w:rsidR="000C23EE" w:rsidRDefault="00394355">
            <w:pPr>
              <w:jc w:val="center"/>
            </w:pPr>
            <w:r>
              <w:rPr>
                <w:color w:val="000000"/>
                <w:sz w:val="24"/>
                <w:szCs w:val="24"/>
              </w:rPr>
              <w:t>300253</w:t>
            </w:r>
          </w:p>
        </w:tc>
        <w:tc>
          <w:tcPr>
            <w:tcW w:w="1777" w:type="dxa"/>
            <w:vAlign w:val="center"/>
          </w:tcPr>
          <w:p w:rsidR="000C23EE" w:rsidRDefault="00394355">
            <w:pPr>
              <w:jc w:val="center"/>
            </w:pPr>
            <w:r>
              <w:rPr>
                <w:color w:val="000000"/>
                <w:sz w:val="24"/>
                <w:szCs w:val="24"/>
              </w:rPr>
              <w:t>卫宁健康</w:t>
            </w:r>
          </w:p>
        </w:tc>
        <w:tc>
          <w:tcPr>
            <w:tcW w:w="1334" w:type="dxa"/>
            <w:vAlign w:val="center"/>
          </w:tcPr>
          <w:p w:rsidR="000C23EE" w:rsidRDefault="00394355">
            <w:pPr>
              <w:jc w:val="right"/>
            </w:pPr>
            <w:r>
              <w:rPr>
                <w:color w:val="000000"/>
                <w:sz w:val="24"/>
                <w:szCs w:val="24"/>
              </w:rPr>
              <w:t>1,887,300</w:t>
            </w:r>
          </w:p>
        </w:tc>
        <w:tc>
          <w:tcPr>
            <w:tcW w:w="1924" w:type="dxa"/>
            <w:vAlign w:val="center"/>
          </w:tcPr>
          <w:p w:rsidR="000C23EE" w:rsidRDefault="00394355">
            <w:pPr>
              <w:jc w:val="right"/>
            </w:pPr>
            <w:r>
              <w:rPr>
                <w:color w:val="000000"/>
                <w:sz w:val="24"/>
                <w:szCs w:val="24"/>
              </w:rPr>
              <w:t>23,194,917.00</w:t>
            </w:r>
          </w:p>
        </w:tc>
        <w:tc>
          <w:tcPr>
            <w:tcW w:w="1644" w:type="dxa"/>
            <w:vAlign w:val="center"/>
          </w:tcPr>
          <w:p w:rsidR="000C23EE" w:rsidRDefault="00394355">
            <w:pPr>
              <w:jc w:val="right"/>
            </w:pPr>
            <w:r>
              <w:rPr>
                <w:color w:val="000000"/>
                <w:sz w:val="24"/>
                <w:szCs w:val="24"/>
              </w:rPr>
              <w:t>3.76</w:t>
            </w:r>
          </w:p>
        </w:tc>
      </w:tr>
      <w:tr w:rsidR="000C23EE">
        <w:trPr>
          <w:jc w:val="center"/>
        </w:trPr>
        <w:tc>
          <w:tcPr>
            <w:tcW w:w="855" w:type="dxa"/>
            <w:vAlign w:val="center"/>
          </w:tcPr>
          <w:p w:rsidR="000C23EE" w:rsidRDefault="00394355">
            <w:pPr>
              <w:jc w:val="center"/>
            </w:pPr>
            <w:r>
              <w:rPr>
                <w:color w:val="000000"/>
                <w:sz w:val="24"/>
                <w:szCs w:val="24"/>
              </w:rPr>
              <w:t>4</w:t>
            </w:r>
          </w:p>
        </w:tc>
        <w:tc>
          <w:tcPr>
            <w:tcW w:w="1334" w:type="dxa"/>
            <w:vAlign w:val="center"/>
          </w:tcPr>
          <w:p w:rsidR="000C23EE" w:rsidRDefault="00394355">
            <w:pPr>
              <w:jc w:val="center"/>
            </w:pPr>
            <w:r>
              <w:rPr>
                <w:color w:val="000000"/>
                <w:sz w:val="24"/>
                <w:szCs w:val="24"/>
              </w:rPr>
              <w:t>300188</w:t>
            </w:r>
          </w:p>
        </w:tc>
        <w:tc>
          <w:tcPr>
            <w:tcW w:w="1777" w:type="dxa"/>
            <w:vAlign w:val="center"/>
          </w:tcPr>
          <w:p w:rsidR="000C23EE" w:rsidRDefault="00394355">
            <w:pPr>
              <w:jc w:val="center"/>
            </w:pPr>
            <w:r>
              <w:rPr>
                <w:color w:val="000000"/>
                <w:sz w:val="24"/>
                <w:szCs w:val="24"/>
              </w:rPr>
              <w:t>美亚柏科</w:t>
            </w:r>
          </w:p>
        </w:tc>
        <w:tc>
          <w:tcPr>
            <w:tcW w:w="1334" w:type="dxa"/>
            <w:vAlign w:val="center"/>
          </w:tcPr>
          <w:p w:rsidR="000C23EE" w:rsidRDefault="00394355">
            <w:pPr>
              <w:jc w:val="right"/>
            </w:pPr>
            <w:r>
              <w:rPr>
                <w:color w:val="000000"/>
                <w:sz w:val="24"/>
                <w:szCs w:val="24"/>
              </w:rPr>
              <w:t>738,600</w:t>
            </w:r>
          </w:p>
        </w:tc>
        <w:tc>
          <w:tcPr>
            <w:tcW w:w="1924" w:type="dxa"/>
            <w:vAlign w:val="center"/>
          </w:tcPr>
          <w:p w:rsidR="000C23EE" w:rsidRDefault="00394355">
            <w:pPr>
              <w:jc w:val="right"/>
            </w:pPr>
            <w:r>
              <w:rPr>
                <w:color w:val="000000"/>
                <w:sz w:val="24"/>
                <w:szCs w:val="24"/>
              </w:rPr>
              <w:t>22,896,600.00</w:t>
            </w:r>
          </w:p>
        </w:tc>
        <w:tc>
          <w:tcPr>
            <w:tcW w:w="1644" w:type="dxa"/>
            <w:vAlign w:val="center"/>
          </w:tcPr>
          <w:p w:rsidR="000C23EE" w:rsidRDefault="00394355">
            <w:pPr>
              <w:jc w:val="right"/>
            </w:pPr>
            <w:r>
              <w:rPr>
                <w:color w:val="000000"/>
                <w:sz w:val="24"/>
                <w:szCs w:val="24"/>
              </w:rPr>
              <w:t>3.72</w:t>
            </w:r>
          </w:p>
        </w:tc>
      </w:tr>
      <w:tr w:rsidR="000C23EE">
        <w:trPr>
          <w:jc w:val="center"/>
        </w:trPr>
        <w:tc>
          <w:tcPr>
            <w:tcW w:w="855" w:type="dxa"/>
            <w:vAlign w:val="center"/>
          </w:tcPr>
          <w:p w:rsidR="000C23EE" w:rsidRDefault="00394355">
            <w:pPr>
              <w:jc w:val="center"/>
            </w:pPr>
            <w:r>
              <w:rPr>
                <w:color w:val="000000"/>
                <w:sz w:val="24"/>
                <w:szCs w:val="24"/>
              </w:rPr>
              <w:t>5</w:t>
            </w:r>
          </w:p>
        </w:tc>
        <w:tc>
          <w:tcPr>
            <w:tcW w:w="1334" w:type="dxa"/>
            <w:vAlign w:val="center"/>
          </w:tcPr>
          <w:p w:rsidR="000C23EE" w:rsidRDefault="00394355">
            <w:pPr>
              <w:jc w:val="center"/>
            </w:pPr>
            <w:r>
              <w:rPr>
                <w:color w:val="000000"/>
                <w:sz w:val="24"/>
                <w:szCs w:val="24"/>
              </w:rPr>
              <w:t>300182</w:t>
            </w:r>
          </w:p>
        </w:tc>
        <w:tc>
          <w:tcPr>
            <w:tcW w:w="1777" w:type="dxa"/>
            <w:vAlign w:val="center"/>
          </w:tcPr>
          <w:p w:rsidR="000C23EE" w:rsidRDefault="00394355">
            <w:pPr>
              <w:jc w:val="center"/>
            </w:pPr>
            <w:r>
              <w:rPr>
                <w:color w:val="000000"/>
                <w:sz w:val="24"/>
                <w:szCs w:val="24"/>
              </w:rPr>
              <w:t>捷成股份</w:t>
            </w:r>
          </w:p>
        </w:tc>
        <w:tc>
          <w:tcPr>
            <w:tcW w:w="1334" w:type="dxa"/>
            <w:vAlign w:val="center"/>
          </w:tcPr>
          <w:p w:rsidR="000C23EE" w:rsidRDefault="00394355">
            <w:pPr>
              <w:jc w:val="right"/>
            </w:pPr>
            <w:r>
              <w:rPr>
                <w:color w:val="000000"/>
                <w:sz w:val="24"/>
                <w:szCs w:val="24"/>
              </w:rPr>
              <w:t>2,034,700</w:t>
            </w:r>
          </w:p>
        </w:tc>
        <w:tc>
          <w:tcPr>
            <w:tcW w:w="1924" w:type="dxa"/>
            <w:vAlign w:val="center"/>
          </w:tcPr>
          <w:p w:rsidR="000C23EE" w:rsidRDefault="00394355">
            <w:pPr>
              <w:jc w:val="right"/>
            </w:pPr>
            <w:r>
              <w:rPr>
                <w:color w:val="000000"/>
                <w:sz w:val="24"/>
                <w:szCs w:val="24"/>
              </w:rPr>
              <w:t>21,486,432.00</w:t>
            </w:r>
          </w:p>
        </w:tc>
        <w:tc>
          <w:tcPr>
            <w:tcW w:w="1644" w:type="dxa"/>
            <w:vAlign w:val="center"/>
          </w:tcPr>
          <w:p w:rsidR="000C23EE" w:rsidRDefault="00394355">
            <w:pPr>
              <w:jc w:val="right"/>
            </w:pPr>
            <w:r>
              <w:rPr>
                <w:color w:val="000000"/>
                <w:sz w:val="24"/>
                <w:szCs w:val="24"/>
              </w:rPr>
              <w:t>3.49</w:t>
            </w:r>
          </w:p>
        </w:tc>
      </w:tr>
      <w:tr w:rsidR="000C23EE">
        <w:trPr>
          <w:jc w:val="center"/>
        </w:trPr>
        <w:tc>
          <w:tcPr>
            <w:tcW w:w="855" w:type="dxa"/>
            <w:vAlign w:val="center"/>
          </w:tcPr>
          <w:p w:rsidR="000C23EE" w:rsidRDefault="00394355">
            <w:pPr>
              <w:jc w:val="center"/>
            </w:pPr>
            <w:r>
              <w:rPr>
                <w:color w:val="000000"/>
                <w:sz w:val="24"/>
                <w:szCs w:val="24"/>
              </w:rPr>
              <w:t>6</w:t>
            </w:r>
          </w:p>
        </w:tc>
        <w:tc>
          <w:tcPr>
            <w:tcW w:w="1334" w:type="dxa"/>
            <w:vAlign w:val="center"/>
          </w:tcPr>
          <w:p w:rsidR="000C23EE" w:rsidRDefault="00394355">
            <w:pPr>
              <w:jc w:val="center"/>
            </w:pPr>
            <w:r>
              <w:rPr>
                <w:color w:val="000000"/>
                <w:sz w:val="24"/>
                <w:szCs w:val="24"/>
              </w:rPr>
              <w:t>300251</w:t>
            </w:r>
          </w:p>
        </w:tc>
        <w:tc>
          <w:tcPr>
            <w:tcW w:w="1777" w:type="dxa"/>
            <w:vAlign w:val="center"/>
          </w:tcPr>
          <w:p w:rsidR="000C23EE" w:rsidRDefault="00394355">
            <w:pPr>
              <w:jc w:val="center"/>
            </w:pPr>
            <w:r>
              <w:rPr>
                <w:color w:val="000000"/>
                <w:sz w:val="24"/>
                <w:szCs w:val="24"/>
              </w:rPr>
              <w:t>光线传媒</w:t>
            </w:r>
          </w:p>
        </w:tc>
        <w:tc>
          <w:tcPr>
            <w:tcW w:w="1334" w:type="dxa"/>
            <w:vAlign w:val="center"/>
          </w:tcPr>
          <w:p w:rsidR="000C23EE" w:rsidRDefault="00394355">
            <w:pPr>
              <w:jc w:val="right"/>
            </w:pPr>
            <w:r>
              <w:rPr>
                <w:color w:val="000000"/>
                <w:sz w:val="24"/>
                <w:szCs w:val="24"/>
              </w:rPr>
              <w:t>1,542,621</w:t>
            </w:r>
          </w:p>
        </w:tc>
        <w:tc>
          <w:tcPr>
            <w:tcW w:w="1924" w:type="dxa"/>
            <w:vAlign w:val="center"/>
          </w:tcPr>
          <w:p w:rsidR="000C23EE" w:rsidRDefault="00394355">
            <w:pPr>
              <w:jc w:val="right"/>
            </w:pPr>
            <w:r>
              <w:rPr>
                <w:color w:val="000000"/>
                <w:sz w:val="24"/>
                <w:szCs w:val="24"/>
              </w:rPr>
              <w:t>19,838,106.06</w:t>
            </w:r>
          </w:p>
        </w:tc>
        <w:tc>
          <w:tcPr>
            <w:tcW w:w="1644" w:type="dxa"/>
            <w:vAlign w:val="center"/>
          </w:tcPr>
          <w:p w:rsidR="000C23EE" w:rsidRDefault="00394355">
            <w:pPr>
              <w:jc w:val="right"/>
            </w:pPr>
            <w:r>
              <w:rPr>
                <w:color w:val="000000"/>
                <w:sz w:val="24"/>
                <w:szCs w:val="24"/>
              </w:rPr>
              <w:t>3.22</w:t>
            </w:r>
          </w:p>
        </w:tc>
      </w:tr>
      <w:tr w:rsidR="000C23EE">
        <w:trPr>
          <w:jc w:val="center"/>
        </w:trPr>
        <w:tc>
          <w:tcPr>
            <w:tcW w:w="855" w:type="dxa"/>
            <w:vAlign w:val="center"/>
          </w:tcPr>
          <w:p w:rsidR="000C23EE" w:rsidRDefault="00394355">
            <w:pPr>
              <w:jc w:val="center"/>
            </w:pPr>
            <w:r>
              <w:rPr>
                <w:color w:val="000000"/>
                <w:sz w:val="24"/>
                <w:szCs w:val="24"/>
              </w:rPr>
              <w:t>7</w:t>
            </w:r>
          </w:p>
        </w:tc>
        <w:tc>
          <w:tcPr>
            <w:tcW w:w="1334" w:type="dxa"/>
            <w:vAlign w:val="center"/>
          </w:tcPr>
          <w:p w:rsidR="000C23EE" w:rsidRDefault="00394355">
            <w:pPr>
              <w:jc w:val="center"/>
            </w:pPr>
            <w:r>
              <w:rPr>
                <w:color w:val="000000"/>
                <w:sz w:val="24"/>
                <w:szCs w:val="24"/>
              </w:rPr>
              <w:t>603039</w:t>
            </w:r>
          </w:p>
        </w:tc>
        <w:tc>
          <w:tcPr>
            <w:tcW w:w="1777" w:type="dxa"/>
            <w:vAlign w:val="center"/>
          </w:tcPr>
          <w:p w:rsidR="000C23EE" w:rsidRDefault="00394355">
            <w:pPr>
              <w:jc w:val="center"/>
            </w:pPr>
            <w:r>
              <w:rPr>
                <w:color w:val="000000"/>
                <w:sz w:val="24"/>
                <w:szCs w:val="24"/>
              </w:rPr>
              <w:t>泛微网络</w:t>
            </w:r>
          </w:p>
        </w:tc>
        <w:tc>
          <w:tcPr>
            <w:tcW w:w="1334" w:type="dxa"/>
            <w:vAlign w:val="center"/>
          </w:tcPr>
          <w:p w:rsidR="000C23EE" w:rsidRDefault="00394355">
            <w:pPr>
              <w:jc w:val="right"/>
            </w:pPr>
            <w:r>
              <w:rPr>
                <w:color w:val="000000"/>
                <w:sz w:val="24"/>
                <w:szCs w:val="24"/>
              </w:rPr>
              <w:t>175,400</w:t>
            </w:r>
          </w:p>
        </w:tc>
        <w:tc>
          <w:tcPr>
            <w:tcW w:w="1924" w:type="dxa"/>
            <w:vAlign w:val="center"/>
          </w:tcPr>
          <w:p w:rsidR="000C23EE" w:rsidRDefault="00394355">
            <w:pPr>
              <w:jc w:val="right"/>
            </w:pPr>
            <w:r>
              <w:rPr>
                <w:color w:val="000000"/>
                <w:sz w:val="24"/>
                <w:szCs w:val="24"/>
              </w:rPr>
              <w:t>19,374,684.00</w:t>
            </w:r>
          </w:p>
        </w:tc>
        <w:tc>
          <w:tcPr>
            <w:tcW w:w="1644" w:type="dxa"/>
            <w:vAlign w:val="center"/>
          </w:tcPr>
          <w:p w:rsidR="000C23EE" w:rsidRDefault="00394355">
            <w:pPr>
              <w:jc w:val="right"/>
            </w:pPr>
            <w:r>
              <w:rPr>
                <w:color w:val="000000"/>
                <w:sz w:val="24"/>
                <w:szCs w:val="24"/>
              </w:rPr>
              <w:t>3.14</w:t>
            </w:r>
          </w:p>
        </w:tc>
      </w:tr>
      <w:tr w:rsidR="000C23EE">
        <w:trPr>
          <w:jc w:val="center"/>
        </w:trPr>
        <w:tc>
          <w:tcPr>
            <w:tcW w:w="855" w:type="dxa"/>
            <w:vAlign w:val="center"/>
          </w:tcPr>
          <w:p w:rsidR="000C23EE" w:rsidRDefault="00394355">
            <w:pPr>
              <w:jc w:val="center"/>
            </w:pPr>
            <w:r>
              <w:rPr>
                <w:color w:val="000000"/>
                <w:sz w:val="24"/>
                <w:szCs w:val="24"/>
              </w:rPr>
              <w:t>8</w:t>
            </w:r>
          </w:p>
        </w:tc>
        <w:tc>
          <w:tcPr>
            <w:tcW w:w="1334" w:type="dxa"/>
            <w:vAlign w:val="center"/>
          </w:tcPr>
          <w:p w:rsidR="000C23EE" w:rsidRDefault="00394355">
            <w:pPr>
              <w:jc w:val="center"/>
            </w:pPr>
            <w:r>
              <w:rPr>
                <w:color w:val="000000"/>
                <w:sz w:val="24"/>
                <w:szCs w:val="24"/>
              </w:rPr>
              <w:t>002410</w:t>
            </w:r>
          </w:p>
        </w:tc>
        <w:tc>
          <w:tcPr>
            <w:tcW w:w="1777" w:type="dxa"/>
            <w:vAlign w:val="center"/>
          </w:tcPr>
          <w:p w:rsidR="000C23EE" w:rsidRDefault="00394355">
            <w:pPr>
              <w:jc w:val="center"/>
            </w:pPr>
            <w:r>
              <w:rPr>
                <w:color w:val="000000"/>
                <w:sz w:val="24"/>
                <w:szCs w:val="24"/>
              </w:rPr>
              <w:t>广联达</w:t>
            </w:r>
          </w:p>
        </w:tc>
        <w:tc>
          <w:tcPr>
            <w:tcW w:w="1334" w:type="dxa"/>
            <w:vAlign w:val="center"/>
          </w:tcPr>
          <w:p w:rsidR="000C23EE" w:rsidRDefault="00394355">
            <w:pPr>
              <w:jc w:val="right"/>
            </w:pPr>
            <w:r>
              <w:rPr>
                <w:color w:val="000000"/>
                <w:sz w:val="24"/>
                <w:szCs w:val="24"/>
              </w:rPr>
              <w:t>769,143</w:t>
            </w:r>
          </w:p>
        </w:tc>
        <w:tc>
          <w:tcPr>
            <w:tcW w:w="1924" w:type="dxa"/>
            <w:vAlign w:val="center"/>
          </w:tcPr>
          <w:p w:rsidR="000C23EE" w:rsidRDefault="00394355">
            <w:pPr>
              <w:jc w:val="right"/>
            </w:pPr>
            <w:r>
              <w:rPr>
                <w:color w:val="000000"/>
                <w:sz w:val="24"/>
                <w:szCs w:val="24"/>
              </w:rPr>
              <w:t>19,015,157.91</w:t>
            </w:r>
          </w:p>
        </w:tc>
        <w:tc>
          <w:tcPr>
            <w:tcW w:w="1644" w:type="dxa"/>
            <w:vAlign w:val="center"/>
          </w:tcPr>
          <w:p w:rsidR="000C23EE" w:rsidRDefault="00394355">
            <w:pPr>
              <w:jc w:val="right"/>
            </w:pPr>
            <w:r>
              <w:rPr>
                <w:color w:val="000000"/>
                <w:sz w:val="24"/>
                <w:szCs w:val="24"/>
              </w:rPr>
              <w:t>3.09</w:t>
            </w:r>
          </w:p>
        </w:tc>
      </w:tr>
      <w:tr w:rsidR="000C23EE">
        <w:trPr>
          <w:jc w:val="center"/>
        </w:trPr>
        <w:tc>
          <w:tcPr>
            <w:tcW w:w="855" w:type="dxa"/>
            <w:vAlign w:val="center"/>
          </w:tcPr>
          <w:p w:rsidR="000C23EE" w:rsidRDefault="00394355">
            <w:pPr>
              <w:jc w:val="center"/>
            </w:pPr>
            <w:r>
              <w:rPr>
                <w:color w:val="000000"/>
                <w:sz w:val="24"/>
                <w:szCs w:val="24"/>
              </w:rPr>
              <w:t>9</w:t>
            </w:r>
          </w:p>
        </w:tc>
        <w:tc>
          <w:tcPr>
            <w:tcW w:w="1334" w:type="dxa"/>
            <w:vAlign w:val="center"/>
          </w:tcPr>
          <w:p w:rsidR="000C23EE" w:rsidRDefault="00394355">
            <w:pPr>
              <w:jc w:val="center"/>
            </w:pPr>
            <w:r>
              <w:rPr>
                <w:color w:val="000000"/>
                <w:sz w:val="24"/>
                <w:szCs w:val="24"/>
              </w:rPr>
              <w:t>300012</w:t>
            </w:r>
          </w:p>
        </w:tc>
        <w:tc>
          <w:tcPr>
            <w:tcW w:w="1777" w:type="dxa"/>
            <w:vAlign w:val="center"/>
          </w:tcPr>
          <w:p w:rsidR="000C23EE" w:rsidRDefault="00394355">
            <w:pPr>
              <w:jc w:val="center"/>
            </w:pPr>
            <w:r>
              <w:rPr>
                <w:color w:val="000000"/>
                <w:sz w:val="24"/>
                <w:szCs w:val="24"/>
              </w:rPr>
              <w:t>华测检测</w:t>
            </w:r>
          </w:p>
        </w:tc>
        <w:tc>
          <w:tcPr>
            <w:tcW w:w="1334" w:type="dxa"/>
            <w:vAlign w:val="center"/>
          </w:tcPr>
          <w:p w:rsidR="000C23EE" w:rsidRDefault="00394355">
            <w:pPr>
              <w:jc w:val="right"/>
            </w:pPr>
            <w:r>
              <w:rPr>
                <w:color w:val="000000"/>
                <w:sz w:val="24"/>
                <w:szCs w:val="24"/>
              </w:rPr>
              <w:t>3,699,816</w:t>
            </w:r>
          </w:p>
        </w:tc>
        <w:tc>
          <w:tcPr>
            <w:tcW w:w="1924" w:type="dxa"/>
            <w:vAlign w:val="center"/>
          </w:tcPr>
          <w:p w:rsidR="000C23EE" w:rsidRDefault="00394355">
            <w:pPr>
              <w:jc w:val="right"/>
            </w:pPr>
            <w:r>
              <w:rPr>
                <w:color w:val="000000"/>
                <w:sz w:val="24"/>
                <w:szCs w:val="24"/>
              </w:rPr>
              <w:t>18,869,061.60</w:t>
            </w:r>
          </w:p>
        </w:tc>
        <w:tc>
          <w:tcPr>
            <w:tcW w:w="1644" w:type="dxa"/>
            <w:vAlign w:val="center"/>
          </w:tcPr>
          <w:p w:rsidR="000C23EE" w:rsidRDefault="00394355">
            <w:pPr>
              <w:jc w:val="right"/>
            </w:pPr>
            <w:r>
              <w:rPr>
                <w:color w:val="000000"/>
                <w:sz w:val="24"/>
                <w:szCs w:val="24"/>
              </w:rPr>
              <w:t>3.06</w:t>
            </w:r>
          </w:p>
        </w:tc>
      </w:tr>
      <w:tr w:rsidR="000C23EE">
        <w:trPr>
          <w:jc w:val="center"/>
        </w:trPr>
        <w:tc>
          <w:tcPr>
            <w:tcW w:w="855" w:type="dxa"/>
            <w:vAlign w:val="center"/>
          </w:tcPr>
          <w:p w:rsidR="000C23EE" w:rsidRDefault="00394355">
            <w:pPr>
              <w:jc w:val="center"/>
            </w:pPr>
            <w:r>
              <w:rPr>
                <w:color w:val="000000"/>
                <w:sz w:val="24"/>
                <w:szCs w:val="24"/>
              </w:rPr>
              <w:t>10</w:t>
            </w:r>
          </w:p>
        </w:tc>
        <w:tc>
          <w:tcPr>
            <w:tcW w:w="1334" w:type="dxa"/>
            <w:vAlign w:val="center"/>
          </w:tcPr>
          <w:p w:rsidR="000C23EE" w:rsidRDefault="00394355">
            <w:pPr>
              <w:jc w:val="center"/>
            </w:pPr>
            <w:r>
              <w:rPr>
                <w:color w:val="000000"/>
                <w:sz w:val="24"/>
                <w:szCs w:val="24"/>
              </w:rPr>
              <w:t>603108</w:t>
            </w:r>
          </w:p>
        </w:tc>
        <w:tc>
          <w:tcPr>
            <w:tcW w:w="1777" w:type="dxa"/>
            <w:vAlign w:val="center"/>
          </w:tcPr>
          <w:p w:rsidR="000C23EE" w:rsidRDefault="00394355">
            <w:pPr>
              <w:jc w:val="center"/>
            </w:pPr>
            <w:r>
              <w:rPr>
                <w:color w:val="000000"/>
                <w:sz w:val="24"/>
                <w:szCs w:val="24"/>
              </w:rPr>
              <w:t>润达医疗</w:t>
            </w:r>
          </w:p>
        </w:tc>
        <w:tc>
          <w:tcPr>
            <w:tcW w:w="1334" w:type="dxa"/>
            <w:vAlign w:val="center"/>
          </w:tcPr>
          <w:p w:rsidR="000C23EE" w:rsidRDefault="00394355">
            <w:pPr>
              <w:jc w:val="right"/>
            </w:pPr>
            <w:r>
              <w:rPr>
                <w:color w:val="000000"/>
                <w:sz w:val="24"/>
                <w:szCs w:val="24"/>
              </w:rPr>
              <w:t>1,068,885</w:t>
            </w:r>
          </w:p>
        </w:tc>
        <w:tc>
          <w:tcPr>
            <w:tcW w:w="1924" w:type="dxa"/>
            <w:vAlign w:val="center"/>
          </w:tcPr>
          <w:p w:rsidR="000C23EE" w:rsidRDefault="00394355">
            <w:pPr>
              <w:jc w:val="right"/>
            </w:pPr>
            <w:r>
              <w:rPr>
                <w:color w:val="000000"/>
                <w:sz w:val="24"/>
                <w:szCs w:val="24"/>
              </w:rPr>
              <w:t>17,465,580.90</w:t>
            </w:r>
          </w:p>
        </w:tc>
        <w:tc>
          <w:tcPr>
            <w:tcW w:w="1644" w:type="dxa"/>
            <w:vAlign w:val="center"/>
          </w:tcPr>
          <w:p w:rsidR="000C23EE" w:rsidRDefault="00394355">
            <w:pPr>
              <w:jc w:val="right"/>
            </w:pPr>
            <w:r>
              <w:rPr>
                <w:color w:val="000000"/>
                <w:sz w:val="24"/>
                <w:szCs w:val="24"/>
              </w:rPr>
              <w:t>2.83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155,096.32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47,686.90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22,959,406.19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23,162,189.41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C23EE">
        <w:trPr>
          <w:jc w:val="center"/>
        </w:trPr>
        <w:tc>
          <w:tcPr>
            <w:tcW w:w="1129" w:type="dxa"/>
            <w:vAlign w:val="center"/>
          </w:tcPr>
          <w:p w:rsidR="000C23EE" w:rsidRDefault="00394355">
            <w:pPr>
              <w:jc w:val="center"/>
            </w:pPr>
            <w:r>
              <w:rPr>
                <w:color w:val="000000"/>
                <w:sz w:val="24"/>
                <w:szCs w:val="24"/>
              </w:rPr>
              <w:lastRenderedPageBreak/>
              <w:t>1</w:t>
            </w:r>
          </w:p>
        </w:tc>
        <w:tc>
          <w:tcPr>
            <w:tcW w:w="1356" w:type="dxa"/>
            <w:vAlign w:val="center"/>
          </w:tcPr>
          <w:p w:rsidR="000C23EE" w:rsidRDefault="00394355">
            <w:pPr>
              <w:jc w:val="center"/>
            </w:pPr>
            <w:r>
              <w:rPr>
                <w:color w:val="000000"/>
                <w:sz w:val="24"/>
                <w:szCs w:val="24"/>
              </w:rPr>
              <w:t>002410</w:t>
            </w:r>
          </w:p>
        </w:tc>
        <w:tc>
          <w:tcPr>
            <w:tcW w:w="1355" w:type="dxa"/>
            <w:vAlign w:val="center"/>
          </w:tcPr>
          <w:p w:rsidR="000C23EE" w:rsidRDefault="00394355">
            <w:pPr>
              <w:jc w:val="center"/>
            </w:pPr>
            <w:r>
              <w:rPr>
                <w:color w:val="000000"/>
                <w:sz w:val="24"/>
                <w:szCs w:val="24"/>
              </w:rPr>
              <w:t>广联达</w:t>
            </w:r>
          </w:p>
        </w:tc>
        <w:tc>
          <w:tcPr>
            <w:tcW w:w="1880" w:type="dxa"/>
            <w:vAlign w:val="center"/>
          </w:tcPr>
          <w:p w:rsidR="000C23EE" w:rsidRDefault="00394355" w:rsidP="00870A5A">
            <w:pPr>
              <w:jc w:val="right"/>
            </w:pPr>
            <w:r>
              <w:rPr>
                <w:color w:val="000000"/>
                <w:sz w:val="24"/>
                <w:szCs w:val="24"/>
              </w:rPr>
              <w:t>7,</w:t>
            </w:r>
            <w:r w:rsidR="00870A5A">
              <w:rPr>
                <w:color w:val="000000"/>
                <w:sz w:val="24"/>
                <w:szCs w:val="24"/>
              </w:rPr>
              <w:t>113</w:t>
            </w:r>
            <w:r>
              <w:rPr>
                <w:color w:val="000000"/>
                <w:sz w:val="24"/>
                <w:szCs w:val="24"/>
              </w:rPr>
              <w:t>,000.00</w:t>
            </w:r>
          </w:p>
        </w:tc>
        <w:tc>
          <w:tcPr>
            <w:tcW w:w="1724" w:type="dxa"/>
            <w:vAlign w:val="center"/>
          </w:tcPr>
          <w:p w:rsidR="000C23EE" w:rsidRDefault="00394355">
            <w:pPr>
              <w:jc w:val="right"/>
            </w:pPr>
            <w:r>
              <w:rPr>
                <w:color w:val="000000"/>
                <w:sz w:val="24"/>
                <w:szCs w:val="24"/>
              </w:rPr>
              <w:t>1.15</w:t>
            </w:r>
          </w:p>
        </w:tc>
        <w:tc>
          <w:tcPr>
            <w:tcW w:w="1424" w:type="dxa"/>
            <w:vAlign w:val="center"/>
          </w:tcPr>
          <w:p w:rsidR="000C23EE" w:rsidRDefault="00642361" w:rsidP="00642361">
            <w:pPr>
              <w:ind w:right="120"/>
              <w:jc w:val="right"/>
            </w:pPr>
            <w:r>
              <w:rPr>
                <w:rFonts w:hint="eastAsia"/>
                <w:color w:val="000000"/>
                <w:sz w:val="24"/>
                <w:szCs w:val="24"/>
              </w:rPr>
              <w:t>限售</w:t>
            </w:r>
            <w:r>
              <w:rPr>
                <w:color w:val="000000"/>
                <w:sz w:val="24"/>
                <w:szCs w:val="24"/>
              </w:rPr>
              <w:t>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775564" w:rsidRPr="00FF2C4C" w:rsidRDefault="00775564" w:rsidP="00775564">
      <w:pPr>
        <w:autoSpaceDE w:val="0"/>
        <w:autoSpaceDN w:val="0"/>
        <w:adjustRightInd w:val="0"/>
        <w:spacing w:line="360" w:lineRule="auto"/>
        <w:jc w:val="left"/>
        <w:rPr>
          <w:rFonts w:eastAsiaTheme="minorEastAsia"/>
          <w:b/>
          <w:color w:val="000000" w:themeColor="text1"/>
          <w:sz w:val="24"/>
          <w:szCs w:val="24"/>
        </w:rPr>
      </w:pPr>
      <w:r w:rsidRPr="00FF2C4C">
        <w:rPr>
          <w:rFonts w:eastAsiaTheme="minorEastAsia"/>
          <w:b/>
          <w:color w:val="000000" w:themeColor="text1"/>
          <w:sz w:val="24"/>
          <w:szCs w:val="24"/>
        </w:rPr>
        <w:t xml:space="preserve">6.3 </w:t>
      </w:r>
      <w:r w:rsidRPr="00FF2C4C">
        <w:rPr>
          <w:rFonts w:eastAsiaTheme="minorEastAsia" w:hint="eastAsia"/>
          <w:b/>
          <w:color w:val="000000" w:themeColor="text1"/>
          <w:sz w:val="24"/>
          <w:szCs w:val="24"/>
        </w:rPr>
        <w:t>本报告期持有的基金发生的重大影响事件</w:t>
      </w:r>
    </w:p>
    <w:p w:rsidR="00775564" w:rsidRPr="00575270" w:rsidRDefault="00775564" w:rsidP="00775564">
      <w:pPr>
        <w:autoSpaceDE w:val="0"/>
        <w:autoSpaceDN w:val="0"/>
        <w:adjustRightInd w:val="0"/>
        <w:spacing w:line="360" w:lineRule="auto"/>
        <w:ind w:firstLineChars="200" w:firstLine="480"/>
        <w:jc w:val="left"/>
        <w:rPr>
          <w:rFonts w:eastAsiaTheme="minorEastAsia"/>
          <w:color w:val="000000" w:themeColor="text1"/>
          <w:sz w:val="24"/>
          <w:szCs w:val="24"/>
        </w:rPr>
      </w:pPr>
      <w:r w:rsidRPr="00775564">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86,768,456.33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161,929,774.05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51,108,505.75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197,589,724.63</w:t>
            </w:r>
          </w:p>
        </w:tc>
      </w:tr>
    </w:tbl>
    <w:p w:rsidR="000C23EE" w:rsidRDefault="0039435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0C23EE" w:rsidRDefault="00394355">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C23EE" w:rsidRDefault="0039435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C23EE" w:rsidRDefault="0039435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C23EE" w:rsidRDefault="0039435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07E" w:rsidRDefault="0060707E" w:rsidP="00876D65">
      <w:r>
        <w:separator/>
      </w:r>
    </w:p>
  </w:endnote>
  <w:endnote w:type="continuationSeparator" w:id="0">
    <w:p w:rsidR="0060707E" w:rsidRDefault="0060707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5A" w:rsidRPr="001D0DB0" w:rsidRDefault="00870A5A"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F2C4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F2C4C">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07E" w:rsidRDefault="0060707E" w:rsidP="00876D65">
      <w:r>
        <w:separator/>
      </w:r>
    </w:p>
  </w:footnote>
  <w:footnote w:type="continuationSeparator" w:id="0">
    <w:p w:rsidR="0060707E" w:rsidRDefault="0060707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5A" w:rsidRPr="00DC456F" w:rsidRDefault="00870A5A" w:rsidP="00090A26">
    <w:pPr>
      <w:pStyle w:val="a9"/>
      <w:pBdr>
        <w:bottom w:val="single" w:sz="6" w:space="0" w:color="auto"/>
      </w:pBdr>
      <w:jc w:val="right"/>
      <w:rPr>
        <w:sz w:val="24"/>
        <w:szCs w:val="24"/>
      </w:rPr>
    </w:pPr>
    <w:r w:rsidRPr="003E676C">
      <w:rPr>
        <w:sz w:val="24"/>
        <w:szCs w:val="24"/>
      </w:rPr>
      <w:t>交银施罗德定期支付双息平衡混合型证券投资基金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267E3"/>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23EE"/>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5268"/>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4355"/>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07E"/>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61"/>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564"/>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0A5A"/>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457F9"/>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2C4C"/>
    <w:rsid w:val="00FF397F"/>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FF2C4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7F6D-2151-46F4-ADDF-58F2BC1A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582</cp:revision>
  <dcterms:created xsi:type="dcterms:W3CDTF">2012-10-16T06:07:00Z</dcterms:created>
  <dcterms:modified xsi:type="dcterms:W3CDTF">2018-04-19T02:28:00Z</dcterms:modified>
</cp:coreProperties>
</file>