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40E30" w:rsidRDefault="00C4519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40E30" w:rsidRDefault="00C4519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40E30" w:rsidRDefault="00C4519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40E30" w:rsidRDefault="00C4519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40E30" w:rsidRDefault="00C4519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600,121,006.57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9533F" w:rsidRPr="00414345" w:rsidTr="00E9533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9533F" w:rsidRPr="00414345" w:rsidTr="00E9533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4,113,080.58</w:t>
            </w:r>
          </w:p>
        </w:tc>
      </w:tr>
      <w:tr w:rsidR="00E9533F" w:rsidRPr="00414345" w:rsidTr="00E9533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10,448,625.54</w:t>
            </w:r>
          </w:p>
        </w:tc>
      </w:tr>
      <w:tr w:rsidR="00E9533F" w:rsidRPr="00414345" w:rsidTr="00E9533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0.0165</w:t>
            </w:r>
          </w:p>
        </w:tc>
      </w:tr>
      <w:tr w:rsidR="00E9533F" w:rsidRPr="00414345" w:rsidTr="00E9533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617,276,562.76</w:t>
            </w:r>
          </w:p>
        </w:tc>
      </w:tr>
      <w:tr w:rsidR="00E9533F" w:rsidRPr="00414345" w:rsidTr="00E9533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1.029</w:t>
            </w:r>
          </w:p>
        </w:tc>
      </w:tr>
    </w:tbl>
    <w:p w:rsidR="00640E30" w:rsidRDefault="00C4519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40E30">
        <w:trPr>
          <w:jc w:val="center"/>
        </w:trPr>
        <w:tc>
          <w:tcPr>
            <w:tcW w:w="1701" w:type="dxa"/>
            <w:vAlign w:val="center"/>
          </w:tcPr>
          <w:p w:rsidR="00640E30" w:rsidRDefault="00C45194">
            <w:pPr>
              <w:jc w:val="left"/>
            </w:pPr>
            <w:r>
              <w:rPr>
                <w:color w:val="000000"/>
                <w:sz w:val="24"/>
                <w:szCs w:val="24"/>
              </w:rPr>
              <w:t>过去三个月</w:t>
            </w:r>
          </w:p>
        </w:tc>
        <w:tc>
          <w:tcPr>
            <w:tcW w:w="1045" w:type="dxa"/>
            <w:vAlign w:val="center"/>
          </w:tcPr>
          <w:p w:rsidR="00640E30" w:rsidRDefault="00C45194">
            <w:pPr>
              <w:jc w:val="center"/>
            </w:pPr>
            <w:r>
              <w:rPr>
                <w:color w:val="000000"/>
                <w:sz w:val="24"/>
                <w:szCs w:val="24"/>
              </w:rPr>
              <w:t>1.68%</w:t>
            </w:r>
          </w:p>
        </w:tc>
        <w:tc>
          <w:tcPr>
            <w:tcW w:w="1344" w:type="dxa"/>
            <w:vAlign w:val="center"/>
          </w:tcPr>
          <w:p w:rsidR="00640E30" w:rsidRDefault="00C45194">
            <w:pPr>
              <w:jc w:val="center"/>
            </w:pPr>
            <w:r>
              <w:rPr>
                <w:color w:val="000000"/>
                <w:sz w:val="24"/>
                <w:szCs w:val="24"/>
              </w:rPr>
              <w:t>0.07%</w:t>
            </w:r>
          </w:p>
        </w:tc>
        <w:tc>
          <w:tcPr>
            <w:tcW w:w="1194" w:type="dxa"/>
            <w:vAlign w:val="center"/>
          </w:tcPr>
          <w:p w:rsidR="00640E30" w:rsidRDefault="00C45194">
            <w:pPr>
              <w:jc w:val="center"/>
            </w:pPr>
            <w:r>
              <w:rPr>
                <w:color w:val="000000"/>
                <w:sz w:val="24"/>
                <w:szCs w:val="24"/>
              </w:rPr>
              <w:t>0.69%</w:t>
            </w:r>
          </w:p>
        </w:tc>
        <w:tc>
          <w:tcPr>
            <w:tcW w:w="1492" w:type="dxa"/>
            <w:vAlign w:val="center"/>
          </w:tcPr>
          <w:p w:rsidR="00640E30" w:rsidRDefault="00C45194">
            <w:pPr>
              <w:jc w:val="center"/>
            </w:pPr>
            <w:r>
              <w:rPr>
                <w:color w:val="000000"/>
                <w:sz w:val="24"/>
                <w:szCs w:val="24"/>
              </w:rPr>
              <w:t>0.01%</w:t>
            </w:r>
          </w:p>
        </w:tc>
        <w:tc>
          <w:tcPr>
            <w:tcW w:w="1194" w:type="dxa"/>
            <w:vAlign w:val="center"/>
          </w:tcPr>
          <w:p w:rsidR="00640E30" w:rsidRDefault="00C45194">
            <w:pPr>
              <w:jc w:val="center"/>
            </w:pPr>
            <w:r>
              <w:rPr>
                <w:color w:val="000000"/>
                <w:sz w:val="24"/>
                <w:szCs w:val="24"/>
              </w:rPr>
              <w:t>0.99%</w:t>
            </w:r>
          </w:p>
        </w:tc>
        <w:tc>
          <w:tcPr>
            <w:tcW w:w="898" w:type="dxa"/>
            <w:vAlign w:val="center"/>
          </w:tcPr>
          <w:p w:rsidR="00640E30" w:rsidRDefault="00C45194">
            <w:pPr>
              <w:jc w:val="center"/>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40E30">
        <w:trPr>
          <w:jc w:val="center"/>
        </w:trPr>
        <w:tc>
          <w:tcPr>
            <w:tcW w:w="846" w:type="dxa"/>
            <w:vAlign w:val="center"/>
          </w:tcPr>
          <w:p w:rsidR="00640E30" w:rsidRDefault="00C45194">
            <w:pPr>
              <w:jc w:val="center"/>
            </w:pPr>
            <w:r>
              <w:rPr>
                <w:color w:val="000000"/>
                <w:sz w:val="24"/>
                <w:szCs w:val="24"/>
              </w:rPr>
              <w:t>于海颖</w:t>
            </w:r>
          </w:p>
        </w:tc>
        <w:tc>
          <w:tcPr>
            <w:tcW w:w="845" w:type="dxa"/>
            <w:vAlign w:val="center"/>
          </w:tcPr>
          <w:p w:rsidR="00640E30" w:rsidRDefault="00C45194">
            <w:pPr>
              <w:jc w:val="center"/>
            </w:pPr>
            <w:r>
              <w:rPr>
                <w:color w:val="000000"/>
                <w:sz w:val="24"/>
                <w:szCs w:val="24"/>
              </w:rPr>
              <w:t>交银增利债券、交银纯债债券发起、交银荣祥保本混合、交银定期支付月月</w:t>
            </w:r>
            <w:r>
              <w:rPr>
                <w:color w:val="000000"/>
                <w:sz w:val="24"/>
                <w:szCs w:val="24"/>
              </w:rPr>
              <w:lastRenderedPageBreak/>
              <w:t>丰债券、交银增强收益债券、交银强化回报债券、交银丰盈收益债券、交银丰硕收益债券、交银荣鑫保本混合、交银增利增强债券的基金经理，公司固定收益（公募）投资总监</w:t>
            </w:r>
          </w:p>
        </w:tc>
        <w:tc>
          <w:tcPr>
            <w:tcW w:w="1549" w:type="dxa"/>
            <w:vAlign w:val="center"/>
          </w:tcPr>
          <w:p w:rsidR="00640E30" w:rsidRDefault="00C45194">
            <w:pPr>
              <w:jc w:val="center"/>
            </w:pPr>
            <w:r>
              <w:rPr>
                <w:color w:val="000000"/>
                <w:sz w:val="24"/>
                <w:szCs w:val="24"/>
              </w:rPr>
              <w:lastRenderedPageBreak/>
              <w:t>2017-06-10</w:t>
            </w:r>
          </w:p>
        </w:tc>
        <w:tc>
          <w:tcPr>
            <w:tcW w:w="1548" w:type="dxa"/>
            <w:vAlign w:val="center"/>
          </w:tcPr>
          <w:p w:rsidR="00640E30" w:rsidRDefault="00C45194">
            <w:pPr>
              <w:jc w:val="center"/>
            </w:pPr>
            <w:r>
              <w:rPr>
                <w:color w:val="000000"/>
                <w:sz w:val="24"/>
                <w:szCs w:val="24"/>
              </w:rPr>
              <w:t>-</w:t>
            </w:r>
          </w:p>
        </w:tc>
        <w:tc>
          <w:tcPr>
            <w:tcW w:w="1407" w:type="dxa"/>
            <w:vAlign w:val="center"/>
          </w:tcPr>
          <w:p w:rsidR="00640E30" w:rsidRDefault="00C45194">
            <w:pPr>
              <w:jc w:val="center"/>
            </w:pPr>
            <w:r>
              <w:rPr>
                <w:color w:val="000000"/>
                <w:sz w:val="24"/>
                <w:szCs w:val="24"/>
              </w:rPr>
              <w:t>12</w:t>
            </w:r>
            <w:r>
              <w:rPr>
                <w:color w:val="000000"/>
                <w:sz w:val="24"/>
                <w:szCs w:val="24"/>
              </w:rPr>
              <w:t>年</w:t>
            </w:r>
          </w:p>
        </w:tc>
        <w:tc>
          <w:tcPr>
            <w:tcW w:w="2673" w:type="dxa"/>
            <w:vAlign w:val="center"/>
          </w:tcPr>
          <w:p w:rsidR="00640E30" w:rsidRDefault="00C45194">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w:t>
            </w:r>
            <w:r>
              <w:rPr>
                <w:color w:val="000000"/>
                <w:sz w:val="24"/>
                <w:szCs w:val="24"/>
              </w:rPr>
              <w:lastRenderedPageBreak/>
              <w:t>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40E30" w:rsidRDefault="00C4519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40E30" w:rsidRDefault="00C4519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40E30" w:rsidRDefault="00C4519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40E30" w:rsidRDefault="00C45194">
      <w:pPr>
        <w:spacing w:before="29" w:line="288" w:lineRule="auto"/>
        <w:ind w:firstLineChars="200" w:firstLine="480"/>
        <w:rPr>
          <w:color w:val="000000"/>
          <w:sz w:val="24"/>
          <w:szCs w:val="24"/>
        </w:rPr>
      </w:pPr>
      <w:r>
        <w:rPr>
          <w:color w:val="000000"/>
          <w:sz w:val="24"/>
          <w:szCs w:val="24"/>
        </w:rPr>
        <w:t>今年以来，债券市场经历了一波收益率先上后下的行情。年初在流动性紧张等因素的综合影响下，关键年期</w:t>
      </w:r>
      <w:r>
        <w:rPr>
          <w:color w:val="000000"/>
          <w:sz w:val="24"/>
          <w:szCs w:val="24"/>
        </w:rPr>
        <w:t>10</w:t>
      </w:r>
      <w:r>
        <w:rPr>
          <w:color w:val="000000"/>
          <w:sz w:val="24"/>
          <w:szCs w:val="24"/>
        </w:rPr>
        <w:t>年期国开债收益率上行约</w:t>
      </w:r>
      <w:r>
        <w:rPr>
          <w:color w:val="000000"/>
          <w:sz w:val="24"/>
          <w:szCs w:val="24"/>
        </w:rPr>
        <w:t>30BP</w:t>
      </w:r>
      <w:r>
        <w:rPr>
          <w:color w:val="000000"/>
          <w:sz w:val="24"/>
          <w:szCs w:val="24"/>
        </w:rPr>
        <w:t>至年内</w:t>
      </w:r>
      <w:r>
        <w:rPr>
          <w:color w:val="000000"/>
          <w:sz w:val="24"/>
          <w:szCs w:val="24"/>
        </w:rPr>
        <w:t>5.12%</w:t>
      </w:r>
      <w:r>
        <w:rPr>
          <w:color w:val="000000"/>
          <w:sz w:val="24"/>
          <w:szCs w:val="24"/>
        </w:rPr>
        <w:t>的高点，随着基本面和资金面预期的修复，收益率出现较大幅度的下行，截至一季末，</w:t>
      </w:r>
      <w:r>
        <w:rPr>
          <w:color w:val="000000"/>
          <w:sz w:val="24"/>
          <w:szCs w:val="24"/>
        </w:rPr>
        <w:t>10</w:t>
      </w:r>
      <w:r>
        <w:rPr>
          <w:color w:val="000000"/>
          <w:sz w:val="24"/>
          <w:szCs w:val="24"/>
        </w:rPr>
        <w:t>年期国开债的收益率下行至</w:t>
      </w:r>
      <w:r>
        <w:rPr>
          <w:color w:val="000000"/>
          <w:sz w:val="24"/>
          <w:szCs w:val="24"/>
        </w:rPr>
        <w:t>4.7%</w:t>
      </w:r>
      <w:r>
        <w:rPr>
          <w:color w:val="000000"/>
          <w:sz w:val="24"/>
          <w:szCs w:val="24"/>
        </w:rPr>
        <w:t>左右，较去年年末下行了约</w:t>
      </w:r>
      <w:r>
        <w:rPr>
          <w:color w:val="000000"/>
          <w:sz w:val="24"/>
          <w:szCs w:val="24"/>
        </w:rPr>
        <w:t>18BP</w:t>
      </w:r>
      <w:r>
        <w:rPr>
          <w:color w:val="000000"/>
          <w:sz w:val="24"/>
          <w:szCs w:val="24"/>
        </w:rPr>
        <w:t>。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szCs w:val="24"/>
        </w:rPr>
        <w:t>5BP</w:t>
      </w:r>
      <w:r>
        <w:rPr>
          <w:color w:val="000000"/>
          <w:sz w:val="24"/>
          <w:szCs w:val="24"/>
        </w:rPr>
        <w:t>，上调幅度符合市场预期。在以上因素的综合影响下，整体债券市场情绪明显恢复。</w:t>
      </w:r>
    </w:p>
    <w:p w:rsidR="00640E30" w:rsidRDefault="00C45194">
      <w:pPr>
        <w:spacing w:before="29" w:line="288" w:lineRule="auto"/>
        <w:ind w:firstLineChars="200" w:firstLine="480"/>
        <w:rPr>
          <w:color w:val="000000"/>
          <w:sz w:val="24"/>
          <w:szCs w:val="24"/>
        </w:rPr>
      </w:pPr>
      <w:r>
        <w:rPr>
          <w:color w:val="000000"/>
          <w:sz w:val="24"/>
          <w:szCs w:val="24"/>
        </w:rPr>
        <w:t>权益市场方面，地产产业链及油气产业链等大盘蓝筹板块引领市场近一个月左右的</w:t>
      </w:r>
      <w:r>
        <w:rPr>
          <w:color w:val="000000"/>
          <w:sz w:val="24"/>
          <w:szCs w:val="24"/>
        </w:rPr>
        <w:lastRenderedPageBreak/>
        <w:t>上涨行情，随着美股调整以及市场对地产政策的担忧，蓝筹板块回调，以计算机软件、集成电路板块为代表的成长板块接棒蓝筹成为市场上行的新动力。</w:t>
      </w:r>
    </w:p>
    <w:p w:rsidR="00640E30" w:rsidRDefault="00C45194">
      <w:pPr>
        <w:spacing w:before="29" w:line="288" w:lineRule="auto"/>
        <w:ind w:firstLineChars="200" w:firstLine="480"/>
        <w:rPr>
          <w:color w:val="000000"/>
          <w:sz w:val="24"/>
          <w:szCs w:val="24"/>
        </w:rPr>
      </w:pPr>
      <w:r>
        <w:rPr>
          <w:color w:val="000000"/>
          <w:sz w:val="24"/>
          <w:szCs w:val="24"/>
        </w:rPr>
        <w:t>本报告期内，本基金继续在</w:t>
      </w:r>
      <w:r>
        <w:rPr>
          <w:color w:val="000000"/>
          <w:sz w:val="24"/>
          <w:szCs w:val="24"/>
        </w:rPr>
        <w:t>CPPI</w:t>
      </w:r>
      <w:r>
        <w:rPr>
          <w:color w:val="000000"/>
          <w:sz w:val="24"/>
          <w:szCs w:val="24"/>
        </w:rPr>
        <w:t>策略的基础上积累安全垫操作，同时利用收益率较高的时点，在春节前后拉长组合久期，主要操作为在保本周期范围内将短久期存单置换成稍长久期高收益稳健资产，提升组合静态收益。权益方面，组合以低仓位基本避开了权益市场二月初的调整，而二月下半月，在安全垫允许的范围内，组合适当提高了转债资产的配置比例。</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我们对债市呈谨慎乐观看法。表外融资的收紧及环保力度加强将继续令经济基本面缓步承压，流动性总体较去年改善，但监管政策的落地及海外利率上行可能会对债市构成阶段性扰动，债券供给逐步放量也对债市收益率下行形成压力。保本组合在一季度通过拉升久期的方式阶段性完成了久期匹配工作，未来将根据市场情况动态调整组合配置。权益方面，组合将继续根据景气度精选个券，择机逐步增加转债和权益资产的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1.029</w:t>
      </w:r>
      <w:r w:rsidRPr="00414345">
        <w:rPr>
          <w:color w:val="000000"/>
          <w:sz w:val="24"/>
          <w:szCs w:val="24"/>
        </w:rPr>
        <w:t>元，本报告期份额净值增长率为</w:t>
      </w:r>
      <w:r w:rsidRPr="00414345">
        <w:rPr>
          <w:color w:val="000000"/>
          <w:sz w:val="24"/>
          <w:szCs w:val="24"/>
        </w:rPr>
        <w:t>1.68%</w:t>
      </w:r>
      <w:r w:rsidRPr="00414345">
        <w:rPr>
          <w:color w:val="000000"/>
          <w:sz w:val="24"/>
          <w:szCs w:val="24"/>
        </w:rPr>
        <w:t>，同期业绩比较基准增长率为</w:t>
      </w:r>
      <w:r w:rsidRPr="00414345">
        <w:rPr>
          <w:color w:val="000000"/>
          <w:sz w:val="24"/>
          <w:szCs w:val="24"/>
        </w:rPr>
        <w:t>0.69%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942,616,165.20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942,616,165.20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12,380,935.05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16,284,034.17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971,281,134.42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62,434,750.00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62,434,750.00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194,836,000.00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101,324,000.00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16.41</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11,241,415.20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572,780,000.00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92.79</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942,616,165.20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152.71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40E30">
        <w:trPr>
          <w:jc w:val="center"/>
        </w:trPr>
        <w:tc>
          <w:tcPr>
            <w:tcW w:w="850" w:type="dxa"/>
            <w:vAlign w:val="center"/>
          </w:tcPr>
          <w:p w:rsidR="00640E30" w:rsidRDefault="00C45194">
            <w:pPr>
              <w:jc w:val="center"/>
            </w:pPr>
            <w:r>
              <w:rPr>
                <w:color w:val="000000"/>
                <w:sz w:val="24"/>
                <w:szCs w:val="24"/>
              </w:rPr>
              <w:t>1</w:t>
            </w:r>
          </w:p>
        </w:tc>
        <w:tc>
          <w:tcPr>
            <w:tcW w:w="1475" w:type="dxa"/>
            <w:vAlign w:val="center"/>
          </w:tcPr>
          <w:p w:rsidR="00640E30" w:rsidRDefault="00C45194">
            <w:pPr>
              <w:jc w:val="center"/>
            </w:pPr>
            <w:r>
              <w:rPr>
                <w:color w:val="000000"/>
                <w:sz w:val="24"/>
                <w:szCs w:val="24"/>
              </w:rPr>
              <w:t>111712208</w:t>
            </w:r>
          </w:p>
        </w:tc>
        <w:tc>
          <w:tcPr>
            <w:tcW w:w="1769" w:type="dxa"/>
            <w:vAlign w:val="center"/>
          </w:tcPr>
          <w:p w:rsidR="00640E30" w:rsidRDefault="00C45194">
            <w:pPr>
              <w:jc w:val="center"/>
            </w:pPr>
            <w:r>
              <w:rPr>
                <w:color w:val="000000"/>
                <w:sz w:val="24"/>
                <w:szCs w:val="24"/>
              </w:rPr>
              <w:t>17</w:t>
            </w:r>
            <w:r>
              <w:rPr>
                <w:color w:val="000000"/>
                <w:sz w:val="24"/>
                <w:szCs w:val="24"/>
              </w:rPr>
              <w:t>北京银行</w:t>
            </w:r>
            <w:r>
              <w:rPr>
                <w:color w:val="000000"/>
                <w:sz w:val="24"/>
                <w:szCs w:val="24"/>
              </w:rPr>
              <w:t>CD208</w:t>
            </w:r>
          </w:p>
        </w:tc>
        <w:tc>
          <w:tcPr>
            <w:tcW w:w="1387" w:type="dxa"/>
            <w:vAlign w:val="center"/>
          </w:tcPr>
          <w:p w:rsidR="00640E30" w:rsidRDefault="00C45194">
            <w:pPr>
              <w:jc w:val="right"/>
            </w:pPr>
            <w:r>
              <w:rPr>
                <w:color w:val="000000"/>
                <w:sz w:val="24"/>
                <w:szCs w:val="24"/>
              </w:rPr>
              <w:t>1,000,000</w:t>
            </w:r>
          </w:p>
        </w:tc>
        <w:tc>
          <w:tcPr>
            <w:tcW w:w="2150" w:type="dxa"/>
            <w:vAlign w:val="center"/>
          </w:tcPr>
          <w:p w:rsidR="00640E30" w:rsidRDefault="00C45194">
            <w:pPr>
              <w:jc w:val="right"/>
            </w:pPr>
            <w:r>
              <w:rPr>
                <w:color w:val="000000"/>
                <w:sz w:val="24"/>
                <w:szCs w:val="24"/>
              </w:rPr>
              <w:t>95,660,000.00</w:t>
            </w:r>
          </w:p>
        </w:tc>
        <w:tc>
          <w:tcPr>
            <w:tcW w:w="1237" w:type="dxa"/>
            <w:vAlign w:val="center"/>
          </w:tcPr>
          <w:p w:rsidR="00640E30" w:rsidRDefault="00C45194">
            <w:pPr>
              <w:jc w:val="right"/>
            </w:pPr>
            <w:r>
              <w:rPr>
                <w:color w:val="000000"/>
                <w:sz w:val="24"/>
                <w:szCs w:val="24"/>
              </w:rPr>
              <w:t>15.50</w:t>
            </w:r>
          </w:p>
        </w:tc>
      </w:tr>
      <w:tr w:rsidR="00640E30">
        <w:trPr>
          <w:jc w:val="center"/>
        </w:trPr>
        <w:tc>
          <w:tcPr>
            <w:tcW w:w="850" w:type="dxa"/>
            <w:vAlign w:val="center"/>
          </w:tcPr>
          <w:p w:rsidR="00640E30" w:rsidRDefault="00C45194">
            <w:pPr>
              <w:jc w:val="center"/>
            </w:pPr>
            <w:r>
              <w:rPr>
                <w:color w:val="000000"/>
                <w:sz w:val="24"/>
                <w:szCs w:val="24"/>
              </w:rPr>
              <w:t>2</w:t>
            </w:r>
          </w:p>
        </w:tc>
        <w:tc>
          <w:tcPr>
            <w:tcW w:w="1475" w:type="dxa"/>
            <w:vAlign w:val="center"/>
          </w:tcPr>
          <w:p w:rsidR="00640E30" w:rsidRDefault="00C45194">
            <w:pPr>
              <w:jc w:val="center"/>
            </w:pPr>
            <w:r>
              <w:rPr>
                <w:color w:val="000000"/>
                <w:sz w:val="24"/>
                <w:szCs w:val="24"/>
              </w:rPr>
              <w:t>111814035</w:t>
            </w:r>
          </w:p>
        </w:tc>
        <w:tc>
          <w:tcPr>
            <w:tcW w:w="1769" w:type="dxa"/>
            <w:vAlign w:val="center"/>
          </w:tcPr>
          <w:p w:rsidR="00640E30" w:rsidRDefault="00C45194">
            <w:pPr>
              <w:jc w:val="center"/>
            </w:pPr>
            <w:r>
              <w:rPr>
                <w:color w:val="000000"/>
                <w:sz w:val="24"/>
                <w:szCs w:val="24"/>
              </w:rPr>
              <w:t>18</w:t>
            </w:r>
            <w:r>
              <w:rPr>
                <w:color w:val="000000"/>
                <w:sz w:val="24"/>
                <w:szCs w:val="24"/>
              </w:rPr>
              <w:t>江苏银行</w:t>
            </w:r>
            <w:r>
              <w:rPr>
                <w:color w:val="000000"/>
                <w:sz w:val="24"/>
                <w:szCs w:val="24"/>
              </w:rPr>
              <w:t>CD035</w:t>
            </w:r>
          </w:p>
        </w:tc>
        <w:tc>
          <w:tcPr>
            <w:tcW w:w="1387" w:type="dxa"/>
            <w:vAlign w:val="center"/>
          </w:tcPr>
          <w:p w:rsidR="00640E30" w:rsidRDefault="00C45194">
            <w:pPr>
              <w:jc w:val="right"/>
            </w:pPr>
            <w:r>
              <w:rPr>
                <w:color w:val="000000"/>
                <w:sz w:val="24"/>
                <w:szCs w:val="24"/>
              </w:rPr>
              <w:t>1,000,000</w:t>
            </w:r>
          </w:p>
        </w:tc>
        <w:tc>
          <w:tcPr>
            <w:tcW w:w="2150" w:type="dxa"/>
            <w:vAlign w:val="center"/>
          </w:tcPr>
          <w:p w:rsidR="00640E30" w:rsidRDefault="00C45194">
            <w:pPr>
              <w:jc w:val="right"/>
            </w:pPr>
            <w:r>
              <w:rPr>
                <w:color w:val="000000"/>
                <w:sz w:val="24"/>
                <w:szCs w:val="24"/>
              </w:rPr>
              <w:t>95,460,000.00</w:t>
            </w:r>
          </w:p>
        </w:tc>
        <w:tc>
          <w:tcPr>
            <w:tcW w:w="1237" w:type="dxa"/>
            <w:vAlign w:val="center"/>
          </w:tcPr>
          <w:p w:rsidR="00640E30" w:rsidRDefault="00C45194">
            <w:pPr>
              <w:jc w:val="right"/>
            </w:pPr>
            <w:r>
              <w:rPr>
                <w:color w:val="000000"/>
                <w:sz w:val="24"/>
                <w:szCs w:val="24"/>
              </w:rPr>
              <w:t>15.46</w:t>
            </w:r>
          </w:p>
        </w:tc>
      </w:tr>
      <w:tr w:rsidR="00640E30">
        <w:trPr>
          <w:jc w:val="center"/>
        </w:trPr>
        <w:tc>
          <w:tcPr>
            <w:tcW w:w="850" w:type="dxa"/>
            <w:vAlign w:val="center"/>
          </w:tcPr>
          <w:p w:rsidR="00640E30" w:rsidRDefault="00C45194">
            <w:pPr>
              <w:jc w:val="center"/>
            </w:pPr>
            <w:r>
              <w:rPr>
                <w:color w:val="000000"/>
                <w:sz w:val="24"/>
                <w:szCs w:val="24"/>
              </w:rPr>
              <w:t>3</w:t>
            </w:r>
          </w:p>
        </w:tc>
        <w:tc>
          <w:tcPr>
            <w:tcW w:w="1475" w:type="dxa"/>
            <w:vAlign w:val="center"/>
          </w:tcPr>
          <w:p w:rsidR="00640E30" w:rsidRDefault="00C45194">
            <w:pPr>
              <w:jc w:val="center"/>
            </w:pPr>
            <w:r>
              <w:rPr>
                <w:color w:val="000000"/>
                <w:sz w:val="24"/>
                <w:szCs w:val="24"/>
              </w:rPr>
              <w:t>111892033</w:t>
            </w:r>
          </w:p>
        </w:tc>
        <w:tc>
          <w:tcPr>
            <w:tcW w:w="1769" w:type="dxa"/>
            <w:vAlign w:val="center"/>
          </w:tcPr>
          <w:p w:rsidR="00640E30" w:rsidRDefault="00C45194">
            <w:pPr>
              <w:jc w:val="center"/>
            </w:pPr>
            <w:r>
              <w:rPr>
                <w:color w:val="000000"/>
                <w:sz w:val="24"/>
                <w:szCs w:val="24"/>
              </w:rPr>
              <w:t>18</w:t>
            </w:r>
            <w:r>
              <w:rPr>
                <w:color w:val="000000"/>
                <w:sz w:val="24"/>
                <w:szCs w:val="24"/>
              </w:rPr>
              <w:t>宁波银行</w:t>
            </w:r>
            <w:r>
              <w:rPr>
                <w:color w:val="000000"/>
                <w:sz w:val="24"/>
                <w:szCs w:val="24"/>
              </w:rPr>
              <w:t>CD032</w:t>
            </w:r>
          </w:p>
        </w:tc>
        <w:tc>
          <w:tcPr>
            <w:tcW w:w="1387" w:type="dxa"/>
            <w:vAlign w:val="center"/>
          </w:tcPr>
          <w:p w:rsidR="00640E30" w:rsidRDefault="00C45194">
            <w:pPr>
              <w:jc w:val="right"/>
            </w:pPr>
            <w:r>
              <w:rPr>
                <w:color w:val="000000"/>
                <w:sz w:val="24"/>
                <w:szCs w:val="24"/>
              </w:rPr>
              <w:t>1,000,000</w:t>
            </w:r>
          </w:p>
        </w:tc>
        <w:tc>
          <w:tcPr>
            <w:tcW w:w="2150" w:type="dxa"/>
            <w:vAlign w:val="center"/>
          </w:tcPr>
          <w:p w:rsidR="00640E30" w:rsidRDefault="00C45194">
            <w:pPr>
              <w:jc w:val="right"/>
            </w:pPr>
            <w:r>
              <w:rPr>
                <w:color w:val="000000"/>
                <w:sz w:val="24"/>
                <w:szCs w:val="24"/>
              </w:rPr>
              <w:t>95,400,000.00</w:t>
            </w:r>
          </w:p>
        </w:tc>
        <w:tc>
          <w:tcPr>
            <w:tcW w:w="1237" w:type="dxa"/>
            <w:vAlign w:val="center"/>
          </w:tcPr>
          <w:p w:rsidR="00640E30" w:rsidRDefault="00C45194">
            <w:pPr>
              <w:jc w:val="right"/>
            </w:pPr>
            <w:r>
              <w:rPr>
                <w:color w:val="000000"/>
                <w:sz w:val="24"/>
                <w:szCs w:val="24"/>
              </w:rPr>
              <w:t>15.45</w:t>
            </w:r>
          </w:p>
        </w:tc>
      </w:tr>
      <w:tr w:rsidR="00640E30">
        <w:trPr>
          <w:jc w:val="center"/>
        </w:trPr>
        <w:tc>
          <w:tcPr>
            <w:tcW w:w="850" w:type="dxa"/>
            <w:vAlign w:val="center"/>
          </w:tcPr>
          <w:p w:rsidR="00640E30" w:rsidRDefault="00C45194">
            <w:pPr>
              <w:jc w:val="center"/>
            </w:pPr>
            <w:r>
              <w:rPr>
                <w:color w:val="000000"/>
                <w:sz w:val="24"/>
                <w:szCs w:val="24"/>
              </w:rPr>
              <w:t>4</w:t>
            </w:r>
          </w:p>
        </w:tc>
        <w:tc>
          <w:tcPr>
            <w:tcW w:w="1475" w:type="dxa"/>
            <w:vAlign w:val="center"/>
          </w:tcPr>
          <w:p w:rsidR="00640E30" w:rsidRDefault="00C45194">
            <w:pPr>
              <w:jc w:val="center"/>
            </w:pPr>
            <w:r>
              <w:rPr>
                <w:color w:val="000000"/>
                <w:sz w:val="24"/>
                <w:szCs w:val="24"/>
              </w:rPr>
              <w:t>111893071</w:t>
            </w:r>
          </w:p>
        </w:tc>
        <w:tc>
          <w:tcPr>
            <w:tcW w:w="1769" w:type="dxa"/>
            <w:vAlign w:val="center"/>
          </w:tcPr>
          <w:p w:rsidR="00640E30" w:rsidRDefault="00C45194">
            <w:pPr>
              <w:jc w:val="center"/>
            </w:pPr>
            <w:r>
              <w:rPr>
                <w:color w:val="000000"/>
                <w:sz w:val="24"/>
                <w:szCs w:val="24"/>
              </w:rPr>
              <w:t>18</w:t>
            </w:r>
            <w:r>
              <w:rPr>
                <w:color w:val="000000"/>
                <w:sz w:val="24"/>
                <w:szCs w:val="24"/>
              </w:rPr>
              <w:t>杭州银行</w:t>
            </w:r>
            <w:r>
              <w:rPr>
                <w:color w:val="000000"/>
                <w:sz w:val="24"/>
                <w:szCs w:val="24"/>
              </w:rPr>
              <w:t>CD011</w:t>
            </w:r>
          </w:p>
        </w:tc>
        <w:tc>
          <w:tcPr>
            <w:tcW w:w="1387" w:type="dxa"/>
            <w:vAlign w:val="center"/>
          </w:tcPr>
          <w:p w:rsidR="00640E30" w:rsidRDefault="00C45194">
            <w:pPr>
              <w:jc w:val="right"/>
            </w:pPr>
            <w:r>
              <w:rPr>
                <w:color w:val="000000"/>
                <w:sz w:val="24"/>
                <w:szCs w:val="24"/>
              </w:rPr>
              <w:t>1,000,000</w:t>
            </w:r>
          </w:p>
        </w:tc>
        <w:tc>
          <w:tcPr>
            <w:tcW w:w="2150" w:type="dxa"/>
            <w:vAlign w:val="center"/>
          </w:tcPr>
          <w:p w:rsidR="00640E30" w:rsidRDefault="00C45194">
            <w:pPr>
              <w:jc w:val="right"/>
            </w:pPr>
            <w:r>
              <w:rPr>
                <w:color w:val="000000"/>
                <w:sz w:val="24"/>
                <w:szCs w:val="24"/>
              </w:rPr>
              <w:t>95,400,000.00</w:t>
            </w:r>
          </w:p>
        </w:tc>
        <w:tc>
          <w:tcPr>
            <w:tcW w:w="1237" w:type="dxa"/>
            <w:vAlign w:val="center"/>
          </w:tcPr>
          <w:p w:rsidR="00640E30" w:rsidRDefault="00C45194">
            <w:pPr>
              <w:jc w:val="right"/>
            </w:pPr>
            <w:r>
              <w:rPr>
                <w:color w:val="000000"/>
                <w:sz w:val="24"/>
                <w:szCs w:val="24"/>
              </w:rPr>
              <w:t>15.45</w:t>
            </w:r>
          </w:p>
        </w:tc>
      </w:tr>
      <w:tr w:rsidR="00640E30">
        <w:trPr>
          <w:jc w:val="center"/>
        </w:trPr>
        <w:tc>
          <w:tcPr>
            <w:tcW w:w="850" w:type="dxa"/>
            <w:vAlign w:val="center"/>
          </w:tcPr>
          <w:p w:rsidR="00640E30" w:rsidRDefault="00C45194">
            <w:pPr>
              <w:jc w:val="center"/>
            </w:pPr>
            <w:r>
              <w:rPr>
                <w:color w:val="000000"/>
                <w:sz w:val="24"/>
                <w:szCs w:val="24"/>
              </w:rPr>
              <w:t>5</w:t>
            </w:r>
          </w:p>
        </w:tc>
        <w:tc>
          <w:tcPr>
            <w:tcW w:w="1475" w:type="dxa"/>
            <w:vAlign w:val="center"/>
          </w:tcPr>
          <w:p w:rsidR="00640E30" w:rsidRDefault="00C45194">
            <w:pPr>
              <w:jc w:val="center"/>
            </w:pPr>
            <w:r>
              <w:rPr>
                <w:color w:val="000000"/>
                <w:sz w:val="24"/>
                <w:szCs w:val="24"/>
              </w:rPr>
              <w:t>111892484</w:t>
            </w:r>
          </w:p>
        </w:tc>
        <w:tc>
          <w:tcPr>
            <w:tcW w:w="1769" w:type="dxa"/>
            <w:vAlign w:val="center"/>
          </w:tcPr>
          <w:p w:rsidR="00640E30" w:rsidRDefault="00C45194">
            <w:pPr>
              <w:jc w:val="center"/>
            </w:pPr>
            <w:r>
              <w:rPr>
                <w:color w:val="000000"/>
                <w:sz w:val="24"/>
                <w:szCs w:val="24"/>
              </w:rPr>
              <w:t>18</w:t>
            </w:r>
            <w:r>
              <w:rPr>
                <w:color w:val="000000"/>
                <w:sz w:val="24"/>
                <w:szCs w:val="24"/>
              </w:rPr>
              <w:t>广州农村商业银行</w:t>
            </w:r>
            <w:r>
              <w:rPr>
                <w:color w:val="000000"/>
                <w:sz w:val="24"/>
                <w:szCs w:val="24"/>
              </w:rPr>
              <w:t>CD001</w:t>
            </w:r>
          </w:p>
        </w:tc>
        <w:tc>
          <w:tcPr>
            <w:tcW w:w="1387" w:type="dxa"/>
            <w:vAlign w:val="center"/>
          </w:tcPr>
          <w:p w:rsidR="00640E30" w:rsidRDefault="00C45194">
            <w:pPr>
              <w:jc w:val="right"/>
            </w:pPr>
            <w:r>
              <w:rPr>
                <w:color w:val="000000"/>
                <w:sz w:val="24"/>
                <w:szCs w:val="24"/>
              </w:rPr>
              <w:t>1,000,000</w:t>
            </w:r>
          </w:p>
        </w:tc>
        <w:tc>
          <w:tcPr>
            <w:tcW w:w="2150" w:type="dxa"/>
            <w:vAlign w:val="center"/>
          </w:tcPr>
          <w:p w:rsidR="00640E30" w:rsidRDefault="00C45194">
            <w:pPr>
              <w:jc w:val="right"/>
            </w:pPr>
            <w:r>
              <w:rPr>
                <w:color w:val="000000"/>
                <w:sz w:val="24"/>
                <w:szCs w:val="24"/>
              </w:rPr>
              <w:t>95,400,000.00</w:t>
            </w:r>
          </w:p>
        </w:tc>
        <w:tc>
          <w:tcPr>
            <w:tcW w:w="1237" w:type="dxa"/>
            <w:vAlign w:val="center"/>
          </w:tcPr>
          <w:p w:rsidR="00640E30" w:rsidRDefault="00C45194">
            <w:pPr>
              <w:jc w:val="right"/>
            </w:pPr>
            <w:r>
              <w:rPr>
                <w:color w:val="000000"/>
                <w:sz w:val="24"/>
                <w:szCs w:val="24"/>
              </w:rPr>
              <w:t>15.45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E9533F" w:rsidRPr="00E9533F" w:rsidRDefault="00BE5388" w:rsidP="00E9533F">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E9533F">
        <w:rPr>
          <w:rFonts w:hint="eastAsia"/>
          <w:bCs/>
          <w:color w:val="000000"/>
          <w:kern w:val="0"/>
          <w:sz w:val="24"/>
          <w:szCs w:val="24"/>
        </w:rPr>
        <w:t xml:space="preserve"> </w:t>
      </w:r>
      <w:r w:rsidR="00E9533F" w:rsidRPr="00E9533F">
        <w:rPr>
          <w:rFonts w:hint="eastAsia"/>
          <w:bCs/>
          <w:color w:val="000000"/>
          <w:kern w:val="0"/>
          <w:sz w:val="24"/>
          <w:szCs w:val="24"/>
        </w:rPr>
        <w:t>报告期内本基金投资的前十名证券的发行主体除</w:t>
      </w:r>
      <w:r w:rsidR="00E9533F" w:rsidRPr="00E9533F">
        <w:rPr>
          <w:rFonts w:hint="eastAsia"/>
          <w:bCs/>
          <w:color w:val="000000"/>
          <w:kern w:val="0"/>
          <w:sz w:val="24"/>
          <w:szCs w:val="24"/>
        </w:rPr>
        <w:t>18</w:t>
      </w:r>
      <w:r w:rsidR="00E9533F" w:rsidRPr="00E9533F">
        <w:rPr>
          <w:rFonts w:hint="eastAsia"/>
          <w:bCs/>
          <w:color w:val="000000"/>
          <w:kern w:val="0"/>
          <w:sz w:val="24"/>
          <w:szCs w:val="24"/>
        </w:rPr>
        <w:t>南京银行</w:t>
      </w:r>
      <w:r w:rsidR="00E9533F" w:rsidRPr="00E9533F">
        <w:rPr>
          <w:rFonts w:hint="eastAsia"/>
          <w:bCs/>
          <w:color w:val="000000"/>
          <w:kern w:val="0"/>
          <w:sz w:val="24"/>
          <w:szCs w:val="24"/>
        </w:rPr>
        <w:t>CD027</w:t>
      </w:r>
      <w:r w:rsidR="00E9533F" w:rsidRPr="00E9533F">
        <w:rPr>
          <w:rFonts w:hint="eastAsia"/>
          <w:bCs/>
          <w:color w:val="000000"/>
          <w:kern w:val="0"/>
          <w:sz w:val="24"/>
          <w:szCs w:val="24"/>
        </w:rPr>
        <w:t>（证券代码：</w:t>
      </w:r>
      <w:r w:rsidR="00E9533F" w:rsidRPr="00E9533F">
        <w:rPr>
          <w:rFonts w:hint="eastAsia"/>
          <w:bCs/>
          <w:color w:val="000000"/>
          <w:kern w:val="0"/>
          <w:sz w:val="24"/>
          <w:szCs w:val="24"/>
        </w:rPr>
        <w:t>111892301</w:t>
      </w:r>
      <w:r w:rsidR="00E9533F" w:rsidRPr="00E9533F">
        <w:rPr>
          <w:rFonts w:hint="eastAsia"/>
          <w:bCs/>
          <w:color w:val="000000"/>
          <w:kern w:val="0"/>
          <w:sz w:val="24"/>
          <w:szCs w:val="24"/>
        </w:rPr>
        <w:t>）、</w:t>
      </w:r>
      <w:r w:rsidR="00E9533F" w:rsidRPr="00E9533F">
        <w:rPr>
          <w:rFonts w:hint="eastAsia"/>
          <w:bCs/>
          <w:color w:val="000000"/>
          <w:kern w:val="0"/>
          <w:sz w:val="24"/>
          <w:szCs w:val="24"/>
        </w:rPr>
        <w:t>18</w:t>
      </w:r>
      <w:r w:rsidR="00E9533F" w:rsidRPr="00E9533F">
        <w:rPr>
          <w:rFonts w:hint="eastAsia"/>
          <w:bCs/>
          <w:color w:val="000000"/>
          <w:kern w:val="0"/>
          <w:sz w:val="24"/>
          <w:szCs w:val="24"/>
        </w:rPr>
        <w:t>南京银行</w:t>
      </w:r>
      <w:r w:rsidR="00E9533F" w:rsidRPr="00E9533F">
        <w:rPr>
          <w:rFonts w:hint="eastAsia"/>
          <w:bCs/>
          <w:color w:val="000000"/>
          <w:kern w:val="0"/>
          <w:sz w:val="24"/>
          <w:szCs w:val="24"/>
        </w:rPr>
        <w:t>CD033</w:t>
      </w:r>
      <w:r w:rsidR="00E9533F" w:rsidRPr="00E9533F">
        <w:rPr>
          <w:rFonts w:hint="eastAsia"/>
          <w:bCs/>
          <w:color w:val="000000"/>
          <w:kern w:val="0"/>
          <w:sz w:val="24"/>
          <w:szCs w:val="24"/>
        </w:rPr>
        <w:t>（证券代码：</w:t>
      </w:r>
      <w:r w:rsidR="00E9533F" w:rsidRPr="00E9533F">
        <w:rPr>
          <w:rFonts w:hint="eastAsia"/>
          <w:bCs/>
          <w:color w:val="000000"/>
          <w:kern w:val="0"/>
          <w:sz w:val="24"/>
          <w:szCs w:val="24"/>
        </w:rPr>
        <w:t>111892638</w:t>
      </w:r>
      <w:r w:rsidR="00E9533F" w:rsidRPr="00E9533F">
        <w:rPr>
          <w:rFonts w:hint="eastAsia"/>
          <w:bCs/>
          <w:color w:val="000000"/>
          <w:kern w:val="0"/>
          <w:sz w:val="24"/>
          <w:szCs w:val="24"/>
        </w:rPr>
        <w:t>）外，未出现被监管部门立案调查，或在报告编制日前一年内受到公开谴责、处罚的情形。</w:t>
      </w:r>
    </w:p>
    <w:p w:rsidR="00E9533F" w:rsidRPr="00E9533F" w:rsidRDefault="00E9533F" w:rsidP="00E9533F">
      <w:pPr>
        <w:autoSpaceDE w:val="0"/>
        <w:autoSpaceDN w:val="0"/>
        <w:adjustRightInd w:val="0"/>
        <w:spacing w:before="29" w:line="288" w:lineRule="auto"/>
        <w:jc w:val="left"/>
        <w:rPr>
          <w:bCs/>
          <w:color w:val="000000"/>
          <w:kern w:val="0"/>
          <w:sz w:val="24"/>
          <w:szCs w:val="24"/>
        </w:rPr>
      </w:pPr>
      <w:r w:rsidRPr="00E9533F">
        <w:rPr>
          <w:rFonts w:hint="eastAsia"/>
          <w:bCs/>
          <w:color w:val="000000"/>
          <w:kern w:val="0"/>
          <w:sz w:val="24"/>
          <w:szCs w:val="24"/>
        </w:rPr>
        <w:t>报告期内本基金投资的前十名证券之一</w:t>
      </w:r>
      <w:r w:rsidRPr="00E9533F">
        <w:rPr>
          <w:rFonts w:hint="eastAsia"/>
          <w:bCs/>
          <w:color w:val="000000"/>
          <w:kern w:val="0"/>
          <w:sz w:val="24"/>
          <w:szCs w:val="24"/>
        </w:rPr>
        <w:t>18</w:t>
      </w:r>
      <w:r w:rsidRPr="00E9533F">
        <w:rPr>
          <w:rFonts w:hint="eastAsia"/>
          <w:bCs/>
          <w:color w:val="000000"/>
          <w:kern w:val="0"/>
          <w:sz w:val="24"/>
          <w:szCs w:val="24"/>
        </w:rPr>
        <w:t>南京银行</w:t>
      </w:r>
      <w:r w:rsidRPr="00E9533F">
        <w:rPr>
          <w:rFonts w:hint="eastAsia"/>
          <w:bCs/>
          <w:color w:val="000000"/>
          <w:kern w:val="0"/>
          <w:sz w:val="24"/>
          <w:szCs w:val="24"/>
        </w:rPr>
        <w:t>CD027</w:t>
      </w:r>
      <w:r w:rsidRPr="00E9533F">
        <w:rPr>
          <w:rFonts w:hint="eastAsia"/>
          <w:bCs/>
          <w:color w:val="000000"/>
          <w:kern w:val="0"/>
          <w:sz w:val="24"/>
          <w:szCs w:val="24"/>
        </w:rPr>
        <w:t>（证券代码：</w:t>
      </w:r>
      <w:r w:rsidRPr="00E9533F">
        <w:rPr>
          <w:rFonts w:hint="eastAsia"/>
          <w:bCs/>
          <w:color w:val="000000"/>
          <w:kern w:val="0"/>
          <w:sz w:val="24"/>
          <w:szCs w:val="24"/>
        </w:rPr>
        <w:t>111892301</w:t>
      </w:r>
      <w:r w:rsidRPr="00E9533F">
        <w:rPr>
          <w:rFonts w:hint="eastAsia"/>
          <w:bCs/>
          <w:color w:val="000000"/>
          <w:kern w:val="0"/>
          <w:sz w:val="24"/>
          <w:szCs w:val="24"/>
        </w:rPr>
        <w:t>）的</w:t>
      </w:r>
      <w:r w:rsidRPr="00E9533F">
        <w:rPr>
          <w:rFonts w:hint="eastAsia"/>
          <w:bCs/>
          <w:color w:val="000000"/>
          <w:kern w:val="0"/>
          <w:sz w:val="24"/>
          <w:szCs w:val="24"/>
        </w:rPr>
        <w:lastRenderedPageBreak/>
        <w:t>发行主体南京银行于</w:t>
      </w:r>
      <w:r w:rsidRPr="00E9533F">
        <w:rPr>
          <w:rFonts w:hint="eastAsia"/>
          <w:bCs/>
          <w:color w:val="000000"/>
          <w:kern w:val="0"/>
          <w:sz w:val="24"/>
          <w:szCs w:val="24"/>
        </w:rPr>
        <w:t>2018</w:t>
      </w:r>
      <w:r w:rsidRPr="00E9533F">
        <w:rPr>
          <w:rFonts w:hint="eastAsia"/>
          <w:bCs/>
          <w:color w:val="000000"/>
          <w:kern w:val="0"/>
          <w:sz w:val="24"/>
          <w:szCs w:val="24"/>
        </w:rPr>
        <w:t>年</w:t>
      </w:r>
      <w:r w:rsidRPr="00E9533F">
        <w:rPr>
          <w:rFonts w:hint="eastAsia"/>
          <w:bCs/>
          <w:color w:val="000000"/>
          <w:kern w:val="0"/>
          <w:sz w:val="24"/>
          <w:szCs w:val="24"/>
        </w:rPr>
        <w:t>1</w:t>
      </w:r>
      <w:r w:rsidRPr="00E9533F">
        <w:rPr>
          <w:rFonts w:hint="eastAsia"/>
          <w:bCs/>
          <w:color w:val="000000"/>
          <w:kern w:val="0"/>
          <w:sz w:val="24"/>
          <w:szCs w:val="24"/>
        </w:rPr>
        <w:t>月</w:t>
      </w:r>
      <w:r w:rsidRPr="00E9533F">
        <w:rPr>
          <w:rFonts w:hint="eastAsia"/>
          <w:bCs/>
          <w:color w:val="000000"/>
          <w:kern w:val="0"/>
          <w:sz w:val="24"/>
          <w:szCs w:val="24"/>
        </w:rPr>
        <w:t>30</w:t>
      </w:r>
      <w:r w:rsidRPr="00E9533F">
        <w:rPr>
          <w:rFonts w:hint="eastAsia"/>
          <w:bCs/>
          <w:color w:val="000000"/>
          <w:kern w:val="0"/>
          <w:sz w:val="24"/>
          <w:szCs w:val="24"/>
        </w:rPr>
        <w:t>日公告，公司收到中国银行业监督管理委员会江苏监管局行政处罚决定书（苏银监罚决字【</w:t>
      </w:r>
      <w:r w:rsidRPr="00E9533F">
        <w:rPr>
          <w:rFonts w:hint="eastAsia"/>
          <w:bCs/>
          <w:color w:val="000000"/>
          <w:kern w:val="0"/>
          <w:sz w:val="24"/>
          <w:szCs w:val="24"/>
        </w:rPr>
        <w:t>2018</w:t>
      </w:r>
      <w:r w:rsidRPr="00E9533F">
        <w:rPr>
          <w:rFonts w:hint="eastAsia"/>
          <w:bCs/>
          <w:color w:val="000000"/>
          <w:kern w:val="0"/>
          <w:sz w:val="24"/>
          <w:szCs w:val="24"/>
        </w:rPr>
        <w:t>】</w:t>
      </w:r>
      <w:r w:rsidRPr="00E9533F">
        <w:rPr>
          <w:rFonts w:hint="eastAsia"/>
          <w:bCs/>
          <w:color w:val="000000"/>
          <w:kern w:val="0"/>
          <w:sz w:val="24"/>
          <w:szCs w:val="24"/>
        </w:rPr>
        <w:t xml:space="preserve"> 1 </w:t>
      </w:r>
      <w:r w:rsidRPr="00E9533F">
        <w:rPr>
          <w:rFonts w:hint="eastAsia"/>
          <w:bCs/>
          <w:color w:val="000000"/>
          <w:kern w:val="0"/>
          <w:sz w:val="24"/>
          <w:szCs w:val="24"/>
        </w:rPr>
        <w:t>号</w:t>
      </w:r>
      <w:r w:rsidRPr="00E9533F">
        <w:rPr>
          <w:rFonts w:hint="eastAsia"/>
          <w:bCs/>
          <w:color w:val="000000"/>
          <w:kern w:val="0"/>
          <w:sz w:val="24"/>
          <w:szCs w:val="24"/>
        </w:rPr>
        <w:t>,</w:t>
      </w:r>
      <w:r w:rsidRPr="00E9533F">
        <w:rPr>
          <w:rFonts w:hint="eastAsia"/>
          <w:bCs/>
          <w:color w:val="000000"/>
          <w:kern w:val="0"/>
          <w:sz w:val="24"/>
          <w:szCs w:val="24"/>
        </w:rPr>
        <w:t>对镇江分行违规办理票据业务违反审慎经营原则的行为罚款</w:t>
      </w:r>
      <w:r w:rsidRPr="00E9533F">
        <w:rPr>
          <w:rFonts w:hint="eastAsia"/>
          <w:bCs/>
          <w:color w:val="000000"/>
          <w:kern w:val="0"/>
          <w:sz w:val="24"/>
          <w:szCs w:val="24"/>
        </w:rPr>
        <w:t>3230</w:t>
      </w:r>
      <w:r w:rsidRPr="00E9533F">
        <w:rPr>
          <w:rFonts w:hint="eastAsia"/>
          <w:bCs/>
          <w:color w:val="000000"/>
          <w:kern w:val="0"/>
          <w:sz w:val="24"/>
          <w:szCs w:val="24"/>
        </w:rPr>
        <w:t>万元人民币。</w:t>
      </w:r>
    </w:p>
    <w:p w:rsidR="00E9533F" w:rsidRPr="00E9533F" w:rsidRDefault="00E9533F" w:rsidP="00E9533F">
      <w:pPr>
        <w:autoSpaceDE w:val="0"/>
        <w:autoSpaceDN w:val="0"/>
        <w:adjustRightInd w:val="0"/>
        <w:spacing w:before="29" w:line="288" w:lineRule="auto"/>
        <w:jc w:val="left"/>
        <w:rPr>
          <w:bCs/>
          <w:color w:val="000000"/>
          <w:kern w:val="0"/>
          <w:sz w:val="24"/>
          <w:szCs w:val="24"/>
        </w:rPr>
      </w:pPr>
      <w:r w:rsidRPr="00E9533F">
        <w:rPr>
          <w:rFonts w:hint="eastAsia"/>
          <w:bCs/>
          <w:color w:val="000000"/>
          <w:kern w:val="0"/>
          <w:sz w:val="24"/>
          <w:szCs w:val="24"/>
        </w:rPr>
        <w:t>报告期内本基金投资的前十名证券之一</w:t>
      </w:r>
      <w:r w:rsidRPr="00E9533F">
        <w:rPr>
          <w:rFonts w:hint="eastAsia"/>
          <w:bCs/>
          <w:color w:val="000000"/>
          <w:kern w:val="0"/>
          <w:sz w:val="24"/>
          <w:szCs w:val="24"/>
        </w:rPr>
        <w:t>18</w:t>
      </w:r>
      <w:r w:rsidRPr="00E9533F">
        <w:rPr>
          <w:rFonts w:hint="eastAsia"/>
          <w:bCs/>
          <w:color w:val="000000"/>
          <w:kern w:val="0"/>
          <w:sz w:val="24"/>
          <w:szCs w:val="24"/>
        </w:rPr>
        <w:t>南京银行</w:t>
      </w:r>
      <w:r w:rsidRPr="00E9533F">
        <w:rPr>
          <w:rFonts w:hint="eastAsia"/>
          <w:bCs/>
          <w:color w:val="000000"/>
          <w:kern w:val="0"/>
          <w:sz w:val="24"/>
          <w:szCs w:val="24"/>
        </w:rPr>
        <w:t>CD033</w:t>
      </w:r>
      <w:r w:rsidRPr="00E9533F">
        <w:rPr>
          <w:rFonts w:hint="eastAsia"/>
          <w:bCs/>
          <w:color w:val="000000"/>
          <w:kern w:val="0"/>
          <w:sz w:val="24"/>
          <w:szCs w:val="24"/>
        </w:rPr>
        <w:t>（证券代码：</w:t>
      </w:r>
      <w:r w:rsidRPr="00E9533F">
        <w:rPr>
          <w:rFonts w:hint="eastAsia"/>
          <w:bCs/>
          <w:color w:val="000000"/>
          <w:kern w:val="0"/>
          <w:sz w:val="24"/>
          <w:szCs w:val="24"/>
        </w:rPr>
        <w:t>111892638</w:t>
      </w:r>
      <w:r w:rsidRPr="00E9533F">
        <w:rPr>
          <w:rFonts w:hint="eastAsia"/>
          <w:bCs/>
          <w:color w:val="000000"/>
          <w:kern w:val="0"/>
          <w:sz w:val="24"/>
          <w:szCs w:val="24"/>
        </w:rPr>
        <w:t>）的发行主体南京银行于</w:t>
      </w:r>
      <w:r w:rsidRPr="00E9533F">
        <w:rPr>
          <w:rFonts w:hint="eastAsia"/>
          <w:bCs/>
          <w:color w:val="000000"/>
          <w:kern w:val="0"/>
          <w:sz w:val="24"/>
          <w:szCs w:val="24"/>
        </w:rPr>
        <w:t>2018</w:t>
      </w:r>
      <w:r w:rsidRPr="00E9533F">
        <w:rPr>
          <w:rFonts w:hint="eastAsia"/>
          <w:bCs/>
          <w:color w:val="000000"/>
          <w:kern w:val="0"/>
          <w:sz w:val="24"/>
          <w:szCs w:val="24"/>
        </w:rPr>
        <w:t>年</w:t>
      </w:r>
      <w:r w:rsidRPr="00E9533F">
        <w:rPr>
          <w:rFonts w:hint="eastAsia"/>
          <w:bCs/>
          <w:color w:val="000000"/>
          <w:kern w:val="0"/>
          <w:sz w:val="24"/>
          <w:szCs w:val="24"/>
        </w:rPr>
        <w:t>1</w:t>
      </w:r>
      <w:r w:rsidRPr="00E9533F">
        <w:rPr>
          <w:rFonts w:hint="eastAsia"/>
          <w:bCs/>
          <w:color w:val="000000"/>
          <w:kern w:val="0"/>
          <w:sz w:val="24"/>
          <w:szCs w:val="24"/>
        </w:rPr>
        <w:t>月</w:t>
      </w:r>
      <w:r w:rsidRPr="00E9533F">
        <w:rPr>
          <w:rFonts w:hint="eastAsia"/>
          <w:bCs/>
          <w:color w:val="000000"/>
          <w:kern w:val="0"/>
          <w:sz w:val="24"/>
          <w:szCs w:val="24"/>
        </w:rPr>
        <w:t>30</w:t>
      </w:r>
      <w:r w:rsidRPr="00E9533F">
        <w:rPr>
          <w:rFonts w:hint="eastAsia"/>
          <w:bCs/>
          <w:color w:val="000000"/>
          <w:kern w:val="0"/>
          <w:sz w:val="24"/>
          <w:szCs w:val="24"/>
        </w:rPr>
        <w:t>日公告，公司收到中国银行业监督管理委员会江苏监管局行政处罚决定书（苏银监罚决字【</w:t>
      </w:r>
      <w:r w:rsidRPr="00E9533F">
        <w:rPr>
          <w:rFonts w:hint="eastAsia"/>
          <w:bCs/>
          <w:color w:val="000000"/>
          <w:kern w:val="0"/>
          <w:sz w:val="24"/>
          <w:szCs w:val="24"/>
        </w:rPr>
        <w:t>2018</w:t>
      </w:r>
      <w:r w:rsidRPr="00E9533F">
        <w:rPr>
          <w:rFonts w:hint="eastAsia"/>
          <w:bCs/>
          <w:color w:val="000000"/>
          <w:kern w:val="0"/>
          <w:sz w:val="24"/>
          <w:szCs w:val="24"/>
        </w:rPr>
        <w:t>】</w:t>
      </w:r>
      <w:r w:rsidRPr="00E9533F">
        <w:rPr>
          <w:rFonts w:hint="eastAsia"/>
          <w:bCs/>
          <w:color w:val="000000"/>
          <w:kern w:val="0"/>
          <w:sz w:val="24"/>
          <w:szCs w:val="24"/>
        </w:rPr>
        <w:t xml:space="preserve"> 1 </w:t>
      </w:r>
      <w:r w:rsidRPr="00E9533F">
        <w:rPr>
          <w:rFonts w:hint="eastAsia"/>
          <w:bCs/>
          <w:color w:val="000000"/>
          <w:kern w:val="0"/>
          <w:sz w:val="24"/>
          <w:szCs w:val="24"/>
        </w:rPr>
        <w:t>号</w:t>
      </w:r>
      <w:r w:rsidRPr="00E9533F">
        <w:rPr>
          <w:rFonts w:hint="eastAsia"/>
          <w:bCs/>
          <w:color w:val="000000"/>
          <w:kern w:val="0"/>
          <w:sz w:val="24"/>
          <w:szCs w:val="24"/>
        </w:rPr>
        <w:t>,</w:t>
      </w:r>
      <w:r w:rsidRPr="00E9533F">
        <w:rPr>
          <w:rFonts w:hint="eastAsia"/>
          <w:bCs/>
          <w:color w:val="000000"/>
          <w:kern w:val="0"/>
          <w:sz w:val="24"/>
          <w:szCs w:val="24"/>
        </w:rPr>
        <w:t>对镇江分行违规办理票据业务违反审慎经营原则的行为罚款</w:t>
      </w:r>
      <w:r w:rsidRPr="00E9533F">
        <w:rPr>
          <w:rFonts w:hint="eastAsia"/>
          <w:bCs/>
          <w:color w:val="000000"/>
          <w:kern w:val="0"/>
          <w:sz w:val="24"/>
          <w:szCs w:val="24"/>
        </w:rPr>
        <w:t>3230</w:t>
      </w:r>
      <w:r w:rsidRPr="00E9533F">
        <w:rPr>
          <w:rFonts w:hint="eastAsia"/>
          <w:bCs/>
          <w:color w:val="000000"/>
          <w:kern w:val="0"/>
          <w:sz w:val="24"/>
          <w:szCs w:val="24"/>
        </w:rPr>
        <w:t>万元人民币。</w:t>
      </w:r>
    </w:p>
    <w:p w:rsidR="00640E30" w:rsidRDefault="00E9533F" w:rsidP="00E9533F">
      <w:pPr>
        <w:autoSpaceDE w:val="0"/>
        <w:autoSpaceDN w:val="0"/>
        <w:adjustRightInd w:val="0"/>
        <w:spacing w:before="29" w:line="288" w:lineRule="auto"/>
        <w:jc w:val="left"/>
        <w:rPr>
          <w:bCs/>
          <w:color w:val="000000"/>
          <w:kern w:val="0"/>
          <w:sz w:val="24"/>
          <w:szCs w:val="24"/>
        </w:rPr>
      </w:pPr>
      <w:r w:rsidRPr="00E9533F">
        <w:rPr>
          <w:rFonts w:hint="eastAsia"/>
          <w:bCs/>
          <w:color w:val="000000"/>
          <w:kern w:val="0"/>
          <w:sz w:val="24"/>
          <w:szCs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4,017.22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12,268,781.51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4,011,235.44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16,284,034.17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640E30">
        <w:trPr>
          <w:jc w:val="center"/>
        </w:trPr>
        <w:tc>
          <w:tcPr>
            <w:tcW w:w="1883" w:type="dxa"/>
            <w:vAlign w:val="center"/>
          </w:tcPr>
          <w:p w:rsidR="00640E30" w:rsidRDefault="00C45194">
            <w:pPr>
              <w:jc w:val="center"/>
            </w:pPr>
            <w:r>
              <w:rPr>
                <w:color w:val="000000"/>
                <w:sz w:val="24"/>
                <w:szCs w:val="24"/>
              </w:rPr>
              <w:t>1</w:t>
            </w:r>
          </w:p>
        </w:tc>
        <w:tc>
          <w:tcPr>
            <w:tcW w:w="1801" w:type="dxa"/>
            <w:vAlign w:val="center"/>
          </w:tcPr>
          <w:p w:rsidR="00640E30" w:rsidRDefault="00C45194">
            <w:pPr>
              <w:jc w:val="center"/>
            </w:pPr>
            <w:r>
              <w:rPr>
                <w:color w:val="000000"/>
                <w:sz w:val="24"/>
                <w:szCs w:val="24"/>
              </w:rPr>
              <w:t>113011</w:t>
            </w:r>
          </w:p>
        </w:tc>
        <w:tc>
          <w:tcPr>
            <w:tcW w:w="1727" w:type="dxa"/>
            <w:vAlign w:val="center"/>
          </w:tcPr>
          <w:p w:rsidR="00640E30" w:rsidRDefault="00C45194">
            <w:pPr>
              <w:jc w:val="center"/>
            </w:pPr>
            <w:r>
              <w:rPr>
                <w:color w:val="000000"/>
                <w:sz w:val="24"/>
                <w:szCs w:val="24"/>
              </w:rPr>
              <w:t>光大转债</w:t>
            </w:r>
          </w:p>
        </w:tc>
        <w:tc>
          <w:tcPr>
            <w:tcW w:w="1768" w:type="dxa"/>
            <w:vAlign w:val="center"/>
          </w:tcPr>
          <w:p w:rsidR="00640E30" w:rsidRDefault="00C45194">
            <w:pPr>
              <w:jc w:val="right"/>
            </w:pPr>
            <w:r>
              <w:rPr>
                <w:color w:val="000000"/>
                <w:sz w:val="24"/>
                <w:szCs w:val="24"/>
              </w:rPr>
              <w:t>5,422,915.20</w:t>
            </w:r>
          </w:p>
        </w:tc>
        <w:tc>
          <w:tcPr>
            <w:tcW w:w="1689" w:type="dxa"/>
            <w:vAlign w:val="center"/>
          </w:tcPr>
          <w:p w:rsidR="00640E30" w:rsidRDefault="00C45194">
            <w:pPr>
              <w:jc w:val="right"/>
            </w:pPr>
            <w:r>
              <w:rPr>
                <w:color w:val="000000"/>
                <w:sz w:val="24"/>
                <w:szCs w:val="24"/>
              </w:rPr>
              <w:t>0.88</w:t>
            </w:r>
          </w:p>
        </w:tc>
      </w:tr>
      <w:tr w:rsidR="00640E30">
        <w:trPr>
          <w:jc w:val="center"/>
        </w:trPr>
        <w:tc>
          <w:tcPr>
            <w:tcW w:w="1883" w:type="dxa"/>
            <w:vAlign w:val="center"/>
          </w:tcPr>
          <w:p w:rsidR="00640E30" w:rsidRDefault="00C45194">
            <w:pPr>
              <w:jc w:val="center"/>
            </w:pPr>
            <w:r>
              <w:rPr>
                <w:color w:val="000000"/>
                <w:sz w:val="24"/>
                <w:szCs w:val="24"/>
              </w:rPr>
              <w:t>2</w:t>
            </w:r>
          </w:p>
        </w:tc>
        <w:tc>
          <w:tcPr>
            <w:tcW w:w="1801" w:type="dxa"/>
            <w:vAlign w:val="center"/>
          </w:tcPr>
          <w:p w:rsidR="00640E30" w:rsidRDefault="00C45194">
            <w:pPr>
              <w:jc w:val="center"/>
            </w:pPr>
            <w:r>
              <w:rPr>
                <w:color w:val="000000"/>
                <w:sz w:val="24"/>
                <w:szCs w:val="24"/>
              </w:rPr>
              <w:t>128015</w:t>
            </w:r>
          </w:p>
        </w:tc>
        <w:tc>
          <w:tcPr>
            <w:tcW w:w="1727" w:type="dxa"/>
            <w:vAlign w:val="center"/>
          </w:tcPr>
          <w:p w:rsidR="00640E30" w:rsidRDefault="00C45194">
            <w:pPr>
              <w:jc w:val="center"/>
            </w:pPr>
            <w:r>
              <w:rPr>
                <w:color w:val="000000"/>
                <w:sz w:val="24"/>
                <w:szCs w:val="24"/>
              </w:rPr>
              <w:t>久其转债</w:t>
            </w:r>
          </w:p>
        </w:tc>
        <w:tc>
          <w:tcPr>
            <w:tcW w:w="1768" w:type="dxa"/>
            <w:vAlign w:val="center"/>
          </w:tcPr>
          <w:p w:rsidR="00640E30" w:rsidRDefault="00C45194">
            <w:pPr>
              <w:jc w:val="right"/>
            </w:pPr>
            <w:r>
              <w:rPr>
                <w:color w:val="000000"/>
                <w:sz w:val="24"/>
                <w:szCs w:val="24"/>
              </w:rPr>
              <w:t>1,092,600.00</w:t>
            </w:r>
          </w:p>
        </w:tc>
        <w:tc>
          <w:tcPr>
            <w:tcW w:w="1689" w:type="dxa"/>
            <w:vAlign w:val="center"/>
          </w:tcPr>
          <w:p w:rsidR="00640E30" w:rsidRDefault="00C45194">
            <w:pPr>
              <w:jc w:val="right"/>
            </w:pPr>
            <w:r>
              <w:rPr>
                <w:color w:val="000000"/>
                <w:sz w:val="24"/>
                <w:szCs w:val="24"/>
              </w:rPr>
              <w:t>0.18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40E30" w:rsidRDefault="00C45194">
      <w:pPr>
        <w:spacing w:before="29" w:line="288" w:lineRule="auto"/>
        <w:rPr>
          <w:color w:val="000000"/>
          <w:sz w:val="24"/>
          <w:szCs w:val="24"/>
        </w:rPr>
      </w:pPr>
      <w:r>
        <w:rPr>
          <w:color w:val="000000"/>
          <w:sz w:val="24"/>
          <w:szCs w:val="24"/>
        </w:rPr>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54712E" w:rsidRPr="00D57B3B" w:rsidRDefault="0054712E" w:rsidP="0054712E">
      <w:pPr>
        <w:autoSpaceDE w:val="0"/>
        <w:autoSpaceDN w:val="0"/>
        <w:adjustRightInd w:val="0"/>
        <w:spacing w:line="360" w:lineRule="auto"/>
        <w:jc w:val="left"/>
        <w:rPr>
          <w:rFonts w:eastAsiaTheme="minorEastAsia"/>
          <w:b/>
          <w:color w:val="000000" w:themeColor="text1"/>
          <w:sz w:val="24"/>
          <w:szCs w:val="24"/>
        </w:rPr>
      </w:pPr>
      <w:r w:rsidRPr="00D57B3B">
        <w:rPr>
          <w:rFonts w:eastAsiaTheme="minorEastAsia"/>
          <w:b/>
          <w:color w:val="000000" w:themeColor="text1"/>
          <w:sz w:val="24"/>
          <w:szCs w:val="24"/>
        </w:rPr>
        <w:t xml:space="preserve">6.3 </w:t>
      </w:r>
      <w:r w:rsidRPr="00D57B3B">
        <w:rPr>
          <w:rFonts w:eastAsiaTheme="minorEastAsia" w:hint="eastAsia"/>
          <w:b/>
          <w:color w:val="000000" w:themeColor="text1"/>
          <w:sz w:val="24"/>
          <w:szCs w:val="24"/>
        </w:rPr>
        <w:t>本报告期持有的基金发生的重大影响事件</w:t>
      </w:r>
    </w:p>
    <w:p w:rsidR="0054712E" w:rsidRPr="0054712E" w:rsidRDefault="0054712E" w:rsidP="0054712E">
      <w:pPr>
        <w:autoSpaceDE w:val="0"/>
        <w:autoSpaceDN w:val="0"/>
        <w:adjustRightInd w:val="0"/>
        <w:spacing w:line="360" w:lineRule="auto"/>
        <w:ind w:firstLineChars="200" w:firstLine="480"/>
        <w:jc w:val="left"/>
        <w:rPr>
          <w:rFonts w:eastAsiaTheme="minorEastAsia"/>
          <w:color w:val="000000" w:themeColor="text1"/>
          <w:sz w:val="24"/>
          <w:szCs w:val="24"/>
        </w:rPr>
      </w:pPr>
      <w:r w:rsidRPr="0054712E">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682,553,276.26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4,385,926.28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86,818,195.97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600,121,006.57</w:t>
            </w:r>
          </w:p>
        </w:tc>
      </w:tr>
    </w:tbl>
    <w:p w:rsidR="00640E30" w:rsidRDefault="00C4519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9.1 影响投资者决策的其他重要信息</w:t>
      </w:r>
    </w:p>
    <w:p w:rsidR="00640E30" w:rsidRDefault="00C45194">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40E30" w:rsidRDefault="00C4519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640E30" w:rsidRDefault="00C4519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640E30" w:rsidRDefault="00C4519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640E30" w:rsidRDefault="00C4519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640E30" w:rsidRDefault="00C4519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640E30" w:rsidRDefault="00C4519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640E30" w:rsidRDefault="00C4519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640E30" w:rsidRDefault="00C45194">
      <w:pPr>
        <w:spacing w:before="29" w:line="288" w:lineRule="auto"/>
        <w:ind w:firstLineChars="200" w:firstLine="480"/>
        <w:rPr>
          <w:color w:val="000000"/>
          <w:sz w:val="24"/>
          <w:szCs w:val="24"/>
        </w:rPr>
      </w:pPr>
      <w:r>
        <w:rPr>
          <w:color w:val="000000"/>
          <w:sz w:val="24"/>
          <w:szCs w:val="24"/>
        </w:rPr>
        <w:lastRenderedPageBreak/>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40E30" w:rsidRDefault="00C4519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87E" w:rsidRDefault="00D5587E" w:rsidP="00876D65">
      <w:r>
        <w:separator/>
      </w:r>
    </w:p>
  </w:endnote>
  <w:endnote w:type="continuationSeparator" w:id="0">
    <w:p w:rsidR="00D5587E" w:rsidRDefault="00D5587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D57B3B">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D57B3B">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87E" w:rsidRDefault="00D5587E" w:rsidP="00876D65">
      <w:r>
        <w:separator/>
      </w:r>
    </w:p>
  </w:footnote>
  <w:footnote w:type="continuationSeparator" w:id="0">
    <w:p w:rsidR="00D5587E" w:rsidRDefault="00D5587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交银施罗德荣祥保本混合型证券投资基金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C773D"/>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4712E"/>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0E30"/>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94"/>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587E"/>
    <w:rsid w:val="00D57B3B"/>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9533F"/>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D57B3B"/>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E6CB1-6267-468D-A894-8187B662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Pages>
  <Words>1223</Words>
  <Characters>6976</Characters>
  <Application>Microsoft Office Word</Application>
  <DocSecurity>0</DocSecurity>
  <Lines>58</Lines>
  <Paragraphs>16</Paragraphs>
  <ScaleCrop>false</ScaleCrop>
  <Company/>
  <LinksUpToDate>false</LinksUpToDate>
  <CharactersWithSpaces>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580</cp:revision>
  <dcterms:created xsi:type="dcterms:W3CDTF">2012-10-16T06:07:00Z</dcterms:created>
  <dcterms:modified xsi:type="dcterms:W3CDTF">2018-04-19T02:27:00Z</dcterms:modified>
</cp:coreProperties>
</file>