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1,503,111,801.32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1,497,557,574.05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5,554,227.27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18,491,994.09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63,780.01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27,392,344.65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98,260.80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1,576,651,474.07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5,851,057.44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1.053</w:t>
            </w:r>
          </w:p>
        </w:tc>
      </w:tr>
    </w:tbl>
    <w:p w:rsidR="00E537B8" w:rsidRDefault="00AE0D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537B8">
        <w:trPr>
          <w:jc w:val="center"/>
        </w:trPr>
        <w:tc>
          <w:tcPr>
            <w:tcW w:w="1266" w:type="dxa"/>
            <w:vAlign w:val="center"/>
          </w:tcPr>
          <w:p w:rsidR="00E537B8" w:rsidRDefault="00AE0DE8">
            <w:pPr>
              <w:jc w:val="left"/>
            </w:pPr>
            <w:r>
              <w:rPr>
                <w:color w:val="000000"/>
                <w:sz w:val="24"/>
              </w:rPr>
              <w:t>过去三个月</w:t>
            </w:r>
          </w:p>
        </w:tc>
        <w:tc>
          <w:tcPr>
            <w:tcW w:w="1267" w:type="dxa"/>
            <w:vAlign w:val="center"/>
          </w:tcPr>
          <w:p w:rsidR="00E537B8" w:rsidRDefault="00AE0DE8">
            <w:pPr>
              <w:jc w:val="center"/>
            </w:pPr>
            <w:r>
              <w:rPr>
                <w:color w:val="000000"/>
                <w:sz w:val="24"/>
              </w:rPr>
              <w:t>1.74%</w:t>
            </w:r>
          </w:p>
        </w:tc>
        <w:tc>
          <w:tcPr>
            <w:tcW w:w="1267" w:type="dxa"/>
            <w:vAlign w:val="center"/>
          </w:tcPr>
          <w:p w:rsidR="00E537B8" w:rsidRDefault="00AE0DE8">
            <w:pPr>
              <w:jc w:val="center"/>
            </w:pPr>
            <w:r>
              <w:rPr>
                <w:color w:val="000000"/>
                <w:sz w:val="24"/>
              </w:rPr>
              <w:t>0.0</w:t>
            </w:r>
            <w:r w:rsidR="00EB7B77">
              <w:rPr>
                <w:color w:val="000000"/>
                <w:sz w:val="24"/>
              </w:rPr>
              <w:t>5</w:t>
            </w:r>
            <w:r>
              <w:rPr>
                <w:color w:val="000000"/>
                <w:sz w:val="24"/>
              </w:rPr>
              <w:t>%</w:t>
            </w:r>
          </w:p>
        </w:tc>
        <w:tc>
          <w:tcPr>
            <w:tcW w:w="1267" w:type="dxa"/>
            <w:vAlign w:val="center"/>
          </w:tcPr>
          <w:p w:rsidR="00E537B8" w:rsidRDefault="00AE0DE8">
            <w:pPr>
              <w:jc w:val="center"/>
            </w:pPr>
            <w:r>
              <w:rPr>
                <w:color w:val="000000"/>
                <w:sz w:val="24"/>
              </w:rPr>
              <w:t>1.14%</w:t>
            </w:r>
          </w:p>
        </w:tc>
        <w:tc>
          <w:tcPr>
            <w:tcW w:w="1267" w:type="dxa"/>
            <w:vAlign w:val="center"/>
          </w:tcPr>
          <w:p w:rsidR="00E537B8" w:rsidRDefault="00AE0DE8">
            <w:pPr>
              <w:jc w:val="center"/>
            </w:pPr>
            <w:r>
              <w:rPr>
                <w:color w:val="000000"/>
                <w:sz w:val="24"/>
              </w:rPr>
              <w:t>0.04%</w:t>
            </w:r>
          </w:p>
        </w:tc>
        <w:tc>
          <w:tcPr>
            <w:tcW w:w="1267" w:type="dxa"/>
            <w:vAlign w:val="center"/>
          </w:tcPr>
          <w:p w:rsidR="00E537B8" w:rsidRDefault="00AE0DE8">
            <w:pPr>
              <w:jc w:val="center"/>
            </w:pPr>
            <w:r>
              <w:rPr>
                <w:color w:val="000000"/>
                <w:sz w:val="24"/>
              </w:rPr>
              <w:t>0.60%</w:t>
            </w:r>
          </w:p>
        </w:tc>
        <w:tc>
          <w:tcPr>
            <w:tcW w:w="1267" w:type="dxa"/>
            <w:vAlign w:val="center"/>
          </w:tcPr>
          <w:p w:rsidR="00E537B8" w:rsidRDefault="00EB7B77">
            <w:pPr>
              <w:jc w:val="center"/>
            </w:pPr>
            <w:r>
              <w:rPr>
                <w:color w:val="000000"/>
                <w:sz w:val="24"/>
              </w:rPr>
              <w:t>0.01</w:t>
            </w:r>
            <w:r w:rsidR="00AE0DE8">
              <w:rPr>
                <w:color w:val="000000"/>
                <w:sz w:val="24"/>
              </w:rPr>
              <w:t>%</w:t>
            </w:r>
            <w:bookmarkStart w:id="0" w:name="_GoBack"/>
            <w:bookmarkEnd w:id="0"/>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537B8">
        <w:trPr>
          <w:jc w:val="center"/>
        </w:trPr>
        <w:tc>
          <w:tcPr>
            <w:tcW w:w="1266" w:type="dxa"/>
            <w:vAlign w:val="center"/>
          </w:tcPr>
          <w:p w:rsidR="00E537B8" w:rsidRDefault="00AE0DE8">
            <w:pPr>
              <w:jc w:val="left"/>
            </w:pPr>
            <w:r>
              <w:rPr>
                <w:color w:val="000000"/>
                <w:sz w:val="24"/>
              </w:rPr>
              <w:t>过去三个月</w:t>
            </w:r>
          </w:p>
        </w:tc>
        <w:tc>
          <w:tcPr>
            <w:tcW w:w="1267" w:type="dxa"/>
            <w:vAlign w:val="center"/>
          </w:tcPr>
          <w:p w:rsidR="00E537B8" w:rsidRDefault="00AE0DE8">
            <w:pPr>
              <w:jc w:val="center"/>
            </w:pPr>
            <w:r>
              <w:rPr>
                <w:color w:val="000000"/>
                <w:sz w:val="24"/>
              </w:rPr>
              <w:t>1.64%</w:t>
            </w:r>
          </w:p>
        </w:tc>
        <w:tc>
          <w:tcPr>
            <w:tcW w:w="1267" w:type="dxa"/>
            <w:vAlign w:val="center"/>
          </w:tcPr>
          <w:p w:rsidR="00E537B8" w:rsidRDefault="00AE0DE8">
            <w:pPr>
              <w:jc w:val="center"/>
            </w:pPr>
            <w:r>
              <w:rPr>
                <w:color w:val="000000"/>
                <w:sz w:val="24"/>
              </w:rPr>
              <w:t>0.06%</w:t>
            </w:r>
          </w:p>
        </w:tc>
        <w:tc>
          <w:tcPr>
            <w:tcW w:w="1267" w:type="dxa"/>
            <w:vAlign w:val="center"/>
          </w:tcPr>
          <w:p w:rsidR="00E537B8" w:rsidRDefault="00AE0DE8">
            <w:pPr>
              <w:jc w:val="center"/>
            </w:pPr>
            <w:r>
              <w:rPr>
                <w:color w:val="000000"/>
                <w:sz w:val="24"/>
              </w:rPr>
              <w:t>1.14%</w:t>
            </w:r>
          </w:p>
        </w:tc>
        <w:tc>
          <w:tcPr>
            <w:tcW w:w="1267" w:type="dxa"/>
            <w:vAlign w:val="center"/>
          </w:tcPr>
          <w:p w:rsidR="00E537B8" w:rsidRDefault="00AE0DE8">
            <w:pPr>
              <w:jc w:val="center"/>
            </w:pPr>
            <w:r>
              <w:rPr>
                <w:color w:val="000000"/>
                <w:sz w:val="24"/>
              </w:rPr>
              <w:t>0.04%</w:t>
            </w:r>
          </w:p>
        </w:tc>
        <w:tc>
          <w:tcPr>
            <w:tcW w:w="1267" w:type="dxa"/>
            <w:vAlign w:val="center"/>
          </w:tcPr>
          <w:p w:rsidR="00E537B8" w:rsidRDefault="00AE0DE8">
            <w:pPr>
              <w:jc w:val="center"/>
            </w:pPr>
            <w:r>
              <w:rPr>
                <w:color w:val="000000"/>
                <w:sz w:val="24"/>
              </w:rPr>
              <w:t>0.50%</w:t>
            </w:r>
          </w:p>
        </w:tc>
        <w:tc>
          <w:tcPr>
            <w:tcW w:w="1267" w:type="dxa"/>
            <w:vAlign w:val="center"/>
          </w:tcPr>
          <w:p w:rsidR="00E537B8" w:rsidRDefault="00AE0DE8">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EB7B77" w:rsidP="007C14DF">
      <w:pPr>
        <w:pStyle w:val="20"/>
        <w:spacing w:before="29" w:line="288" w:lineRule="auto"/>
        <w:ind w:firstLineChars="0" w:firstLine="0"/>
        <w:jc w:val="center"/>
        <w:rPr>
          <w:rFonts w:ascii="Times New Roman" w:eastAsiaTheme="minorEastAsia" w:hAnsi="Times New Roman"/>
          <w:color w:val="000000"/>
        </w:rPr>
      </w:pPr>
      <w:r>
        <w:rPr>
          <w:rFonts w:ascii="Times New Roman" w:eastAsiaTheme="minorEastAsia" w:hAnsi="Times New Roman"/>
          <w:noProof/>
          <w:color w:val="000000"/>
        </w:rPr>
        <w:drawing>
          <wp:inline distT="0" distB="0" distL="0" distR="0" wp14:anchorId="27F777A3">
            <wp:extent cx="5742940" cy="3371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3371215"/>
                    </a:xfrm>
                    <a:prstGeom prst="rect">
                      <a:avLst/>
                    </a:prstGeom>
                    <a:noFill/>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537B8">
        <w:trPr>
          <w:jc w:val="center"/>
        </w:trPr>
        <w:tc>
          <w:tcPr>
            <w:tcW w:w="946" w:type="dxa"/>
            <w:vAlign w:val="center"/>
          </w:tcPr>
          <w:p w:rsidR="00E537B8" w:rsidRDefault="00AE0DE8">
            <w:pPr>
              <w:jc w:val="center"/>
            </w:pPr>
            <w:r>
              <w:rPr>
                <w:color w:val="000000"/>
                <w:sz w:val="24"/>
              </w:rPr>
              <w:t>唐赟</w:t>
            </w:r>
          </w:p>
        </w:tc>
        <w:tc>
          <w:tcPr>
            <w:tcW w:w="924" w:type="dxa"/>
            <w:vAlign w:val="center"/>
          </w:tcPr>
          <w:p w:rsidR="00E537B8" w:rsidRDefault="00AE0DE8">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E537B8" w:rsidRDefault="00AE0DE8">
            <w:pPr>
              <w:jc w:val="center"/>
            </w:pPr>
            <w:r>
              <w:rPr>
                <w:color w:val="000000"/>
                <w:sz w:val="24"/>
              </w:rPr>
              <w:t>2015-08-04</w:t>
            </w:r>
          </w:p>
        </w:tc>
        <w:tc>
          <w:tcPr>
            <w:tcW w:w="1300" w:type="dxa"/>
            <w:vAlign w:val="center"/>
          </w:tcPr>
          <w:p w:rsidR="00E537B8" w:rsidRDefault="00AE0DE8">
            <w:pPr>
              <w:jc w:val="center"/>
            </w:pPr>
            <w:r>
              <w:rPr>
                <w:color w:val="000000"/>
                <w:sz w:val="24"/>
              </w:rPr>
              <w:t>-</w:t>
            </w:r>
          </w:p>
        </w:tc>
        <w:tc>
          <w:tcPr>
            <w:tcW w:w="1245" w:type="dxa"/>
            <w:vAlign w:val="center"/>
          </w:tcPr>
          <w:p w:rsidR="00E537B8" w:rsidRDefault="00AE0DE8">
            <w:pPr>
              <w:jc w:val="center"/>
            </w:pPr>
            <w:r>
              <w:rPr>
                <w:color w:val="000000"/>
                <w:sz w:val="24"/>
              </w:rPr>
              <w:t>6</w:t>
            </w:r>
            <w:r>
              <w:rPr>
                <w:color w:val="000000"/>
                <w:sz w:val="24"/>
              </w:rPr>
              <w:t>年</w:t>
            </w:r>
          </w:p>
        </w:tc>
        <w:tc>
          <w:tcPr>
            <w:tcW w:w="3251" w:type="dxa"/>
            <w:vAlign w:val="center"/>
          </w:tcPr>
          <w:p w:rsidR="00E537B8" w:rsidRDefault="00AE0DE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537B8" w:rsidRDefault="00AE0DE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537B8" w:rsidRDefault="00AE0DE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537B8" w:rsidRDefault="00AE0DE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537B8" w:rsidRDefault="00AE0DE8">
      <w:pPr>
        <w:spacing w:before="29" w:line="288" w:lineRule="auto"/>
        <w:ind w:firstLineChars="200" w:firstLine="480"/>
        <w:rPr>
          <w:color w:val="000000"/>
          <w:sz w:val="24"/>
        </w:rPr>
      </w:pPr>
      <w:r>
        <w:rPr>
          <w:color w:val="000000"/>
          <w:sz w:val="24"/>
        </w:rPr>
        <w:t>今年以来，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rPr>
        <w:t>5BP</w:t>
      </w:r>
      <w:r>
        <w:rPr>
          <w:color w:val="000000"/>
          <w:sz w:val="24"/>
        </w:rPr>
        <w:t>，上调幅度符合市场预期。今年年初以来随着基本面和资金面预期的修复，债市收益率明显下行。</w:t>
      </w:r>
    </w:p>
    <w:p w:rsidR="00E537B8" w:rsidRDefault="00AE0DE8">
      <w:pPr>
        <w:spacing w:before="29" w:line="288" w:lineRule="auto"/>
        <w:ind w:firstLineChars="200" w:firstLine="480"/>
        <w:rPr>
          <w:color w:val="000000"/>
          <w:sz w:val="24"/>
        </w:rPr>
      </w:pPr>
      <w:r>
        <w:rPr>
          <w:color w:val="000000"/>
          <w:sz w:val="24"/>
        </w:rPr>
        <w:t>报告期内，基于对债券市场偏谨慎看法的修正，本基金及时进行了组合调仓操作，从较短的债券久期转换成中性债券久期，把握了收益率下行带来的机会。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我们判断债市可能在波折中缓慢下行。随着金融去杠杆的推进，去杠杆任务更加侧重于实体层面，我们认为后期债市关注焦点将回归经济基本面。而经济基本面方面，我们关注随着实体去杠杆和表外融资压缩，更多的融资转向表内，而表内信贷额度有限制，整体融资结构将会呈现出</w:t>
      </w:r>
      <w:r w:rsidRPr="007F52FA">
        <w:rPr>
          <w:color w:val="000000"/>
          <w:sz w:val="24"/>
        </w:rPr>
        <w:t>“</w:t>
      </w:r>
      <w:r w:rsidRPr="007F52FA">
        <w:rPr>
          <w:color w:val="000000"/>
          <w:sz w:val="24"/>
        </w:rPr>
        <w:t>宽货币</w:t>
      </w:r>
      <w:r w:rsidRPr="007F52FA">
        <w:rPr>
          <w:color w:val="000000"/>
          <w:sz w:val="24"/>
        </w:rPr>
        <w:t>”+“</w:t>
      </w:r>
      <w:r w:rsidRPr="007F52FA">
        <w:rPr>
          <w:color w:val="000000"/>
          <w:sz w:val="24"/>
        </w:rPr>
        <w:t>紧信用</w:t>
      </w:r>
      <w:r w:rsidRPr="007F52FA">
        <w:rPr>
          <w:color w:val="000000"/>
          <w:sz w:val="24"/>
        </w:rPr>
        <w:t>”</w:t>
      </w:r>
      <w:r w:rsidRPr="007F52FA">
        <w:rPr>
          <w:color w:val="000000"/>
          <w:sz w:val="24"/>
        </w:rPr>
        <w:t>的组合，对债市形成支撑。同时，我们也关注到，随着人民币汇率的升值和贸易战局势的推进，</w:t>
      </w:r>
      <w:r w:rsidRPr="007F52FA">
        <w:rPr>
          <w:color w:val="000000"/>
          <w:sz w:val="24"/>
        </w:rPr>
        <w:t>2017</w:t>
      </w:r>
      <w:r w:rsidRPr="007F52FA">
        <w:rPr>
          <w:color w:val="000000"/>
          <w:sz w:val="24"/>
        </w:rPr>
        <w:t>年拉动经济增长的重要推动力出口将明显弱化。通胀方面，虽然今年</w:t>
      </w:r>
      <w:r w:rsidRPr="007F52FA">
        <w:rPr>
          <w:color w:val="000000"/>
          <w:sz w:val="24"/>
        </w:rPr>
        <w:t>CPI</w:t>
      </w:r>
      <w:r w:rsidRPr="007F52FA">
        <w:rPr>
          <w:color w:val="000000"/>
          <w:sz w:val="24"/>
        </w:rPr>
        <w:t>由于基数较低，整体的中枢较</w:t>
      </w:r>
      <w:r w:rsidRPr="007F52FA">
        <w:rPr>
          <w:color w:val="000000"/>
          <w:sz w:val="24"/>
        </w:rPr>
        <w:t>2017</w:t>
      </w:r>
      <w:r w:rsidRPr="007F52FA">
        <w:rPr>
          <w:color w:val="000000"/>
          <w:sz w:val="24"/>
        </w:rPr>
        <w:t>年有所提高，但</w:t>
      </w:r>
      <w:r w:rsidRPr="007F52FA">
        <w:rPr>
          <w:color w:val="000000"/>
          <w:sz w:val="24"/>
        </w:rPr>
        <w:t>PPI</w:t>
      </w:r>
      <w:r w:rsidRPr="007F52FA">
        <w:rPr>
          <w:color w:val="000000"/>
          <w:sz w:val="24"/>
        </w:rPr>
        <w:t>随着商品价格的回落，同时受到高基数影响，将明显回落，综合考虑物价因素将会比较平稳。债券收益率将在波折中缓慢下行，我们将适当提高组合久期。同时，我们认为低等级信用债利差未能充分反应未来的信用风险，我们将一如既往地规避中低评级信用债，以中高等级的信用债为底仓，择机进行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1.053</w:t>
      </w:r>
      <w:r w:rsidRPr="007F52FA">
        <w:rPr>
          <w:color w:val="000000"/>
          <w:sz w:val="24"/>
        </w:rPr>
        <w:t>元，本报告期份额净值增长率为</w:t>
      </w:r>
      <w:r w:rsidRPr="007F52FA">
        <w:rPr>
          <w:color w:val="000000"/>
          <w:sz w:val="24"/>
        </w:rPr>
        <w:t>1.74%</w:t>
      </w:r>
      <w:r w:rsidRPr="007F52FA">
        <w:rPr>
          <w:color w:val="000000"/>
          <w:sz w:val="24"/>
        </w:rPr>
        <w:t>，同期业绩比较基准增长率为</w:t>
      </w:r>
      <w:r w:rsidRPr="007F52FA">
        <w:rPr>
          <w:color w:val="000000"/>
          <w:sz w:val="24"/>
        </w:rPr>
        <w:t>1.14%</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1.053</w:t>
      </w:r>
      <w:r w:rsidRPr="007F52FA">
        <w:rPr>
          <w:color w:val="000000"/>
          <w:sz w:val="24"/>
        </w:rPr>
        <w:t>元，本报告期份额净值增长率为</w:t>
      </w:r>
      <w:r w:rsidRPr="007F52FA">
        <w:rPr>
          <w:color w:val="000000"/>
          <w:sz w:val="24"/>
        </w:rPr>
        <w:t>1.64%</w:t>
      </w:r>
      <w:r w:rsidRPr="007F52FA">
        <w:rPr>
          <w:color w:val="000000"/>
          <w:sz w:val="24"/>
        </w:rPr>
        <w:t>，同期业绩比较基准增长率为</w:t>
      </w:r>
      <w:r w:rsidRPr="007F52FA">
        <w:rPr>
          <w:color w:val="000000"/>
          <w:sz w:val="24"/>
        </w:rPr>
        <w:t>1.14%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1,617,351,338.00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96.80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1,605,351,338.00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7,394,622.17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46,157,440.06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1,670,903,400.23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3,190,638.00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309,251,000.00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189,365,000.00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533,873,700.00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110,434,000.00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639,062,000.00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40.38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9,540,000.00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0.60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1,605,351,338.00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537B8">
        <w:trPr>
          <w:jc w:val="center"/>
        </w:trPr>
        <w:tc>
          <w:tcPr>
            <w:tcW w:w="1075" w:type="dxa"/>
            <w:vAlign w:val="center"/>
          </w:tcPr>
          <w:p w:rsidR="00E537B8" w:rsidRDefault="00AE0DE8">
            <w:pPr>
              <w:jc w:val="center"/>
            </w:pPr>
            <w:r>
              <w:rPr>
                <w:color w:val="000000"/>
                <w:sz w:val="24"/>
              </w:rPr>
              <w:t>1</w:t>
            </w:r>
          </w:p>
        </w:tc>
        <w:tc>
          <w:tcPr>
            <w:tcW w:w="1533" w:type="dxa"/>
            <w:vAlign w:val="center"/>
          </w:tcPr>
          <w:p w:rsidR="00E537B8" w:rsidRDefault="00AE0DE8">
            <w:pPr>
              <w:jc w:val="center"/>
            </w:pPr>
            <w:r>
              <w:rPr>
                <w:color w:val="000000"/>
                <w:sz w:val="24"/>
              </w:rPr>
              <w:t>101800139</w:t>
            </w:r>
          </w:p>
        </w:tc>
        <w:tc>
          <w:tcPr>
            <w:tcW w:w="1533" w:type="dxa"/>
            <w:vAlign w:val="center"/>
          </w:tcPr>
          <w:p w:rsidR="00E537B8" w:rsidRDefault="00AE0DE8">
            <w:pPr>
              <w:jc w:val="center"/>
            </w:pPr>
            <w:r>
              <w:rPr>
                <w:color w:val="000000"/>
                <w:sz w:val="24"/>
              </w:rPr>
              <w:t>18</w:t>
            </w:r>
            <w:r>
              <w:rPr>
                <w:color w:val="000000"/>
                <w:sz w:val="24"/>
              </w:rPr>
              <w:t>京城建</w:t>
            </w:r>
            <w:r>
              <w:rPr>
                <w:color w:val="000000"/>
                <w:sz w:val="24"/>
              </w:rPr>
              <w:t>MTN001</w:t>
            </w:r>
          </w:p>
        </w:tc>
        <w:tc>
          <w:tcPr>
            <w:tcW w:w="1394" w:type="dxa"/>
            <w:vAlign w:val="center"/>
          </w:tcPr>
          <w:p w:rsidR="00E537B8" w:rsidRDefault="00AE0DE8">
            <w:pPr>
              <w:jc w:val="right"/>
            </w:pPr>
            <w:r>
              <w:rPr>
                <w:color w:val="000000"/>
                <w:sz w:val="24"/>
              </w:rPr>
              <w:t>1,000,000</w:t>
            </w:r>
          </w:p>
        </w:tc>
        <w:tc>
          <w:tcPr>
            <w:tcW w:w="1944" w:type="dxa"/>
            <w:vAlign w:val="center"/>
          </w:tcPr>
          <w:p w:rsidR="00E537B8" w:rsidRDefault="00AE0DE8">
            <w:pPr>
              <w:jc w:val="right"/>
            </w:pPr>
            <w:r>
              <w:rPr>
                <w:color w:val="000000"/>
                <w:sz w:val="24"/>
              </w:rPr>
              <w:t>100,480,000.00</w:t>
            </w:r>
          </w:p>
        </w:tc>
        <w:tc>
          <w:tcPr>
            <w:tcW w:w="1389" w:type="dxa"/>
            <w:vAlign w:val="center"/>
          </w:tcPr>
          <w:p w:rsidR="00E537B8" w:rsidRDefault="00AE0DE8">
            <w:pPr>
              <w:jc w:val="right"/>
            </w:pPr>
            <w:r>
              <w:rPr>
                <w:color w:val="000000"/>
                <w:sz w:val="24"/>
              </w:rPr>
              <w:t>6.35</w:t>
            </w:r>
          </w:p>
        </w:tc>
      </w:tr>
      <w:tr w:rsidR="00E537B8">
        <w:trPr>
          <w:jc w:val="center"/>
        </w:trPr>
        <w:tc>
          <w:tcPr>
            <w:tcW w:w="1075" w:type="dxa"/>
            <w:vAlign w:val="center"/>
          </w:tcPr>
          <w:p w:rsidR="00E537B8" w:rsidRDefault="00AE0DE8">
            <w:pPr>
              <w:jc w:val="center"/>
            </w:pPr>
            <w:r>
              <w:rPr>
                <w:color w:val="000000"/>
                <w:sz w:val="24"/>
              </w:rPr>
              <w:t>2</w:t>
            </w:r>
          </w:p>
        </w:tc>
        <w:tc>
          <w:tcPr>
            <w:tcW w:w="1533" w:type="dxa"/>
            <w:vAlign w:val="center"/>
          </w:tcPr>
          <w:p w:rsidR="00E537B8" w:rsidRDefault="00AE0DE8">
            <w:pPr>
              <w:jc w:val="center"/>
            </w:pPr>
            <w:r>
              <w:rPr>
                <w:color w:val="000000"/>
                <w:sz w:val="24"/>
              </w:rPr>
              <w:t>091506001</w:t>
            </w:r>
          </w:p>
        </w:tc>
        <w:tc>
          <w:tcPr>
            <w:tcW w:w="1533" w:type="dxa"/>
            <w:vAlign w:val="center"/>
          </w:tcPr>
          <w:p w:rsidR="00E537B8" w:rsidRDefault="00AE0DE8">
            <w:pPr>
              <w:jc w:val="center"/>
            </w:pPr>
            <w:r>
              <w:rPr>
                <w:color w:val="000000"/>
                <w:sz w:val="24"/>
              </w:rPr>
              <w:t>15</w:t>
            </w:r>
            <w:r>
              <w:rPr>
                <w:color w:val="000000"/>
                <w:sz w:val="24"/>
              </w:rPr>
              <w:t>汇丰香港债</w:t>
            </w:r>
            <w:r>
              <w:rPr>
                <w:color w:val="000000"/>
                <w:sz w:val="24"/>
              </w:rPr>
              <w:t>01</w:t>
            </w:r>
          </w:p>
        </w:tc>
        <w:tc>
          <w:tcPr>
            <w:tcW w:w="1394" w:type="dxa"/>
            <w:vAlign w:val="center"/>
          </w:tcPr>
          <w:p w:rsidR="00E537B8" w:rsidRDefault="00AE0DE8">
            <w:pPr>
              <w:jc w:val="right"/>
            </w:pPr>
            <w:r>
              <w:rPr>
                <w:color w:val="000000"/>
                <w:sz w:val="24"/>
              </w:rPr>
              <w:t>1,000,000</w:t>
            </w:r>
          </w:p>
        </w:tc>
        <w:tc>
          <w:tcPr>
            <w:tcW w:w="1944" w:type="dxa"/>
            <w:vAlign w:val="center"/>
          </w:tcPr>
          <w:p w:rsidR="00E537B8" w:rsidRDefault="00AE0DE8">
            <w:pPr>
              <w:jc w:val="right"/>
            </w:pPr>
            <w:r>
              <w:rPr>
                <w:color w:val="000000"/>
                <w:sz w:val="24"/>
              </w:rPr>
              <w:t>99,850,000.00</w:t>
            </w:r>
          </w:p>
        </w:tc>
        <w:tc>
          <w:tcPr>
            <w:tcW w:w="1389" w:type="dxa"/>
            <w:vAlign w:val="center"/>
          </w:tcPr>
          <w:p w:rsidR="00E537B8" w:rsidRDefault="00AE0DE8">
            <w:pPr>
              <w:jc w:val="right"/>
            </w:pPr>
            <w:r>
              <w:rPr>
                <w:color w:val="000000"/>
                <w:sz w:val="24"/>
              </w:rPr>
              <w:t>6.31</w:t>
            </w:r>
          </w:p>
        </w:tc>
      </w:tr>
      <w:tr w:rsidR="00E537B8">
        <w:trPr>
          <w:jc w:val="center"/>
        </w:trPr>
        <w:tc>
          <w:tcPr>
            <w:tcW w:w="1075" w:type="dxa"/>
            <w:vAlign w:val="center"/>
          </w:tcPr>
          <w:p w:rsidR="00E537B8" w:rsidRDefault="00AE0DE8">
            <w:pPr>
              <w:jc w:val="center"/>
            </w:pPr>
            <w:r>
              <w:rPr>
                <w:color w:val="000000"/>
                <w:sz w:val="24"/>
              </w:rPr>
              <w:t>3</w:t>
            </w:r>
          </w:p>
        </w:tc>
        <w:tc>
          <w:tcPr>
            <w:tcW w:w="1533" w:type="dxa"/>
            <w:vAlign w:val="center"/>
          </w:tcPr>
          <w:p w:rsidR="00E537B8" w:rsidRDefault="00AE0DE8">
            <w:pPr>
              <w:jc w:val="center"/>
            </w:pPr>
            <w:r>
              <w:rPr>
                <w:color w:val="000000"/>
                <w:sz w:val="24"/>
              </w:rPr>
              <w:t>136588</w:t>
            </w:r>
          </w:p>
        </w:tc>
        <w:tc>
          <w:tcPr>
            <w:tcW w:w="1533" w:type="dxa"/>
            <w:vAlign w:val="center"/>
          </w:tcPr>
          <w:p w:rsidR="00E537B8" w:rsidRDefault="00AE0DE8">
            <w:pPr>
              <w:jc w:val="center"/>
            </w:pPr>
            <w:r>
              <w:rPr>
                <w:color w:val="000000"/>
                <w:sz w:val="24"/>
              </w:rPr>
              <w:t>16</w:t>
            </w:r>
            <w:r>
              <w:rPr>
                <w:color w:val="000000"/>
                <w:sz w:val="24"/>
              </w:rPr>
              <w:t>水务</w:t>
            </w:r>
            <w:r>
              <w:rPr>
                <w:color w:val="000000"/>
                <w:sz w:val="24"/>
              </w:rPr>
              <w:t>02</w:t>
            </w:r>
          </w:p>
        </w:tc>
        <w:tc>
          <w:tcPr>
            <w:tcW w:w="1394" w:type="dxa"/>
            <w:vAlign w:val="center"/>
          </w:tcPr>
          <w:p w:rsidR="00E537B8" w:rsidRDefault="00AE0DE8">
            <w:pPr>
              <w:jc w:val="right"/>
            </w:pPr>
            <w:r>
              <w:rPr>
                <w:color w:val="000000"/>
                <w:sz w:val="24"/>
              </w:rPr>
              <w:t>1,000,000</w:t>
            </w:r>
          </w:p>
        </w:tc>
        <w:tc>
          <w:tcPr>
            <w:tcW w:w="1944" w:type="dxa"/>
            <w:vAlign w:val="center"/>
          </w:tcPr>
          <w:p w:rsidR="00E537B8" w:rsidRDefault="00AE0DE8">
            <w:pPr>
              <w:jc w:val="right"/>
            </w:pPr>
            <w:r>
              <w:rPr>
                <w:color w:val="000000"/>
                <w:sz w:val="24"/>
              </w:rPr>
              <w:t>94,520,000.00</w:t>
            </w:r>
          </w:p>
        </w:tc>
        <w:tc>
          <w:tcPr>
            <w:tcW w:w="1389" w:type="dxa"/>
            <w:vAlign w:val="center"/>
          </w:tcPr>
          <w:p w:rsidR="00E537B8" w:rsidRDefault="00AE0DE8">
            <w:pPr>
              <w:jc w:val="right"/>
            </w:pPr>
            <w:r>
              <w:rPr>
                <w:color w:val="000000"/>
                <w:sz w:val="24"/>
              </w:rPr>
              <w:t>5.97</w:t>
            </w:r>
          </w:p>
        </w:tc>
      </w:tr>
      <w:tr w:rsidR="00E537B8">
        <w:trPr>
          <w:jc w:val="center"/>
        </w:trPr>
        <w:tc>
          <w:tcPr>
            <w:tcW w:w="1075" w:type="dxa"/>
            <w:vAlign w:val="center"/>
          </w:tcPr>
          <w:p w:rsidR="00E537B8" w:rsidRDefault="00AE0DE8">
            <w:pPr>
              <w:jc w:val="center"/>
            </w:pPr>
            <w:r>
              <w:rPr>
                <w:color w:val="000000"/>
                <w:sz w:val="24"/>
              </w:rPr>
              <w:t>4</w:t>
            </w:r>
          </w:p>
        </w:tc>
        <w:tc>
          <w:tcPr>
            <w:tcW w:w="1533" w:type="dxa"/>
            <w:vAlign w:val="center"/>
          </w:tcPr>
          <w:p w:rsidR="00E537B8" w:rsidRDefault="00AE0DE8">
            <w:pPr>
              <w:jc w:val="center"/>
            </w:pPr>
            <w:r>
              <w:rPr>
                <w:color w:val="000000"/>
                <w:sz w:val="24"/>
              </w:rPr>
              <w:t>1280212</w:t>
            </w:r>
          </w:p>
        </w:tc>
        <w:tc>
          <w:tcPr>
            <w:tcW w:w="1533" w:type="dxa"/>
            <w:vAlign w:val="center"/>
          </w:tcPr>
          <w:p w:rsidR="00E537B8" w:rsidRDefault="00AE0DE8">
            <w:pPr>
              <w:jc w:val="center"/>
            </w:pPr>
            <w:r>
              <w:rPr>
                <w:color w:val="000000"/>
                <w:sz w:val="24"/>
              </w:rPr>
              <w:t>12</w:t>
            </w:r>
            <w:r>
              <w:rPr>
                <w:color w:val="000000"/>
                <w:sz w:val="24"/>
              </w:rPr>
              <w:t>北汽债</w:t>
            </w:r>
          </w:p>
        </w:tc>
        <w:tc>
          <w:tcPr>
            <w:tcW w:w="1394" w:type="dxa"/>
            <w:vAlign w:val="center"/>
          </w:tcPr>
          <w:p w:rsidR="00E537B8" w:rsidRDefault="00AE0DE8">
            <w:pPr>
              <w:jc w:val="right"/>
            </w:pPr>
            <w:r>
              <w:rPr>
                <w:color w:val="000000"/>
                <w:sz w:val="24"/>
              </w:rPr>
              <w:t>900,000</w:t>
            </w:r>
          </w:p>
        </w:tc>
        <w:tc>
          <w:tcPr>
            <w:tcW w:w="1944" w:type="dxa"/>
            <w:vAlign w:val="center"/>
          </w:tcPr>
          <w:p w:rsidR="00E537B8" w:rsidRDefault="00AE0DE8">
            <w:pPr>
              <w:jc w:val="right"/>
            </w:pPr>
            <w:r>
              <w:rPr>
                <w:color w:val="000000"/>
                <w:sz w:val="24"/>
              </w:rPr>
              <w:t>90,252,000.00</w:t>
            </w:r>
          </w:p>
        </w:tc>
        <w:tc>
          <w:tcPr>
            <w:tcW w:w="1389" w:type="dxa"/>
            <w:vAlign w:val="center"/>
          </w:tcPr>
          <w:p w:rsidR="00E537B8" w:rsidRDefault="00AE0DE8">
            <w:pPr>
              <w:jc w:val="right"/>
            </w:pPr>
            <w:r>
              <w:rPr>
                <w:color w:val="000000"/>
                <w:sz w:val="24"/>
              </w:rPr>
              <w:t>5.70</w:t>
            </w:r>
          </w:p>
        </w:tc>
      </w:tr>
      <w:tr w:rsidR="00E537B8">
        <w:trPr>
          <w:jc w:val="center"/>
        </w:trPr>
        <w:tc>
          <w:tcPr>
            <w:tcW w:w="1075" w:type="dxa"/>
            <w:vAlign w:val="center"/>
          </w:tcPr>
          <w:p w:rsidR="00E537B8" w:rsidRDefault="00AE0DE8">
            <w:pPr>
              <w:jc w:val="center"/>
            </w:pPr>
            <w:r>
              <w:rPr>
                <w:color w:val="000000"/>
                <w:sz w:val="24"/>
              </w:rPr>
              <w:t>5</w:t>
            </w:r>
          </w:p>
        </w:tc>
        <w:tc>
          <w:tcPr>
            <w:tcW w:w="1533" w:type="dxa"/>
            <w:vAlign w:val="center"/>
          </w:tcPr>
          <w:p w:rsidR="00E537B8" w:rsidRDefault="00AE0DE8">
            <w:pPr>
              <w:jc w:val="center"/>
            </w:pPr>
            <w:r>
              <w:rPr>
                <w:color w:val="000000"/>
                <w:sz w:val="24"/>
              </w:rPr>
              <w:t>101460011</w:t>
            </w:r>
          </w:p>
        </w:tc>
        <w:tc>
          <w:tcPr>
            <w:tcW w:w="1533" w:type="dxa"/>
            <w:vAlign w:val="center"/>
          </w:tcPr>
          <w:p w:rsidR="00E537B8" w:rsidRDefault="00AE0DE8">
            <w:pPr>
              <w:jc w:val="center"/>
            </w:pPr>
            <w:r>
              <w:rPr>
                <w:color w:val="000000"/>
                <w:sz w:val="24"/>
              </w:rPr>
              <w:t>14</w:t>
            </w:r>
            <w:r>
              <w:rPr>
                <w:color w:val="000000"/>
                <w:sz w:val="24"/>
              </w:rPr>
              <w:t>合国资</w:t>
            </w:r>
            <w:r>
              <w:rPr>
                <w:color w:val="000000"/>
                <w:sz w:val="24"/>
              </w:rPr>
              <w:t>MTN001</w:t>
            </w:r>
          </w:p>
        </w:tc>
        <w:tc>
          <w:tcPr>
            <w:tcW w:w="1394" w:type="dxa"/>
            <w:vAlign w:val="center"/>
          </w:tcPr>
          <w:p w:rsidR="00E537B8" w:rsidRDefault="00AE0DE8">
            <w:pPr>
              <w:jc w:val="right"/>
            </w:pPr>
            <w:r>
              <w:rPr>
                <w:color w:val="000000"/>
                <w:sz w:val="24"/>
              </w:rPr>
              <w:t>800,000</w:t>
            </w:r>
          </w:p>
        </w:tc>
        <w:tc>
          <w:tcPr>
            <w:tcW w:w="1944" w:type="dxa"/>
            <w:vAlign w:val="center"/>
          </w:tcPr>
          <w:p w:rsidR="00E537B8" w:rsidRDefault="00AE0DE8">
            <w:pPr>
              <w:jc w:val="right"/>
            </w:pPr>
            <w:r>
              <w:rPr>
                <w:color w:val="000000"/>
                <w:sz w:val="24"/>
              </w:rPr>
              <w:t>82,048,000.00</w:t>
            </w:r>
          </w:p>
        </w:tc>
        <w:tc>
          <w:tcPr>
            <w:tcW w:w="1389" w:type="dxa"/>
            <w:vAlign w:val="center"/>
          </w:tcPr>
          <w:p w:rsidR="00E537B8" w:rsidRDefault="00AE0DE8">
            <w:pPr>
              <w:jc w:val="right"/>
            </w:pPr>
            <w:r>
              <w:rPr>
                <w:color w:val="000000"/>
                <w:sz w:val="24"/>
              </w:rPr>
              <w:t>5.18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1"/>
        <w:gridCol w:w="1481"/>
        <w:gridCol w:w="1462"/>
        <w:gridCol w:w="1481"/>
        <w:gridCol w:w="1502"/>
        <w:gridCol w:w="148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E537B8">
        <w:trPr>
          <w:jc w:val="center"/>
        </w:trPr>
        <w:tc>
          <w:tcPr>
            <w:tcW w:w="0" w:type="auto"/>
            <w:vAlign w:val="center"/>
          </w:tcPr>
          <w:p w:rsidR="00E537B8" w:rsidRDefault="00AE0DE8">
            <w:pPr>
              <w:jc w:val="center"/>
            </w:pPr>
            <w:r>
              <w:rPr>
                <w:color w:val="000000"/>
                <w:sz w:val="24"/>
              </w:rPr>
              <w:t>1</w:t>
            </w:r>
          </w:p>
        </w:tc>
        <w:tc>
          <w:tcPr>
            <w:tcW w:w="0" w:type="auto"/>
            <w:vAlign w:val="center"/>
          </w:tcPr>
          <w:p w:rsidR="00E537B8" w:rsidRDefault="00AE0DE8">
            <w:pPr>
              <w:jc w:val="center"/>
            </w:pPr>
            <w:r>
              <w:rPr>
                <w:color w:val="000000"/>
                <w:sz w:val="24"/>
              </w:rPr>
              <w:t>123928</w:t>
            </w:r>
          </w:p>
        </w:tc>
        <w:tc>
          <w:tcPr>
            <w:tcW w:w="0" w:type="auto"/>
            <w:vAlign w:val="center"/>
          </w:tcPr>
          <w:p w:rsidR="00E537B8" w:rsidRDefault="00AE0DE8">
            <w:pPr>
              <w:jc w:val="center"/>
            </w:pPr>
            <w:r>
              <w:rPr>
                <w:color w:val="000000"/>
                <w:sz w:val="24"/>
              </w:rPr>
              <w:t>高新热</w:t>
            </w:r>
            <w:r>
              <w:rPr>
                <w:color w:val="000000"/>
                <w:sz w:val="24"/>
              </w:rPr>
              <w:t>03</w:t>
            </w:r>
          </w:p>
        </w:tc>
        <w:tc>
          <w:tcPr>
            <w:tcW w:w="0" w:type="auto"/>
            <w:vAlign w:val="center"/>
          </w:tcPr>
          <w:p w:rsidR="00E537B8" w:rsidRDefault="00AE0DE8">
            <w:pPr>
              <w:jc w:val="right"/>
            </w:pPr>
            <w:r>
              <w:rPr>
                <w:color w:val="000000"/>
                <w:sz w:val="24"/>
              </w:rPr>
              <w:t>70,000</w:t>
            </w:r>
          </w:p>
        </w:tc>
        <w:tc>
          <w:tcPr>
            <w:tcW w:w="0" w:type="auto"/>
            <w:vAlign w:val="center"/>
          </w:tcPr>
          <w:p w:rsidR="00E537B8" w:rsidRDefault="00AE0DE8">
            <w:pPr>
              <w:jc w:val="right"/>
            </w:pPr>
            <w:r>
              <w:rPr>
                <w:color w:val="000000"/>
                <w:sz w:val="24"/>
              </w:rPr>
              <w:t>7,000,000.00</w:t>
            </w:r>
          </w:p>
        </w:tc>
        <w:tc>
          <w:tcPr>
            <w:tcW w:w="0" w:type="auto"/>
            <w:vAlign w:val="center"/>
          </w:tcPr>
          <w:p w:rsidR="00E537B8" w:rsidRDefault="00AE0DE8">
            <w:pPr>
              <w:jc w:val="right"/>
            </w:pPr>
            <w:r>
              <w:rPr>
                <w:color w:val="000000"/>
                <w:sz w:val="24"/>
              </w:rPr>
              <w:t>0.44</w:t>
            </w:r>
          </w:p>
        </w:tc>
      </w:tr>
      <w:tr w:rsidR="00E537B8">
        <w:trPr>
          <w:jc w:val="center"/>
        </w:trPr>
        <w:tc>
          <w:tcPr>
            <w:tcW w:w="0" w:type="auto"/>
            <w:vAlign w:val="center"/>
          </w:tcPr>
          <w:p w:rsidR="00E537B8" w:rsidRDefault="00AE0DE8">
            <w:pPr>
              <w:jc w:val="center"/>
            </w:pPr>
            <w:r>
              <w:rPr>
                <w:color w:val="000000"/>
                <w:sz w:val="24"/>
              </w:rPr>
              <w:t>2</w:t>
            </w:r>
          </w:p>
        </w:tc>
        <w:tc>
          <w:tcPr>
            <w:tcW w:w="0" w:type="auto"/>
            <w:vAlign w:val="center"/>
          </w:tcPr>
          <w:p w:rsidR="00E537B8" w:rsidRDefault="00AE0DE8">
            <w:pPr>
              <w:jc w:val="center"/>
            </w:pPr>
            <w:r>
              <w:rPr>
                <w:color w:val="000000"/>
                <w:sz w:val="24"/>
              </w:rPr>
              <w:t>123929</w:t>
            </w:r>
          </w:p>
        </w:tc>
        <w:tc>
          <w:tcPr>
            <w:tcW w:w="0" w:type="auto"/>
            <w:vAlign w:val="center"/>
          </w:tcPr>
          <w:p w:rsidR="00E537B8" w:rsidRDefault="00AE0DE8">
            <w:pPr>
              <w:jc w:val="center"/>
            </w:pPr>
            <w:r>
              <w:rPr>
                <w:color w:val="000000"/>
                <w:sz w:val="24"/>
              </w:rPr>
              <w:t>高新热</w:t>
            </w:r>
            <w:r>
              <w:rPr>
                <w:color w:val="000000"/>
                <w:sz w:val="24"/>
              </w:rPr>
              <w:t>04</w:t>
            </w:r>
          </w:p>
        </w:tc>
        <w:tc>
          <w:tcPr>
            <w:tcW w:w="0" w:type="auto"/>
            <w:vAlign w:val="center"/>
          </w:tcPr>
          <w:p w:rsidR="00E537B8" w:rsidRDefault="00AE0DE8">
            <w:pPr>
              <w:jc w:val="right"/>
            </w:pPr>
            <w:r>
              <w:rPr>
                <w:color w:val="000000"/>
                <w:sz w:val="24"/>
              </w:rPr>
              <w:t>50,000</w:t>
            </w:r>
          </w:p>
        </w:tc>
        <w:tc>
          <w:tcPr>
            <w:tcW w:w="0" w:type="auto"/>
            <w:vAlign w:val="center"/>
          </w:tcPr>
          <w:p w:rsidR="00E537B8" w:rsidRDefault="00AE0DE8">
            <w:pPr>
              <w:jc w:val="right"/>
            </w:pPr>
            <w:r>
              <w:rPr>
                <w:color w:val="000000"/>
                <w:sz w:val="24"/>
              </w:rPr>
              <w:t>5,000,000.00</w:t>
            </w:r>
          </w:p>
        </w:tc>
        <w:tc>
          <w:tcPr>
            <w:tcW w:w="0" w:type="auto"/>
            <w:vAlign w:val="center"/>
          </w:tcPr>
          <w:p w:rsidR="00E537B8" w:rsidRDefault="00AE0DE8">
            <w:pPr>
              <w:jc w:val="right"/>
            </w:pPr>
            <w:r>
              <w:rPr>
                <w:color w:val="000000"/>
                <w:sz w:val="24"/>
              </w:rPr>
              <w:t>0.32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14,041.89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14,450,165.07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31,661,065.83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32,167.27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46,157,440.06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08182A"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08182A">
        <w:rPr>
          <w:rFonts w:eastAsiaTheme="minorEastAsia"/>
          <w:color w:val="000000" w:themeColor="text1"/>
          <w:kern w:val="0"/>
          <w:sz w:val="24"/>
          <w:szCs w:val="24"/>
        </w:rPr>
        <w:t xml:space="preserve">§6  </w:t>
      </w:r>
      <w:r w:rsidRPr="0008182A">
        <w:rPr>
          <w:rFonts w:eastAsiaTheme="minorEastAsia" w:hint="eastAsia"/>
          <w:color w:val="000000" w:themeColor="text1"/>
          <w:kern w:val="0"/>
          <w:sz w:val="24"/>
          <w:szCs w:val="24"/>
        </w:rPr>
        <w:t>基金中基金</w:t>
      </w:r>
    </w:p>
    <w:p w:rsidR="00C51B4E" w:rsidRPr="0008182A" w:rsidRDefault="00C51B4E" w:rsidP="00C51B4E">
      <w:pPr>
        <w:adjustRightInd w:val="0"/>
        <w:snapToGrid w:val="0"/>
        <w:spacing w:line="360" w:lineRule="auto"/>
        <w:rPr>
          <w:rFonts w:eastAsiaTheme="minorEastAsia"/>
          <w:b/>
          <w:color w:val="000000" w:themeColor="text1"/>
          <w:kern w:val="0"/>
          <w:sz w:val="24"/>
        </w:rPr>
      </w:pPr>
      <w:r w:rsidRPr="0008182A">
        <w:rPr>
          <w:rFonts w:eastAsiaTheme="minorEastAsia"/>
          <w:b/>
          <w:color w:val="000000" w:themeColor="text1"/>
          <w:kern w:val="0"/>
          <w:sz w:val="24"/>
        </w:rPr>
        <w:t xml:space="preserve">6.1 </w:t>
      </w:r>
      <w:r w:rsidRPr="0008182A">
        <w:rPr>
          <w:rFonts w:eastAsiaTheme="minorEastAsia" w:hint="eastAsia"/>
          <w:b/>
          <w:color w:val="000000" w:themeColor="text1"/>
          <w:kern w:val="0"/>
          <w:sz w:val="24"/>
        </w:rPr>
        <w:t>报告期末按公允价值占基金资产净值比例大小排序的前十名基金投资明细</w:t>
      </w:r>
    </w:p>
    <w:p w:rsidR="00C51B4E" w:rsidRPr="0008182A"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8182A">
        <w:rPr>
          <w:rFonts w:eastAsiaTheme="minorEastAsia" w:hint="eastAsia"/>
          <w:color w:val="000000" w:themeColor="text1"/>
          <w:sz w:val="24"/>
        </w:rPr>
        <w:t>本基金本报告期末未持有基金。</w:t>
      </w:r>
    </w:p>
    <w:p w:rsidR="00C51B4E" w:rsidRPr="0008182A" w:rsidRDefault="00C51B4E" w:rsidP="0028293E">
      <w:pPr>
        <w:adjustRightInd w:val="0"/>
        <w:snapToGrid w:val="0"/>
        <w:spacing w:beforeLines="50" w:before="156" w:line="360" w:lineRule="auto"/>
        <w:rPr>
          <w:rFonts w:eastAsiaTheme="minorEastAsia"/>
          <w:b/>
          <w:color w:val="000000" w:themeColor="text1"/>
          <w:kern w:val="0"/>
          <w:sz w:val="24"/>
        </w:rPr>
      </w:pPr>
      <w:r w:rsidRPr="0008182A">
        <w:rPr>
          <w:rFonts w:eastAsiaTheme="minorEastAsia"/>
          <w:b/>
          <w:color w:val="000000" w:themeColor="text1"/>
          <w:kern w:val="0"/>
          <w:sz w:val="24"/>
        </w:rPr>
        <w:t xml:space="preserve">6.2 </w:t>
      </w:r>
      <w:r w:rsidRPr="0008182A">
        <w:rPr>
          <w:rFonts w:eastAsiaTheme="minorEastAsia" w:hint="eastAsia"/>
          <w:b/>
          <w:color w:val="000000" w:themeColor="text1"/>
          <w:kern w:val="0"/>
          <w:sz w:val="24"/>
        </w:rPr>
        <w:t>当期交易及持有基金产生的费用</w:t>
      </w:r>
    </w:p>
    <w:p w:rsidR="00C51B4E" w:rsidRPr="0008182A"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8182A">
        <w:rPr>
          <w:rFonts w:eastAsiaTheme="minorEastAsia" w:hint="eastAsia"/>
          <w:color w:val="000000" w:themeColor="text1"/>
          <w:sz w:val="24"/>
        </w:rPr>
        <w:t>本基金本报告期内未交易或持有基金。</w:t>
      </w:r>
    </w:p>
    <w:p w:rsidR="005754B9" w:rsidRPr="0008182A" w:rsidRDefault="005754B9" w:rsidP="005754B9">
      <w:pPr>
        <w:autoSpaceDE w:val="0"/>
        <w:autoSpaceDN w:val="0"/>
        <w:adjustRightInd w:val="0"/>
        <w:spacing w:line="360" w:lineRule="auto"/>
        <w:jc w:val="left"/>
        <w:rPr>
          <w:rFonts w:eastAsiaTheme="minorEastAsia"/>
          <w:b/>
          <w:color w:val="000000" w:themeColor="text1"/>
          <w:sz w:val="24"/>
        </w:rPr>
      </w:pPr>
      <w:r w:rsidRPr="0008182A">
        <w:rPr>
          <w:rFonts w:eastAsiaTheme="minorEastAsia"/>
          <w:b/>
          <w:color w:val="000000" w:themeColor="text1"/>
          <w:sz w:val="24"/>
        </w:rPr>
        <w:t xml:space="preserve">6.3 </w:t>
      </w:r>
      <w:r w:rsidRPr="0008182A">
        <w:rPr>
          <w:rFonts w:eastAsiaTheme="minorEastAsia" w:hint="eastAsia"/>
          <w:b/>
          <w:color w:val="000000" w:themeColor="text1"/>
          <w:sz w:val="24"/>
        </w:rPr>
        <w:t>本报告期持有的基金发生的重大影响事件</w:t>
      </w:r>
    </w:p>
    <w:p w:rsidR="005754B9" w:rsidRPr="0008182A" w:rsidRDefault="005754B9" w:rsidP="005754B9">
      <w:pPr>
        <w:autoSpaceDE w:val="0"/>
        <w:autoSpaceDN w:val="0"/>
        <w:adjustRightInd w:val="0"/>
        <w:spacing w:line="360" w:lineRule="auto"/>
        <w:ind w:firstLineChars="200" w:firstLine="480"/>
        <w:jc w:val="left"/>
        <w:rPr>
          <w:rFonts w:eastAsiaTheme="minorEastAsia"/>
          <w:color w:val="000000" w:themeColor="text1"/>
          <w:sz w:val="24"/>
        </w:rPr>
      </w:pPr>
      <w:r w:rsidRPr="0008182A">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1,538,187,543.75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6,202,760.57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3,182,926.07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354,066.87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43,812,895.77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1,002,600.17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0.00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1,497,557,574.05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5,554,227.27</w:t>
            </w:r>
          </w:p>
        </w:tc>
      </w:tr>
    </w:tbl>
    <w:p w:rsidR="00E537B8" w:rsidRDefault="00AE0D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537B8">
        <w:tc>
          <w:tcPr>
            <w:tcW w:w="992" w:type="dxa"/>
          </w:tcPr>
          <w:p w:rsidR="00E537B8" w:rsidRDefault="00E537B8"/>
          <w:p w:rsidR="00E537B8" w:rsidRDefault="00AE0DE8">
            <w:r>
              <w:rPr>
                <w:rFonts w:ascii="宋体" w:hAnsi="宋体" w:hint="eastAsia"/>
                <w:bCs/>
                <w:color w:val="000000"/>
                <w:kern w:val="0"/>
                <w:szCs w:val="21"/>
              </w:rPr>
              <w:t>机构</w:t>
            </w:r>
          </w:p>
        </w:tc>
        <w:tc>
          <w:tcPr>
            <w:tcW w:w="991" w:type="dxa"/>
            <w:vAlign w:val="center"/>
          </w:tcPr>
          <w:p w:rsidR="00E537B8" w:rsidRDefault="00AE0DE8">
            <w:pPr>
              <w:jc w:val="center"/>
            </w:pPr>
            <w:r>
              <w:rPr>
                <w:rFonts w:ascii="宋体" w:hAnsi="宋体" w:hint="eastAsia"/>
                <w:color w:val="000000"/>
                <w:kern w:val="0"/>
                <w:szCs w:val="21"/>
              </w:rPr>
              <w:t>1</w:t>
            </w:r>
          </w:p>
        </w:tc>
        <w:tc>
          <w:tcPr>
            <w:tcW w:w="1843" w:type="dxa"/>
            <w:vAlign w:val="center"/>
          </w:tcPr>
          <w:p w:rsidR="00E537B8" w:rsidRDefault="00AE0DE8">
            <w:pPr>
              <w:jc w:val="center"/>
            </w:pPr>
            <w:r>
              <w:rPr>
                <w:rFonts w:ascii="宋体" w:hAnsi="宋体" w:hint="eastAsia"/>
                <w:color w:val="000000"/>
                <w:kern w:val="0"/>
                <w:szCs w:val="21"/>
              </w:rPr>
              <w:t>2018/1/1-2018/3/31</w:t>
            </w:r>
          </w:p>
        </w:tc>
        <w:tc>
          <w:tcPr>
            <w:tcW w:w="851" w:type="dxa"/>
            <w:vAlign w:val="center"/>
          </w:tcPr>
          <w:p w:rsidR="00E537B8" w:rsidRDefault="00AE0DE8">
            <w:pPr>
              <w:jc w:val="center"/>
            </w:pPr>
            <w:r>
              <w:rPr>
                <w:rFonts w:ascii="宋体" w:hAnsi="宋体" w:hint="eastAsia"/>
                <w:color w:val="000000"/>
                <w:kern w:val="0"/>
                <w:szCs w:val="21"/>
              </w:rPr>
              <w:t>1,334,761,675.03</w:t>
            </w:r>
          </w:p>
        </w:tc>
        <w:tc>
          <w:tcPr>
            <w:tcW w:w="850" w:type="dxa"/>
            <w:vAlign w:val="center"/>
          </w:tcPr>
          <w:p w:rsidR="00E537B8" w:rsidRDefault="00AE0DE8">
            <w:pPr>
              <w:jc w:val="center"/>
            </w:pPr>
            <w:r>
              <w:rPr>
                <w:rFonts w:ascii="宋体" w:hAnsi="宋体" w:hint="eastAsia"/>
                <w:color w:val="000000"/>
                <w:kern w:val="0"/>
                <w:szCs w:val="21"/>
              </w:rPr>
              <w:t>-</w:t>
            </w:r>
          </w:p>
        </w:tc>
        <w:tc>
          <w:tcPr>
            <w:tcW w:w="1134" w:type="dxa"/>
            <w:vAlign w:val="center"/>
          </w:tcPr>
          <w:p w:rsidR="00E537B8" w:rsidRDefault="00AE0DE8">
            <w:pPr>
              <w:jc w:val="center"/>
            </w:pPr>
            <w:r>
              <w:rPr>
                <w:rFonts w:ascii="宋体" w:hAnsi="宋体" w:hint="eastAsia"/>
                <w:color w:val="000000"/>
                <w:kern w:val="0"/>
                <w:szCs w:val="21"/>
              </w:rPr>
              <w:t>-</w:t>
            </w:r>
          </w:p>
        </w:tc>
        <w:tc>
          <w:tcPr>
            <w:tcW w:w="1419" w:type="dxa"/>
            <w:vAlign w:val="center"/>
          </w:tcPr>
          <w:p w:rsidR="00E537B8" w:rsidRDefault="00AE0DE8">
            <w:pPr>
              <w:jc w:val="center"/>
            </w:pPr>
            <w:r>
              <w:rPr>
                <w:rFonts w:ascii="宋体" w:hAnsi="宋体" w:hint="eastAsia"/>
                <w:color w:val="000000"/>
                <w:kern w:val="0"/>
                <w:szCs w:val="21"/>
              </w:rPr>
              <w:t>1,334,761,675.03</w:t>
            </w:r>
          </w:p>
        </w:tc>
        <w:tc>
          <w:tcPr>
            <w:tcW w:w="1130" w:type="dxa"/>
            <w:vAlign w:val="center"/>
          </w:tcPr>
          <w:p w:rsidR="00E537B8" w:rsidRDefault="00AE0DE8">
            <w:pPr>
              <w:jc w:val="center"/>
            </w:pPr>
            <w:r>
              <w:rPr>
                <w:rFonts w:ascii="宋体" w:hAnsi="宋体" w:hint="eastAsia"/>
                <w:color w:val="000000"/>
                <w:kern w:val="0"/>
                <w:szCs w:val="21"/>
              </w:rPr>
              <w:t>88.80%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537B8" w:rsidRDefault="00AE0DE8">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E537B8" w:rsidRDefault="00AE0DE8">
      <w:pPr>
        <w:spacing w:line="360" w:lineRule="auto"/>
        <w:ind w:firstLineChars="200" w:firstLine="420"/>
        <w:rPr>
          <w:rFonts w:ascii="宋体" w:hAnsi="宋体"/>
          <w:color w:val="000000"/>
          <w:szCs w:val="21"/>
        </w:rPr>
      </w:pPr>
      <w:r>
        <w:rPr>
          <w:rFonts w:ascii="宋体" w:hAnsi="宋体" w:hint="eastAsia"/>
          <w:color w:val="000000"/>
          <w:szCs w:val="21"/>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E537B8" w:rsidRDefault="00AE0DE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33" w:rsidRDefault="00AA3733">
      <w:r>
        <w:separator/>
      </w:r>
    </w:p>
  </w:endnote>
  <w:endnote w:type="continuationSeparator" w:id="0">
    <w:p w:rsidR="00AA3733" w:rsidRDefault="00AA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EB7B77">
      <w:rPr>
        <w:noProof/>
        <w:kern w:val="0"/>
        <w:szCs w:val="21"/>
      </w:rPr>
      <w:t>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EB7B77">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33" w:rsidRDefault="00AA3733">
      <w:r>
        <w:separator/>
      </w:r>
    </w:p>
  </w:footnote>
  <w:footnote w:type="continuationSeparator" w:id="0">
    <w:p w:rsidR="00AA3733" w:rsidRDefault="00AA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82A"/>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54B9"/>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733"/>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0DE8"/>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4D4E"/>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7B8"/>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B7B77"/>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1F44"/>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0818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C27F-AE54-4171-BF32-78A91F42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212</TotalTime>
  <Pages>14</Pages>
  <Words>1219</Words>
  <Characters>6949</Characters>
  <Application>Microsoft Office Word</Application>
  <DocSecurity>0</DocSecurity>
  <Lines>57</Lines>
  <Paragraphs>16</Paragraphs>
  <ScaleCrop>false</ScaleCrop>
  <Company>TRT. Ltd. Co.</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380</cp:revision>
  <cp:lastPrinted>2007-07-19T00:46:00Z</cp:lastPrinted>
  <dcterms:created xsi:type="dcterms:W3CDTF">2014-01-17T06:19:00Z</dcterms:created>
  <dcterms:modified xsi:type="dcterms:W3CDTF">2018-04-20T06:10:00Z</dcterms:modified>
</cp:coreProperties>
</file>