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交银施罗德理财</w:t>
      </w:r>
      <w:r w:rsidRPr="001E1B20">
        <w:rPr>
          <w:b/>
          <w:sz w:val="36"/>
          <w:szCs w:val="36"/>
        </w:rPr>
        <w:t>60</w:t>
      </w:r>
      <w:r w:rsidRPr="001E1B20">
        <w:rPr>
          <w:b/>
          <w:sz w:val="36"/>
          <w:szCs w:val="36"/>
        </w:rPr>
        <w:t>天债券型证券投资基金</w:t>
      </w:r>
    </w:p>
    <w:p w:rsidR="00B60E27" w:rsidRPr="001E1B20" w:rsidRDefault="00B60E27" w:rsidP="00281564">
      <w:pPr>
        <w:spacing w:before="29" w:line="288" w:lineRule="auto"/>
        <w:jc w:val="center"/>
        <w:rPr>
          <w:b/>
          <w:sz w:val="36"/>
          <w:szCs w:val="36"/>
        </w:rPr>
      </w:pPr>
      <w:r w:rsidRPr="001E1B20">
        <w:rPr>
          <w:b/>
          <w:sz w:val="36"/>
          <w:szCs w:val="36"/>
        </w:rPr>
        <w:t>2018</w:t>
      </w:r>
      <w:r w:rsidRPr="001E1B20">
        <w:rPr>
          <w:b/>
          <w:sz w:val="36"/>
          <w:szCs w:val="36"/>
        </w:rPr>
        <w:t>年第</w:t>
      </w:r>
      <w:r w:rsidRPr="001E1B20">
        <w:rPr>
          <w:b/>
          <w:sz w:val="36"/>
          <w:szCs w:val="36"/>
        </w:rPr>
        <w:t>1</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2018</w:t>
      </w:r>
      <w:r w:rsidRPr="001E1B20">
        <w:rPr>
          <w:b/>
          <w:sz w:val="36"/>
          <w:szCs w:val="36"/>
        </w:rPr>
        <w:t>年</w:t>
      </w:r>
      <w:r w:rsidRPr="001E1B20">
        <w:rPr>
          <w:b/>
          <w:sz w:val="36"/>
          <w:szCs w:val="36"/>
        </w:rPr>
        <w:t>3</w:t>
      </w:r>
      <w:r w:rsidRPr="001E1B20">
        <w:rPr>
          <w:b/>
          <w:sz w:val="36"/>
          <w:szCs w:val="36"/>
        </w:rPr>
        <w:t>月</w:t>
      </w:r>
      <w:r w:rsidRPr="001E1B20">
        <w:rPr>
          <w:b/>
          <w:sz w:val="36"/>
          <w:szCs w:val="36"/>
        </w:rPr>
        <w:t>31</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中国建设银行股份有限公司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841EB4">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noEndnote/>
          <w:titlePg/>
          <w:docGrid w:linePitch="286"/>
        </w:sectPr>
      </w:pPr>
      <w:r w:rsidRPr="001E1B20">
        <w:rPr>
          <w:rFonts w:hAnsi="宋体"/>
          <w:b/>
          <w:color w:val="000000"/>
          <w:sz w:val="24"/>
        </w:rPr>
        <w:t>报告送出日期：</w:t>
      </w:r>
      <w:r w:rsidR="00EF56FA" w:rsidRPr="001E1B20">
        <w:rPr>
          <w:b/>
          <w:color w:val="000000"/>
          <w:sz w:val="24"/>
        </w:rPr>
        <w:t>二〇一八年四月二十一日</w:t>
      </w:r>
    </w:p>
    <w:p w:rsidR="00902E3F" w:rsidRPr="000E4C40" w:rsidRDefault="00902E3F" w:rsidP="00841EB4">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0B6423" w:rsidRDefault="00C13119">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0B6423" w:rsidRDefault="00C13119">
      <w:pPr>
        <w:adjustRightInd w:val="0"/>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2018</w:t>
      </w:r>
      <w:r>
        <w:rPr>
          <w:color w:val="000000"/>
          <w:sz w:val="24"/>
        </w:rPr>
        <w:t>年</w:t>
      </w:r>
      <w:r>
        <w:rPr>
          <w:color w:val="000000"/>
          <w:sz w:val="24"/>
        </w:rPr>
        <w:t>4</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0B6423" w:rsidRDefault="00C13119">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0B6423" w:rsidRDefault="00C13119">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0B6423" w:rsidRDefault="00C13119">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2018</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3</w:t>
      </w:r>
      <w:r w:rsidRPr="000E4C40">
        <w:rPr>
          <w:color w:val="000000"/>
          <w:sz w:val="24"/>
        </w:rPr>
        <w:t>月</w:t>
      </w:r>
      <w:r w:rsidRPr="000E4C40">
        <w:rPr>
          <w:color w:val="000000"/>
          <w:sz w:val="24"/>
        </w:rPr>
        <w:t>31</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交银理财</w:t>
            </w:r>
            <w:r w:rsidRPr="000E4C40">
              <w:rPr>
                <w:color w:val="000000"/>
                <w:kern w:val="0"/>
                <w:sz w:val="24"/>
              </w:rPr>
              <w:t>60</w:t>
            </w:r>
            <w:r w:rsidRPr="000E4C40">
              <w:rPr>
                <w:color w:val="000000"/>
                <w:kern w:val="0"/>
                <w:sz w:val="24"/>
              </w:rPr>
              <w:t>天债券</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519721</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2013</w:t>
            </w:r>
            <w:r w:rsidRPr="000E4C40">
              <w:rPr>
                <w:color w:val="000000"/>
                <w:kern w:val="0"/>
                <w:sz w:val="24"/>
              </w:rPr>
              <w:t>年</w:t>
            </w:r>
            <w:r w:rsidRPr="000E4C40">
              <w:rPr>
                <w:color w:val="000000"/>
                <w:kern w:val="0"/>
                <w:sz w:val="24"/>
              </w:rPr>
              <w:t>3</w:t>
            </w:r>
            <w:r w:rsidRPr="000E4C40">
              <w:rPr>
                <w:color w:val="000000"/>
                <w:kern w:val="0"/>
                <w:sz w:val="24"/>
              </w:rPr>
              <w:t>月</w:t>
            </w:r>
            <w:r w:rsidRPr="000E4C40">
              <w:rPr>
                <w:color w:val="000000"/>
                <w:kern w:val="0"/>
                <w:sz w:val="24"/>
              </w:rPr>
              <w:t>13</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15,935,941,795.87</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本基金在追求本金安全、保持资产流动性的基础上，努力追求绝对收益，为基金份额持有人谋求资产的稳定增值。</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人民币七天通知存款税后利率</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本基金属于短期理财债券型证券投资基金，长期风险收益水平低于股票型基金、混合型基金及普通债券型</w:t>
            </w:r>
            <w:r w:rsidRPr="000E4C40">
              <w:rPr>
                <w:color w:val="000000"/>
                <w:kern w:val="0"/>
                <w:sz w:val="24"/>
              </w:rPr>
              <w:lastRenderedPageBreak/>
              <w:t>基金，高于货币市场型证券投资基金。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中国建设银行股份有限公司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60</w:t>
            </w:r>
            <w:r w:rsidRPr="000E4C40">
              <w:rPr>
                <w:sz w:val="24"/>
              </w:rPr>
              <w:t>天债券</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60</w:t>
            </w:r>
            <w:r w:rsidRPr="000E4C40">
              <w:rPr>
                <w:sz w:val="24"/>
              </w:rPr>
              <w:t>天债券</w:t>
            </w:r>
            <w:r w:rsidRPr="000E4C40">
              <w:rPr>
                <w:sz w:val="24"/>
              </w:rPr>
              <w:t>B</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519721</w:t>
            </w:r>
          </w:p>
        </w:tc>
        <w:tc>
          <w:tcPr>
            <w:tcW w:w="2923" w:type="dxa"/>
            <w:vAlign w:val="center"/>
          </w:tcPr>
          <w:p w:rsidR="00A805BC" w:rsidRPr="000E4C40" w:rsidRDefault="00A805BC" w:rsidP="00281564">
            <w:pPr>
              <w:spacing w:before="29" w:line="288" w:lineRule="auto"/>
              <w:jc w:val="left"/>
              <w:rPr>
                <w:sz w:val="24"/>
              </w:rPr>
            </w:pPr>
            <w:r w:rsidRPr="000E4C40">
              <w:rPr>
                <w:sz w:val="24"/>
              </w:rPr>
              <w:t>519722</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5,510,991.30</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15,930,430,804.57</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(2018</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w:t>
            </w:r>
            <w:r w:rsidRPr="000E4C40">
              <w:rPr>
                <w:color w:val="000000"/>
                <w:sz w:val="24"/>
              </w:rPr>
              <w:t>-2018</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60</w:t>
            </w:r>
            <w:r w:rsidRPr="000E4C40">
              <w:rPr>
                <w:sz w:val="24"/>
              </w:rPr>
              <w:t>天债券</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60</w:t>
            </w:r>
            <w:r w:rsidRPr="000E4C40">
              <w:rPr>
                <w:sz w:val="24"/>
              </w:rPr>
              <w:t>天债券</w:t>
            </w:r>
            <w:r w:rsidRPr="000E4C40">
              <w:rPr>
                <w:sz w:val="24"/>
              </w:rPr>
              <w:t>B</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100,438.78</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124,959,921.51</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100,438.78</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124,959,921.51</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5,510,991.30</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15,930,430,804.57</w:t>
            </w:r>
          </w:p>
        </w:tc>
      </w:tr>
    </w:tbl>
    <w:p w:rsidR="000B6423" w:rsidRDefault="00C13119">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、自合同生效日起，本基金实行销售服务费分类收费方式，分设两类基金份额：</w:t>
      </w:r>
      <w:r>
        <w:rPr>
          <w:color w:val="000000"/>
          <w:sz w:val="24"/>
        </w:rPr>
        <w:t>A</w:t>
      </w:r>
      <w:r>
        <w:rPr>
          <w:color w:val="000000"/>
          <w:sz w:val="24"/>
        </w:rPr>
        <w:t>类基金份额和</w:t>
      </w:r>
      <w:r>
        <w:rPr>
          <w:color w:val="000000"/>
          <w:sz w:val="24"/>
        </w:rPr>
        <w:t>B</w:t>
      </w:r>
      <w:r>
        <w:rPr>
          <w:color w:val="000000"/>
          <w:sz w:val="24"/>
        </w:rPr>
        <w:t>类基金份额。</w:t>
      </w:r>
      <w:r>
        <w:rPr>
          <w:color w:val="000000"/>
          <w:sz w:val="24"/>
        </w:rPr>
        <w:t>A</w:t>
      </w:r>
      <w:r>
        <w:rPr>
          <w:color w:val="000000"/>
          <w:sz w:val="24"/>
        </w:rPr>
        <w:t>类基金份额与</w:t>
      </w:r>
      <w:r>
        <w:rPr>
          <w:color w:val="000000"/>
          <w:sz w:val="24"/>
        </w:rPr>
        <w:t>B</w:t>
      </w:r>
      <w:r>
        <w:rPr>
          <w:color w:val="000000"/>
          <w:sz w:val="24"/>
        </w:rPr>
        <w:t>类基金份额的管理费、托管费相同，</w:t>
      </w:r>
      <w:r>
        <w:rPr>
          <w:color w:val="000000"/>
          <w:sz w:val="24"/>
        </w:rPr>
        <w:t>A</w:t>
      </w:r>
      <w:r>
        <w:rPr>
          <w:color w:val="000000"/>
          <w:sz w:val="24"/>
        </w:rPr>
        <w:t>类基金份额按照</w:t>
      </w:r>
      <w:r>
        <w:rPr>
          <w:color w:val="000000"/>
          <w:sz w:val="24"/>
        </w:rPr>
        <w:t>0.30%</w:t>
      </w:r>
      <w:r>
        <w:rPr>
          <w:color w:val="000000"/>
          <w:sz w:val="24"/>
        </w:rPr>
        <w:t>的年费率计提销售服务费，</w:t>
      </w:r>
      <w:r>
        <w:rPr>
          <w:color w:val="000000"/>
          <w:sz w:val="24"/>
        </w:rPr>
        <w:t>B</w:t>
      </w:r>
      <w:r>
        <w:rPr>
          <w:color w:val="000000"/>
          <w:sz w:val="24"/>
        </w:rPr>
        <w:t>类基金份额按照</w:t>
      </w:r>
      <w:r>
        <w:rPr>
          <w:color w:val="000000"/>
          <w:sz w:val="24"/>
        </w:rPr>
        <w:t>0.01%</w:t>
      </w:r>
      <w:r>
        <w:rPr>
          <w:color w:val="000000"/>
          <w:sz w:val="24"/>
        </w:rPr>
        <w:t>的年费率计提销售服务费。</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交银理财</w:t>
      </w:r>
      <w:r w:rsidR="00834F7F" w:rsidRPr="000E4C40">
        <w:rPr>
          <w:rFonts w:ascii="Times New Roman" w:hAnsi="Times New Roman"/>
          <w:b/>
          <w:color w:val="auto"/>
        </w:rPr>
        <w:t>60</w:t>
      </w:r>
      <w:r w:rsidR="00834F7F" w:rsidRPr="000E4C40">
        <w:rPr>
          <w:rFonts w:ascii="Times New Roman" w:hAnsi="Times New Roman"/>
          <w:b/>
          <w:color w:val="auto"/>
        </w:rPr>
        <w:t>天债券</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lastRenderedPageBreak/>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业绩比较基准收益</w:t>
            </w:r>
            <w:r w:rsidRPr="000E4C40">
              <w:rPr>
                <w:rFonts w:ascii="Times New Roman"/>
                <w:color w:val="000000"/>
                <w:szCs w:val="24"/>
              </w:rPr>
              <w:lastRenderedPageBreak/>
              <w:t>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业绩比较基准收益</w:t>
            </w:r>
            <w:r w:rsidRPr="000E4C40">
              <w:rPr>
                <w:rFonts w:ascii="Times New Roman"/>
                <w:color w:val="000000"/>
                <w:szCs w:val="24"/>
              </w:rPr>
              <w:lastRenderedPageBreak/>
              <w:t>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lastRenderedPageBreak/>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0B6423">
        <w:trPr>
          <w:jc w:val="center"/>
        </w:trPr>
        <w:tc>
          <w:tcPr>
            <w:tcW w:w="1266" w:type="dxa"/>
            <w:vAlign w:val="center"/>
          </w:tcPr>
          <w:p w:rsidR="000B6423" w:rsidRDefault="00C13119">
            <w:pPr>
              <w:jc w:val="left"/>
            </w:pPr>
            <w:r>
              <w:rPr>
                <w:color w:val="000000"/>
              </w:rPr>
              <w:t>过去三个月</w:t>
            </w:r>
          </w:p>
        </w:tc>
        <w:tc>
          <w:tcPr>
            <w:tcW w:w="1267" w:type="dxa"/>
            <w:vAlign w:val="center"/>
          </w:tcPr>
          <w:p w:rsidR="000B6423" w:rsidRDefault="00C13119">
            <w:pPr>
              <w:jc w:val="center"/>
            </w:pPr>
            <w:r>
              <w:rPr>
                <w:color w:val="000000"/>
              </w:rPr>
              <w:t>1.1032%</w:t>
            </w:r>
          </w:p>
        </w:tc>
        <w:tc>
          <w:tcPr>
            <w:tcW w:w="1267" w:type="dxa"/>
            <w:vAlign w:val="center"/>
          </w:tcPr>
          <w:p w:rsidR="000B6423" w:rsidRDefault="00C13119">
            <w:pPr>
              <w:jc w:val="center"/>
            </w:pPr>
            <w:r>
              <w:rPr>
                <w:color w:val="000000"/>
              </w:rPr>
              <w:t>0.0003%</w:t>
            </w:r>
          </w:p>
        </w:tc>
        <w:tc>
          <w:tcPr>
            <w:tcW w:w="1267" w:type="dxa"/>
            <w:vAlign w:val="center"/>
          </w:tcPr>
          <w:p w:rsidR="000B6423" w:rsidRDefault="00C13119">
            <w:pPr>
              <w:jc w:val="center"/>
            </w:pPr>
            <w:r>
              <w:rPr>
                <w:color w:val="000000"/>
              </w:rPr>
              <w:t>0.3329%</w:t>
            </w:r>
          </w:p>
        </w:tc>
        <w:tc>
          <w:tcPr>
            <w:tcW w:w="1267" w:type="dxa"/>
            <w:vAlign w:val="center"/>
          </w:tcPr>
          <w:p w:rsidR="000B6423" w:rsidRDefault="00C13119">
            <w:pPr>
              <w:jc w:val="center"/>
            </w:pPr>
            <w:r>
              <w:rPr>
                <w:color w:val="000000"/>
              </w:rPr>
              <w:t>0.0000%</w:t>
            </w:r>
          </w:p>
        </w:tc>
        <w:tc>
          <w:tcPr>
            <w:tcW w:w="1267" w:type="dxa"/>
            <w:vAlign w:val="center"/>
          </w:tcPr>
          <w:p w:rsidR="000B6423" w:rsidRDefault="00C13119">
            <w:pPr>
              <w:jc w:val="center"/>
            </w:pPr>
            <w:r>
              <w:rPr>
                <w:color w:val="000000"/>
              </w:rPr>
              <w:t>0.7703%</w:t>
            </w:r>
          </w:p>
        </w:tc>
        <w:tc>
          <w:tcPr>
            <w:tcW w:w="1267" w:type="dxa"/>
            <w:vAlign w:val="center"/>
          </w:tcPr>
          <w:p w:rsidR="000B6423" w:rsidRDefault="00C13119">
            <w:pPr>
              <w:jc w:val="center"/>
            </w:pPr>
            <w:r>
              <w:rPr>
                <w:color w:val="000000"/>
              </w:rPr>
              <w:t>0.0003%</w:t>
            </w:r>
          </w:p>
        </w:tc>
      </w:tr>
    </w:tbl>
    <w:p w:rsidR="000B6423" w:rsidRDefault="00C13119">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、本表净值收益率数据所取的基金运作周期为基金合同生效日为起始日的运作周期。</w:t>
      </w:r>
    </w:p>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交银理财</w:t>
      </w:r>
      <w:r w:rsidR="000B2044" w:rsidRPr="000E4C40">
        <w:rPr>
          <w:rFonts w:ascii="Times New Roman" w:hAnsi="Times New Roman"/>
          <w:b/>
          <w:color w:val="000000"/>
        </w:rPr>
        <w:t>60</w:t>
      </w:r>
      <w:r w:rsidR="000B2044" w:rsidRPr="000E4C40">
        <w:rPr>
          <w:rFonts w:ascii="Times New Roman" w:hAnsi="Times New Roman"/>
          <w:b/>
          <w:color w:val="000000"/>
        </w:rPr>
        <w:t>天债券</w:t>
      </w:r>
      <w:r w:rsidR="000B2044" w:rsidRPr="000E4C40">
        <w:rPr>
          <w:rFonts w:ascii="Times New Roman" w:hAnsi="Times New Roman"/>
          <w:b/>
          <w:color w:val="000000"/>
        </w:rPr>
        <w:t>B</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0B6423">
        <w:trPr>
          <w:jc w:val="center"/>
        </w:trPr>
        <w:tc>
          <w:tcPr>
            <w:tcW w:w="1266" w:type="dxa"/>
            <w:vAlign w:val="center"/>
          </w:tcPr>
          <w:p w:rsidR="000B6423" w:rsidRDefault="00C13119">
            <w:pPr>
              <w:jc w:val="left"/>
            </w:pPr>
            <w:r>
              <w:rPr>
                <w:color w:val="000000"/>
              </w:rPr>
              <w:t>过去三个月</w:t>
            </w:r>
          </w:p>
        </w:tc>
        <w:tc>
          <w:tcPr>
            <w:tcW w:w="1267" w:type="dxa"/>
            <w:vAlign w:val="center"/>
          </w:tcPr>
          <w:p w:rsidR="000B6423" w:rsidRDefault="00C13119">
            <w:pPr>
              <w:jc w:val="center"/>
            </w:pPr>
            <w:r>
              <w:rPr>
                <w:color w:val="000000"/>
              </w:rPr>
              <w:t>1.1755%</w:t>
            </w:r>
          </w:p>
        </w:tc>
        <w:tc>
          <w:tcPr>
            <w:tcW w:w="1267" w:type="dxa"/>
            <w:vAlign w:val="center"/>
          </w:tcPr>
          <w:p w:rsidR="000B6423" w:rsidRDefault="00C13119">
            <w:pPr>
              <w:jc w:val="center"/>
            </w:pPr>
            <w:r>
              <w:rPr>
                <w:color w:val="000000"/>
              </w:rPr>
              <w:t>0.0003%</w:t>
            </w:r>
          </w:p>
        </w:tc>
        <w:tc>
          <w:tcPr>
            <w:tcW w:w="1267" w:type="dxa"/>
            <w:vAlign w:val="center"/>
          </w:tcPr>
          <w:p w:rsidR="000B6423" w:rsidRDefault="00C13119">
            <w:pPr>
              <w:jc w:val="center"/>
            </w:pPr>
            <w:r>
              <w:rPr>
                <w:color w:val="000000"/>
              </w:rPr>
              <w:t>0.3329%</w:t>
            </w:r>
          </w:p>
        </w:tc>
        <w:tc>
          <w:tcPr>
            <w:tcW w:w="1267" w:type="dxa"/>
            <w:vAlign w:val="center"/>
          </w:tcPr>
          <w:p w:rsidR="000B6423" w:rsidRDefault="00C13119">
            <w:pPr>
              <w:jc w:val="center"/>
            </w:pPr>
            <w:r>
              <w:rPr>
                <w:color w:val="000000"/>
              </w:rPr>
              <w:t>0.0000%</w:t>
            </w:r>
          </w:p>
        </w:tc>
        <w:tc>
          <w:tcPr>
            <w:tcW w:w="1267" w:type="dxa"/>
            <w:vAlign w:val="center"/>
          </w:tcPr>
          <w:p w:rsidR="000B6423" w:rsidRDefault="00C13119">
            <w:pPr>
              <w:jc w:val="center"/>
            </w:pPr>
            <w:r>
              <w:rPr>
                <w:color w:val="000000"/>
              </w:rPr>
              <w:t>0.8426%</w:t>
            </w:r>
          </w:p>
        </w:tc>
        <w:tc>
          <w:tcPr>
            <w:tcW w:w="1267" w:type="dxa"/>
            <w:vAlign w:val="center"/>
          </w:tcPr>
          <w:p w:rsidR="000B6423" w:rsidRDefault="00C13119">
            <w:pPr>
              <w:jc w:val="center"/>
            </w:pPr>
            <w:r>
              <w:rPr>
                <w:color w:val="000000"/>
              </w:rPr>
              <w:t>0.0003%</w:t>
            </w:r>
          </w:p>
        </w:tc>
      </w:tr>
    </w:tbl>
    <w:p w:rsidR="000B6423" w:rsidRDefault="00C13119">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、本表净值收益率数据所取的基金运作周期为基金合同生效日为起始日的运作周期。</w:t>
      </w:r>
    </w:p>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交银施罗德理财</w:t>
      </w:r>
      <w:r w:rsidRPr="000E4C40">
        <w:rPr>
          <w:sz w:val="24"/>
        </w:rPr>
        <w:t>60</w:t>
      </w:r>
      <w:r w:rsidRPr="000E4C40">
        <w:rPr>
          <w:sz w:val="24"/>
        </w:rPr>
        <w:t>天债券型证券投资基金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2013</w:t>
      </w:r>
      <w:r w:rsidR="00D87D00" w:rsidRPr="000E4C40">
        <w:rPr>
          <w:color w:val="000000"/>
          <w:kern w:val="0"/>
          <w:sz w:val="24"/>
        </w:rPr>
        <w:t>年</w:t>
      </w:r>
      <w:r w:rsidR="00D87D00" w:rsidRPr="000E4C40">
        <w:rPr>
          <w:color w:val="000000"/>
          <w:kern w:val="0"/>
          <w:sz w:val="24"/>
        </w:rPr>
        <w:t>3</w:t>
      </w:r>
      <w:r w:rsidR="00D87D00" w:rsidRPr="000E4C40">
        <w:rPr>
          <w:color w:val="000000"/>
          <w:kern w:val="0"/>
          <w:sz w:val="24"/>
        </w:rPr>
        <w:t>月</w:t>
      </w:r>
      <w:r w:rsidR="00D87D00" w:rsidRPr="000E4C40">
        <w:rPr>
          <w:color w:val="000000"/>
          <w:kern w:val="0"/>
          <w:sz w:val="24"/>
        </w:rPr>
        <w:t>13</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2018</w:t>
      </w:r>
      <w:r w:rsidR="00A7219D" w:rsidRPr="000E4C40">
        <w:rPr>
          <w:color w:val="000000"/>
          <w:kern w:val="0"/>
          <w:sz w:val="24"/>
        </w:rPr>
        <w:t>年</w:t>
      </w:r>
      <w:r w:rsidR="00A7219D" w:rsidRPr="000E4C40">
        <w:rPr>
          <w:color w:val="000000"/>
          <w:kern w:val="0"/>
          <w:sz w:val="24"/>
        </w:rPr>
        <w:t>3</w:t>
      </w:r>
      <w:r w:rsidR="00A7219D" w:rsidRPr="000E4C40">
        <w:rPr>
          <w:color w:val="000000"/>
          <w:kern w:val="0"/>
          <w:sz w:val="24"/>
        </w:rPr>
        <w:t>月</w:t>
      </w:r>
      <w:r w:rsidR="00A7219D" w:rsidRPr="000E4C40">
        <w:rPr>
          <w:color w:val="000000"/>
          <w:kern w:val="0"/>
          <w:sz w:val="24"/>
        </w:rPr>
        <w:t>31</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交银理财</w:t>
      </w:r>
      <w:r w:rsidRPr="000E4C40">
        <w:rPr>
          <w:color w:val="000000"/>
          <w:kern w:val="0"/>
          <w:sz w:val="24"/>
        </w:rPr>
        <w:t>60</w:t>
      </w:r>
      <w:r w:rsidRPr="000E4C40">
        <w:rPr>
          <w:color w:val="000000"/>
          <w:kern w:val="0"/>
          <w:sz w:val="24"/>
        </w:rPr>
        <w:t>天债券</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lastRenderedPageBreak/>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2</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交银理财</w:t>
      </w:r>
      <w:r w:rsidR="005F668B" w:rsidRPr="000E4C40">
        <w:rPr>
          <w:color w:val="000000"/>
          <w:kern w:val="0"/>
          <w:sz w:val="24"/>
        </w:rPr>
        <w:t>60</w:t>
      </w:r>
      <w:r w:rsidR="005F668B" w:rsidRPr="000E4C40">
        <w:rPr>
          <w:color w:val="000000"/>
          <w:kern w:val="0"/>
          <w:sz w:val="24"/>
        </w:rPr>
        <w:t>天债券</w:t>
      </w:r>
      <w:r w:rsidR="005F668B" w:rsidRPr="000E4C40">
        <w:rPr>
          <w:color w:val="000000"/>
          <w:kern w:val="0"/>
          <w:sz w:val="24"/>
        </w:rPr>
        <w:t>B</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2</w:t>
      </w:r>
      <w:r w:rsidRPr="000E4C40">
        <w:rPr>
          <w:color w:val="000000"/>
          <w:sz w:val="24"/>
        </w:rPr>
        <w:t>个月。截至建仓期结束，本基金各项资产</w:t>
      </w:r>
      <w:r w:rsidRPr="000E4C40">
        <w:rPr>
          <w:color w:val="000000"/>
          <w:sz w:val="24"/>
        </w:rPr>
        <w:lastRenderedPageBreak/>
        <w:t>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0B6423">
        <w:trPr>
          <w:jc w:val="center"/>
        </w:trPr>
        <w:tc>
          <w:tcPr>
            <w:tcW w:w="945" w:type="dxa"/>
            <w:vAlign w:val="center"/>
          </w:tcPr>
          <w:p w:rsidR="000B6423" w:rsidRDefault="00C13119">
            <w:pPr>
              <w:jc w:val="center"/>
            </w:pPr>
            <w:r>
              <w:rPr>
                <w:color w:val="000000"/>
                <w:sz w:val="24"/>
              </w:rPr>
              <w:t>连端清</w:t>
            </w:r>
          </w:p>
        </w:tc>
        <w:tc>
          <w:tcPr>
            <w:tcW w:w="1589" w:type="dxa"/>
            <w:vAlign w:val="center"/>
          </w:tcPr>
          <w:p w:rsidR="000B6423" w:rsidRDefault="00C13119">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兴纯债债券、交银裕盈纯债债券、交银裕利纯债债券、交银裕隆纯债债券、交银天鑫宝货币、交银天益宝货币、交银境尚收益债券、交银天运宝货币的基金经理</w:t>
            </w:r>
          </w:p>
        </w:tc>
        <w:tc>
          <w:tcPr>
            <w:tcW w:w="1478" w:type="dxa"/>
            <w:vAlign w:val="center"/>
          </w:tcPr>
          <w:p w:rsidR="000B6423" w:rsidRDefault="00C13119">
            <w:pPr>
              <w:jc w:val="center"/>
            </w:pPr>
            <w:r>
              <w:rPr>
                <w:color w:val="000000"/>
                <w:sz w:val="24"/>
              </w:rPr>
              <w:t>2015-10-16</w:t>
            </w:r>
          </w:p>
        </w:tc>
        <w:tc>
          <w:tcPr>
            <w:tcW w:w="1478" w:type="dxa"/>
            <w:vAlign w:val="center"/>
          </w:tcPr>
          <w:p w:rsidR="000B6423" w:rsidRDefault="00C13119">
            <w:pPr>
              <w:jc w:val="center"/>
            </w:pPr>
            <w:r>
              <w:rPr>
                <w:color w:val="000000"/>
                <w:sz w:val="24"/>
              </w:rPr>
              <w:t>-</w:t>
            </w:r>
          </w:p>
        </w:tc>
        <w:tc>
          <w:tcPr>
            <w:tcW w:w="986" w:type="dxa"/>
            <w:vAlign w:val="center"/>
          </w:tcPr>
          <w:p w:rsidR="000B6423" w:rsidRDefault="00C13119">
            <w:pPr>
              <w:jc w:val="center"/>
            </w:pPr>
            <w:r>
              <w:rPr>
                <w:color w:val="000000"/>
                <w:sz w:val="24"/>
              </w:rPr>
              <w:t>5</w:t>
            </w:r>
            <w:r>
              <w:rPr>
                <w:color w:val="000000"/>
                <w:sz w:val="24"/>
              </w:rPr>
              <w:t>年</w:t>
            </w:r>
          </w:p>
        </w:tc>
        <w:tc>
          <w:tcPr>
            <w:tcW w:w="2392" w:type="dxa"/>
            <w:vAlign w:val="center"/>
          </w:tcPr>
          <w:p w:rsidR="000B6423" w:rsidRDefault="00C13119">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p w:rsidR="000B6423" w:rsidRDefault="000B6423"/>
        </w:tc>
      </w:tr>
    </w:tbl>
    <w:p w:rsidR="000B6423" w:rsidRDefault="00C13119">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0B6423" w:rsidRDefault="00C13119">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3</w:t>
      </w:r>
      <w:r w:rsidRPr="000E4C40">
        <w:rPr>
          <w:color w:val="000000"/>
          <w:sz w:val="24"/>
        </w:rPr>
        <w:t>、基金经理（或基金经理小组）期后变动（如有）敬请关注基金管理人发布的相关公告。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0B6423" w:rsidRDefault="00C1311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B6423" w:rsidRDefault="00C1311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B6423" w:rsidRDefault="00C1311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0B6423" w:rsidRDefault="00C13119">
      <w:pPr>
        <w:spacing w:before="29" w:line="288" w:lineRule="auto"/>
        <w:ind w:firstLineChars="200" w:firstLine="480"/>
        <w:rPr>
          <w:color w:val="000000"/>
          <w:sz w:val="24"/>
        </w:rPr>
      </w:pPr>
      <w:r>
        <w:rPr>
          <w:color w:val="000000"/>
          <w:sz w:val="24"/>
        </w:rPr>
        <w:t>2018</w:t>
      </w:r>
      <w:r>
        <w:rPr>
          <w:color w:val="000000"/>
          <w:sz w:val="24"/>
        </w:rPr>
        <w:t>年一季度，国内经济整体上延续平稳态势。一至二月份固定资产投资与工业增加值出现反弹，且出口保持较快增长，但是持续性尚待进一步观察，制造业景气度维持在较高的扩张区间。</w:t>
      </w:r>
      <w:r>
        <w:rPr>
          <w:color w:val="000000"/>
          <w:sz w:val="24"/>
        </w:rPr>
        <w:t>2018</w:t>
      </w:r>
      <w:r>
        <w:rPr>
          <w:color w:val="000000"/>
          <w:sz w:val="24"/>
        </w:rPr>
        <w:t>年一至二月，固定资产投资累计同比增速为</w:t>
      </w:r>
      <w:r>
        <w:rPr>
          <w:color w:val="000000"/>
          <w:sz w:val="24"/>
        </w:rPr>
        <w:t>7.9%</w:t>
      </w:r>
      <w:r>
        <w:rPr>
          <w:color w:val="000000"/>
          <w:sz w:val="24"/>
        </w:rPr>
        <w:t>，工业增加值累计同比增速为</w:t>
      </w:r>
      <w:r>
        <w:rPr>
          <w:color w:val="000000"/>
          <w:sz w:val="24"/>
        </w:rPr>
        <w:t>7.2%</w:t>
      </w:r>
      <w:r>
        <w:rPr>
          <w:color w:val="000000"/>
          <w:sz w:val="24"/>
        </w:rPr>
        <w:t>，一月与二月出口季调后同比增速分别为</w:t>
      </w:r>
      <w:r>
        <w:rPr>
          <w:color w:val="000000"/>
          <w:sz w:val="24"/>
        </w:rPr>
        <w:t>5.6%</w:t>
      </w:r>
      <w:r>
        <w:rPr>
          <w:color w:val="000000"/>
          <w:sz w:val="24"/>
        </w:rPr>
        <w:t>与</w:t>
      </w:r>
      <w:r>
        <w:rPr>
          <w:color w:val="000000"/>
          <w:sz w:val="24"/>
        </w:rPr>
        <w:t>15.4%</w:t>
      </w:r>
      <w:r>
        <w:rPr>
          <w:color w:val="000000"/>
          <w:sz w:val="24"/>
        </w:rPr>
        <w:t>，中采</w:t>
      </w:r>
      <w:r>
        <w:rPr>
          <w:color w:val="000000"/>
          <w:sz w:val="24"/>
        </w:rPr>
        <w:lastRenderedPageBreak/>
        <w:t>PMI</w:t>
      </w:r>
      <w:r>
        <w:rPr>
          <w:color w:val="000000"/>
          <w:sz w:val="24"/>
        </w:rPr>
        <w:t>尽管二月份受春节等因素影响出现回落，但三月份反弹至</w:t>
      </w:r>
      <w:r>
        <w:rPr>
          <w:color w:val="000000"/>
          <w:sz w:val="24"/>
        </w:rPr>
        <w:t>51.5%</w:t>
      </w:r>
      <w:r>
        <w:rPr>
          <w:color w:val="000000"/>
          <w:sz w:val="24"/>
        </w:rPr>
        <w:t>。一季度央行货币政策操作上中性偏松，尽管央行通过公开市场及</w:t>
      </w:r>
      <w:r>
        <w:rPr>
          <w:color w:val="000000"/>
          <w:sz w:val="24"/>
        </w:rPr>
        <w:t>MLF</w:t>
      </w:r>
      <w:r>
        <w:rPr>
          <w:color w:val="000000"/>
          <w:sz w:val="24"/>
        </w:rPr>
        <w:t>在一季度实现净回笼</w:t>
      </w:r>
      <w:r>
        <w:rPr>
          <w:color w:val="000000"/>
          <w:sz w:val="24"/>
        </w:rPr>
        <w:t>5645</w:t>
      </w:r>
      <w:r>
        <w:rPr>
          <w:color w:val="000000"/>
          <w:sz w:val="24"/>
        </w:rPr>
        <w:t>亿元，但是定向降准落地以及</w:t>
      </w:r>
      <w:r>
        <w:rPr>
          <w:color w:val="000000"/>
          <w:sz w:val="24"/>
        </w:rPr>
        <w:t>“</w:t>
      </w:r>
      <w:r>
        <w:rPr>
          <w:color w:val="000000"/>
          <w:sz w:val="24"/>
        </w:rPr>
        <w:t>临时准备金动用安排</w:t>
      </w:r>
      <w:r>
        <w:rPr>
          <w:color w:val="000000"/>
          <w:sz w:val="24"/>
        </w:rPr>
        <w:t>”</w:t>
      </w:r>
      <w:r>
        <w:rPr>
          <w:color w:val="000000"/>
          <w:sz w:val="24"/>
        </w:rPr>
        <w:t>释放了大量流动性，为二月份跨春节及三月份跨季提供了充沛的流动性。</w:t>
      </w:r>
    </w:p>
    <w:p w:rsidR="000B6423" w:rsidRDefault="00C13119">
      <w:pPr>
        <w:spacing w:before="29" w:line="288" w:lineRule="auto"/>
        <w:ind w:firstLineChars="200" w:firstLine="480"/>
        <w:rPr>
          <w:color w:val="000000"/>
          <w:sz w:val="24"/>
        </w:rPr>
      </w:pPr>
      <w:r>
        <w:rPr>
          <w:color w:val="000000"/>
          <w:sz w:val="24"/>
        </w:rPr>
        <w:t>资金面上，一季度市场资金面非常宽松，一季度</w:t>
      </w:r>
      <w:r>
        <w:rPr>
          <w:color w:val="000000"/>
          <w:sz w:val="24"/>
        </w:rPr>
        <w:t>R001</w:t>
      </w:r>
      <w:r>
        <w:rPr>
          <w:color w:val="000000"/>
          <w:sz w:val="24"/>
        </w:rPr>
        <w:t>均值较</w:t>
      </w:r>
      <w:r>
        <w:rPr>
          <w:color w:val="000000"/>
          <w:sz w:val="24"/>
        </w:rPr>
        <w:t>2017</w:t>
      </w:r>
      <w:r>
        <w:rPr>
          <w:color w:val="000000"/>
          <w:sz w:val="24"/>
        </w:rPr>
        <w:t>年第四季度下降</w:t>
      </w:r>
      <w:r>
        <w:rPr>
          <w:color w:val="000000"/>
          <w:sz w:val="24"/>
        </w:rPr>
        <w:t>11</w:t>
      </w:r>
      <w:r>
        <w:rPr>
          <w:color w:val="000000"/>
          <w:sz w:val="24"/>
        </w:rPr>
        <w:t>个</w:t>
      </w:r>
      <w:r>
        <w:rPr>
          <w:color w:val="000000"/>
          <w:sz w:val="24"/>
        </w:rPr>
        <w:t>BP</w:t>
      </w:r>
      <w:r>
        <w:rPr>
          <w:color w:val="000000"/>
          <w:sz w:val="24"/>
        </w:rPr>
        <w:t>以上。受资金持续宽松等因素影响，三月下旬同业存款及存单一级发行利率大幅下行。受资金面宽松及中美贸易战等影响，一季度债市大幅上涨，三月底</w:t>
      </w:r>
      <w:r>
        <w:rPr>
          <w:color w:val="000000"/>
          <w:sz w:val="24"/>
        </w:rPr>
        <w:t>10</w:t>
      </w:r>
      <w:r>
        <w:rPr>
          <w:color w:val="000000"/>
          <w:sz w:val="24"/>
        </w:rPr>
        <w:t>年期国开债</w:t>
      </w:r>
      <w:r>
        <w:rPr>
          <w:color w:val="000000"/>
          <w:sz w:val="24"/>
        </w:rPr>
        <w:t>YTM</w:t>
      </w:r>
      <w:r>
        <w:rPr>
          <w:color w:val="000000"/>
          <w:sz w:val="24"/>
        </w:rPr>
        <w:t>较</w:t>
      </w:r>
      <w:r>
        <w:rPr>
          <w:color w:val="000000"/>
          <w:sz w:val="24"/>
        </w:rPr>
        <w:t>2017</w:t>
      </w:r>
      <w:r>
        <w:rPr>
          <w:color w:val="000000"/>
          <w:sz w:val="24"/>
        </w:rPr>
        <w:t>年年底回落</w:t>
      </w:r>
      <w:r>
        <w:rPr>
          <w:color w:val="000000"/>
          <w:sz w:val="24"/>
        </w:rPr>
        <w:t>17</w:t>
      </w:r>
      <w:r>
        <w:rPr>
          <w:color w:val="000000"/>
          <w:sz w:val="24"/>
        </w:rPr>
        <w:t>个</w:t>
      </w:r>
      <w:r>
        <w:rPr>
          <w:color w:val="000000"/>
          <w:sz w:val="24"/>
        </w:rPr>
        <w:t>BP</w:t>
      </w:r>
      <w:r>
        <w:rPr>
          <w:color w:val="000000"/>
          <w:sz w:val="24"/>
        </w:rPr>
        <w:t>以上。</w:t>
      </w:r>
    </w:p>
    <w:p w:rsidR="000B6423" w:rsidRDefault="00C13119">
      <w:pPr>
        <w:spacing w:before="29" w:line="288" w:lineRule="auto"/>
        <w:ind w:firstLineChars="200" w:firstLine="480"/>
        <w:rPr>
          <w:color w:val="000000"/>
          <w:sz w:val="24"/>
        </w:rPr>
      </w:pPr>
      <w:r>
        <w:rPr>
          <w:color w:val="000000"/>
          <w:sz w:val="24"/>
        </w:rPr>
        <w:t>基金操作方面，报告期内本基金规模增长较大，主要投资了同业存款、存单及短融等债，提升组合杠杆与久期，控制信用风险，为持有人创造了稳健的回报。</w:t>
      </w:r>
    </w:p>
    <w:p w:rsidR="00C4627A" w:rsidRPr="000E4C40" w:rsidRDefault="00C4627A" w:rsidP="00281564">
      <w:pPr>
        <w:spacing w:before="29" w:line="288" w:lineRule="auto"/>
        <w:ind w:firstLineChars="200" w:firstLine="480"/>
        <w:rPr>
          <w:color w:val="000000"/>
          <w:sz w:val="24"/>
        </w:rPr>
      </w:pPr>
      <w:r w:rsidRPr="000E4C40">
        <w:rPr>
          <w:color w:val="000000"/>
          <w:sz w:val="24"/>
        </w:rPr>
        <w:t>展望</w:t>
      </w:r>
      <w:r w:rsidRPr="000E4C40">
        <w:rPr>
          <w:color w:val="000000"/>
          <w:sz w:val="24"/>
        </w:rPr>
        <w:t>2018</w:t>
      </w:r>
      <w:r w:rsidRPr="000E4C40">
        <w:rPr>
          <w:color w:val="000000"/>
          <w:sz w:val="24"/>
        </w:rPr>
        <w:t>年二季度，我们预计短期内经济韧劲依旧较强，且金融防风险是今年的重要任务；因此，短期内货币政策可能不具备趋势性转松的条件。我们预计短期内央行将以中性的货币政策为主。此外，我们将密切关注美国引发的贸易战对经济走势的影响。组合管理方面，本基金将密切跟踪研判宏观经济走势、央行货币政策操作与金融监管政策动态，力求保持产品较好的流动性，把握市场机会，尽力控制信用风险，为投资者创造稳健的回报。</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本报告期内，交银理财</w:t>
      </w:r>
      <w:r w:rsidRPr="000E4C40">
        <w:rPr>
          <w:color w:val="000000"/>
          <w:sz w:val="24"/>
        </w:rPr>
        <w:t>60</w:t>
      </w:r>
      <w:r w:rsidRPr="000E4C40">
        <w:rPr>
          <w:color w:val="000000"/>
          <w:sz w:val="24"/>
        </w:rPr>
        <w:t>天债券</w:t>
      </w:r>
      <w:r w:rsidRPr="000E4C40">
        <w:rPr>
          <w:color w:val="000000"/>
          <w:sz w:val="24"/>
        </w:rPr>
        <w:t>A</w:t>
      </w:r>
      <w:r w:rsidRPr="000E4C40">
        <w:rPr>
          <w:color w:val="000000"/>
          <w:sz w:val="24"/>
        </w:rPr>
        <w:t>净值收益率为</w:t>
      </w:r>
      <w:r w:rsidRPr="000E4C40">
        <w:rPr>
          <w:color w:val="000000"/>
          <w:sz w:val="24"/>
        </w:rPr>
        <w:t>1.1032%</w:t>
      </w:r>
      <w:r w:rsidRPr="000E4C40">
        <w:rPr>
          <w:color w:val="000000"/>
          <w:sz w:val="24"/>
        </w:rPr>
        <w:t>，同期业绩比较基准收益率为</w:t>
      </w:r>
      <w:r w:rsidRPr="000E4C40">
        <w:rPr>
          <w:color w:val="000000"/>
          <w:sz w:val="24"/>
        </w:rPr>
        <w:t>0.3329%</w:t>
      </w:r>
      <w:r w:rsidRPr="000E4C40">
        <w:rPr>
          <w:color w:val="000000"/>
          <w:sz w:val="24"/>
        </w:rPr>
        <w:t>；交银理财</w:t>
      </w:r>
      <w:r w:rsidRPr="000E4C40">
        <w:rPr>
          <w:color w:val="000000"/>
          <w:sz w:val="24"/>
        </w:rPr>
        <w:t>60</w:t>
      </w:r>
      <w:r w:rsidRPr="000E4C40">
        <w:rPr>
          <w:color w:val="000000"/>
          <w:sz w:val="24"/>
        </w:rPr>
        <w:t>天债券</w:t>
      </w:r>
      <w:r w:rsidRPr="000E4C40">
        <w:rPr>
          <w:color w:val="000000"/>
          <w:sz w:val="24"/>
        </w:rPr>
        <w:t>B</w:t>
      </w:r>
      <w:r w:rsidRPr="000E4C40">
        <w:rPr>
          <w:color w:val="000000"/>
          <w:sz w:val="24"/>
        </w:rPr>
        <w:t>净值收益率</w:t>
      </w:r>
      <w:r w:rsidRPr="000E4C40">
        <w:rPr>
          <w:color w:val="000000"/>
          <w:sz w:val="24"/>
        </w:rPr>
        <w:t>1.1755%</w:t>
      </w:r>
      <w:r w:rsidRPr="000E4C40">
        <w:rPr>
          <w:color w:val="000000"/>
          <w:sz w:val="24"/>
        </w:rPr>
        <w:t>，同期业绩比较基准收益率为</w:t>
      </w:r>
      <w:r w:rsidRPr="000E4C40">
        <w:rPr>
          <w:color w:val="000000"/>
          <w:sz w:val="24"/>
        </w:rPr>
        <w:t>0.3329%</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10,727,567,731.33</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59.97</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10,727,567,731.33</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59.97</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lastRenderedPageBreak/>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7,087,106,100.87</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39.62</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74,930,781.80</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0.42</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17,889,604,614.00</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C13119">
            <w:pPr>
              <w:spacing w:before="29" w:line="288" w:lineRule="auto"/>
              <w:jc w:val="right"/>
              <w:rPr>
                <w:sz w:val="24"/>
              </w:rPr>
            </w:pPr>
            <w:r w:rsidRPr="000E4C40">
              <w:rPr>
                <w:sz w:val="24"/>
              </w:rPr>
              <w:t>8.</w:t>
            </w:r>
            <w:r w:rsidR="00C13119">
              <w:rPr>
                <w:sz w:val="24"/>
              </w:rPr>
              <w:t>61</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1,867,579,826.19</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11.72</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本基金合同约定：</w:t>
      </w:r>
      <w:r w:rsidRPr="000E4C40">
        <w:rPr>
          <w:color w:val="000000"/>
          <w:sz w:val="24"/>
        </w:rPr>
        <w:t>“</w:t>
      </w:r>
      <w:r w:rsidRPr="000E4C40">
        <w:rPr>
          <w:color w:val="000000"/>
          <w:sz w:val="24"/>
        </w:rPr>
        <w:t>本基金进入全国银行间同业市场进行债券回购的资金余额不得超过基金资产净值的</w:t>
      </w:r>
      <w:r w:rsidRPr="000E4C40">
        <w:rPr>
          <w:color w:val="000000"/>
          <w:sz w:val="24"/>
        </w:rPr>
        <w:t>40%”</w:t>
      </w:r>
      <w:r w:rsidRPr="000E4C40">
        <w:rPr>
          <w:color w:val="000000"/>
          <w:sz w:val="24"/>
        </w:rPr>
        <w:t>。本报告期内，本基金未发生超标情况。</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111</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119</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86</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本基金合同约定：</w:t>
      </w:r>
      <w:r w:rsidRPr="000E5695">
        <w:rPr>
          <w:kern w:val="0"/>
          <w:sz w:val="24"/>
        </w:rPr>
        <w:t>“</w:t>
      </w:r>
      <w:r w:rsidRPr="000E5695">
        <w:rPr>
          <w:kern w:val="0"/>
          <w:sz w:val="24"/>
        </w:rPr>
        <w:t>本基金投资组合的平均剩余期限控制在</w:t>
      </w:r>
      <w:r w:rsidRPr="000E5695">
        <w:rPr>
          <w:kern w:val="0"/>
          <w:sz w:val="24"/>
        </w:rPr>
        <w:t xml:space="preserve">180 </w:t>
      </w:r>
      <w:r w:rsidRPr="000E5695">
        <w:rPr>
          <w:kern w:val="0"/>
          <w:sz w:val="24"/>
        </w:rPr>
        <w:t>天（含）以内。</w:t>
      </w:r>
      <w:r w:rsidRPr="000E5695">
        <w:rPr>
          <w:kern w:val="0"/>
          <w:sz w:val="24"/>
        </w:rPr>
        <w:t>”</w:t>
      </w:r>
      <w:r w:rsidRPr="000E5695">
        <w:rPr>
          <w:kern w:val="0"/>
          <w:sz w:val="24"/>
        </w:rPr>
        <w:t>本基金</w:t>
      </w:r>
      <w:r w:rsidRPr="000E5695">
        <w:rPr>
          <w:kern w:val="0"/>
          <w:sz w:val="24"/>
        </w:rPr>
        <w:lastRenderedPageBreak/>
        <w:t>本报告期内投资组合平均剩余期限未超过</w:t>
      </w:r>
      <w:r w:rsidRPr="000E5695">
        <w:rPr>
          <w:kern w:val="0"/>
          <w:sz w:val="24"/>
        </w:rPr>
        <w:t>180</w:t>
      </w:r>
      <w:r w:rsidRPr="000E5695">
        <w:rPr>
          <w:kern w:val="0"/>
          <w:sz w:val="24"/>
        </w:rPr>
        <w:t>天。</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24.31</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11.72</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10.65</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29.89</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3.30</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43.64</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111.79</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11.72</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39,971,233.59</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0.25</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789,341,011.66</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4.95</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789,341,011.66</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4.95</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771,288,134.83</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4.84</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9,126,967,351.25</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57.27</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10,727,567,731.33</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67.32</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853"/>
        <w:gridCol w:w="1279"/>
        <w:gridCol w:w="2130"/>
        <w:gridCol w:w="1208"/>
        <w:gridCol w:w="2061"/>
        <w:gridCol w:w="1337"/>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0B6423">
        <w:trPr>
          <w:jc w:val="center"/>
        </w:trPr>
        <w:tc>
          <w:tcPr>
            <w:tcW w:w="0" w:type="auto"/>
            <w:vAlign w:val="center"/>
          </w:tcPr>
          <w:p w:rsidR="000B6423" w:rsidRDefault="00C13119">
            <w:pPr>
              <w:jc w:val="center"/>
            </w:pPr>
            <w:r>
              <w:rPr>
                <w:color w:val="000000"/>
                <w:sz w:val="24"/>
              </w:rPr>
              <w:t>1</w:t>
            </w:r>
          </w:p>
        </w:tc>
        <w:tc>
          <w:tcPr>
            <w:tcW w:w="0" w:type="auto"/>
            <w:vAlign w:val="center"/>
          </w:tcPr>
          <w:p w:rsidR="000B6423" w:rsidRDefault="00C13119">
            <w:pPr>
              <w:jc w:val="center"/>
            </w:pPr>
            <w:r>
              <w:rPr>
                <w:color w:val="000000"/>
                <w:sz w:val="24"/>
              </w:rPr>
              <w:t>111719307</w:t>
            </w:r>
          </w:p>
        </w:tc>
        <w:tc>
          <w:tcPr>
            <w:tcW w:w="0" w:type="auto"/>
            <w:vAlign w:val="center"/>
          </w:tcPr>
          <w:p w:rsidR="000B6423" w:rsidRDefault="00C13119">
            <w:pPr>
              <w:jc w:val="center"/>
            </w:pPr>
            <w:r>
              <w:rPr>
                <w:color w:val="000000"/>
                <w:sz w:val="24"/>
              </w:rPr>
              <w:t>17</w:t>
            </w:r>
            <w:r>
              <w:rPr>
                <w:color w:val="000000"/>
                <w:sz w:val="24"/>
              </w:rPr>
              <w:t>恒丰银行</w:t>
            </w:r>
            <w:r>
              <w:rPr>
                <w:color w:val="000000"/>
                <w:sz w:val="24"/>
              </w:rPr>
              <w:t>CD307</w:t>
            </w:r>
          </w:p>
        </w:tc>
        <w:tc>
          <w:tcPr>
            <w:tcW w:w="0" w:type="auto"/>
            <w:vAlign w:val="center"/>
          </w:tcPr>
          <w:p w:rsidR="000B6423" w:rsidRDefault="00C13119">
            <w:pPr>
              <w:jc w:val="right"/>
            </w:pPr>
            <w:r>
              <w:rPr>
                <w:color w:val="000000"/>
                <w:sz w:val="24"/>
              </w:rPr>
              <w:t>5,000,000</w:t>
            </w:r>
          </w:p>
        </w:tc>
        <w:tc>
          <w:tcPr>
            <w:tcW w:w="0" w:type="auto"/>
            <w:vAlign w:val="center"/>
          </w:tcPr>
          <w:p w:rsidR="000B6423" w:rsidRDefault="00C13119">
            <w:pPr>
              <w:jc w:val="right"/>
            </w:pPr>
            <w:r>
              <w:rPr>
                <w:color w:val="000000"/>
                <w:sz w:val="24"/>
              </w:rPr>
              <w:t>494,848,943.09</w:t>
            </w:r>
          </w:p>
        </w:tc>
        <w:tc>
          <w:tcPr>
            <w:tcW w:w="0" w:type="auto"/>
            <w:vAlign w:val="center"/>
          </w:tcPr>
          <w:p w:rsidR="000B6423" w:rsidRDefault="00C13119">
            <w:pPr>
              <w:jc w:val="right"/>
            </w:pPr>
            <w:r>
              <w:rPr>
                <w:color w:val="000000"/>
                <w:sz w:val="24"/>
              </w:rPr>
              <w:t>3.11</w:t>
            </w:r>
          </w:p>
        </w:tc>
      </w:tr>
      <w:tr w:rsidR="000B6423">
        <w:trPr>
          <w:jc w:val="center"/>
        </w:trPr>
        <w:tc>
          <w:tcPr>
            <w:tcW w:w="0" w:type="auto"/>
            <w:vAlign w:val="center"/>
          </w:tcPr>
          <w:p w:rsidR="000B6423" w:rsidRDefault="00C13119">
            <w:pPr>
              <w:jc w:val="center"/>
            </w:pPr>
            <w:r>
              <w:rPr>
                <w:color w:val="000000"/>
                <w:sz w:val="24"/>
              </w:rPr>
              <w:t>2</w:t>
            </w:r>
          </w:p>
        </w:tc>
        <w:tc>
          <w:tcPr>
            <w:tcW w:w="0" w:type="auto"/>
            <w:vAlign w:val="center"/>
          </w:tcPr>
          <w:p w:rsidR="000B6423" w:rsidRDefault="00C13119">
            <w:pPr>
              <w:jc w:val="center"/>
            </w:pPr>
            <w:r>
              <w:rPr>
                <w:color w:val="000000"/>
                <w:sz w:val="24"/>
              </w:rPr>
              <w:t>111709484</w:t>
            </w:r>
          </w:p>
        </w:tc>
        <w:tc>
          <w:tcPr>
            <w:tcW w:w="0" w:type="auto"/>
            <w:vAlign w:val="center"/>
          </w:tcPr>
          <w:p w:rsidR="000B6423" w:rsidRDefault="00C13119">
            <w:pPr>
              <w:jc w:val="center"/>
            </w:pPr>
            <w:r>
              <w:rPr>
                <w:color w:val="000000"/>
                <w:sz w:val="24"/>
              </w:rPr>
              <w:t>17</w:t>
            </w:r>
            <w:r>
              <w:rPr>
                <w:color w:val="000000"/>
                <w:sz w:val="24"/>
              </w:rPr>
              <w:t>浦发银行</w:t>
            </w:r>
            <w:r>
              <w:rPr>
                <w:color w:val="000000"/>
                <w:sz w:val="24"/>
              </w:rPr>
              <w:t>CD484</w:t>
            </w:r>
          </w:p>
        </w:tc>
        <w:tc>
          <w:tcPr>
            <w:tcW w:w="0" w:type="auto"/>
            <w:vAlign w:val="center"/>
          </w:tcPr>
          <w:p w:rsidR="000B6423" w:rsidRDefault="00C13119">
            <w:pPr>
              <w:jc w:val="right"/>
            </w:pPr>
            <w:r>
              <w:rPr>
                <w:color w:val="000000"/>
                <w:sz w:val="24"/>
              </w:rPr>
              <w:t>3,000,000</w:t>
            </w:r>
          </w:p>
        </w:tc>
        <w:tc>
          <w:tcPr>
            <w:tcW w:w="0" w:type="auto"/>
            <w:vAlign w:val="center"/>
          </w:tcPr>
          <w:p w:rsidR="000B6423" w:rsidRDefault="00C13119">
            <w:pPr>
              <w:jc w:val="right"/>
            </w:pPr>
            <w:r>
              <w:rPr>
                <w:color w:val="000000"/>
                <w:sz w:val="24"/>
              </w:rPr>
              <w:t>297,486,096.05</w:t>
            </w:r>
          </w:p>
        </w:tc>
        <w:tc>
          <w:tcPr>
            <w:tcW w:w="0" w:type="auto"/>
            <w:vAlign w:val="center"/>
          </w:tcPr>
          <w:p w:rsidR="000B6423" w:rsidRDefault="00C13119">
            <w:pPr>
              <w:jc w:val="right"/>
            </w:pPr>
            <w:r>
              <w:rPr>
                <w:color w:val="000000"/>
                <w:sz w:val="24"/>
              </w:rPr>
              <w:t>1.87</w:t>
            </w:r>
          </w:p>
        </w:tc>
      </w:tr>
      <w:tr w:rsidR="000B6423">
        <w:trPr>
          <w:jc w:val="center"/>
        </w:trPr>
        <w:tc>
          <w:tcPr>
            <w:tcW w:w="0" w:type="auto"/>
            <w:vAlign w:val="center"/>
          </w:tcPr>
          <w:p w:rsidR="000B6423" w:rsidRDefault="00C13119">
            <w:pPr>
              <w:jc w:val="center"/>
            </w:pPr>
            <w:r>
              <w:rPr>
                <w:color w:val="000000"/>
                <w:sz w:val="24"/>
              </w:rPr>
              <w:t>3</w:t>
            </w:r>
          </w:p>
        </w:tc>
        <w:tc>
          <w:tcPr>
            <w:tcW w:w="0" w:type="auto"/>
            <w:vAlign w:val="center"/>
          </w:tcPr>
          <w:p w:rsidR="000B6423" w:rsidRDefault="00C13119">
            <w:pPr>
              <w:jc w:val="center"/>
            </w:pPr>
            <w:r>
              <w:rPr>
                <w:color w:val="000000"/>
                <w:sz w:val="24"/>
              </w:rPr>
              <w:t>111807034</w:t>
            </w:r>
          </w:p>
        </w:tc>
        <w:tc>
          <w:tcPr>
            <w:tcW w:w="0" w:type="auto"/>
            <w:vAlign w:val="center"/>
          </w:tcPr>
          <w:p w:rsidR="000B6423" w:rsidRDefault="00C13119">
            <w:pPr>
              <w:jc w:val="center"/>
            </w:pPr>
            <w:r>
              <w:rPr>
                <w:color w:val="000000"/>
                <w:sz w:val="24"/>
              </w:rPr>
              <w:t>18</w:t>
            </w:r>
            <w:r>
              <w:rPr>
                <w:color w:val="000000"/>
                <w:sz w:val="24"/>
              </w:rPr>
              <w:t>招商银行</w:t>
            </w:r>
            <w:r>
              <w:rPr>
                <w:color w:val="000000"/>
                <w:sz w:val="24"/>
              </w:rPr>
              <w:t>CD034</w:t>
            </w:r>
          </w:p>
        </w:tc>
        <w:tc>
          <w:tcPr>
            <w:tcW w:w="0" w:type="auto"/>
            <w:vAlign w:val="center"/>
          </w:tcPr>
          <w:p w:rsidR="000B6423" w:rsidRDefault="00C13119">
            <w:pPr>
              <w:jc w:val="right"/>
            </w:pPr>
            <w:r>
              <w:rPr>
                <w:color w:val="000000"/>
                <w:sz w:val="24"/>
              </w:rPr>
              <w:t>3,000,000</w:t>
            </w:r>
          </w:p>
        </w:tc>
        <w:tc>
          <w:tcPr>
            <w:tcW w:w="0" w:type="auto"/>
            <w:vAlign w:val="center"/>
          </w:tcPr>
          <w:p w:rsidR="000B6423" w:rsidRDefault="00C13119">
            <w:pPr>
              <w:jc w:val="right"/>
            </w:pPr>
            <w:r>
              <w:rPr>
                <w:color w:val="000000"/>
                <w:sz w:val="24"/>
              </w:rPr>
              <w:t>295,193,764.24</w:t>
            </w:r>
          </w:p>
        </w:tc>
        <w:tc>
          <w:tcPr>
            <w:tcW w:w="0" w:type="auto"/>
            <w:vAlign w:val="center"/>
          </w:tcPr>
          <w:p w:rsidR="000B6423" w:rsidRDefault="00C13119">
            <w:pPr>
              <w:jc w:val="right"/>
            </w:pPr>
            <w:r>
              <w:rPr>
                <w:color w:val="000000"/>
                <w:sz w:val="24"/>
              </w:rPr>
              <w:t>1.85</w:t>
            </w:r>
          </w:p>
        </w:tc>
      </w:tr>
      <w:tr w:rsidR="000B6423">
        <w:trPr>
          <w:jc w:val="center"/>
        </w:trPr>
        <w:tc>
          <w:tcPr>
            <w:tcW w:w="0" w:type="auto"/>
            <w:vAlign w:val="center"/>
          </w:tcPr>
          <w:p w:rsidR="000B6423" w:rsidRDefault="00C13119">
            <w:pPr>
              <w:jc w:val="center"/>
            </w:pPr>
            <w:r>
              <w:rPr>
                <w:color w:val="000000"/>
                <w:sz w:val="24"/>
              </w:rPr>
              <w:t>4</w:t>
            </w:r>
          </w:p>
        </w:tc>
        <w:tc>
          <w:tcPr>
            <w:tcW w:w="0" w:type="auto"/>
            <w:vAlign w:val="center"/>
          </w:tcPr>
          <w:p w:rsidR="000B6423" w:rsidRDefault="00C13119">
            <w:pPr>
              <w:jc w:val="center"/>
            </w:pPr>
            <w:r>
              <w:rPr>
                <w:color w:val="000000"/>
                <w:sz w:val="24"/>
              </w:rPr>
              <w:t>111891924</w:t>
            </w:r>
          </w:p>
        </w:tc>
        <w:tc>
          <w:tcPr>
            <w:tcW w:w="0" w:type="auto"/>
            <w:vAlign w:val="center"/>
          </w:tcPr>
          <w:p w:rsidR="000B6423" w:rsidRDefault="00C13119">
            <w:pPr>
              <w:jc w:val="center"/>
            </w:pPr>
            <w:r>
              <w:rPr>
                <w:color w:val="000000"/>
                <w:sz w:val="24"/>
              </w:rPr>
              <w:t>18</w:t>
            </w:r>
            <w:r>
              <w:rPr>
                <w:color w:val="000000"/>
                <w:sz w:val="24"/>
              </w:rPr>
              <w:t>宁波银行</w:t>
            </w:r>
            <w:r>
              <w:rPr>
                <w:color w:val="000000"/>
                <w:sz w:val="24"/>
              </w:rPr>
              <w:t>CD029</w:t>
            </w:r>
          </w:p>
        </w:tc>
        <w:tc>
          <w:tcPr>
            <w:tcW w:w="0" w:type="auto"/>
            <w:vAlign w:val="center"/>
          </w:tcPr>
          <w:p w:rsidR="000B6423" w:rsidRDefault="00C13119">
            <w:pPr>
              <w:jc w:val="right"/>
            </w:pPr>
            <w:r>
              <w:rPr>
                <w:color w:val="000000"/>
                <w:sz w:val="24"/>
              </w:rPr>
              <w:t>3,000,000</w:t>
            </w:r>
          </w:p>
        </w:tc>
        <w:tc>
          <w:tcPr>
            <w:tcW w:w="0" w:type="auto"/>
            <w:vAlign w:val="center"/>
          </w:tcPr>
          <w:p w:rsidR="000B6423" w:rsidRDefault="00C13119">
            <w:pPr>
              <w:jc w:val="right"/>
            </w:pPr>
            <w:r>
              <w:rPr>
                <w:color w:val="000000"/>
                <w:sz w:val="24"/>
              </w:rPr>
              <w:t>291,059,480.03</w:t>
            </w:r>
          </w:p>
        </w:tc>
        <w:tc>
          <w:tcPr>
            <w:tcW w:w="0" w:type="auto"/>
            <w:vAlign w:val="center"/>
          </w:tcPr>
          <w:p w:rsidR="000B6423" w:rsidRDefault="00C13119">
            <w:pPr>
              <w:jc w:val="right"/>
            </w:pPr>
            <w:r>
              <w:rPr>
                <w:color w:val="000000"/>
                <w:sz w:val="24"/>
              </w:rPr>
              <w:t>1.83</w:t>
            </w:r>
          </w:p>
        </w:tc>
      </w:tr>
      <w:tr w:rsidR="000B6423">
        <w:trPr>
          <w:jc w:val="center"/>
        </w:trPr>
        <w:tc>
          <w:tcPr>
            <w:tcW w:w="0" w:type="auto"/>
            <w:vAlign w:val="center"/>
          </w:tcPr>
          <w:p w:rsidR="000B6423" w:rsidRDefault="00C13119">
            <w:pPr>
              <w:jc w:val="center"/>
            </w:pPr>
            <w:r>
              <w:rPr>
                <w:color w:val="000000"/>
                <w:sz w:val="24"/>
              </w:rPr>
              <w:t>5</w:t>
            </w:r>
          </w:p>
        </w:tc>
        <w:tc>
          <w:tcPr>
            <w:tcW w:w="0" w:type="auto"/>
            <w:vAlign w:val="center"/>
          </w:tcPr>
          <w:p w:rsidR="000B6423" w:rsidRDefault="00C13119">
            <w:pPr>
              <w:jc w:val="center"/>
            </w:pPr>
            <w:r>
              <w:rPr>
                <w:color w:val="000000"/>
                <w:sz w:val="24"/>
              </w:rPr>
              <w:t>111894254</w:t>
            </w:r>
          </w:p>
        </w:tc>
        <w:tc>
          <w:tcPr>
            <w:tcW w:w="0" w:type="auto"/>
            <w:vAlign w:val="center"/>
          </w:tcPr>
          <w:p w:rsidR="000B6423" w:rsidRDefault="00C13119">
            <w:pPr>
              <w:jc w:val="center"/>
            </w:pPr>
            <w:r>
              <w:rPr>
                <w:color w:val="000000"/>
                <w:sz w:val="24"/>
              </w:rPr>
              <w:t>18</w:t>
            </w:r>
            <w:r>
              <w:rPr>
                <w:color w:val="000000"/>
                <w:sz w:val="24"/>
              </w:rPr>
              <w:t>合肥科技农村商行</w:t>
            </w:r>
            <w:r>
              <w:rPr>
                <w:color w:val="000000"/>
                <w:sz w:val="24"/>
              </w:rPr>
              <w:t>CD001</w:t>
            </w:r>
          </w:p>
        </w:tc>
        <w:tc>
          <w:tcPr>
            <w:tcW w:w="0" w:type="auto"/>
            <w:vAlign w:val="center"/>
          </w:tcPr>
          <w:p w:rsidR="000B6423" w:rsidRDefault="00C13119">
            <w:pPr>
              <w:jc w:val="right"/>
            </w:pPr>
            <w:r>
              <w:rPr>
                <w:color w:val="000000"/>
                <w:sz w:val="24"/>
              </w:rPr>
              <w:t>2,500,000</w:t>
            </w:r>
          </w:p>
        </w:tc>
        <w:tc>
          <w:tcPr>
            <w:tcW w:w="0" w:type="auto"/>
            <w:vAlign w:val="center"/>
          </w:tcPr>
          <w:p w:rsidR="000B6423" w:rsidRDefault="00C13119">
            <w:pPr>
              <w:jc w:val="right"/>
            </w:pPr>
            <w:r>
              <w:rPr>
                <w:color w:val="000000"/>
                <w:sz w:val="24"/>
              </w:rPr>
              <w:t>247,279,711.11</w:t>
            </w:r>
          </w:p>
        </w:tc>
        <w:tc>
          <w:tcPr>
            <w:tcW w:w="0" w:type="auto"/>
            <w:vAlign w:val="center"/>
          </w:tcPr>
          <w:p w:rsidR="000B6423" w:rsidRDefault="00C13119">
            <w:pPr>
              <w:jc w:val="right"/>
            </w:pPr>
            <w:r>
              <w:rPr>
                <w:color w:val="000000"/>
                <w:sz w:val="24"/>
              </w:rPr>
              <w:t>1.55</w:t>
            </w:r>
          </w:p>
        </w:tc>
      </w:tr>
      <w:tr w:rsidR="000B6423">
        <w:trPr>
          <w:jc w:val="center"/>
        </w:trPr>
        <w:tc>
          <w:tcPr>
            <w:tcW w:w="0" w:type="auto"/>
            <w:vAlign w:val="center"/>
          </w:tcPr>
          <w:p w:rsidR="000B6423" w:rsidRDefault="00C13119">
            <w:pPr>
              <w:jc w:val="center"/>
            </w:pPr>
            <w:r>
              <w:rPr>
                <w:color w:val="000000"/>
                <w:sz w:val="24"/>
              </w:rPr>
              <w:t>6</w:t>
            </w:r>
          </w:p>
        </w:tc>
        <w:tc>
          <w:tcPr>
            <w:tcW w:w="0" w:type="auto"/>
            <w:vAlign w:val="center"/>
          </w:tcPr>
          <w:p w:rsidR="000B6423" w:rsidRDefault="00C13119">
            <w:pPr>
              <w:jc w:val="center"/>
            </w:pPr>
            <w:r>
              <w:rPr>
                <w:color w:val="000000"/>
                <w:sz w:val="24"/>
              </w:rPr>
              <w:t>111809075</w:t>
            </w:r>
          </w:p>
        </w:tc>
        <w:tc>
          <w:tcPr>
            <w:tcW w:w="0" w:type="auto"/>
            <w:vAlign w:val="center"/>
          </w:tcPr>
          <w:p w:rsidR="000B6423" w:rsidRDefault="00C13119">
            <w:pPr>
              <w:jc w:val="center"/>
            </w:pPr>
            <w:r>
              <w:rPr>
                <w:color w:val="000000"/>
                <w:sz w:val="24"/>
              </w:rPr>
              <w:t>18</w:t>
            </w:r>
            <w:r>
              <w:rPr>
                <w:color w:val="000000"/>
                <w:sz w:val="24"/>
              </w:rPr>
              <w:t>浦发银行</w:t>
            </w:r>
            <w:r>
              <w:rPr>
                <w:color w:val="000000"/>
                <w:sz w:val="24"/>
              </w:rPr>
              <w:t>CD075</w:t>
            </w:r>
          </w:p>
        </w:tc>
        <w:tc>
          <w:tcPr>
            <w:tcW w:w="0" w:type="auto"/>
            <w:vAlign w:val="center"/>
          </w:tcPr>
          <w:p w:rsidR="000B6423" w:rsidRDefault="00C13119">
            <w:pPr>
              <w:jc w:val="right"/>
            </w:pPr>
            <w:r>
              <w:rPr>
                <w:color w:val="000000"/>
                <w:sz w:val="24"/>
              </w:rPr>
              <w:t>2,500,000</w:t>
            </w:r>
          </w:p>
        </w:tc>
        <w:tc>
          <w:tcPr>
            <w:tcW w:w="0" w:type="auto"/>
            <w:vAlign w:val="center"/>
          </w:tcPr>
          <w:p w:rsidR="000B6423" w:rsidRDefault="00C13119">
            <w:pPr>
              <w:jc w:val="right"/>
            </w:pPr>
            <w:r>
              <w:rPr>
                <w:color w:val="000000"/>
                <w:sz w:val="24"/>
              </w:rPr>
              <w:t>244,621,453.66</w:t>
            </w:r>
          </w:p>
        </w:tc>
        <w:tc>
          <w:tcPr>
            <w:tcW w:w="0" w:type="auto"/>
            <w:vAlign w:val="center"/>
          </w:tcPr>
          <w:p w:rsidR="000B6423" w:rsidRDefault="00C13119">
            <w:pPr>
              <w:jc w:val="right"/>
            </w:pPr>
            <w:r>
              <w:rPr>
                <w:color w:val="000000"/>
                <w:sz w:val="24"/>
              </w:rPr>
              <w:t>1.54</w:t>
            </w:r>
          </w:p>
        </w:tc>
      </w:tr>
      <w:tr w:rsidR="000B6423">
        <w:trPr>
          <w:jc w:val="center"/>
        </w:trPr>
        <w:tc>
          <w:tcPr>
            <w:tcW w:w="0" w:type="auto"/>
            <w:vAlign w:val="center"/>
          </w:tcPr>
          <w:p w:rsidR="000B6423" w:rsidRDefault="00C13119">
            <w:pPr>
              <w:jc w:val="center"/>
            </w:pPr>
            <w:r>
              <w:rPr>
                <w:color w:val="000000"/>
                <w:sz w:val="24"/>
              </w:rPr>
              <w:t>7</w:t>
            </w:r>
          </w:p>
        </w:tc>
        <w:tc>
          <w:tcPr>
            <w:tcW w:w="0" w:type="auto"/>
            <w:vAlign w:val="center"/>
          </w:tcPr>
          <w:p w:rsidR="000B6423" w:rsidRDefault="00C13119">
            <w:pPr>
              <w:jc w:val="center"/>
            </w:pPr>
            <w:r>
              <w:rPr>
                <w:color w:val="000000"/>
                <w:sz w:val="24"/>
              </w:rPr>
              <w:t>170413</w:t>
            </w:r>
          </w:p>
        </w:tc>
        <w:tc>
          <w:tcPr>
            <w:tcW w:w="0" w:type="auto"/>
            <w:vAlign w:val="center"/>
          </w:tcPr>
          <w:p w:rsidR="000B6423" w:rsidRDefault="00C13119">
            <w:pPr>
              <w:jc w:val="center"/>
            </w:pPr>
            <w:r>
              <w:rPr>
                <w:color w:val="000000"/>
                <w:sz w:val="24"/>
              </w:rPr>
              <w:t>17</w:t>
            </w:r>
            <w:r>
              <w:rPr>
                <w:color w:val="000000"/>
                <w:sz w:val="24"/>
              </w:rPr>
              <w:t>农发</w:t>
            </w:r>
            <w:r>
              <w:rPr>
                <w:color w:val="000000"/>
                <w:sz w:val="24"/>
              </w:rPr>
              <w:t>13</w:t>
            </w:r>
          </w:p>
        </w:tc>
        <w:tc>
          <w:tcPr>
            <w:tcW w:w="0" w:type="auto"/>
            <w:vAlign w:val="center"/>
          </w:tcPr>
          <w:p w:rsidR="000B6423" w:rsidRDefault="00C13119">
            <w:pPr>
              <w:jc w:val="right"/>
            </w:pPr>
            <w:r>
              <w:rPr>
                <w:color w:val="000000"/>
                <w:sz w:val="24"/>
              </w:rPr>
              <w:t>2,200,000</w:t>
            </w:r>
          </w:p>
        </w:tc>
        <w:tc>
          <w:tcPr>
            <w:tcW w:w="0" w:type="auto"/>
            <w:vAlign w:val="center"/>
          </w:tcPr>
          <w:p w:rsidR="000B6423" w:rsidRDefault="00C13119">
            <w:pPr>
              <w:jc w:val="right"/>
            </w:pPr>
            <w:r>
              <w:rPr>
                <w:color w:val="000000"/>
                <w:sz w:val="24"/>
              </w:rPr>
              <w:t>219,579,041.14</w:t>
            </w:r>
          </w:p>
        </w:tc>
        <w:tc>
          <w:tcPr>
            <w:tcW w:w="0" w:type="auto"/>
            <w:vAlign w:val="center"/>
          </w:tcPr>
          <w:p w:rsidR="000B6423" w:rsidRDefault="00C13119">
            <w:pPr>
              <w:jc w:val="right"/>
            </w:pPr>
            <w:r>
              <w:rPr>
                <w:color w:val="000000"/>
                <w:sz w:val="24"/>
              </w:rPr>
              <w:t>1.38</w:t>
            </w:r>
          </w:p>
        </w:tc>
      </w:tr>
      <w:tr w:rsidR="000B6423">
        <w:trPr>
          <w:jc w:val="center"/>
        </w:trPr>
        <w:tc>
          <w:tcPr>
            <w:tcW w:w="0" w:type="auto"/>
            <w:vAlign w:val="center"/>
          </w:tcPr>
          <w:p w:rsidR="000B6423" w:rsidRDefault="00C13119">
            <w:pPr>
              <w:jc w:val="center"/>
            </w:pPr>
            <w:r>
              <w:rPr>
                <w:color w:val="000000"/>
                <w:sz w:val="24"/>
              </w:rPr>
              <w:t>8</w:t>
            </w:r>
          </w:p>
        </w:tc>
        <w:tc>
          <w:tcPr>
            <w:tcW w:w="0" w:type="auto"/>
            <w:vAlign w:val="center"/>
          </w:tcPr>
          <w:p w:rsidR="000B6423" w:rsidRDefault="00C13119">
            <w:pPr>
              <w:jc w:val="center"/>
            </w:pPr>
            <w:r>
              <w:rPr>
                <w:color w:val="000000"/>
                <w:sz w:val="24"/>
              </w:rPr>
              <w:t>111893432</w:t>
            </w:r>
          </w:p>
        </w:tc>
        <w:tc>
          <w:tcPr>
            <w:tcW w:w="0" w:type="auto"/>
            <w:vAlign w:val="center"/>
          </w:tcPr>
          <w:p w:rsidR="000B6423" w:rsidRDefault="00C13119">
            <w:pPr>
              <w:jc w:val="center"/>
            </w:pPr>
            <w:r>
              <w:rPr>
                <w:color w:val="000000"/>
                <w:sz w:val="24"/>
              </w:rPr>
              <w:t>18</w:t>
            </w:r>
            <w:r>
              <w:rPr>
                <w:color w:val="000000"/>
                <w:sz w:val="24"/>
              </w:rPr>
              <w:t>承德银行</w:t>
            </w:r>
            <w:r>
              <w:rPr>
                <w:color w:val="000000"/>
                <w:sz w:val="24"/>
              </w:rPr>
              <w:t>CD012</w:t>
            </w:r>
          </w:p>
        </w:tc>
        <w:tc>
          <w:tcPr>
            <w:tcW w:w="0" w:type="auto"/>
            <w:vAlign w:val="center"/>
          </w:tcPr>
          <w:p w:rsidR="000B6423" w:rsidRDefault="00C13119">
            <w:pPr>
              <w:jc w:val="right"/>
            </w:pPr>
            <w:r>
              <w:rPr>
                <w:color w:val="000000"/>
                <w:sz w:val="24"/>
              </w:rPr>
              <w:t>2,000,000</w:t>
            </w:r>
          </w:p>
        </w:tc>
        <w:tc>
          <w:tcPr>
            <w:tcW w:w="0" w:type="auto"/>
            <w:vAlign w:val="center"/>
          </w:tcPr>
          <w:p w:rsidR="000B6423" w:rsidRDefault="00C13119">
            <w:pPr>
              <w:jc w:val="right"/>
            </w:pPr>
            <w:r>
              <w:rPr>
                <w:color w:val="000000"/>
                <w:sz w:val="24"/>
              </w:rPr>
              <w:t>198,056,972.06</w:t>
            </w:r>
          </w:p>
        </w:tc>
        <w:tc>
          <w:tcPr>
            <w:tcW w:w="0" w:type="auto"/>
            <w:vAlign w:val="center"/>
          </w:tcPr>
          <w:p w:rsidR="000B6423" w:rsidRDefault="00C13119">
            <w:pPr>
              <w:jc w:val="right"/>
            </w:pPr>
            <w:r>
              <w:rPr>
                <w:color w:val="000000"/>
                <w:sz w:val="24"/>
              </w:rPr>
              <w:t>1.24</w:t>
            </w:r>
          </w:p>
        </w:tc>
      </w:tr>
      <w:tr w:rsidR="000B6423">
        <w:trPr>
          <w:jc w:val="center"/>
        </w:trPr>
        <w:tc>
          <w:tcPr>
            <w:tcW w:w="0" w:type="auto"/>
            <w:vAlign w:val="center"/>
          </w:tcPr>
          <w:p w:rsidR="000B6423" w:rsidRDefault="00C13119">
            <w:pPr>
              <w:jc w:val="center"/>
            </w:pPr>
            <w:r>
              <w:rPr>
                <w:color w:val="000000"/>
                <w:sz w:val="24"/>
              </w:rPr>
              <w:t>9</w:t>
            </w:r>
          </w:p>
        </w:tc>
        <w:tc>
          <w:tcPr>
            <w:tcW w:w="0" w:type="auto"/>
            <w:vAlign w:val="center"/>
          </w:tcPr>
          <w:p w:rsidR="000B6423" w:rsidRDefault="00C13119">
            <w:pPr>
              <w:jc w:val="center"/>
            </w:pPr>
            <w:r>
              <w:rPr>
                <w:color w:val="000000"/>
                <w:sz w:val="24"/>
              </w:rPr>
              <w:t>111819119</w:t>
            </w:r>
          </w:p>
        </w:tc>
        <w:tc>
          <w:tcPr>
            <w:tcW w:w="0" w:type="auto"/>
            <w:vAlign w:val="center"/>
          </w:tcPr>
          <w:p w:rsidR="000B6423" w:rsidRDefault="00C13119">
            <w:pPr>
              <w:jc w:val="center"/>
            </w:pPr>
            <w:r>
              <w:rPr>
                <w:color w:val="000000"/>
                <w:sz w:val="24"/>
              </w:rPr>
              <w:t>18</w:t>
            </w:r>
            <w:r>
              <w:rPr>
                <w:color w:val="000000"/>
                <w:sz w:val="24"/>
              </w:rPr>
              <w:t>恒丰银行</w:t>
            </w:r>
            <w:r>
              <w:rPr>
                <w:color w:val="000000"/>
                <w:sz w:val="24"/>
              </w:rPr>
              <w:t>CD119</w:t>
            </w:r>
          </w:p>
        </w:tc>
        <w:tc>
          <w:tcPr>
            <w:tcW w:w="0" w:type="auto"/>
            <w:vAlign w:val="center"/>
          </w:tcPr>
          <w:p w:rsidR="000B6423" w:rsidRDefault="00C13119">
            <w:pPr>
              <w:jc w:val="right"/>
            </w:pPr>
            <w:r>
              <w:rPr>
                <w:color w:val="000000"/>
                <w:sz w:val="24"/>
              </w:rPr>
              <w:t>2,000,000</w:t>
            </w:r>
          </w:p>
        </w:tc>
        <w:tc>
          <w:tcPr>
            <w:tcW w:w="0" w:type="auto"/>
            <w:vAlign w:val="center"/>
          </w:tcPr>
          <w:p w:rsidR="000B6423" w:rsidRDefault="00C13119">
            <w:pPr>
              <w:jc w:val="right"/>
            </w:pPr>
            <w:r>
              <w:rPr>
                <w:color w:val="000000"/>
                <w:sz w:val="24"/>
              </w:rPr>
              <w:t>197,941,684.62</w:t>
            </w:r>
          </w:p>
        </w:tc>
        <w:tc>
          <w:tcPr>
            <w:tcW w:w="0" w:type="auto"/>
            <w:vAlign w:val="center"/>
          </w:tcPr>
          <w:p w:rsidR="000B6423" w:rsidRDefault="00C13119">
            <w:pPr>
              <w:jc w:val="right"/>
            </w:pPr>
            <w:r>
              <w:rPr>
                <w:color w:val="000000"/>
                <w:sz w:val="24"/>
              </w:rPr>
              <w:t>1.24</w:t>
            </w:r>
          </w:p>
        </w:tc>
      </w:tr>
      <w:tr w:rsidR="000B6423">
        <w:trPr>
          <w:jc w:val="center"/>
        </w:trPr>
        <w:tc>
          <w:tcPr>
            <w:tcW w:w="0" w:type="auto"/>
            <w:vAlign w:val="center"/>
          </w:tcPr>
          <w:p w:rsidR="000B6423" w:rsidRDefault="00C13119">
            <w:pPr>
              <w:jc w:val="center"/>
            </w:pPr>
            <w:r>
              <w:rPr>
                <w:color w:val="000000"/>
                <w:sz w:val="24"/>
              </w:rPr>
              <w:t>10</w:t>
            </w:r>
          </w:p>
        </w:tc>
        <w:tc>
          <w:tcPr>
            <w:tcW w:w="0" w:type="auto"/>
            <w:vAlign w:val="center"/>
          </w:tcPr>
          <w:p w:rsidR="000B6423" w:rsidRDefault="00C13119">
            <w:pPr>
              <w:jc w:val="center"/>
            </w:pPr>
            <w:r>
              <w:rPr>
                <w:color w:val="000000"/>
                <w:sz w:val="24"/>
              </w:rPr>
              <w:t>111894130</w:t>
            </w:r>
          </w:p>
        </w:tc>
        <w:tc>
          <w:tcPr>
            <w:tcW w:w="0" w:type="auto"/>
            <w:vAlign w:val="center"/>
          </w:tcPr>
          <w:p w:rsidR="000B6423" w:rsidRDefault="00C13119">
            <w:pPr>
              <w:jc w:val="center"/>
            </w:pPr>
            <w:r>
              <w:rPr>
                <w:color w:val="000000"/>
                <w:sz w:val="24"/>
              </w:rPr>
              <w:t>18</w:t>
            </w:r>
            <w:r>
              <w:rPr>
                <w:color w:val="000000"/>
                <w:sz w:val="24"/>
              </w:rPr>
              <w:t>盛京银行</w:t>
            </w:r>
            <w:r>
              <w:rPr>
                <w:color w:val="000000"/>
                <w:sz w:val="24"/>
              </w:rPr>
              <w:t>CD115</w:t>
            </w:r>
          </w:p>
        </w:tc>
        <w:tc>
          <w:tcPr>
            <w:tcW w:w="0" w:type="auto"/>
            <w:vAlign w:val="center"/>
          </w:tcPr>
          <w:p w:rsidR="000B6423" w:rsidRDefault="00C13119">
            <w:pPr>
              <w:jc w:val="right"/>
            </w:pPr>
            <w:r>
              <w:rPr>
                <w:color w:val="000000"/>
                <w:sz w:val="24"/>
              </w:rPr>
              <w:t>2,000,000</w:t>
            </w:r>
          </w:p>
        </w:tc>
        <w:tc>
          <w:tcPr>
            <w:tcW w:w="0" w:type="auto"/>
            <w:vAlign w:val="center"/>
          </w:tcPr>
          <w:p w:rsidR="000B6423" w:rsidRDefault="00C13119">
            <w:pPr>
              <w:jc w:val="right"/>
            </w:pPr>
            <w:r>
              <w:rPr>
                <w:color w:val="000000"/>
                <w:sz w:val="24"/>
              </w:rPr>
              <w:t>197,919,415.38</w:t>
            </w:r>
          </w:p>
        </w:tc>
        <w:tc>
          <w:tcPr>
            <w:tcW w:w="0" w:type="auto"/>
            <w:vAlign w:val="center"/>
          </w:tcPr>
          <w:p w:rsidR="000B6423" w:rsidRDefault="00C13119">
            <w:pPr>
              <w:jc w:val="right"/>
            </w:pPr>
            <w:r>
              <w:rPr>
                <w:color w:val="000000"/>
                <w:sz w:val="24"/>
              </w:rPr>
              <w:t>1.24</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0.1290%</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0.0088%</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0.0347%</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9652D9" w:rsidRPr="009652D9" w:rsidRDefault="002304D5" w:rsidP="009652D9">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9652D9" w:rsidRPr="009652D9">
        <w:rPr>
          <w:rFonts w:hint="eastAsia"/>
          <w:color w:val="000000"/>
          <w:sz w:val="24"/>
        </w:rPr>
        <w:t>报告期内本基金投资的前十名证券的发行主体除</w:t>
      </w:r>
      <w:r w:rsidR="009652D9" w:rsidRPr="009652D9">
        <w:rPr>
          <w:rFonts w:hint="eastAsia"/>
          <w:color w:val="000000"/>
          <w:sz w:val="24"/>
        </w:rPr>
        <w:t>17</w:t>
      </w:r>
      <w:r w:rsidR="009652D9" w:rsidRPr="009652D9">
        <w:rPr>
          <w:rFonts w:hint="eastAsia"/>
          <w:color w:val="000000"/>
          <w:sz w:val="24"/>
        </w:rPr>
        <w:t>浦发银行</w:t>
      </w:r>
      <w:r w:rsidR="009652D9" w:rsidRPr="009652D9">
        <w:rPr>
          <w:rFonts w:hint="eastAsia"/>
          <w:color w:val="000000"/>
          <w:sz w:val="24"/>
        </w:rPr>
        <w:t>CD484</w:t>
      </w:r>
      <w:r w:rsidR="009652D9" w:rsidRPr="009652D9">
        <w:rPr>
          <w:rFonts w:hint="eastAsia"/>
          <w:color w:val="000000"/>
          <w:sz w:val="24"/>
        </w:rPr>
        <w:t>（证券代码：</w:t>
      </w:r>
      <w:r w:rsidR="009652D9" w:rsidRPr="009652D9">
        <w:rPr>
          <w:rFonts w:hint="eastAsia"/>
          <w:color w:val="000000"/>
          <w:sz w:val="24"/>
        </w:rPr>
        <w:t>111709484</w:t>
      </w:r>
      <w:r w:rsidR="009652D9" w:rsidRPr="009652D9">
        <w:rPr>
          <w:rFonts w:hint="eastAsia"/>
          <w:color w:val="000000"/>
          <w:sz w:val="24"/>
        </w:rPr>
        <w:t>）、</w:t>
      </w:r>
      <w:r w:rsidR="009652D9" w:rsidRPr="009652D9">
        <w:rPr>
          <w:rFonts w:hint="eastAsia"/>
          <w:color w:val="000000"/>
          <w:sz w:val="24"/>
        </w:rPr>
        <w:t>18</w:t>
      </w:r>
      <w:r w:rsidR="009652D9" w:rsidRPr="009652D9">
        <w:rPr>
          <w:rFonts w:hint="eastAsia"/>
          <w:color w:val="000000"/>
          <w:sz w:val="24"/>
        </w:rPr>
        <w:t>浦发银行</w:t>
      </w:r>
      <w:r w:rsidR="009652D9" w:rsidRPr="009652D9">
        <w:rPr>
          <w:rFonts w:hint="eastAsia"/>
          <w:color w:val="000000"/>
          <w:sz w:val="24"/>
        </w:rPr>
        <w:t>CD075</w:t>
      </w:r>
      <w:r w:rsidR="009652D9" w:rsidRPr="009652D9">
        <w:rPr>
          <w:rFonts w:hint="eastAsia"/>
          <w:color w:val="000000"/>
          <w:sz w:val="24"/>
        </w:rPr>
        <w:t>（证券代码：</w:t>
      </w:r>
      <w:r w:rsidR="009652D9" w:rsidRPr="009652D9">
        <w:rPr>
          <w:rFonts w:hint="eastAsia"/>
          <w:color w:val="000000"/>
          <w:sz w:val="24"/>
        </w:rPr>
        <w:t>111809075</w:t>
      </w:r>
      <w:r w:rsidR="009652D9" w:rsidRPr="009652D9">
        <w:rPr>
          <w:rFonts w:hint="eastAsia"/>
          <w:color w:val="000000"/>
          <w:sz w:val="24"/>
        </w:rPr>
        <w:t>）外，未出现被监管部门立案调查，或在报告编制日前一年内受到公开谴责、处罚的情形。</w:t>
      </w:r>
    </w:p>
    <w:p w:rsidR="009652D9" w:rsidRPr="009652D9" w:rsidRDefault="009652D9" w:rsidP="009652D9">
      <w:pPr>
        <w:adjustRightInd w:val="0"/>
        <w:spacing w:before="29" w:line="288" w:lineRule="auto"/>
        <w:ind w:left="17"/>
        <w:rPr>
          <w:color w:val="000000"/>
          <w:sz w:val="24"/>
        </w:rPr>
      </w:pPr>
      <w:r w:rsidRPr="009652D9">
        <w:rPr>
          <w:rFonts w:hint="eastAsia"/>
          <w:color w:val="000000"/>
          <w:sz w:val="24"/>
        </w:rPr>
        <w:t>报告期内本基金投资的前十名证券之一</w:t>
      </w:r>
      <w:r w:rsidRPr="009652D9">
        <w:rPr>
          <w:rFonts w:hint="eastAsia"/>
          <w:color w:val="000000"/>
          <w:sz w:val="24"/>
        </w:rPr>
        <w:t>17</w:t>
      </w:r>
      <w:r w:rsidRPr="009652D9">
        <w:rPr>
          <w:rFonts w:hint="eastAsia"/>
          <w:color w:val="000000"/>
          <w:sz w:val="24"/>
        </w:rPr>
        <w:t>浦发银行</w:t>
      </w:r>
      <w:r w:rsidRPr="009652D9">
        <w:rPr>
          <w:rFonts w:hint="eastAsia"/>
          <w:color w:val="000000"/>
          <w:sz w:val="24"/>
        </w:rPr>
        <w:t>CD484</w:t>
      </w:r>
      <w:r w:rsidRPr="009652D9">
        <w:rPr>
          <w:rFonts w:hint="eastAsia"/>
          <w:color w:val="000000"/>
          <w:sz w:val="24"/>
        </w:rPr>
        <w:t>（证券代码：</w:t>
      </w:r>
      <w:r w:rsidRPr="009652D9">
        <w:rPr>
          <w:rFonts w:hint="eastAsia"/>
          <w:color w:val="000000"/>
          <w:sz w:val="24"/>
        </w:rPr>
        <w:t>111709484</w:t>
      </w:r>
      <w:r w:rsidRPr="009652D9">
        <w:rPr>
          <w:rFonts w:hint="eastAsia"/>
          <w:color w:val="000000"/>
          <w:sz w:val="24"/>
        </w:rPr>
        <w:t>）的发行主体浦发银行于</w:t>
      </w:r>
      <w:r w:rsidRPr="009652D9">
        <w:rPr>
          <w:rFonts w:hint="eastAsia"/>
          <w:color w:val="000000"/>
          <w:sz w:val="24"/>
        </w:rPr>
        <w:t>2018</w:t>
      </w:r>
      <w:r w:rsidRPr="009652D9">
        <w:rPr>
          <w:rFonts w:hint="eastAsia"/>
          <w:color w:val="000000"/>
          <w:sz w:val="24"/>
        </w:rPr>
        <w:t>年</w:t>
      </w:r>
      <w:r w:rsidRPr="009652D9">
        <w:rPr>
          <w:rFonts w:hint="eastAsia"/>
          <w:color w:val="000000"/>
          <w:sz w:val="24"/>
        </w:rPr>
        <w:t>1</w:t>
      </w:r>
      <w:r w:rsidRPr="009652D9">
        <w:rPr>
          <w:rFonts w:hint="eastAsia"/>
          <w:color w:val="000000"/>
          <w:sz w:val="24"/>
        </w:rPr>
        <w:t>月</w:t>
      </w:r>
      <w:r w:rsidRPr="009652D9">
        <w:rPr>
          <w:rFonts w:hint="eastAsia"/>
          <w:color w:val="000000"/>
          <w:sz w:val="24"/>
        </w:rPr>
        <w:t>20</w:t>
      </w:r>
      <w:r w:rsidRPr="009652D9">
        <w:rPr>
          <w:rFonts w:hint="eastAsia"/>
          <w:color w:val="000000"/>
          <w:sz w:val="24"/>
        </w:rPr>
        <w:t>日公告，公司收到中国银行业监督管理委员会四川监管局（以下简称“银监会四川监管局”）行政处罚决定书（川银监罚字【</w:t>
      </w:r>
      <w:r w:rsidRPr="009652D9">
        <w:rPr>
          <w:rFonts w:hint="eastAsia"/>
          <w:color w:val="000000"/>
          <w:sz w:val="24"/>
        </w:rPr>
        <w:t>2018</w:t>
      </w:r>
      <w:r w:rsidRPr="009652D9">
        <w:rPr>
          <w:rFonts w:hint="eastAsia"/>
          <w:color w:val="000000"/>
          <w:sz w:val="24"/>
        </w:rPr>
        <w:t>】</w:t>
      </w:r>
      <w:r w:rsidRPr="009652D9">
        <w:rPr>
          <w:rFonts w:hint="eastAsia"/>
          <w:color w:val="000000"/>
          <w:sz w:val="24"/>
        </w:rPr>
        <w:t>2</w:t>
      </w:r>
      <w:r w:rsidRPr="009652D9">
        <w:rPr>
          <w:rFonts w:hint="eastAsia"/>
          <w:color w:val="000000"/>
          <w:sz w:val="24"/>
        </w:rPr>
        <w:t>号）</w:t>
      </w:r>
      <w:r w:rsidRPr="009652D9">
        <w:rPr>
          <w:rFonts w:hint="eastAsia"/>
          <w:color w:val="000000"/>
          <w:sz w:val="24"/>
        </w:rPr>
        <w:t>,</w:t>
      </w:r>
      <w:r w:rsidRPr="009652D9">
        <w:rPr>
          <w:rFonts w:hint="eastAsia"/>
          <w:color w:val="000000"/>
          <w:sz w:val="24"/>
        </w:rPr>
        <w:t>对成都分行内控管理严重失效</w:t>
      </w:r>
      <w:r w:rsidRPr="009652D9">
        <w:rPr>
          <w:rFonts w:hint="eastAsia"/>
          <w:color w:val="000000"/>
          <w:sz w:val="24"/>
        </w:rPr>
        <w:t>,</w:t>
      </w:r>
      <w:r w:rsidRPr="009652D9">
        <w:rPr>
          <w:rFonts w:hint="eastAsia"/>
          <w:color w:val="000000"/>
          <w:sz w:val="24"/>
        </w:rPr>
        <w:t>授信管理违规，违规办理信贷业务等严重违反审慎经营规则的违规行为依法查处，执行罚款</w:t>
      </w:r>
      <w:r w:rsidRPr="009652D9">
        <w:rPr>
          <w:rFonts w:hint="eastAsia"/>
          <w:color w:val="000000"/>
          <w:sz w:val="24"/>
        </w:rPr>
        <w:t>46,175</w:t>
      </w:r>
      <w:r w:rsidRPr="009652D9">
        <w:rPr>
          <w:rFonts w:hint="eastAsia"/>
          <w:color w:val="000000"/>
          <w:sz w:val="24"/>
        </w:rPr>
        <w:t>万元人民币。</w:t>
      </w:r>
    </w:p>
    <w:p w:rsidR="009652D9" w:rsidRPr="009652D9" w:rsidRDefault="009652D9" w:rsidP="009652D9">
      <w:pPr>
        <w:adjustRightInd w:val="0"/>
        <w:spacing w:before="29" w:line="288" w:lineRule="auto"/>
        <w:ind w:left="17"/>
        <w:rPr>
          <w:color w:val="000000"/>
          <w:sz w:val="24"/>
        </w:rPr>
      </w:pPr>
      <w:r w:rsidRPr="009652D9">
        <w:rPr>
          <w:rFonts w:hint="eastAsia"/>
          <w:color w:val="000000"/>
          <w:sz w:val="24"/>
        </w:rPr>
        <w:t>报告期内本基金投资的前十名证券之一</w:t>
      </w:r>
      <w:r w:rsidRPr="009652D9">
        <w:rPr>
          <w:rFonts w:hint="eastAsia"/>
          <w:color w:val="000000"/>
          <w:sz w:val="24"/>
        </w:rPr>
        <w:t>18</w:t>
      </w:r>
      <w:r w:rsidRPr="009652D9">
        <w:rPr>
          <w:rFonts w:hint="eastAsia"/>
          <w:color w:val="000000"/>
          <w:sz w:val="24"/>
        </w:rPr>
        <w:t>浦发银行</w:t>
      </w:r>
      <w:r w:rsidRPr="009652D9">
        <w:rPr>
          <w:rFonts w:hint="eastAsia"/>
          <w:color w:val="000000"/>
          <w:sz w:val="24"/>
        </w:rPr>
        <w:t>CD075</w:t>
      </w:r>
      <w:r w:rsidRPr="009652D9">
        <w:rPr>
          <w:rFonts w:hint="eastAsia"/>
          <w:color w:val="000000"/>
          <w:sz w:val="24"/>
        </w:rPr>
        <w:t>（证券代码：</w:t>
      </w:r>
      <w:r w:rsidRPr="009652D9">
        <w:rPr>
          <w:rFonts w:hint="eastAsia"/>
          <w:color w:val="000000"/>
          <w:sz w:val="24"/>
        </w:rPr>
        <w:t>111809075</w:t>
      </w:r>
      <w:r w:rsidRPr="009652D9">
        <w:rPr>
          <w:rFonts w:hint="eastAsia"/>
          <w:color w:val="000000"/>
          <w:sz w:val="24"/>
        </w:rPr>
        <w:t>）的发行主体浦发银行于</w:t>
      </w:r>
      <w:r w:rsidRPr="009652D9">
        <w:rPr>
          <w:rFonts w:hint="eastAsia"/>
          <w:color w:val="000000"/>
          <w:sz w:val="24"/>
        </w:rPr>
        <w:t>2018</w:t>
      </w:r>
      <w:r w:rsidRPr="009652D9">
        <w:rPr>
          <w:rFonts w:hint="eastAsia"/>
          <w:color w:val="000000"/>
          <w:sz w:val="24"/>
        </w:rPr>
        <w:t>年</w:t>
      </w:r>
      <w:r w:rsidRPr="009652D9">
        <w:rPr>
          <w:rFonts w:hint="eastAsia"/>
          <w:color w:val="000000"/>
          <w:sz w:val="24"/>
        </w:rPr>
        <w:t>1</w:t>
      </w:r>
      <w:r w:rsidRPr="009652D9">
        <w:rPr>
          <w:rFonts w:hint="eastAsia"/>
          <w:color w:val="000000"/>
          <w:sz w:val="24"/>
        </w:rPr>
        <w:t>月</w:t>
      </w:r>
      <w:r w:rsidRPr="009652D9">
        <w:rPr>
          <w:rFonts w:hint="eastAsia"/>
          <w:color w:val="000000"/>
          <w:sz w:val="24"/>
        </w:rPr>
        <w:t>20</w:t>
      </w:r>
      <w:r w:rsidRPr="009652D9">
        <w:rPr>
          <w:rFonts w:hint="eastAsia"/>
          <w:color w:val="000000"/>
          <w:sz w:val="24"/>
        </w:rPr>
        <w:t>日公告，公司收到中国银行业监督管理委员会四川监管局（以下简称“银监会四川监管局”）行政处罚决定书（川银监罚字【</w:t>
      </w:r>
      <w:r w:rsidRPr="009652D9">
        <w:rPr>
          <w:rFonts w:hint="eastAsia"/>
          <w:color w:val="000000"/>
          <w:sz w:val="24"/>
        </w:rPr>
        <w:t>2018</w:t>
      </w:r>
      <w:r w:rsidRPr="009652D9">
        <w:rPr>
          <w:rFonts w:hint="eastAsia"/>
          <w:color w:val="000000"/>
          <w:sz w:val="24"/>
        </w:rPr>
        <w:t>】</w:t>
      </w:r>
      <w:r w:rsidRPr="009652D9">
        <w:rPr>
          <w:rFonts w:hint="eastAsia"/>
          <w:color w:val="000000"/>
          <w:sz w:val="24"/>
        </w:rPr>
        <w:t>2</w:t>
      </w:r>
      <w:r w:rsidRPr="009652D9">
        <w:rPr>
          <w:rFonts w:hint="eastAsia"/>
          <w:color w:val="000000"/>
          <w:sz w:val="24"/>
        </w:rPr>
        <w:t>号）</w:t>
      </w:r>
      <w:r w:rsidRPr="009652D9">
        <w:rPr>
          <w:rFonts w:hint="eastAsia"/>
          <w:color w:val="000000"/>
          <w:sz w:val="24"/>
        </w:rPr>
        <w:t>,</w:t>
      </w:r>
      <w:r w:rsidRPr="009652D9">
        <w:rPr>
          <w:rFonts w:hint="eastAsia"/>
          <w:color w:val="000000"/>
          <w:sz w:val="24"/>
        </w:rPr>
        <w:lastRenderedPageBreak/>
        <w:t>对成都分行内控管理严重失效</w:t>
      </w:r>
      <w:r w:rsidRPr="009652D9">
        <w:rPr>
          <w:rFonts w:hint="eastAsia"/>
          <w:color w:val="000000"/>
          <w:sz w:val="24"/>
        </w:rPr>
        <w:t>,</w:t>
      </w:r>
      <w:r w:rsidRPr="009652D9">
        <w:rPr>
          <w:rFonts w:hint="eastAsia"/>
          <w:color w:val="000000"/>
          <w:sz w:val="24"/>
        </w:rPr>
        <w:t>授信管理违规，违规办理信贷业务等严重违反审慎经营规则的违规行为依法查处，执行罚款</w:t>
      </w:r>
      <w:r w:rsidRPr="009652D9">
        <w:rPr>
          <w:rFonts w:hint="eastAsia"/>
          <w:color w:val="000000"/>
          <w:sz w:val="24"/>
        </w:rPr>
        <w:t>46,175</w:t>
      </w:r>
      <w:r w:rsidRPr="009652D9">
        <w:rPr>
          <w:rFonts w:hint="eastAsia"/>
          <w:color w:val="000000"/>
          <w:sz w:val="24"/>
        </w:rPr>
        <w:t>万元人民币。</w:t>
      </w:r>
    </w:p>
    <w:p w:rsidR="000B6423" w:rsidRDefault="009652D9" w:rsidP="009652D9">
      <w:pPr>
        <w:adjustRightInd w:val="0"/>
        <w:spacing w:before="29" w:line="288" w:lineRule="auto"/>
        <w:ind w:left="17"/>
        <w:rPr>
          <w:color w:val="000000"/>
          <w:sz w:val="24"/>
        </w:rPr>
      </w:pPr>
      <w:r w:rsidRPr="009652D9">
        <w:rPr>
          <w:rFonts w:hint="eastAsia"/>
          <w:color w:val="000000"/>
          <w:sz w:val="24"/>
        </w:rPr>
        <w:t>本基金管理人对上述证券投资决策程序的说明如下：本基金管理人对证券投资特别是重仓个券的投资有严格的投资决策流程控制。本基金在对上述证券的投资也严格执行投资决策流程。在对上述证券的选择上，严格执行公司个券审核流程。在对上述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623E3A" w:rsidRPr="000E4C40" w:rsidRDefault="00623E3A" w:rsidP="00281564">
      <w:pPr>
        <w:adjustRightInd w:val="0"/>
        <w:spacing w:before="29" w:line="288" w:lineRule="auto"/>
        <w:ind w:left="17"/>
        <w:rPr>
          <w:color w:val="000000"/>
          <w:sz w:val="24"/>
        </w:rPr>
      </w:pP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74,930,363.27</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418.53</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74,930,781.80</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60</w:t>
            </w:r>
            <w:r w:rsidRPr="000E4C40">
              <w:rPr>
                <w:sz w:val="24"/>
              </w:rPr>
              <w:t>天债券</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60</w:t>
            </w:r>
            <w:r w:rsidRPr="000E4C40">
              <w:rPr>
                <w:sz w:val="24"/>
              </w:rPr>
              <w:t>天债券</w:t>
            </w:r>
            <w:r w:rsidRPr="000E4C40">
              <w:rPr>
                <w:sz w:val="24"/>
              </w:rPr>
              <w:t>B</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9,650,918.64</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4,947,259,751.92</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697,310.58</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12,297,201,052.65</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4,837,237.92</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1,314,030,000.00</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5,510,991.30</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15,930,430,804.57</w:t>
            </w:r>
          </w:p>
        </w:tc>
      </w:tr>
    </w:tbl>
    <w:p w:rsidR="000B6423" w:rsidRDefault="00C13119">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w:t>
      </w:r>
      <w:r>
        <w:rPr>
          <w:color w:val="000000"/>
          <w:sz w:val="24"/>
        </w:rPr>
        <w:lastRenderedPageBreak/>
        <w:t>包含该业务；</w:t>
      </w:r>
      <w:r>
        <w:rPr>
          <w:color w:val="000000"/>
          <w:sz w:val="24"/>
        </w:rPr>
        <w:t xml:space="preserve"> </w:t>
      </w:r>
    </w:p>
    <w:p w:rsidR="000B6423" w:rsidRDefault="00C13119">
      <w:pPr>
        <w:autoSpaceDE w:val="0"/>
        <w:autoSpaceDN w:val="0"/>
        <w:adjustRightInd w:val="0"/>
        <w:spacing w:before="29" w:line="288" w:lineRule="auto"/>
        <w:jc w:val="left"/>
        <w:rPr>
          <w:color w:val="000000"/>
          <w:sz w:val="24"/>
        </w:rPr>
      </w:pPr>
      <w:r>
        <w:rPr>
          <w:color w:val="000000"/>
          <w:sz w:val="24"/>
        </w:rPr>
        <w:t xml:space="preserve"> 2</w:t>
      </w:r>
      <w:r>
        <w:rPr>
          <w:color w:val="000000"/>
          <w:sz w:val="24"/>
        </w:rPr>
        <w:t>、如果本报告期间发生转换出业务，则总赎回份额中包含该业务。</w:t>
      </w:r>
    </w:p>
    <w:p w:rsidR="00AA5B03" w:rsidRPr="000E4C40" w:rsidRDefault="00AA5B03" w:rsidP="00281564">
      <w:pPr>
        <w:autoSpaceDE w:val="0"/>
        <w:autoSpaceDN w:val="0"/>
        <w:adjustRightInd w:val="0"/>
        <w:spacing w:before="29" w:line="288" w:lineRule="auto"/>
        <w:jc w:val="left"/>
        <w:rPr>
          <w:color w:val="000000"/>
          <w:sz w:val="24"/>
        </w:rPr>
      </w:pP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3D1E1A" w:rsidRDefault="003D1E1A" w:rsidP="00841EB4">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3D1E1A" w:rsidRDefault="003D1E1A" w:rsidP="003D1E1A">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3D1E1A" w:rsidTr="003D1E1A">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w="993" w:type="dxa"/>
            <w:vMerge/>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0B6423">
        <w:tc>
          <w:tcPr>
            <w:tcW w:w="992" w:type="dxa"/>
            <w:vMerge w:val="restart"/>
          </w:tcPr>
          <w:p w:rsidR="000B6423" w:rsidRDefault="000B6423"/>
          <w:p w:rsidR="000B6423" w:rsidRDefault="00C13119">
            <w:r>
              <w:rPr>
                <w:rFonts w:ascii="宋体" w:hAnsi="宋体" w:hint="eastAsia"/>
                <w:bCs/>
                <w:color w:val="000000"/>
                <w:kern w:val="0"/>
                <w:szCs w:val="21"/>
              </w:rPr>
              <w:t>机构</w:t>
            </w:r>
          </w:p>
        </w:tc>
        <w:tc>
          <w:tcPr>
            <w:tcW w:w="991" w:type="dxa"/>
            <w:vAlign w:val="center"/>
          </w:tcPr>
          <w:p w:rsidR="000B6423" w:rsidRDefault="00C13119">
            <w:pPr>
              <w:jc w:val="center"/>
            </w:pPr>
            <w:r>
              <w:rPr>
                <w:rFonts w:ascii="宋体" w:hAnsi="宋体" w:hint="eastAsia"/>
                <w:color w:val="000000"/>
                <w:kern w:val="0"/>
                <w:szCs w:val="21"/>
              </w:rPr>
              <w:t>1</w:t>
            </w:r>
          </w:p>
        </w:tc>
        <w:tc>
          <w:tcPr>
            <w:tcW w:w="1843" w:type="dxa"/>
            <w:vAlign w:val="center"/>
          </w:tcPr>
          <w:p w:rsidR="000B6423" w:rsidRDefault="00C13119">
            <w:pPr>
              <w:jc w:val="center"/>
            </w:pPr>
            <w:r>
              <w:rPr>
                <w:rFonts w:ascii="宋体" w:hAnsi="宋体" w:hint="eastAsia"/>
                <w:color w:val="000000"/>
                <w:kern w:val="0"/>
                <w:szCs w:val="21"/>
              </w:rPr>
              <w:t>2018/1/1-2018/3/31</w:t>
            </w:r>
          </w:p>
        </w:tc>
        <w:tc>
          <w:tcPr>
            <w:tcW w:w="851" w:type="dxa"/>
            <w:vAlign w:val="center"/>
          </w:tcPr>
          <w:p w:rsidR="000B6423" w:rsidRDefault="00C13119">
            <w:pPr>
              <w:jc w:val="center"/>
            </w:pPr>
            <w:r>
              <w:rPr>
                <w:rFonts w:ascii="宋体" w:hAnsi="宋体" w:hint="eastAsia"/>
                <w:color w:val="000000"/>
                <w:kern w:val="0"/>
                <w:szCs w:val="21"/>
              </w:rPr>
              <w:t>-</w:t>
            </w:r>
          </w:p>
        </w:tc>
        <w:tc>
          <w:tcPr>
            <w:tcW w:w="850" w:type="dxa"/>
            <w:vAlign w:val="center"/>
          </w:tcPr>
          <w:p w:rsidR="000B6423" w:rsidRDefault="00C13119">
            <w:pPr>
              <w:jc w:val="center"/>
            </w:pPr>
            <w:r>
              <w:rPr>
                <w:rFonts w:ascii="宋体" w:hAnsi="宋体" w:hint="eastAsia"/>
                <w:color w:val="000000"/>
                <w:kern w:val="0"/>
                <w:szCs w:val="21"/>
              </w:rPr>
              <w:t>2,000,000,000.00</w:t>
            </w:r>
          </w:p>
        </w:tc>
        <w:tc>
          <w:tcPr>
            <w:tcW w:w="1134" w:type="dxa"/>
            <w:vAlign w:val="center"/>
          </w:tcPr>
          <w:p w:rsidR="000B6423" w:rsidRDefault="00C13119">
            <w:pPr>
              <w:jc w:val="center"/>
            </w:pPr>
            <w:r>
              <w:rPr>
                <w:rFonts w:ascii="宋体" w:hAnsi="宋体" w:hint="eastAsia"/>
                <w:color w:val="000000"/>
                <w:kern w:val="0"/>
                <w:szCs w:val="21"/>
              </w:rPr>
              <w:t>-</w:t>
            </w:r>
          </w:p>
        </w:tc>
        <w:tc>
          <w:tcPr>
            <w:tcW w:w="1419" w:type="dxa"/>
            <w:vAlign w:val="center"/>
          </w:tcPr>
          <w:p w:rsidR="000B6423" w:rsidRDefault="00C13119">
            <w:pPr>
              <w:jc w:val="center"/>
            </w:pPr>
            <w:r>
              <w:rPr>
                <w:rFonts w:ascii="宋体" w:hAnsi="宋体" w:hint="eastAsia"/>
                <w:color w:val="000000"/>
                <w:kern w:val="0"/>
                <w:szCs w:val="21"/>
              </w:rPr>
              <w:t>2,000,000,000.00</w:t>
            </w:r>
          </w:p>
        </w:tc>
        <w:tc>
          <w:tcPr>
            <w:tcW w:w="1130" w:type="dxa"/>
            <w:vAlign w:val="center"/>
          </w:tcPr>
          <w:p w:rsidR="000B6423" w:rsidRDefault="00C13119">
            <w:pPr>
              <w:jc w:val="center"/>
            </w:pPr>
            <w:r>
              <w:rPr>
                <w:rFonts w:ascii="宋体" w:hAnsi="宋体" w:hint="eastAsia"/>
                <w:color w:val="000000"/>
                <w:kern w:val="0"/>
                <w:szCs w:val="21"/>
              </w:rPr>
              <w:t>12.55%</w:t>
            </w:r>
          </w:p>
        </w:tc>
      </w:tr>
      <w:tr w:rsidR="000B6423">
        <w:tc>
          <w:tcPr>
            <w:tcW w:w="992" w:type="dxa"/>
            <w:vMerge/>
          </w:tcPr>
          <w:p w:rsidR="000B6423" w:rsidRDefault="000B6423"/>
        </w:tc>
        <w:tc>
          <w:tcPr>
            <w:tcW w:w="991" w:type="dxa"/>
            <w:vAlign w:val="center"/>
          </w:tcPr>
          <w:p w:rsidR="000B6423" w:rsidRDefault="00C13119">
            <w:pPr>
              <w:jc w:val="center"/>
            </w:pPr>
            <w:r>
              <w:rPr>
                <w:rFonts w:ascii="宋体" w:hAnsi="宋体" w:hint="eastAsia"/>
                <w:color w:val="000000"/>
                <w:kern w:val="0"/>
                <w:szCs w:val="21"/>
              </w:rPr>
              <w:t>2</w:t>
            </w:r>
          </w:p>
        </w:tc>
        <w:tc>
          <w:tcPr>
            <w:tcW w:w="1843" w:type="dxa"/>
            <w:vAlign w:val="center"/>
          </w:tcPr>
          <w:p w:rsidR="000B6423" w:rsidRDefault="00C13119">
            <w:pPr>
              <w:jc w:val="center"/>
            </w:pPr>
            <w:r>
              <w:rPr>
                <w:rFonts w:ascii="宋体" w:hAnsi="宋体" w:hint="eastAsia"/>
                <w:color w:val="000000"/>
                <w:kern w:val="0"/>
                <w:szCs w:val="21"/>
              </w:rPr>
              <w:t>2018/1/1-2018/3/31</w:t>
            </w:r>
          </w:p>
        </w:tc>
        <w:tc>
          <w:tcPr>
            <w:tcW w:w="851" w:type="dxa"/>
            <w:vAlign w:val="center"/>
          </w:tcPr>
          <w:p w:rsidR="000B6423" w:rsidRDefault="00C13119">
            <w:pPr>
              <w:jc w:val="center"/>
            </w:pPr>
            <w:r>
              <w:rPr>
                <w:rFonts w:ascii="宋体" w:hAnsi="宋体" w:hint="eastAsia"/>
                <w:color w:val="000000"/>
                <w:kern w:val="0"/>
                <w:szCs w:val="21"/>
              </w:rPr>
              <w:t>-</w:t>
            </w:r>
          </w:p>
        </w:tc>
        <w:tc>
          <w:tcPr>
            <w:tcW w:w="850" w:type="dxa"/>
            <w:vAlign w:val="center"/>
          </w:tcPr>
          <w:p w:rsidR="000B6423" w:rsidRDefault="00C13119">
            <w:pPr>
              <w:jc w:val="center"/>
            </w:pPr>
            <w:r>
              <w:rPr>
                <w:rFonts w:ascii="宋体" w:hAnsi="宋体" w:hint="eastAsia"/>
                <w:color w:val="000000"/>
                <w:kern w:val="0"/>
                <w:szCs w:val="21"/>
              </w:rPr>
              <w:t>4,000,000,000.00</w:t>
            </w:r>
          </w:p>
        </w:tc>
        <w:tc>
          <w:tcPr>
            <w:tcW w:w="1134" w:type="dxa"/>
            <w:vAlign w:val="center"/>
          </w:tcPr>
          <w:p w:rsidR="000B6423" w:rsidRDefault="00C13119">
            <w:pPr>
              <w:jc w:val="center"/>
            </w:pPr>
            <w:r>
              <w:rPr>
                <w:rFonts w:ascii="宋体" w:hAnsi="宋体" w:hint="eastAsia"/>
                <w:color w:val="000000"/>
                <w:kern w:val="0"/>
                <w:szCs w:val="21"/>
              </w:rPr>
              <w:t>-</w:t>
            </w:r>
          </w:p>
        </w:tc>
        <w:tc>
          <w:tcPr>
            <w:tcW w:w="1419" w:type="dxa"/>
            <w:vAlign w:val="center"/>
          </w:tcPr>
          <w:p w:rsidR="000B6423" w:rsidRDefault="00C13119">
            <w:pPr>
              <w:jc w:val="center"/>
            </w:pPr>
            <w:r>
              <w:rPr>
                <w:rFonts w:ascii="宋体" w:hAnsi="宋体" w:hint="eastAsia"/>
                <w:color w:val="000000"/>
                <w:kern w:val="0"/>
                <w:szCs w:val="21"/>
              </w:rPr>
              <w:t>4,000,000,000.00</w:t>
            </w:r>
          </w:p>
        </w:tc>
        <w:tc>
          <w:tcPr>
            <w:tcW w:w="1130" w:type="dxa"/>
            <w:vAlign w:val="center"/>
          </w:tcPr>
          <w:p w:rsidR="000B6423" w:rsidRDefault="00C13119">
            <w:pPr>
              <w:jc w:val="center"/>
            </w:pPr>
            <w:r>
              <w:rPr>
                <w:rFonts w:ascii="宋体" w:hAnsi="宋体" w:hint="eastAsia"/>
                <w:color w:val="000000"/>
                <w:kern w:val="0"/>
                <w:szCs w:val="21"/>
              </w:rPr>
              <w:t>25.10%</w:t>
            </w:r>
          </w:p>
        </w:tc>
      </w:tr>
      <w:tr w:rsidR="000B6423">
        <w:tc>
          <w:tcPr>
            <w:tcW w:w="992" w:type="dxa"/>
            <w:vMerge/>
          </w:tcPr>
          <w:p w:rsidR="000B6423" w:rsidRDefault="000B6423"/>
        </w:tc>
        <w:tc>
          <w:tcPr>
            <w:tcW w:w="991" w:type="dxa"/>
            <w:vAlign w:val="center"/>
          </w:tcPr>
          <w:p w:rsidR="000B6423" w:rsidRDefault="00C13119">
            <w:pPr>
              <w:jc w:val="center"/>
            </w:pPr>
            <w:r>
              <w:rPr>
                <w:rFonts w:ascii="宋体" w:hAnsi="宋体" w:hint="eastAsia"/>
                <w:color w:val="000000"/>
                <w:kern w:val="0"/>
                <w:szCs w:val="21"/>
              </w:rPr>
              <w:t>3</w:t>
            </w:r>
          </w:p>
        </w:tc>
        <w:tc>
          <w:tcPr>
            <w:tcW w:w="1843" w:type="dxa"/>
            <w:vAlign w:val="center"/>
          </w:tcPr>
          <w:p w:rsidR="000B6423" w:rsidRDefault="00C13119">
            <w:pPr>
              <w:jc w:val="center"/>
            </w:pPr>
            <w:r>
              <w:rPr>
                <w:rFonts w:ascii="宋体" w:hAnsi="宋体" w:hint="eastAsia"/>
                <w:color w:val="000000"/>
                <w:kern w:val="0"/>
                <w:szCs w:val="21"/>
              </w:rPr>
              <w:t>2018/1/1-2018/3/31</w:t>
            </w:r>
          </w:p>
        </w:tc>
        <w:tc>
          <w:tcPr>
            <w:tcW w:w="851" w:type="dxa"/>
            <w:vAlign w:val="center"/>
          </w:tcPr>
          <w:p w:rsidR="000B6423" w:rsidRDefault="00C13119">
            <w:pPr>
              <w:jc w:val="center"/>
            </w:pPr>
            <w:r>
              <w:rPr>
                <w:rFonts w:ascii="宋体" w:hAnsi="宋体" w:hint="eastAsia"/>
                <w:color w:val="000000"/>
                <w:kern w:val="0"/>
                <w:szCs w:val="21"/>
              </w:rPr>
              <w:t>2,493,498,933.23</w:t>
            </w:r>
          </w:p>
        </w:tc>
        <w:tc>
          <w:tcPr>
            <w:tcW w:w="850" w:type="dxa"/>
            <w:vAlign w:val="center"/>
          </w:tcPr>
          <w:p w:rsidR="000B6423" w:rsidRDefault="00C13119">
            <w:pPr>
              <w:jc w:val="center"/>
            </w:pPr>
            <w:r>
              <w:rPr>
                <w:rFonts w:ascii="宋体" w:hAnsi="宋体" w:hint="eastAsia"/>
                <w:color w:val="000000"/>
                <w:kern w:val="0"/>
                <w:szCs w:val="21"/>
              </w:rPr>
              <w:t>23,228,398.16</w:t>
            </w:r>
          </w:p>
        </w:tc>
        <w:tc>
          <w:tcPr>
            <w:tcW w:w="1134" w:type="dxa"/>
            <w:vAlign w:val="center"/>
          </w:tcPr>
          <w:p w:rsidR="000B6423" w:rsidRDefault="00C13119">
            <w:pPr>
              <w:jc w:val="center"/>
            </w:pPr>
            <w:r>
              <w:rPr>
                <w:rFonts w:ascii="宋体" w:hAnsi="宋体" w:hint="eastAsia"/>
                <w:color w:val="000000"/>
                <w:kern w:val="0"/>
                <w:szCs w:val="21"/>
              </w:rPr>
              <w:t>14,000,000.00</w:t>
            </w:r>
          </w:p>
        </w:tc>
        <w:tc>
          <w:tcPr>
            <w:tcW w:w="1419" w:type="dxa"/>
            <w:vAlign w:val="center"/>
          </w:tcPr>
          <w:p w:rsidR="000B6423" w:rsidRDefault="00C13119">
            <w:pPr>
              <w:jc w:val="center"/>
            </w:pPr>
            <w:r>
              <w:rPr>
                <w:rFonts w:ascii="宋体" w:hAnsi="宋体" w:hint="eastAsia"/>
                <w:color w:val="000000"/>
                <w:kern w:val="0"/>
                <w:szCs w:val="21"/>
              </w:rPr>
              <w:t>2,502,727,331.39</w:t>
            </w:r>
          </w:p>
        </w:tc>
        <w:tc>
          <w:tcPr>
            <w:tcW w:w="1130" w:type="dxa"/>
            <w:vAlign w:val="center"/>
          </w:tcPr>
          <w:p w:rsidR="000B6423" w:rsidRDefault="00C13119">
            <w:pPr>
              <w:jc w:val="center"/>
            </w:pPr>
            <w:r>
              <w:rPr>
                <w:rFonts w:ascii="宋体" w:hAnsi="宋体" w:hint="eastAsia"/>
                <w:color w:val="000000"/>
                <w:kern w:val="0"/>
                <w:szCs w:val="21"/>
              </w:rPr>
              <w:t>15.70%</w:t>
            </w:r>
          </w:p>
        </w:tc>
      </w:tr>
      <w:tr w:rsidR="000B6423">
        <w:tc>
          <w:tcPr>
            <w:tcW w:w="992" w:type="dxa"/>
            <w:vMerge/>
          </w:tcPr>
          <w:p w:rsidR="000B6423" w:rsidRDefault="000B6423"/>
        </w:tc>
        <w:tc>
          <w:tcPr>
            <w:tcW w:w="991" w:type="dxa"/>
            <w:vAlign w:val="center"/>
          </w:tcPr>
          <w:p w:rsidR="000B6423" w:rsidRDefault="00C13119">
            <w:pPr>
              <w:jc w:val="center"/>
            </w:pPr>
            <w:r>
              <w:rPr>
                <w:rFonts w:ascii="宋体" w:hAnsi="宋体" w:hint="eastAsia"/>
                <w:color w:val="000000"/>
                <w:kern w:val="0"/>
                <w:szCs w:val="21"/>
              </w:rPr>
              <w:t>4</w:t>
            </w:r>
          </w:p>
        </w:tc>
        <w:tc>
          <w:tcPr>
            <w:tcW w:w="1843" w:type="dxa"/>
            <w:vAlign w:val="center"/>
          </w:tcPr>
          <w:p w:rsidR="000B6423" w:rsidRDefault="00C13119">
            <w:pPr>
              <w:jc w:val="center"/>
            </w:pPr>
            <w:r>
              <w:rPr>
                <w:rFonts w:ascii="宋体" w:hAnsi="宋体" w:hint="eastAsia"/>
                <w:color w:val="000000"/>
                <w:kern w:val="0"/>
                <w:szCs w:val="21"/>
              </w:rPr>
              <w:t>2018/1/1-2018/3/31</w:t>
            </w:r>
          </w:p>
        </w:tc>
        <w:tc>
          <w:tcPr>
            <w:tcW w:w="851" w:type="dxa"/>
            <w:vAlign w:val="center"/>
          </w:tcPr>
          <w:p w:rsidR="000B6423" w:rsidRDefault="00C13119">
            <w:pPr>
              <w:jc w:val="center"/>
            </w:pPr>
            <w:r>
              <w:rPr>
                <w:rFonts w:ascii="宋体" w:hAnsi="宋体" w:hint="eastAsia"/>
                <w:color w:val="000000"/>
                <w:kern w:val="0"/>
                <w:szCs w:val="21"/>
              </w:rPr>
              <w:t>503,760,818.69</w:t>
            </w:r>
          </w:p>
        </w:tc>
        <w:tc>
          <w:tcPr>
            <w:tcW w:w="850" w:type="dxa"/>
            <w:vAlign w:val="center"/>
          </w:tcPr>
          <w:p w:rsidR="000B6423" w:rsidRDefault="00C13119">
            <w:pPr>
              <w:jc w:val="center"/>
            </w:pPr>
            <w:r>
              <w:rPr>
                <w:rFonts w:ascii="宋体" w:hAnsi="宋体" w:hint="eastAsia"/>
                <w:color w:val="000000"/>
                <w:kern w:val="0"/>
                <w:szCs w:val="21"/>
              </w:rPr>
              <w:t>1,012,242,981.32</w:t>
            </w:r>
          </w:p>
        </w:tc>
        <w:tc>
          <w:tcPr>
            <w:tcW w:w="1134" w:type="dxa"/>
            <w:vAlign w:val="center"/>
          </w:tcPr>
          <w:p w:rsidR="000B6423" w:rsidRDefault="00C13119">
            <w:pPr>
              <w:jc w:val="center"/>
            </w:pPr>
            <w:r>
              <w:rPr>
                <w:rFonts w:ascii="宋体" w:hAnsi="宋体" w:hint="eastAsia"/>
                <w:color w:val="000000"/>
                <w:kern w:val="0"/>
                <w:szCs w:val="21"/>
              </w:rPr>
              <w:t>-</w:t>
            </w:r>
          </w:p>
        </w:tc>
        <w:tc>
          <w:tcPr>
            <w:tcW w:w="1419" w:type="dxa"/>
            <w:vAlign w:val="center"/>
          </w:tcPr>
          <w:p w:rsidR="000B6423" w:rsidRDefault="00C13119">
            <w:pPr>
              <w:jc w:val="center"/>
            </w:pPr>
            <w:r>
              <w:rPr>
                <w:rFonts w:ascii="宋体" w:hAnsi="宋体" w:hint="eastAsia"/>
                <w:color w:val="000000"/>
                <w:kern w:val="0"/>
                <w:szCs w:val="21"/>
              </w:rPr>
              <w:t>1,516,003,800.01</w:t>
            </w:r>
          </w:p>
        </w:tc>
        <w:tc>
          <w:tcPr>
            <w:tcW w:w="1130" w:type="dxa"/>
            <w:vAlign w:val="center"/>
          </w:tcPr>
          <w:p w:rsidR="000B6423" w:rsidRDefault="00C13119">
            <w:pPr>
              <w:jc w:val="center"/>
            </w:pPr>
            <w:r>
              <w:rPr>
                <w:rFonts w:ascii="宋体" w:hAnsi="宋体" w:hint="eastAsia"/>
                <w:color w:val="000000"/>
                <w:kern w:val="0"/>
                <w:szCs w:val="21"/>
              </w:rPr>
              <w:t>9.51%</w:t>
            </w:r>
          </w:p>
        </w:tc>
      </w:tr>
      <w:tr w:rsidR="000B6423">
        <w:tc>
          <w:tcPr>
            <w:tcW w:w="992" w:type="dxa"/>
            <w:vMerge/>
          </w:tcPr>
          <w:p w:rsidR="000B6423" w:rsidRDefault="000B6423"/>
        </w:tc>
        <w:tc>
          <w:tcPr>
            <w:tcW w:w="991" w:type="dxa"/>
            <w:vAlign w:val="center"/>
          </w:tcPr>
          <w:p w:rsidR="000B6423" w:rsidRDefault="00C13119">
            <w:pPr>
              <w:jc w:val="center"/>
            </w:pPr>
            <w:r>
              <w:rPr>
                <w:rFonts w:ascii="宋体" w:hAnsi="宋体" w:hint="eastAsia"/>
                <w:color w:val="000000"/>
                <w:kern w:val="0"/>
                <w:szCs w:val="21"/>
              </w:rPr>
              <w:t>5</w:t>
            </w:r>
          </w:p>
        </w:tc>
        <w:tc>
          <w:tcPr>
            <w:tcW w:w="1843" w:type="dxa"/>
            <w:vAlign w:val="center"/>
          </w:tcPr>
          <w:p w:rsidR="000B6423" w:rsidRDefault="00C13119">
            <w:pPr>
              <w:jc w:val="center"/>
            </w:pPr>
            <w:r>
              <w:rPr>
                <w:rFonts w:ascii="宋体" w:hAnsi="宋体" w:hint="eastAsia"/>
                <w:color w:val="000000"/>
                <w:kern w:val="0"/>
                <w:szCs w:val="21"/>
              </w:rPr>
              <w:t>2018/1/1-2018/3/31</w:t>
            </w:r>
          </w:p>
        </w:tc>
        <w:tc>
          <w:tcPr>
            <w:tcW w:w="851" w:type="dxa"/>
            <w:vAlign w:val="center"/>
          </w:tcPr>
          <w:p w:rsidR="000B6423" w:rsidRDefault="00C13119">
            <w:pPr>
              <w:jc w:val="center"/>
            </w:pPr>
            <w:r>
              <w:rPr>
                <w:rFonts w:ascii="宋体" w:hAnsi="宋体" w:hint="eastAsia"/>
                <w:color w:val="000000"/>
                <w:kern w:val="0"/>
                <w:szCs w:val="21"/>
              </w:rPr>
              <w:t>1,000,000,000.00</w:t>
            </w:r>
          </w:p>
        </w:tc>
        <w:tc>
          <w:tcPr>
            <w:tcW w:w="850" w:type="dxa"/>
            <w:vAlign w:val="center"/>
          </w:tcPr>
          <w:p w:rsidR="000B6423" w:rsidRDefault="00C13119">
            <w:pPr>
              <w:jc w:val="center"/>
            </w:pPr>
            <w:r>
              <w:rPr>
                <w:rFonts w:ascii="宋体" w:hAnsi="宋体" w:hint="eastAsia"/>
                <w:color w:val="000000"/>
                <w:kern w:val="0"/>
                <w:szCs w:val="21"/>
              </w:rPr>
              <w:t>1,000,000,000.00</w:t>
            </w:r>
          </w:p>
        </w:tc>
        <w:tc>
          <w:tcPr>
            <w:tcW w:w="1134" w:type="dxa"/>
            <w:vAlign w:val="center"/>
          </w:tcPr>
          <w:p w:rsidR="000B6423" w:rsidRDefault="00C13119">
            <w:pPr>
              <w:jc w:val="center"/>
            </w:pPr>
            <w:r>
              <w:rPr>
                <w:rFonts w:ascii="宋体" w:hAnsi="宋体" w:hint="eastAsia"/>
                <w:color w:val="000000"/>
                <w:kern w:val="0"/>
                <w:szCs w:val="21"/>
              </w:rPr>
              <w:t>1,000,000,000.00</w:t>
            </w:r>
          </w:p>
        </w:tc>
        <w:tc>
          <w:tcPr>
            <w:tcW w:w="1419" w:type="dxa"/>
            <w:vAlign w:val="center"/>
          </w:tcPr>
          <w:p w:rsidR="000B6423" w:rsidRDefault="00C13119">
            <w:pPr>
              <w:jc w:val="center"/>
            </w:pPr>
            <w:r>
              <w:rPr>
                <w:rFonts w:ascii="宋体" w:hAnsi="宋体" w:hint="eastAsia"/>
                <w:color w:val="000000"/>
                <w:kern w:val="0"/>
                <w:szCs w:val="21"/>
              </w:rPr>
              <w:t>1,000,000,000.00</w:t>
            </w:r>
          </w:p>
        </w:tc>
        <w:tc>
          <w:tcPr>
            <w:tcW w:w="1130" w:type="dxa"/>
            <w:vAlign w:val="center"/>
          </w:tcPr>
          <w:p w:rsidR="000B6423" w:rsidRDefault="00C13119">
            <w:pPr>
              <w:jc w:val="center"/>
            </w:pPr>
            <w:r>
              <w:rPr>
                <w:rFonts w:ascii="宋体" w:hAnsi="宋体" w:hint="eastAsia"/>
                <w:color w:val="000000"/>
                <w:kern w:val="0"/>
                <w:szCs w:val="21"/>
              </w:rPr>
              <w:t>6.28%</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3D1E1A" w:rsidRDefault="003D1E1A" w:rsidP="003D1E1A">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8.2 影响投资者决策的其他重要信息</w:t>
      </w:r>
    </w:p>
    <w:p w:rsidR="000B6423" w:rsidRPr="00864423" w:rsidRDefault="00C13119" w:rsidP="00864423">
      <w:pPr>
        <w:spacing w:before="29" w:line="288" w:lineRule="auto"/>
        <w:ind w:firstLineChars="200" w:firstLine="480"/>
        <w:rPr>
          <w:color w:val="000000"/>
          <w:sz w:val="24"/>
        </w:rPr>
      </w:pPr>
      <w:r w:rsidRPr="00864423">
        <w:rPr>
          <w:rFonts w:hint="eastAsia"/>
          <w:color w:val="000000"/>
          <w:sz w:val="24"/>
        </w:rPr>
        <w:lastRenderedPageBreak/>
        <w:t>1</w:t>
      </w:r>
      <w:r w:rsidRPr="00864423">
        <w:rPr>
          <w:rFonts w:hint="eastAsia"/>
          <w:color w:val="000000"/>
          <w:sz w:val="24"/>
        </w:rPr>
        <w:t>、根据财政部和国家税务总局于</w:t>
      </w:r>
      <w:r w:rsidRPr="00864423">
        <w:rPr>
          <w:rFonts w:hint="eastAsia"/>
          <w:color w:val="000000"/>
          <w:sz w:val="24"/>
        </w:rPr>
        <w:t>2016</w:t>
      </w:r>
      <w:r w:rsidRPr="00864423">
        <w:rPr>
          <w:rFonts w:hint="eastAsia"/>
          <w:color w:val="000000"/>
          <w:sz w:val="24"/>
        </w:rPr>
        <w:t>年</w:t>
      </w:r>
      <w:r w:rsidRPr="00864423">
        <w:rPr>
          <w:rFonts w:hint="eastAsia"/>
          <w:color w:val="000000"/>
          <w:sz w:val="24"/>
        </w:rPr>
        <w:t>12</w:t>
      </w:r>
      <w:r w:rsidRPr="00864423">
        <w:rPr>
          <w:rFonts w:hint="eastAsia"/>
          <w:color w:val="000000"/>
          <w:sz w:val="24"/>
        </w:rPr>
        <w:t>月</w:t>
      </w:r>
      <w:r w:rsidRPr="00864423">
        <w:rPr>
          <w:rFonts w:hint="eastAsia"/>
          <w:color w:val="000000"/>
          <w:sz w:val="24"/>
        </w:rPr>
        <w:t>21</w:t>
      </w:r>
      <w:r w:rsidRPr="00864423">
        <w:rPr>
          <w:rFonts w:hint="eastAsia"/>
          <w:color w:val="000000"/>
          <w:sz w:val="24"/>
        </w:rPr>
        <w:t>日联合发布的《关于明确金融、房地产开发、教育辅助服务等增值税政策的通知》（财税</w:t>
      </w:r>
      <w:r w:rsidRPr="00864423">
        <w:rPr>
          <w:rFonts w:hint="eastAsia"/>
          <w:color w:val="000000"/>
          <w:sz w:val="24"/>
        </w:rPr>
        <w:t>[2016]140</w:t>
      </w:r>
      <w:r w:rsidRPr="00864423">
        <w:rPr>
          <w:rFonts w:hint="eastAsia"/>
          <w:color w:val="000000"/>
          <w:sz w:val="24"/>
        </w:rPr>
        <w:t>号）以及于</w:t>
      </w:r>
      <w:r w:rsidRPr="00864423">
        <w:rPr>
          <w:rFonts w:hint="eastAsia"/>
          <w:color w:val="000000"/>
          <w:sz w:val="24"/>
        </w:rPr>
        <w:t>2017</w:t>
      </w:r>
      <w:r w:rsidRPr="00864423">
        <w:rPr>
          <w:rFonts w:hint="eastAsia"/>
          <w:color w:val="000000"/>
          <w:sz w:val="24"/>
        </w:rPr>
        <w:t>年</w:t>
      </w:r>
      <w:r w:rsidRPr="00864423">
        <w:rPr>
          <w:rFonts w:hint="eastAsia"/>
          <w:color w:val="000000"/>
          <w:sz w:val="24"/>
        </w:rPr>
        <w:t>6</w:t>
      </w:r>
      <w:r w:rsidRPr="00864423">
        <w:rPr>
          <w:rFonts w:hint="eastAsia"/>
          <w:color w:val="000000"/>
          <w:sz w:val="24"/>
        </w:rPr>
        <w:t>月</w:t>
      </w:r>
      <w:r w:rsidRPr="00864423">
        <w:rPr>
          <w:rFonts w:hint="eastAsia"/>
          <w:color w:val="000000"/>
          <w:sz w:val="24"/>
        </w:rPr>
        <w:t>30</w:t>
      </w:r>
      <w:r w:rsidRPr="00864423">
        <w:rPr>
          <w:rFonts w:hint="eastAsia"/>
          <w:color w:val="000000"/>
          <w:sz w:val="24"/>
        </w:rPr>
        <w:t>日联合发布的《财政部、税务总局关于资管产品增值税有关问题的通知》（财税</w:t>
      </w:r>
      <w:r w:rsidRPr="00864423">
        <w:rPr>
          <w:rFonts w:hint="eastAsia"/>
          <w:color w:val="000000"/>
          <w:sz w:val="24"/>
        </w:rPr>
        <w:t>[2017]56</w:t>
      </w:r>
      <w:r w:rsidRPr="00864423">
        <w:rPr>
          <w:rFonts w:hint="eastAsia"/>
          <w:color w:val="000000"/>
          <w:sz w:val="24"/>
        </w:rPr>
        <w:t>号）等规定，自</w:t>
      </w:r>
      <w:r w:rsidRPr="00864423">
        <w:rPr>
          <w:rFonts w:hint="eastAsia"/>
          <w:color w:val="000000"/>
          <w:sz w:val="24"/>
        </w:rPr>
        <w:t>2018</w:t>
      </w:r>
      <w:r w:rsidRPr="00864423">
        <w:rPr>
          <w:rFonts w:hint="eastAsia"/>
          <w:color w:val="000000"/>
          <w:sz w:val="24"/>
        </w:rPr>
        <w:t>年</w:t>
      </w:r>
      <w:r w:rsidRPr="00864423">
        <w:rPr>
          <w:rFonts w:hint="eastAsia"/>
          <w:color w:val="000000"/>
          <w:sz w:val="24"/>
        </w:rPr>
        <w:t>1</w:t>
      </w:r>
      <w:r w:rsidRPr="00864423">
        <w:rPr>
          <w:rFonts w:hint="eastAsia"/>
          <w:color w:val="000000"/>
          <w:sz w:val="24"/>
        </w:rPr>
        <w:t>月</w:t>
      </w:r>
      <w:r w:rsidRPr="00864423">
        <w:rPr>
          <w:rFonts w:hint="eastAsia"/>
          <w:color w:val="000000"/>
          <w:sz w:val="24"/>
        </w:rPr>
        <w:t>1</w:t>
      </w:r>
      <w:r w:rsidRPr="00864423">
        <w:rPr>
          <w:rFonts w:hint="eastAsia"/>
          <w:color w:val="000000"/>
          <w:sz w:val="24"/>
        </w:rPr>
        <w:t>日（含）起，基金管理人运营公开募集证券投资基金（以下</w:t>
      </w:r>
      <w:bookmarkStart w:id="2" w:name="_GoBack"/>
      <w:bookmarkEnd w:id="2"/>
      <w:r w:rsidRPr="00864423">
        <w:rPr>
          <w:rFonts w:hint="eastAsia"/>
          <w:color w:val="000000"/>
          <w:sz w:val="24"/>
        </w:rPr>
        <w:t>简称“基金”）过程中发生的增值税应税行为，应按照现行规定缴纳增值税。本基金管理人将依据国家税收法律、法规、规章及税收规范性文件的规定，对管理的基金产品运营过程中产生的应税收入，计提及缴纳增值税及附加税费，该部分税费由基金资产承担。如后续国家法律法规、税收政策进行调整的，或者对基金产品的税收政策作出补充规定的，基金管理人将及时根据所涉及的税收政策作出相应调整，切实履行基金管理人的职责。</w:t>
      </w:r>
    </w:p>
    <w:p w:rsidR="003D1E1A" w:rsidRPr="00864423" w:rsidRDefault="003D1E1A" w:rsidP="00864423">
      <w:pPr>
        <w:spacing w:before="29" w:line="288" w:lineRule="auto"/>
        <w:ind w:firstLineChars="200" w:firstLine="480"/>
        <w:rPr>
          <w:color w:val="000000"/>
          <w:sz w:val="24"/>
        </w:rPr>
      </w:pPr>
      <w:r w:rsidRPr="00864423">
        <w:rPr>
          <w:rFonts w:hint="eastAsia"/>
          <w:color w:val="000000"/>
          <w:sz w:val="24"/>
        </w:rPr>
        <w:t>2</w:t>
      </w:r>
      <w:r w:rsidRPr="00864423">
        <w:rPr>
          <w:rFonts w:hint="eastAsia"/>
          <w:color w:val="000000"/>
          <w:sz w:val="24"/>
        </w:rPr>
        <w:t>、根据《公开募集开放式证券投资基金流动性风险管理规定》的有关规定及相关监管要求，经与基金托管人协商一致并报监管机构备案，基金管理人对本基金基金合同等法律文件作相应修改。欲知详情请查阅本基金管理人于</w:t>
      </w:r>
      <w:r w:rsidRPr="00864423">
        <w:rPr>
          <w:rFonts w:hint="eastAsia"/>
          <w:color w:val="000000"/>
          <w:sz w:val="24"/>
        </w:rPr>
        <w:t>2018</w:t>
      </w:r>
      <w:r w:rsidRPr="00864423">
        <w:rPr>
          <w:rFonts w:hint="eastAsia"/>
          <w:color w:val="000000"/>
          <w:sz w:val="24"/>
        </w:rPr>
        <w:t>年</w:t>
      </w:r>
      <w:r w:rsidRPr="00864423">
        <w:rPr>
          <w:rFonts w:hint="eastAsia"/>
          <w:color w:val="000000"/>
          <w:sz w:val="24"/>
        </w:rPr>
        <w:t>3</w:t>
      </w:r>
      <w:r w:rsidRPr="00864423">
        <w:rPr>
          <w:rFonts w:hint="eastAsia"/>
          <w:color w:val="000000"/>
          <w:sz w:val="24"/>
        </w:rPr>
        <w:t>月</w:t>
      </w:r>
      <w:r w:rsidRPr="00864423">
        <w:rPr>
          <w:rFonts w:hint="eastAsia"/>
          <w:color w:val="000000"/>
          <w:sz w:val="24"/>
        </w:rPr>
        <w:t>22</w:t>
      </w:r>
      <w:r w:rsidRPr="00864423">
        <w:rPr>
          <w:rFonts w:hint="eastAsia"/>
          <w:color w:val="000000"/>
          <w:sz w:val="24"/>
        </w:rPr>
        <w:t>日发布的有关公告及法律文件。</w:t>
      </w:r>
    </w:p>
    <w:p w:rsidR="001B3FBF" w:rsidRPr="000E4C40" w:rsidRDefault="001B3FBF" w:rsidP="00281564">
      <w:pPr>
        <w:spacing w:before="29" w:line="288" w:lineRule="auto"/>
        <w:ind w:firstLineChars="200" w:firstLine="480"/>
        <w:rPr>
          <w:color w:val="000000"/>
          <w:sz w:val="24"/>
        </w:rPr>
      </w:pPr>
    </w:p>
    <w:p w:rsidR="00C03EF8" w:rsidRPr="009268A2" w:rsidRDefault="009D74FC"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9</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0B6423" w:rsidRDefault="00C13119">
      <w:pPr>
        <w:spacing w:before="29" w:line="288" w:lineRule="auto"/>
        <w:ind w:firstLineChars="200" w:firstLine="480"/>
        <w:rPr>
          <w:color w:val="000000"/>
          <w:sz w:val="24"/>
        </w:rPr>
      </w:pPr>
      <w:r>
        <w:rPr>
          <w:color w:val="000000"/>
          <w:sz w:val="24"/>
        </w:rPr>
        <w:t>1</w:t>
      </w:r>
      <w:r>
        <w:rPr>
          <w:color w:val="000000"/>
          <w:sz w:val="24"/>
        </w:rPr>
        <w:t>、中国证监会批准交银施罗德理财</w:t>
      </w:r>
      <w:r>
        <w:rPr>
          <w:color w:val="000000"/>
          <w:sz w:val="24"/>
        </w:rPr>
        <w:t>60</w:t>
      </w:r>
      <w:r>
        <w:rPr>
          <w:color w:val="000000"/>
          <w:sz w:val="24"/>
        </w:rPr>
        <w:t>天债券型证券投资基金募集的文件；</w:t>
      </w:r>
      <w:r>
        <w:rPr>
          <w:color w:val="000000"/>
          <w:sz w:val="24"/>
        </w:rPr>
        <w:t xml:space="preserve"> </w:t>
      </w:r>
    </w:p>
    <w:p w:rsidR="000B6423" w:rsidRDefault="00C13119">
      <w:pPr>
        <w:spacing w:before="29" w:line="288" w:lineRule="auto"/>
        <w:ind w:firstLineChars="200" w:firstLine="480"/>
        <w:rPr>
          <w:color w:val="000000"/>
          <w:sz w:val="24"/>
        </w:rPr>
      </w:pPr>
      <w:r>
        <w:rPr>
          <w:color w:val="000000"/>
          <w:sz w:val="24"/>
        </w:rPr>
        <w:t>2</w:t>
      </w:r>
      <w:r>
        <w:rPr>
          <w:color w:val="000000"/>
          <w:sz w:val="24"/>
        </w:rPr>
        <w:t>、《交银施罗德理财</w:t>
      </w:r>
      <w:r>
        <w:rPr>
          <w:color w:val="000000"/>
          <w:sz w:val="24"/>
        </w:rPr>
        <w:t>60</w:t>
      </w:r>
      <w:r>
        <w:rPr>
          <w:color w:val="000000"/>
          <w:sz w:val="24"/>
        </w:rPr>
        <w:t>天债券型证券投资基金基金合同》；</w:t>
      </w:r>
      <w:r>
        <w:rPr>
          <w:color w:val="000000"/>
          <w:sz w:val="24"/>
        </w:rPr>
        <w:t xml:space="preserve"> </w:t>
      </w:r>
    </w:p>
    <w:p w:rsidR="000B6423" w:rsidRDefault="00C13119">
      <w:pPr>
        <w:spacing w:before="29" w:line="288" w:lineRule="auto"/>
        <w:ind w:firstLineChars="200" w:firstLine="480"/>
        <w:rPr>
          <w:color w:val="000000"/>
          <w:sz w:val="24"/>
        </w:rPr>
      </w:pPr>
      <w:r>
        <w:rPr>
          <w:color w:val="000000"/>
          <w:sz w:val="24"/>
        </w:rPr>
        <w:t>3</w:t>
      </w:r>
      <w:r>
        <w:rPr>
          <w:color w:val="000000"/>
          <w:sz w:val="24"/>
        </w:rPr>
        <w:t>、《交银施罗德理财</w:t>
      </w:r>
      <w:r>
        <w:rPr>
          <w:color w:val="000000"/>
          <w:sz w:val="24"/>
        </w:rPr>
        <w:t>60</w:t>
      </w:r>
      <w:r>
        <w:rPr>
          <w:color w:val="000000"/>
          <w:sz w:val="24"/>
        </w:rPr>
        <w:t>天债券型证券投资基金招募说明书》；</w:t>
      </w:r>
      <w:r>
        <w:rPr>
          <w:color w:val="000000"/>
          <w:sz w:val="24"/>
        </w:rPr>
        <w:t xml:space="preserve"> </w:t>
      </w:r>
    </w:p>
    <w:p w:rsidR="000B6423" w:rsidRDefault="00C13119">
      <w:pPr>
        <w:spacing w:before="29" w:line="288" w:lineRule="auto"/>
        <w:ind w:firstLineChars="200" w:firstLine="480"/>
        <w:rPr>
          <w:color w:val="000000"/>
          <w:sz w:val="24"/>
        </w:rPr>
      </w:pPr>
      <w:r>
        <w:rPr>
          <w:color w:val="000000"/>
          <w:sz w:val="24"/>
        </w:rPr>
        <w:t>4</w:t>
      </w:r>
      <w:r>
        <w:rPr>
          <w:color w:val="000000"/>
          <w:sz w:val="24"/>
        </w:rPr>
        <w:t>、《交银施罗德理财</w:t>
      </w:r>
      <w:r>
        <w:rPr>
          <w:color w:val="000000"/>
          <w:sz w:val="24"/>
        </w:rPr>
        <w:t>60</w:t>
      </w:r>
      <w:r>
        <w:rPr>
          <w:color w:val="000000"/>
          <w:sz w:val="24"/>
        </w:rPr>
        <w:t>天债券型证券投资基金托管协议》；</w:t>
      </w:r>
      <w:r>
        <w:rPr>
          <w:color w:val="000000"/>
          <w:sz w:val="24"/>
        </w:rPr>
        <w:t xml:space="preserve"> </w:t>
      </w:r>
    </w:p>
    <w:p w:rsidR="000B6423" w:rsidRDefault="00C13119">
      <w:pPr>
        <w:spacing w:before="29" w:line="288" w:lineRule="auto"/>
        <w:ind w:firstLineChars="200" w:firstLine="480"/>
        <w:rPr>
          <w:color w:val="000000"/>
          <w:sz w:val="24"/>
        </w:rPr>
      </w:pPr>
      <w:r>
        <w:rPr>
          <w:color w:val="000000"/>
          <w:sz w:val="24"/>
        </w:rPr>
        <w:t>5</w:t>
      </w:r>
      <w:r>
        <w:rPr>
          <w:color w:val="000000"/>
          <w:sz w:val="24"/>
        </w:rPr>
        <w:t>、关于募集交银施罗德理财</w:t>
      </w:r>
      <w:r>
        <w:rPr>
          <w:color w:val="000000"/>
          <w:sz w:val="24"/>
        </w:rPr>
        <w:t>60</w:t>
      </w:r>
      <w:r>
        <w:rPr>
          <w:color w:val="000000"/>
          <w:sz w:val="24"/>
        </w:rPr>
        <w:t>天债券型证券投资基金之法律意见书；</w:t>
      </w:r>
      <w:r>
        <w:rPr>
          <w:color w:val="000000"/>
          <w:sz w:val="24"/>
        </w:rPr>
        <w:t xml:space="preserve"> </w:t>
      </w:r>
    </w:p>
    <w:p w:rsidR="000B6423" w:rsidRDefault="00C13119">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0B6423" w:rsidRDefault="00C13119">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、报告期内交银施罗德理财</w:t>
      </w:r>
      <w:r w:rsidRPr="000E4C40">
        <w:rPr>
          <w:color w:val="000000"/>
          <w:sz w:val="24"/>
        </w:rPr>
        <w:t>60</w:t>
      </w:r>
      <w:r w:rsidRPr="000E4C40">
        <w:rPr>
          <w:color w:val="000000"/>
          <w:sz w:val="24"/>
        </w:rPr>
        <w:t>天债券型证券投资基金在指定报刊上各项公告的原稿。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0B6423" w:rsidRDefault="00C13119">
      <w:pPr>
        <w:spacing w:before="29" w:line="288" w:lineRule="auto"/>
        <w:ind w:firstLineChars="200" w:firstLine="480"/>
        <w:rPr>
          <w:color w:val="000000"/>
          <w:sz w:val="24"/>
        </w:rPr>
      </w:pPr>
      <w:r>
        <w:rPr>
          <w:color w:val="000000"/>
          <w:sz w:val="24"/>
        </w:rPr>
        <w:t>投资者可在办公时间内至基金管理人的办公场所免费查阅备查文件，或者登录基金</w:t>
      </w:r>
      <w:r>
        <w:rPr>
          <w:color w:val="000000"/>
          <w:sz w:val="24"/>
        </w:rPr>
        <w:lastRenderedPageBreak/>
        <w:t>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E68" w:rsidRDefault="00E44E68">
      <w:r>
        <w:separator/>
      </w:r>
    </w:p>
  </w:endnote>
  <w:endnote w:type="continuationSeparator" w:id="0">
    <w:p w:rsidR="00E44E68" w:rsidRDefault="00E44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457CD3">
      <w:rPr>
        <w:kern w:val="0"/>
        <w:szCs w:val="21"/>
      </w:rPr>
      <w:fldChar w:fldCharType="begin"/>
    </w:r>
    <w:r>
      <w:rPr>
        <w:kern w:val="0"/>
        <w:szCs w:val="21"/>
      </w:rPr>
      <w:instrText xml:space="preserve"> PAGE </w:instrText>
    </w:r>
    <w:r w:rsidR="00457CD3">
      <w:rPr>
        <w:kern w:val="0"/>
        <w:szCs w:val="21"/>
      </w:rPr>
      <w:fldChar w:fldCharType="separate"/>
    </w:r>
    <w:r w:rsidR="00864423">
      <w:rPr>
        <w:noProof/>
        <w:kern w:val="0"/>
        <w:szCs w:val="21"/>
      </w:rPr>
      <w:t>14</w:t>
    </w:r>
    <w:r w:rsidR="00457CD3">
      <w:rPr>
        <w:kern w:val="0"/>
        <w:szCs w:val="21"/>
      </w:rPr>
      <w:fldChar w:fldCharType="end"/>
    </w:r>
    <w:r>
      <w:rPr>
        <w:rFonts w:hint="eastAsia"/>
        <w:kern w:val="0"/>
        <w:szCs w:val="21"/>
      </w:rPr>
      <w:t>页共</w:t>
    </w:r>
    <w:r w:rsidR="00457CD3">
      <w:rPr>
        <w:rFonts w:hint="eastAsia"/>
        <w:kern w:val="0"/>
        <w:szCs w:val="21"/>
      </w:rPr>
      <w:fldChar w:fldCharType="begin"/>
    </w:r>
    <w:r>
      <w:rPr>
        <w:kern w:val="0"/>
        <w:szCs w:val="21"/>
      </w:rPr>
      <w:instrText xml:space="preserve"> NUMPAGES </w:instrText>
    </w:r>
    <w:r w:rsidR="00457CD3">
      <w:rPr>
        <w:rFonts w:hint="eastAsia"/>
        <w:kern w:val="0"/>
        <w:szCs w:val="21"/>
      </w:rPr>
      <w:fldChar w:fldCharType="separate"/>
    </w:r>
    <w:r w:rsidR="00864423">
      <w:rPr>
        <w:noProof/>
        <w:kern w:val="0"/>
        <w:szCs w:val="21"/>
      </w:rPr>
      <w:t>16</w:t>
    </w:r>
    <w:r w:rsidR="00457CD3">
      <w:rPr>
        <w:rFonts w:hint="eastAsia"/>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E68" w:rsidRDefault="00E44E68">
      <w:r>
        <w:separator/>
      </w:r>
    </w:p>
  </w:footnote>
  <w:footnote w:type="continuationSeparator" w:id="0">
    <w:p w:rsidR="00E44E68" w:rsidRDefault="00E44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841EB4" w:rsidRDefault="00841EB4" w:rsidP="008379E2">
    <w:pPr>
      <w:pStyle w:val="a4"/>
      <w:pBdr>
        <w:bottom w:val="single" w:sz="6" w:space="0" w:color="auto"/>
      </w:pBdr>
      <w:jc w:val="right"/>
      <w:rPr>
        <w:sz w:val="24"/>
        <w:szCs w:val="24"/>
      </w:rPr>
    </w:pPr>
    <w:r w:rsidRPr="003E676C">
      <w:rPr>
        <w:sz w:val="24"/>
        <w:szCs w:val="24"/>
      </w:rPr>
      <w:t>交银施罗德理财</w:t>
    </w:r>
    <w:r w:rsidRPr="003E676C">
      <w:rPr>
        <w:sz w:val="24"/>
        <w:szCs w:val="24"/>
      </w:rPr>
      <w:t>60</w:t>
    </w:r>
    <w:r w:rsidRPr="003E676C">
      <w:rPr>
        <w:sz w:val="24"/>
        <w:szCs w:val="24"/>
      </w:rPr>
      <w:t>天债券型证券投资基金</w:t>
    </w:r>
    <w:r w:rsidRPr="003E676C">
      <w:rPr>
        <w:sz w:val="24"/>
        <w:szCs w:val="24"/>
      </w:rPr>
      <w:t>2018</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423"/>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06BCE"/>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64423"/>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652D9"/>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3119"/>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159D"/>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44E6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2BFE993D-6E65-474C-B37A-F05747144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B44FEDE-830A-452B-B3B0-04A048D73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16</Pages>
  <Words>1463</Words>
  <Characters>8343</Characters>
  <Application>Microsoft Office Word</Application>
  <DocSecurity>0</DocSecurity>
  <Lines>69</Lines>
  <Paragraphs>19</Paragraphs>
  <ScaleCrop>false</ScaleCrop>
  <Company>jysld</Company>
  <LinksUpToDate>false</LinksUpToDate>
  <CharactersWithSpaces>9787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318</cp:revision>
  <cp:lastPrinted>2009-01-22T10:11:00Z</cp:lastPrinted>
  <dcterms:created xsi:type="dcterms:W3CDTF">2012-11-21T05:49:00Z</dcterms:created>
  <dcterms:modified xsi:type="dcterms:W3CDTF">2018-04-18T10:06:00Z</dcterms:modified>
</cp:coreProperties>
</file>