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A376A" w:rsidRDefault="003C42E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A376A" w:rsidRDefault="003C42E1">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A376A" w:rsidRDefault="003C42E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A376A" w:rsidRDefault="003C42E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A376A" w:rsidRDefault="003C42E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22,176,506,283.79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10,913,903.32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22,165,592,380.47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114,370.49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197,830,397.93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114,370.49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197,830,397.93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10,913,903.32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22,165,592,380.47</w:t>
            </w:r>
          </w:p>
        </w:tc>
      </w:tr>
    </w:tbl>
    <w:p w:rsidR="005A376A" w:rsidRDefault="003C42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A376A">
        <w:trPr>
          <w:jc w:val="center"/>
        </w:trPr>
        <w:tc>
          <w:tcPr>
            <w:tcW w:w="1266" w:type="dxa"/>
            <w:vAlign w:val="center"/>
          </w:tcPr>
          <w:p w:rsidR="005A376A" w:rsidRDefault="003C42E1">
            <w:pPr>
              <w:jc w:val="left"/>
            </w:pPr>
            <w:r>
              <w:rPr>
                <w:color w:val="000000"/>
              </w:rPr>
              <w:t>过去三个月</w:t>
            </w:r>
          </w:p>
        </w:tc>
        <w:tc>
          <w:tcPr>
            <w:tcW w:w="1267" w:type="dxa"/>
            <w:vAlign w:val="center"/>
          </w:tcPr>
          <w:p w:rsidR="005A376A" w:rsidRDefault="003C42E1">
            <w:pPr>
              <w:jc w:val="center"/>
            </w:pPr>
            <w:r>
              <w:rPr>
                <w:color w:val="000000"/>
              </w:rPr>
              <w:t>1.0887%</w:t>
            </w:r>
          </w:p>
        </w:tc>
        <w:tc>
          <w:tcPr>
            <w:tcW w:w="1267" w:type="dxa"/>
            <w:vAlign w:val="center"/>
          </w:tcPr>
          <w:p w:rsidR="005A376A" w:rsidRDefault="003C42E1">
            <w:pPr>
              <w:jc w:val="center"/>
            </w:pPr>
            <w:r>
              <w:rPr>
                <w:color w:val="000000"/>
              </w:rPr>
              <w:t>0.0002%</w:t>
            </w:r>
          </w:p>
        </w:tc>
        <w:tc>
          <w:tcPr>
            <w:tcW w:w="1267" w:type="dxa"/>
            <w:vAlign w:val="center"/>
          </w:tcPr>
          <w:p w:rsidR="005A376A" w:rsidRDefault="003C42E1">
            <w:pPr>
              <w:jc w:val="center"/>
            </w:pPr>
            <w:r>
              <w:rPr>
                <w:color w:val="000000"/>
              </w:rPr>
              <w:t>0.3329%</w:t>
            </w:r>
          </w:p>
        </w:tc>
        <w:tc>
          <w:tcPr>
            <w:tcW w:w="1267" w:type="dxa"/>
            <w:vAlign w:val="center"/>
          </w:tcPr>
          <w:p w:rsidR="005A376A" w:rsidRDefault="003C42E1">
            <w:pPr>
              <w:jc w:val="center"/>
            </w:pPr>
            <w:r>
              <w:rPr>
                <w:color w:val="000000"/>
              </w:rPr>
              <w:t>0.0000%</w:t>
            </w:r>
          </w:p>
        </w:tc>
        <w:tc>
          <w:tcPr>
            <w:tcW w:w="1267" w:type="dxa"/>
            <w:vAlign w:val="center"/>
          </w:tcPr>
          <w:p w:rsidR="005A376A" w:rsidRDefault="003C42E1">
            <w:pPr>
              <w:jc w:val="center"/>
            </w:pPr>
            <w:r>
              <w:rPr>
                <w:color w:val="000000"/>
              </w:rPr>
              <w:t>0.7558%</w:t>
            </w:r>
          </w:p>
        </w:tc>
        <w:tc>
          <w:tcPr>
            <w:tcW w:w="1267" w:type="dxa"/>
            <w:vAlign w:val="center"/>
          </w:tcPr>
          <w:p w:rsidR="005A376A" w:rsidRDefault="003C42E1">
            <w:pPr>
              <w:jc w:val="center"/>
            </w:pPr>
            <w:r>
              <w:rPr>
                <w:color w:val="000000"/>
              </w:rPr>
              <w:t>0.0002%</w:t>
            </w:r>
          </w:p>
        </w:tc>
      </w:tr>
    </w:tbl>
    <w:p w:rsidR="005A376A" w:rsidRDefault="003C42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A376A">
        <w:trPr>
          <w:jc w:val="center"/>
        </w:trPr>
        <w:tc>
          <w:tcPr>
            <w:tcW w:w="1266" w:type="dxa"/>
            <w:vAlign w:val="center"/>
          </w:tcPr>
          <w:p w:rsidR="005A376A" w:rsidRDefault="003C42E1">
            <w:pPr>
              <w:jc w:val="left"/>
            </w:pPr>
            <w:r>
              <w:rPr>
                <w:color w:val="000000"/>
              </w:rPr>
              <w:t>过去三个月</w:t>
            </w:r>
          </w:p>
        </w:tc>
        <w:tc>
          <w:tcPr>
            <w:tcW w:w="1267" w:type="dxa"/>
            <w:vAlign w:val="center"/>
          </w:tcPr>
          <w:p w:rsidR="005A376A" w:rsidRDefault="003C42E1">
            <w:pPr>
              <w:jc w:val="center"/>
            </w:pPr>
            <w:r>
              <w:rPr>
                <w:color w:val="000000"/>
              </w:rPr>
              <w:t>1.1608%</w:t>
            </w:r>
          </w:p>
        </w:tc>
        <w:tc>
          <w:tcPr>
            <w:tcW w:w="1267" w:type="dxa"/>
            <w:vAlign w:val="center"/>
          </w:tcPr>
          <w:p w:rsidR="005A376A" w:rsidRDefault="003C42E1">
            <w:pPr>
              <w:jc w:val="center"/>
            </w:pPr>
            <w:r>
              <w:rPr>
                <w:color w:val="000000"/>
              </w:rPr>
              <w:t>0.0002%</w:t>
            </w:r>
          </w:p>
        </w:tc>
        <w:tc>
          <w:tcPr>
            <w:tcW w:w="1267" w:type="dxa"/>
            <w:vAlign w:val="center"/>
          </w:tcPr>
          <w:p w:rsidR="005A376A" w:rsidRDefault="003C42E1">
            <w:pPr>
              <w:jc w:val="center"/>
            </w:pPr>
            <w:r>
              <w:rPr>
                <w:color w:val="000000"/>
              </w:rPr>
              <w:t>0.3329%</w:t>
            </w:r>
          </w:p>
        </w:tc>
        <w:tc>
          <w:tcPr>
            <w:tcW w:w="1267" w:type="dxa"/>
            <w:vAlign w:val="center"/>
          </w:tcPr>
          <w:p w:rsidR="005A376A" w:rsidRDefault="003C42E1">
            <w:pPr>
              <w:jc w:val="center"/>
            </w:pPr>
            <w:r>
              <w:rPr>
                <w:color w:val="000000"/>
              </w:rPr>
              <w:t>0.0000%</w:t>
            </w:r>
          </w:p>
        </w:tc>
        <w:tc>
          <w:tcPr>
            <w:tcW w:w="1267" w:type="dxa"/>
            <w:vAlign w:val="center"/>
          </w:tcPr>
          <w:p w:rsidR="005A376A" w:rsidRDefault="003C42E1">
            <w:pPr>
              <w:jc w:val="center"/>
            </w:pPr>
            <w:r>
              <w:rPr>
                <w:color w:val="000000"/>
              </w:rPr>
              <w:t>0.8279%</w:t>
            </w:r>
          </w:p>
        </w:tc>
        <w:tc>
          <w:tcPr>
            <w:tcW w:w="1267" w:type="dxa"/>
            <w:vAlign w:val="center"/>
          </w:tcPr>
          <w:p w:rsidR="005A376A" w:rsidRDefault="003C42E1">
            <w:pPr>
              <w:jc w:val="center"/>
            </w:pPr>
            <w:r>
              <w:rPr>
                <w:color w:val="000000"/>
              </w:rPr>
              <w:t>0.0002%</w:t>
            </w:r>
          </w:p>
        </w:tc>
      </w:tr>
    </w:tbl>
    <w:p w:rsidR="005A376A" w:rsidRDefault="003C42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A376A">
        <w:trPr>
          <w:jc w:val="center"/>
        </w:trPr>
        <w:tc>
          <w:tcPr>
            <w:tcW w:w="945" w:type="dxa"/>
            <w:vAlign w:val="center"/>
          </w:tcPr>
          <w:p w:rsidR="005A376A" w:rsidRDefault="003C42E1">
            <w:pPr>
              <w:jc w:val="center"/>
            </w:pPr>
            <w:r>
              <w:rPr>
                <w:color w:val="000000"/>
                <w:sz w:val="24"/>
              </w:rPr>
              <w:t>黄莹洁</w:t>
            </w:r>
          </w:p>
        </w:tc>
        <w:tc>
          <w:tcPr>
            <w:tcW w:w="1589" w:type="dxa"/>
            <w:vAlign w:val="center"/>
          </w:tcPr>
          <w:p w:rsidR="005A376A" w:rsidRDefault="003C42E1" w:rsidP="002F3CE1">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5A376A" w:rsidRDefault="003C42E1">
            <w:pPr>
              <w:jc w:val="center"/>
            </w:pPr>
            <w:r>
              <w:rPr>
                <w:color w:val="000000"/>
                <w:sz w:val="24"/>
              </w:rPr>
              <w:t>2015-05-27</w:t>
            </w:r>
          </w:p>
        </w:tc>
        <w:tc>
          <w:tcPr>
            <w:tcW w:w="1478" w:type="dxa"/>
            <w:vAlign w:val="center"/>
          </w:tcPr>
          <w:p w:rsidR="005A376A" w:rsidRDefault="003C42E1">
            <w:pPr>
              <w:jc w:val="center"/>
            </w:pPr>
            <w:r>
              <w:rPr>
                <w:color w:val="000000"/>
                <w:sz w:val="24"/>
              </w:rPr>
              <w:t>-</w:t>
            </w:r>
          </w:p>
        </w:tc>
        <w:tc>
          <w:tcPr>
            <w:tcW w:w="986" w:type="dxa"/>
            <w:vAlign w:val="center"/>
          </w:tcPr>
          <w:p w:rsidR="005A376A" w:rsidRDefault="003C42E1">
            <w:pPr>
              <w:jc w:val="center"/>
            </w:pPr>
            <w:r>
              <w:rPr>
                <w:color w:val="000000"/>
                <w:sz w:val="24"/>
              </w:rPr>
              <w:t>10</w:t>
            </w:r>
            <w:r>
              <w:rPr>
                <w:color w:val="000000"/>
                <w:sz w:val="24"/>
              </w:rPr>
              <w:t>年</w:t>
            </w:r>
          </w:p>
        </w:tc>
        <w:tc>
          <w:tcPr>
            <w:tcW w:w="2392" w:type="dxa"/>
            <w:vAlign w:val="center"/>
          </w:tcPr>
          <w:p w:rsidR="005A376A" w:rsidRDefault="003C42E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sidR="002F3CE1" w:rsidRPr="002F3CE1">
              <w:rPr>
                <w:rFonts w:hint="eastAsia"/>
                <w:color w:val="000000"/>
                <w:sz w:val="24"/>
              </w:rPr>
              <w:t>2015</w:t>
            </w:r>
            <w:r w:rsidR="002F3CE1" w:rsidRPr="002F3CE1">
              <w:rPr>
                <w:rFonts w:hint="eastAsia"/>
                <w:color w:val="000000"/>
                <w:sz w:val="24"/>
              </w:rPr>
              <w:t>年</w:t>
            </w:r>
            <w:r w:rsidR="002F3CE1" w:rsidRPr="002F3CE1">
              <w:rPr>
                <w:rFonts w:hint="eastAsia"/>
                <w:color w:val="000000"/>
                <w:sz w:val="24"/>
              </w:rPr>
              <w:t>7</w:t>
            </w:r>
            <w:r w:rsidR="002F3CE1" w:rsidRPr="002F3CE1">
              <w:rPr>
                <w:rFonts w:hint="eastAsia"/>
                <w:color w:val="000000"/>
                <w:sz w:val="24"/>
              </w:rPr>
              <w:t>月</w:t>
            </w:r>
            <w:r w:rsidR="002F3CE1" w:rsidRPr="002F3CE1">
              <w:rPr>
                <w:rFonts w:hint="eastAsia"/>
                <w:color w:val="000000"/>
                <w:sz w:val="24"/>
              </w:rPr>
              <w:t>25</w:t>
            </w:r>
            <w:r w:rsidR="002F3CE1" w:rsidRPr="002F3CE1">
              <w:rPr>
                <w:rFonts w:hint="eastAsia"/>
                <w:color w:val="000000"/>
                <w:sz w:val="24"/>
              </w:rPr>
              <w:t>日至</w:t>
            </w:r>
            <w:r w:rsidR="002F3CE1" w:rsidRPr="002F3CE1">
              <w:rPr>
                <w:rFonts w:hint="eastAsia"/>
                <w:color w:val="000000"/>
                <w:sz w:val="24"/>
              </w:rPr>
              <w:t>2018</w:t>
            </w:r>
            <w:r w:rsidR="002F3CE1" w:rsidRPr="002F3CE1">
              <w:rPr>
                <w:rFonts w:hint="eastAsia"/>
                <w:color w:val="000000"/>
                <w:sz w:val="24"/>
              </w:rPr>
              <w:t>年</w:t>
            </w:r>
            <w:r w:rsidR="002F3CE1" w:rsidRPr="002F3CE1">
              <w:rPr>
                <w:rFonts w:hint="eastAsia"/>
                <w:color w:val="000000"/>
                <w:sz w:val="24"/>
              </w:rPr>
              <w:t>3</w:t>
            </w:r>
            <w:r w:rsidR="002F3CE1" w:rsidRPr="002F3CE1">
              <w:rPr>
                <w:rFonts w:hint="eastAsia"/>
                <w:color w:val="000000"/>
                <w:sz w:val="24"/>
              </w:rPr>
              <w:t>月</w:t>
            </w:r>
            <w:r w:rsidR="002F3CE1" w:rsidRPr="002F3CE1">
              <w:rPr>
                <w:rFonts w:hint="eastAsia"/>
                <w:color w:val="000000"/>
                <w:sz w:val="24"/>
              </w:rPr>
              <w:t>19</w:t>
            </w:r>
            <w:r w:rsidR="002F3CE1" w:rsidRPr="002F3CE1">
              <w:rPr>
                <w:rFonts w:hint="eastAsia"/>
                <w:color w:val="000000"/>
                <w:sz w:val="24"/>
              </w:rPr>
              <w:t>日担任交银施罗德丰泽收益债券型证券投资基金的基金经理。</w:t>
            </w:r>
          </w:p>
          <w:p w:rsidR="005A376A" w:rsidRDefault="005A376A"/>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lastRenderedPageBreak/>
        <w:t xml:space="preserve">4.3.1 </w:t>
      </w:r>
      <w:r w:rsidRPr="000E4C40">
        <w:rPr>
          <w:rFonts w:hAnsi="宋体"/>
          <w:sz w:val="24"/>
        </w:rPr>
        <w:t>公平交易制度的执行情况</w:t>
      </w:r>
    </w:p>
    <w:p w:rsidR="005A376A" w:rsidRDefault="003C42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376A" w:rsidRDefault="003C42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376A" w:rsidRDefault="003C42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A376A" w:rsidRDefault="003C42E1">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整体平衡偏宽松，仅呈现局部的结构性紧张态势，资金价格中枢小幅下行。同期存单、存款收益率在二月春节后，开启了一波下行态势，其中狭义流动性边际宽松、银行负债结构改善和</w:t>
      </w:r>
      <w:r>
        <w:rPr>
          <w:color w:val="000000"/>
          <w:sz w:val="24"/>
        </w:rPr>
        <w:t>MPA</w:t>
      </w:r>
      <w:r>
        <w:rPr>
          <w:color w:val="000000"/>
          <w:sz w:val="24"/>
        </w:rPr>
        <w:t>考核等因素成为货币市场收益率变动的主要原因。报告期内，三个月上海银行间拆借利率下行</w:t>
      </w:r>
      <w:r>
        <w:rPr>
          <w:color w:val="000000"/>
          <w:sz w:val="24"/>
        </w:rPr>
        <w:t>45BP</w:t>
      </w:r>
      <w:r>
        <w:rPr>
          <w:color w:val="000000"/>
          <w:sz w:val="24"/>
        </w:rPr>
        <w:t>到</w:t>
      </w:r>
      <w:r>
        <w:rPr>
          <w:color w:val="000000"/>
          <w:sz w:val="24"/>
        </w:rPr>
        <w:t>4.4615%</w:t>
      </w:r>
      <w:r>
        <w:rPr>
          <w:color w:val="000000"/>
          <w:sz w:val="24"/>
        </w:rPr>
        <w:t>。</w:t>
      </w:r>
    </w:p>
    <w:p w:rsidR="005A376A" w:rsidRDefault="003C42E1">
      <w:pPr>
        <w:spacing w:before="29" w:line="288" w:lineRule="auto"/>
        <w:ind w:firstLineChars="200" w:firstLine="480"/>
        <w:rPr>
          <w:color w:val="000000"/>
          <w:sz w:val="24"/>
        </w:rPr>
      </w:pPr>
      <w:r>
        <w:rPr>
          <w:color w:val="000000"/>
          <w:sz w:val="24"/>
        </w:rPr>
        <w:t>基金操作方面，三月末我们视组合流动性情况，增配了高收益的同业存单、银行间</w:t>
      </w:r>
      <w:r>
        <w:rPr>
          <w:color w:val="000000"/>
          <w:sz w:val="24"/>
        </w:rPr>
        <w:lastRenderedPageBreak/>
        <w:t>逆回购、短期融资券等资产，提高了组合收益。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1.0887%</w:t>
      </w:r>
      <w:r w:rsidRPr="000E4C40">
        <w:rPr>
          <w:color w:val="000000"/>
          <w:sz w:val="24"/>
        </w:rPr>
        <w:t>，同期业绩比较基准收益率为</w:t>
      </w:r>
      <w:r w:rsidRPr="000E4C40">
        <w:rPr>
          <w:color w:val="000000"/>
          <w:sz w:val="24"/>
        </w:rPr>
        <w:t>0.3329%</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1.1608%</w:t>
      </w:r>
      <w:r w:rsidRPr="000E4C40">
        <w:rPr>
          <w:color w:val="000000"/>
          <w:sz w:val="24"/>
        </w:rPr>
        <w:t>，同期业绩比较基准收益率为</w:t>
      </w:r>
      <w:r w:rsidRPr="000E4C40">
        <w:rPr>
          <w:color w:val="000000"/>
          <w:sz w:val="24"/>
        </w:rPr>
        <w:t>0.3329%</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12,279,283,839.81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12,279,283,839.81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10,140,404,209.43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45.02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103,836,025.70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22,523,524,074.94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3.52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314,339,482.82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5.09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15.85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35.60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40.37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101.09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89,714,473.27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1,058,909,390.84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1,058,909,390.84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1,261,162,521.11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20,013,170.28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0.09</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9,849,484,284.31</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44.41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12,279,283,839.81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55.37</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lastRenderedPageBreak/>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A376A">
        <w:trPr>
          <w:jc w:val="center"/>
        </w:trPr>
        <w:tc>
          <w:tcPr>
            <w:tcW w:w="0" w:type="auto"/>
            <w:vAlign w:val="center"/>
          </w:tcPr>
          <w:p w:rsidR="005A376A" w:rsidRDefault="003C42E1">
            <w:pPr>
              <w:jc w:val="center"/>
            </w:pPr>
            <w:r>
              <w:rPr>
                <w:color w:val="000000"/>
                <w:sz w:val="24"/>
              </w:rPr>
              <w:t>1</w:t>
            </w:r>
          </w:p>
        </w:tc>
        <w:tc>
          <w:tcPr>
            <w:tcW w:w="0" w:type="auto"/>
            <w:vAlign w:val="center"/>
          </w:tcPr>
          <w:p w:rsidR="005A376A" w:rsidRDefault="003C42E1">
            <w:pPr>
              <w:jc w:val="center"/>
            </w:pPr>
            <w:r>
              <w:rPr>
                <w:color w:val="000000"/>
                <w:sz w:val="24"/>
              </w:rPr>
              <w:t>170410</w:t>
            </w:r>
          </w:p>
        </w:tc>
        <w:tc>
          <w:tcPr>
            <w:tcW w:w="0" w:type="auto"/>
            <w:vAlign w:val="center"/>
          </w:tcPr>
          <w:p w:rsidR="005A376A" w:rsidRDefault="003C42E1">
            <w:pPr>
              <w:jc w:val="center"/>
            </w:pPr>
            <w:r>
              <w:rPr>
                <w:color w:val="000000"/>
                <w:sz w:val="24"/>
              </w:rPr>
              <w:t>17</w:t>
            </w:r>
            <w:r>
              <w:rPr>
                <w:color w:val="000000"/>
                <w:sz w:val="24"/>
              </w:rPr>
              <w:t>农发</w:t>
            </w:r>
            <w:r>
              <w:rPr>
                <w:color w:val="000000"/>
                <w:sz w:val="24"/>
              </w:rPr>
              <w:t>10</w:t>
            </w:r>
          </w:p>
        </w:tc>
        <w:tc>
          <w:tcPr>
            <w:tcW w:w="0" w:type="auto"/>
            <w:vAlign w:val="center"/>
          </w:tcPr>
          <w:p w:rsidR="005A376A" w:rsidRDefault="003C42E1">
            <w:pPr>
              <w:jc w:val="right"/>
            </w:pPr>
            <w:r>
              <w:rPr>
                <w:color w:val="000000"/>
                <w:sz w:val="24"/>
              </w:rPr>
              <w:t>4,900,000</w:t>
            </w:r>
          </w:p>
        </w:tc>
        <w:tc>
          <w:tcPr>
            <w:tcW w:w="0" w:type="auto"/>
            <w:vAlign w:val="center"/>
          </w:tcPr>
          <w:p w:rsidR="005A376A" w:rsidRDefault="003C42E1">
            <w:pPr>
              <w:jc w:val="right"/>
            </w:pPr>
            <w:r>
              <w:rPr>
                <w:color w:val="000000"/>
                <w:sz w:val="24"/>
              </w:rPr>
              <w:t>489,205,073.48</w:t>
            </w:r>
          </w:p>
        </w:tc>
        <w:tc>
          <w:tcPr>
            <w:tcW w:w="0" w:type="auto"/>
            <w:vAlign w:val="center"/>
          </w:tcPr>
          <w:p w:rsidR="005A376A" w:rsidRDefault="003C42E1">
            <w:pPr>
              <w:jc w:val="right"/>
            </w:pPr>
            <w:r>
              <w:rPr>
                <w:color w:val="000000"/>
                <w:sz w:val="24"/>
              </w:rPr>
              <w:t>2.21</w:t>
            </w:r>
          </w:p>
        </w:tc>
      </w:tr>
      <w:tr w:rsidR="005A376A">
        <w:trPr>
          <w:jc w:val="center"/>
        </w:trPr>
        <w:tc>
          <w:tcPr>
            <w:tcW w:w="0" w:type="auto"/>
            <w:vAlign w:val="center"/>
          </w:tcPr>
          <w:p w:rsidR="005A376A" w:rsidRDefault="003C42E1">
            <w:pPr>
              <w:jc w:val="center"/>
            </w:pPr>
            <w:r>
              <w:rPr>
                <w:color w:val="000000"/>
                <w:sz w:val="24"/>
              </w:rPr>
              <w:t>2</w:t>
            </w:r>
          </w:p>
        </w:tc>
        <w:tc>
          <w:tcPr>
            <w:tcW w:w="0" w:type="auto"/>
            <w:vAlign w:val="center"/>
          </w:tcPr>
          <w:p w:rsidR="005A376A" w:rsidRDefault="003C42E1">
            <w:pPr>
              <w:jc w:val="center"/>
            </w:pPr>
            <w:r>
              <w:rPr>
                <w:color w:val="000000"/>
                <w:sz w:val="24"/>
              </w:rPr>
              <w:t>111894254</w:t>
            </w:r>
          </w:p>
        </w:tc>
        <w:tc>
          <w:tcPr>
            <w:tcW w:w="0" w:type="auto"/>
            <w:vAlign w:val="center"/>
          </w:tcPr>
          <w:p w:rsidR="005A376A" w:rsidRDefault="003C42E1">
            <w:pPr>
              <w:jc w:val="center"/>
            </w:pPr>
            <w:r>
              <w:rPr>
                <w:color w:val="000000"/>
                <w:sz w:val="24"/>
              </w:rPr>
              <w:t>18</w:t>
            </w:r>
            <w:r>
              <w:rPr>
                <w:color w:val="000000"/>
                <w:sz w:val="24"/>
              </w:rPr>
              <w:t>合肥科技农村商行</w:t>
            </w:r>
            <w:r>
              <w:rPr>
                <w:color w:val="000000"/>
                <w:sz w:val="24"/>
              </w:rPr>
              <w:t>CD001</w:t>
            </w:r>
          </w:p>
        </w:tc>
        <w:tc>
          <w:tcPr>
            <w:tcW w:w="0" w:type="auto"/>
            <w:vAlign w:val="center"/>
          </w:tcPr>
          <w:p w:rsidR="005A376A" w:rsidRDefault="003C42E1">
            <w:pPr>
              <w:jc w:val="right"/>
            </w:pPr>
            <w:r>
              <w:rPr>
                <w:color w:val="000000"/>
                <w:sz w:val="24"/>
              </w:rPr>
              <w:t>3,000,000</w:t>
            </w:r>
          </w:p>
        </w:tc>
        <w:tc>
          <w:tcPr>
            <w:tcW w:w="0" w:type="auto"/>
            <w:vAlign w:val="center"/>
          </w:tcPr>
          <w:p w:rsidR="005A376A" w:rsidRDefault="003C42E1">
            <w:pPr>
              <w:jc w:val="right"/>
            </w:pPr>
            <w:r>
              <w:rPr>
                <w:color w:val="000000"/>
                <w:sz w:val="24"/>
              </w:rPr>
              <w:t>296,735,653.32</w:t>
            </w:r>
          </w:p>
        </w:tc>
        <w:tc>
          <w:tcPr>
            <w:tcW w:w="0" w:type="auto"/>
            <w:vAlign w:val="center"/>
          </w:tcPr>
          <w:p w:rsidR="005A376A" w:rsidRDefault="003C42E1">
            <w:pPr>
              <w:jc w:val="right"/>
            </w:pPr>
            <w:r>
              <w:rPr>
                <w:color w:val="000000"/>
                <w:sz w:val="24"/>
              </w:rPr>
              <w:t>1.34</w:t>
            </w:r>
          </w:p>
        </w:tc>
      </w:tr>
      <w:tr w:rsidR="005A376A">
        <w:trPr>
          <w:jc w:val="center"/>
        </w:trPr>
        <w:tc>
          <w:tcPr>
            <w:tcW w:w="0" w:type="auto"/>
            <w:vAlign w:val="center"/>
          </w:tcPr>
          <w:p w:rsidR="005A376A" w:rsidRDefault="003C42E1">
            <w:pPr>
              <w:jc w:val="center"/>
            </w:pPr>
            <w:r>
              <w:rPr>
                <w:color w:val="000000"/>
                <w:sz w:val="24"/>
              </w:rPr>
              <w:t>3</w:t>
            </w:r>
          </w:p>
        </w:tc>
        <w:tc>
          <w:tcPr>
            <w:tcW w:w="0" w:type="auto"/>
            <w:vAlign w:val="center"/>
          </w:tcPr>
          <w:p w:rsidR="005A376A" w:rsidRDefault="003C42E1">
            <w:pPr>
              <w:jc w:val="center"/>
            </w:pPr>
            <w:r>
              <w:rPr>
                <w:color w:val="000000"/>
                <w:sz w:val="24"/>
              </w:rPr>
              <w:t>111819126</w:t>
            </w:r>
          </w:p>
        </w:tc>
        <w:tc>
          <w:tcPr>
            <w:tcW w:w="0" w:type="auto"/>
            <w:vAlign w:val="center"/>
          </w:tcPr>
          <w:p w:rsidR="005A376A" w:rsidRDefault="003C42E1">
            <w:pPr>
              <w:jc w:val="center"/>
            </w:pPr>
            <w:r>
              <w:rPr>
                <w:color w:val="000000"/>
                <w:sz w:val="24"/>
              </w:rPr>
              <w:t>18</w:t>
            </w:r>
            <w:r>
              <w:rPr>
                <w:color w:val="000000"/>
                <w:sz w:val="24"/>
              </w:rPr>
              <w:t>恒丰银行</w:t>
            </w:r>
            <w:r>
              <w:rPr>
                <w:color w:val="000000"/>
                <w:sz w:val="24"/>
              </w:rPr>
              <w:t>CD126</w:t>
            </w:r>
          </w:p>
        </w:tc>
        <w:tc>
          <w:tcPr>
            <w:tcW w:w="0" w:type="auto"/>
            <w:vAlign w:val="center"/>
          </w:tcPr>
          <w:p w:rsidR="005A376A" w:rsidRDefault="003C42E1">
            <w:pPr>
              <w:jc w:val="right"/>
            </w:pPr>
            <w:r>
              <w:rPr>
                <w:color w:val="000000"/>
                <w:sz w:val="24"/>
              </w:rPr>
              <w:t>3,000,000</w:t>
            </w:r>
          </w:p>
        </w:tc>
        <w:tc>
          <w:tcPr>
            <w:tcW w:w="0" w:type="auto"/>
            <w:vAlign w:val="center"/>
          </w:tcPr>
          <w:p w:rsidR="005A376A" w:rsidRDefault="003C42E1">
            <w:pPr>
              <w:jc w:val="right"/>
            </w:pPr>
            <w:r>
              <w:rPr>
                <w:color w:val="000000"/>
                <w:sz w:val="24"/>
              </w:rPr>
              <w:t>289,537,825.27</w:t>
            </w:r>
          </w:p>
        </w:tc>
        <w:tc>
          <w:tcPr>
            <w:tcW w:w="0" w:type="auto"/>
            <w:vAlign w:val="center"/>
          </w:tcPr>
          <w:p w:rsidR="005A376A" w:rsidRDefault="003C42E1">
            <w:pPr>
              <w:jc w:val="right"/>
            </w:pPr>
            <w:r>
              <w:rPr>
                <w:color w:val="000000"/>
                <w:sz w:val="24"/>
              </w:rPr>
              <w:t>1.31</w:t>
            </w:r>
          </w:p>
        </w:tc>
      </w:tr>
      <w:tr w:rsidR="005A376A">
        <w:trPr>
          <w:jc w:val="center"/>
        </w:trPr>
        <w:tc>
          <w:tcPr>
            <w:tcW w:w="0" w:type="auto"/>
            <w:vAlign w:val="center"/>
          </w:tcPr>
          <w:p w:rsidR="005A376A" w:rsidRDefault="003C42E1">
            <w:pPr>
              <w:jc w:val="center"/>
            </w:pPr>
            <w:r>
              <w:rPr>
                <w:color w:val="000000"/>
                <w:sz w:val="24"/>
              </w:rPr>
              <w:t>4</w:t>
            </w:r>
          </w:p>
        </w:tc>
        <w:tc>
          <w:tcPr>
            <w:tcW w:w="0" w:type="auto"/>
            <w:vAlign w:val="center"/>
          </w:tcPr>
          <w:p w:rsidR="005A376A" w:rsidRDefault="003C42E1">
            <w:pPr>
              <w:jc w:val="center"/>
            </w:pPr>
            <w:r>
              <w:rPr>
                <w:color w:val="000000"/>
                <w:sz w:val="24"/>
              </w:rPr>
              <w:t>111894388</w:t>
            </w:r>
          </w:p>
        </w:tc>
        <w:tc>
          <w:tcPr>
            <w:tcW w:w="0" w:type="auto"/>
            <w:vAlign w:val="center"/>
          </w:tcPr>
          <w:p w:rsidR="005A376A" w:rsidRDefault="003C42E1">
            <w:pPr>
              <w:jc w:val="center"/>
            </w:pPr>
            <w:r>
              <w:rPr>
                <w:color w:val="000000"/>
                <w:sz w:val="24"/>
              </w:rPr>
              <w:t>18</w:t>
            </w:r>
            <w:r>
              <w:rPr>
                <w:color w:val="000000"/>
                <w:sz w:val="24"/>
              </w:rPr>
              <w:t>鄞州银行</w:t>
            </w:r>
            <w:r>
              <w:rPr>
                <w:color w:val="000000"/>
                <w:sz w:val="24"/>
              </w:rPr>
              <w:t>CD005</w:t>
            </w:r>
          </w:p>
        </w:tc>
        <w:tc>
          <w:tcPr>
            <w:tcW w:w="0" w:type="auto"/>
            <w:vAlign w:val="center"/>
          </w:tcPr>
          <w:p w:rsidR="005A376A" w:rsidRDefault="003C42E1">
            <w:pPr>
              <w:jc w:val="right"/>
            </w:pPr>
            <w:r>
              <w:rPr>
                <w:color w:val="000000"/>
                <w:sz w:val="24"/>
              </w:rPr>
              <w:t>2,700,000</w:t>
            </w:r>
          </w:p>
        </w:tc>
        <w:tc>
          <w:tcPr>
            <w:tcW w:w="0" w:type="auto"/>
            <w:vAlign w:val="center"/>
          </w:tcPr>
          <w:p w:rsidR="005A376A" w:rsidRDefault="003C42E1">
            <w:pPr>
              <w:jc w:val="right"/>
            </w:pPr>
            <w:r>
              <w:rPr>
                <w:color w:val="000000"/>
                <w:sz w:val="24"/>
              </w:rPr>
              <w:t>267,168,392.22</w:t>
            </w:r>
          </w:p>
        </w:tc>
        <w:tc>
          <w:tcPr>
            <w:tcW w:w="0" w:type="auto"/>
            <w:vAlign w:val="center"/>
          </w:tcPr>
          <w:p w:rsidR="005A376A" w:rsidRDefault="003C42E1">
            <w:pPr>
              <w:jc w:val="right"/>
            </w:pPr>
            <w:r>
              <w:rPr>
                <w:color w:val="000000"/>
                <w:sz w:val="24"/>
              </w:rPr>
              <w:t>1.20</w:t>
            </w:r>
          </w:p>
        </w:tc>
      </w:tr>
      <w:tr w:rsidR="005A376A">
        <w:trPr>
          <w:jc w:val="center"/>
        </w:trPr>
        <w:tc>
          <w:tcPr>
            <w:tcW w:w="0" w:type="auto"/>
            <w:vAlign w:val="center"/>
          </w:tcPr>
          <w:p w:rsidR="005A376A" w:rsidRDefault="003C42E1">
            <w:pPr>
              <w:jc w:val="center"/>
            </w:pPr>
            <w:r>
              <w:rPr>
                <w:color w:val="000000"/>
                <w:sz w:val="24"/>
              </w:rPr>
              <w:t>5</w:t>
            </w:r>
          </w:p>
        </w:tc>
        <w:tc>
          <w:tcPr>
            <w:tcW w:w="0" w:type="auto"/>
            <w:vAlign w:val="center"/>
          </w:tcPr>
          <w:p w:rsidR="005A376A" w:rsidRDefault="003C42E1">
            <w:pPr>
              <w:jc w:val="center"/>
            </w:pPr>
            <w:r>
              <w:rPr>
                <w:color w:val="000000"/>
                <w:sz w:val="24"/>
              </w:rPr>
              <w:t>111890919</w:t>
            </w:r>
          </w:p>
        </w:tc>
        <w:tc>
          <w:tcPr>
            <w:tcW w:w="0" w:type="auto"/>
            <w:vAlign w:val="center"/>
          </w:tcPr>
          <w:p w:rsidR="005A376A" w:rsidRDefault="003C42E1">
            <w:pPr>
              <w:jc w:val="center"/>
            </w:pPr>
            <w:r>
              <w:rPr>
                <w:color w:val="000000"/>
                <w:sz w:val="24"/>
              </w:rPr>
              <w:t>18</w:t>
            </w:r>
            <w:r>
              <w:rPr>
                <w:color w:val="000000"/>
                <w:sz w:val="24"/>
              </w:rPr>
              <w:t>天津银行</w:t>
            </w:r>
            <w:r>
              <w:rPr>
                <w:color w:val="000000"/>
                <w:sz w:val="24"/>
              </w:rPr>
              <w:t>CD005</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199,347,532.09</w:t>
            </w:r>
          </w:p>
        </w:tc>
        <w:tc>
          <w:tcPr>
            <w:tcW w:w="0" w:type="auto"/>
            <w:vAlign w:val="center"/>
          </w:tcPr>
          <w:p w:rsidR="005A376A" w:rsidRDefault="003C42E1">
            <w:pPr>
              <w:jc w:val="right"/>
            </w:pPr>
            <w:r>
              <w:rPr>
                <w:color w:val="000000"/>
                <w:sz w:val="24"/>
              </w:rPr>
              <w:t>0.90</w:t>
            </w:r>
          </w:p>
        </w:tc>
      </w:tr>
      <w:tr w:rsidR="005A376A">
        <w:trPr>
          <w:jc w:val="center"/>
        </w:trPr>
        <w:tc>
          <w:tcPr>
            <w:tcW w:w="0" w:type="auto"/>
            <w:vAlign w:val="center"/>
          </w:tcPr>
          <w:p w:rsidR="005A376A" w:rsidRDefault="003C42E1">
            <w:pPr>
              <w:jc w:val="center"/>
            </w:pPr>
            <w:r>
              <w:rPr>
                <w:color w:val="000000"/>
                <w:sz w:val="24"/>
              </w:rPr>
              <w:t>6</w:t>
            </w:r>
          </w:p>
        </w:tc>
        <w:tc>
          <w:tcPr>
            <w:tcW w:w="0" w:type="auto"/>
            <w:vAlign w:val="center"/>
          </w:tcPr>
          <w:p w:rsidR="005A376A" w:rsidRDefault="003C42E1">
            <w:pPr>
              <w:jc w:val="center"/>
            </w:pPr>
            <w:r>
              <w:rPr>
                <w:color w:val="000000"/>
                <w:sz w:val="24"/>
              </w:rPr>
              <w:t>111891566</w:t>
            </w:r>
          </w:p>
        </w:tc>
        <w:tc>
          <w:tcPr>
            <w:tcW w:w="0" w:type="auto"/>
            <w:vAlign w:val="center"/>
          </w:tcPr>
          <w:p w:rsidR="005A376A" w:rsidRDefault="003C42E1">
            <w:pPr>
              <w:jc w:val="center"/>
            </w:pPr>
            <w:r>
              <w:rPr>
                <w:color w:val="000000"/>
                <w:sz w:val="24"/>
              </w:rPr>
              <w:t>18</w:t>
            </w:r>
            <w:r>
              <w:rPr>
                <w:color w:val="000000"/>
                <w:sz w:val="24"/>
              </w:rPr>
              <w:t>张家口银行</w:t>
            </w:r>
            <w:r>
              <w:rPr>
                <w:color w:val="000000"/>
                <w:sz w:val="24"/>
              </w:rPr>
              <w:t>CD001</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199,041,447.75</w:t>
            </w:r>
          </w:p>
        </w:tc>
        <w:tc>
          <w:tcPr>
            <w:tcW w:w="0" w:type="auto"/>
            <w:vAlign w:val="center"/>
          </w:tcPr>
          <w:p w:rsidR="005A376A" w:rsidRDefault="003C42E1">
            <w:pPr>
              <w:jc w:val="right"/>
            </w:pPr>
            <w:r>
              <w:rPr>
                <w:color w:val="000000"/>
                <w:sz w:val="24"/>
              </w:rPr>
              <w:t>0.90</w:t>
            </w:r>
          </w:p>
        </w:tc>
      </w:tr>
      <w:tr w:rsidR="005A376A">
        <w:trPr>
          <w:jc w:val="center"/>
        </w:trPr>
        <w:tc>
          <w:tcPr>
            <w:tcW w:w="0" w:type="auto"/>
            <w:vAlign w:val="center"/>
          </w:tcPr>
          <w:p w:rsidR="005A376A" w:rsidRDefault="003C42E1">
            <w:pPr>
              <w:jc w:val="center"/>
            </w:pPr>
            <w:r>
              <w:rPr>
                <w:color w:val="000000"/>
                <w:sz w:val="24"/>
              </w:rPr>
              <w:t>7</w:t>
            </w:r>
          </w:p>
        </w:tc>
        <w:tc>
          <w:tcPr>
            <w:tcW w:w="0" w:type="auto"/>
            <w:vAlign w:val="center"/>
          </w:tcPr>
          <w:p w:rsidR="005A376A" w:rsidRDefault="003C42E1">
            <w:pPr>
              <w:jc w:val="center"/>
            </w:pPr>
            <w:r>
              <w:rPr>
                <w:color w:val="000000"/>
                <w:sz w:val="24"/>
              </w:rPr>
              <w:t>111784812</w:t>
            </w:r>
          </w:p>
        </w:tc>
        <w:tc>
          <w:tcPr>
            <w:tcW w:w="0" w:type="auto"/>
            <w:vAlign w:val="center"/>
          </w:tcPr>
          <w:p w:rsidR="005A376A" w:rsidRDefault="003C42E1">
            <w:pPr>
              <w:jc w:val="center"/>
            </w:pPr>
            <w:r>
              <w:rPr>
                <w:color w:val="000000"/>
                <w:sz w:val="24"/>
              </w:rPr>
              <w:t>17</w:t>
            </w:r>
            <w:r>
              <w:rPr>
                <w:color w:val="000000"/>
                <w:sz w:val="24"/>
              </w:rPr>
              <w:t>苏州银行</w:t>
            </w:r>
            <w:r>
              <w:rPr>
                <w:color w:val="000000"/>
                <w:sz w:val="24"/>
              </w:rPr>
              <w:t>CD063</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198,048,456.30</w:t>
            </w:r>
          </w:p>
        </w:tc>
        <w:tc>
          <w:tcPr>
            <w:tcW w:w="0" w:type="auto"/>
            <w:vAlign w:val="center"/>
          </w:tcPr>
          <w:p w:rsidR="005A376A" w:rsidRDefault="003C42E1">
            <w:pPr>
              <w:jc w:val="right"/>
            </w:pPr>
            <w:r>
              <w:rPr>
                <w:color w:val="000000"/>
                <w:sz w:val="24"/>
              </w:rPr>
              <w:t>0.89</w:t>
            </w:r>
          </w:p>
        </w:tc>
      </w:tr>
      <w:tr w:rsidR="005A376A">
        <w:trPr>
          <w:jc w:val="center"/>
        </w:trPr>
        <w:tc>
          <w:tcPr>
            <w:tcW w:w="0" w:type="auto"/>
            <w:vAlign w:val="center"/>
          </w:tcPr>
          <w:p w:rsidR="005A376A" w:rsidRDefault="003C42E1">
            <w:pPr>
              <w:jc w:val="center"/>
            </w:pPr>
            <w:r>
              <w:rPr>
                <w:color w:val="000000"/>
                <w:sz w:val="24"/>
              </w:rPr>
              <w:t>8</w:t>
            </w:r>
          </w:p>
        </w:tc>
        <w:tc>
          <w:tcPr>
            <w:tcW w:w="0" w:type="auto"/>
            <w:vAlign w:val="center"/>
          </w:tcPr>
          <w:p w:rsidR="005A376A" w:rsidRDefault="003C42E1">
            <w:pPr>
              <w:jc w:val="center"/>
            </w:pPr>
            <w:r>
              <w:rPr>
                <w:color w:val="000000"/>
                <w:sz w:val="24"/>
              </w:rPr>
              <w:t>111893779</w:t>
            </w:r>
          </w:p>
        </w:tc>
        <w:tc>
          <w:tcPr>
            <w:tcW w:w="0" w:type="auto"/>
            <w:vAlign w:val="center"/>
          </w:tcPr>
          <w:p w:rsidR="005A376A" w:rsidRDefault="003C42E1">
            <w:pPr>
              <w:jc w:val="center"/>
            </w:pPr>
            <w:r>
              <w:rPr>
                <w:color w:val="000000"/>
                <w:sz w:val="24"/>
              </w:rPr>
              <w:t>18</w:t>
            </w:r>
            <w:r>
              <w:rPr>
                <w:color w:val="000000"/>
                <w:sz w:val="24"/>
              </w:rPr>
              <w:t>威海商行</w:t>
            </w:r>
            <w:r>
              <w:rPr>
                <w:color w:val="000000"/>
                <w:sz w:val="24"/>
              </w:rPr>
              <w:t>CD030</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198,016,623.82</w:t>
            </w:r>
          </w:p>
        </w:tc>
        <w:tc>
          <w:tcPr>
            <w:tcW w:w="0" w:type="auto"/>
            <w:vAlign w:val="center"/>
          </w:tcPr>
          <w:p w:rsidR="005A376A" w:rsidRDefault="003C42E1">
            <w:pPr>
              <w:jc w:val="right"/>
            </w:pPr>
            <w:r>
              <w:rPr>
                <w:color w:val="000000"/>
                <w:sz w:val="24"/>
              </w:rPr>
              <w:t>0.89</w:t>
            </w:r>
          </w:p>
        </w:tc>
      </w:tr>
      <w:tr w:rsidR="005A376A">
        <w:trPr>
          <w:jc w:val="center"/>
        </w:trPr>
        <w:tc>
          <w:tcPr>
            <w:tcW w:w="0" w:type="auto"/>
            <w:vAlign w:val="center"/>
          </w:tcPr>
          <w:p w:rsidR="005A376A" w:rsidRDefault="003C42E1">
            <w:pPr>
              <w:jc w:val="center"/>
            </w:pPr>
            <w:r>
              <w:rPr>
                <w:color w:val="000000"/>
                <w:sz w:val="24"/>
              </w:rPr>
              <w:t>9</w:t>
            </w:r>
          </w:p>
        </w:tc>
        <w:tc>
          <w:tcPr>
            <w:tcW w:w="0" w:type="auto"/>
            <w:vAlign w:val="center"/>
          </w:tcPr>
          <w:p w:rsidR="005A376A" w:rsidRDefault="003C42E1">
            <w:pPr>
              <w:jc w:val="center"/>
            </w:pPr>
            <w:r>
              <w:rPr>
                <w:color w:val="000000"/>
                <w:sz w:val="24"/>
              </w:rPr>
              <w:t>111893832</w:t>
            </w:r>
          </w:p>
        </w:tc>
        <w:tc>
          <w:tcPr>
            <w:tcW w:w="0" w:type="auto"/>
            <w:vAlign w:val="center"/>
          </w:tcPr>
          <w:p w:rsidR="005A376A" w:rsidRDefault="003C42E1">
            <w:pPr>
              <w:jc w:val="center"/>
            </w:pPr>
            <w:r>
              <w:rPr>
                <w:color w:val="000000"/>
                <w:sz w:val="24"/>
              </w:rPr>
              <w:t>18</w:t>
            </w:r>
            <w:r>
              <w:rPr>
                <w:color w:val="000000"/>
                <w:sz w:val="24"/>
              </w:rPr>
              <w:t>乌鲁木齐银行</w:t>
            </w:r>
            <w:r>
              <w:rPr>
                <w:color w:val="000000"/>
                <w:sz w:val="24"/>
              </w:rPr>
              <w:t>CD037</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198,008,616.61</w:t>
            </w:r>
          </w:p>
        </w:tc>
        <w:tc>
          <w:tcPr>
            <w:tcW w:w="0" w:type="auto"/>
            <w:vAlign w:val="center"/>
          </w:tcPr>
          <w:p w:rsidR="005A376A" w:rsidRDefault="003C42E1">
            <w:pPr>
              <w:jc w:val="right"/>
            </w:pPr>
            <w:r>
              <w:rPr>
                <w:color w:val="000000"/>
                <w:sz w:val="24"/>
              </w:rPr>
              <w:t>0.89</w:t>
            </w:r>
          </w:p>
        </w:tc>
      </w:tr>
      <w:tr w:rsidR="005A376A">
        <w:trPr>
          <w:jc w:val="center"/>
        </w:trPr>
        <w:tc>
          <w:tcPr>
            <w:tcW w:w="0" w:type="auto"/>
            <w:vAlign w:val="center"/>
          </w:tcPr>
          <w:p w:rsidR="005A376A" w:rsidRDefault="003C42E1">
            <w:pPr>
              <w:jc w:val="center"/>
            </w:pPr>
            <w:r>
              <w:rPr>
                <w:color w:val="000000"/>
                <w:sz w:val="24"/>
              </w:rPr>
              <w:t>10</w:t>
            </w:r>
          </w:p>
        </w:tc>
        <w:tc>
          <w:tcPr>
            <w:tcW w:w="0" w:type="auto"/>
            <w:vAlign w:val="center"/>
          </w:tcPr>
          <w:p w:rsidR="005A376A" w:rsidRDefault="003C42E1">
            <w:pPr>
              <w:jc w:val="center"/>
            </w:pPr>
            <w:r>
              <w:rPr>
                <w:color w:val="000000"/>
                <w:sz w:val="24"/>
              </w:rPr>
              <w:t>111799890</w:t>
            </w:r>
          </w:p>
        </w:tc>
        <w:tc>
          <w:tcPr>
            <w:tcW w:w="0" w:type="auto"/>
            <w:vAlign w:val="center"/>
          </w:tcPr>
          <w:p w:rsidR="005A376A" w:rsidRDefault="003C42E1">
            <w:pPr>
              <w:jc w:val="center"/>
            </w:pPr>
            <w:r>
              <w:rPr>
                <w:color w:val="000000"/>
                <w:sz w:val="24"/>
              </w:rPr>
              <w:t>17</w:t>
            </w:r>
            <w:r>
              <w:rPr>
                <w:color w:val="000000"/>
                <w:sz w:val="24"/>
              </w:rPr>
              <w:t>贵阳银行</w:t>
            </w:r>
            <w:r>
              <w:rPr>
                <w:color w:val="000000"/>
                <w:sz w:val="24"/>
              </w:rPr>
              <w:t>CD079</w:t>
            </w:r>
          </w:p>
        </w:tc>
        <w:tc>
          <w:tcPr>
            <w:tcW w:w="0" w:type="auto"/>
            <w:vAlign w:val="center"/>
          </w:tcPr>
          <w:p w:rsidR="005A376A" w:rsidRDefault="003C42E1">
            <w:pPr>
              <w:jc w:val="right"/>
            </w:pPr>
            <w:r>
              <w:rPr>
                <w:color w:val="000000"/>
                <w:sz w:val="24"/>
              </w:rPr>
              <w:t>2,000,000</w:t>
            </w:r>
          </w:p>
        </w:tc>
        <w:tc>
          <w:tcPr>
            <w:tcW w:w="0" w:type="auto"/>
            <w:vAlign w:val="center"/>
          </w:tcPr>
          <w:p w:rsidR="005A376A" w:rsidRDefault="003C42E1">
            <w:pPr>
              <w:jc w:val="right"/>
            </w:pPr>
            <w:r>
              <w:rPr>
                <w:color w:val="000000"/>
                <w:sz w:val="24"/>
              </w:rPr>
              <w:t>197,902,274.13</w:t>
            </w:r>
          </w:p>
        </w:tc>
        <w:tc>
          <w:tcPr>
            <w:tcW w:w="0" w:type="auto"/>
            <w:vAlign w:val="center"/>
          </w:tcPr>
          <w:p w:rsidR="005A376A" w:rsidRDefault="003C42E1">
            <w:pPr>
              <w:jc w:val="right"/>
            </w:pPr>
            <w:r>
              <w:rPr>
                <w:color w:val="000000"/>
                <w:sz w:val="24"/>
              </w:rPr>
              <w:t>0.89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A90E63">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A90E63">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A90E63" w:rsidRPr="000E4C40" w:rsidTr="00A90E63">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A90E63" w:rsidRPr="000E4C40" w:rsidRDefault="00A90E63" w:rsidP="00A90E63">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nil"/>
              <w:left w:val="nil"/>
              <w:bottom w:val="single" w:sz="8" w:space="0" w:color="000000"/>
              <w:right w:val="single" w:sz="8" w:space="0" w:color="000000"/>
            </w:tcBorders>
            <w:vAlign w:val="center"/>
          </w:tcPr>
          <w:p w:rsidR="00A90E63" w:rsidRPr="00A90E63" w:rsidRDefault="00A90E63" w:rsidP="00A90E63">
            <w:pPr>
              <w:spacing w:before="29" w:line="288" w:lineRule="auto"/>
              <w:jc w:val="right"/>
              <w:rPr>
                <w:sz w:val="24"/>
              </w:rPr>
            </w:pPr>
            <w:r w:rsidRPr="00A90E63">
              <w:rPr>
                <w:color w:val="000000"/>
                <w:sz w:val="24"/>
              </w:rPr>
              <w:t>0.1034%</w:t>
            </w:r>
          </w:p>
        </w:tc>
      </w:tr>
      <w:tr w:rsidR="00A90E63" w:rsidRPr="000E4C40" w:rsidTr="00A90E63">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A90E63" w:rsidRPr="000E4C40" w:rsidRDefault="00A90E63" w:rsidP="00A90E63">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nil"/>
              <w:left w:val="nil"/>
              <w:bottom w:val="single" w:sz="8" w:space="0" w:color="000000"/>
              <w:right w:val="single" w:sz="8" w:space="0" w:color="000000"/>
            </w:tcBorders>
            <w:vAlign w:val="center"/>
          </w:tcPr>
          <w:p w:rsidR="00A90E63" w:rsidRPr="00A90E63" w:rsidRDefault="00A90E63" w:rsidP="00A90E63">
            <w:pPr>
              <w:spacing w:before="29" w:line="288" w:lineRule="auto"/>
              <w:jc w:val="right"/>
              <w:rPr>
                <w:sz w:val="24"/>
              </w:rPr>
            </w:pPr>
            <w:r w:rsidRPr="00A90E63">
              <w:rPr>
                <w:color w:val="000000"/>
                <w:sz w:val="24"/>
              </w:rPr>
              <w:t>0.0115%</w:t>
            </w:r>
          </w:p>
        </w:tc>
      </w:tr>
      <w:tr w:rsidR="00A90E63" w:rsidRPr="000E4C40" w:rsidTr="00A90E63">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A90E63" w:rsidRPr="000E4C40" w:rsidRDefault="00A90E63" w:rsidP="00A90E63">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nil"/>
              <w:left w:val="nil"/>
              <w:bottom w:val="single" w:sz="8" w:space="0" w:color="000000"/>
              <w:right w:val="single" w:sz="8" w:space="0" w:color="000000"/>
            </w:tcBorders>
            <w:vAlign w:val="center"/>
          </w:tcPr>
          <w:p w:rsidR="00A90E63" w:rsidRPr="00A90E63" w:rsidRDefault="00A90E63" w:rsidP="00A90E63">
            <w:pPr>
              <w:spacing w:before="29" w:line="288" w:lineRule="auto"/>
              <w:jc w:val="right"/>
              <w:rPr>
                <w:sz w:val="24"/>
              </w:rPr>
            </w:pPr>
            <w:r w:rsidRPr="00A90E63">
              <w:rPr>
                <w:color w:val="000000"/>
                <w:sz w:val="24"/>
              </w:rPr>
              <w:t>0</w:t>
            </w:r>
            <w:bookmarkStart w:id="2" w:name="_GoBack"/>
            <w:bookmarkEnd w:id="2"/>
            <w:r w:rsidRPr="00A90E63">
              <w:rPr>
                <w:color w:val="000000"/>
                <w:sz w:val="24"/>
              </w:rPr>
              <w:t>.0319%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55.83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103,835,969.87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103,836,025.70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10,350,329.85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8,647,452,384.00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808,702.87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19,231,021,048.87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245,129.40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5,712,881,052.40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10,913,903.32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22,165,592,380.47</w:t>
            </w:r>
          </w:p>
        </w:tc>
      </w:tr>
    </w:tbl>
    <w:p w:rsidR="005A376A" w:rsidRDefault="003C42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A376A">
        <w:tc>
          <w:tcPr>
            <w:tcW w:w="992" w:type="dxa"/>
            <w:vMerge w:val="restart"/>
          </w:tcPr>
          <w:p w:rsidR="005A376A" w:rsidRDefault="005A376A"/>
          <w:p w:rsidR="005A376A" w:rsidRDefault="003C42E1">
            <w:r>
              <w:rPr>
                <w:rFonts w:ascii="宋体" w:hAnsi="宋体" w:hint="eastAsia"/>
                <w:bCs/>
                <w:color w:val="000000"/>
                <w:kern w:val="0"/>
                <w:szCs w:val="21"/>
              </w:rPr>
              <w:t>机构</w:t>
            </w:r>
          </w:p>
        </w:tc>
        <w:tc>
          <w:tcPr>
            <w:tcW w:w="991" w:type="dxa"/>
            <w:vAlign w:val="center"/>
          </w:tcPr>
          <w:p w:rsidR="005A376A" w:rsidRDefault="003C42E1">
            <w:pPr>
              <w:jc w:val="center"/>
            </w:pPr>
            <w:r>
              <w:rPr>
                <w:rFonts w:ascii="宋体" w:hAnsi="宋体" w:hint="eastAsia"/>
                <w:color w:val="000000"/>
                <w:kern w:val="0"/>
                <w:szCs w:val="21"/>
              </w:rPr>
              <w:t>1</w:t>
            </w:r>
          </w:p>
        </w:tc>
        <w:tc>
          <w:tcPr>
            <w:tcW w:w="1843" w:type="dxa"/>
            <w:vAlign w:val="center"/>
          </w:tcPr>
          <w:p w:rsidR="005A376A" w:rsidRDefault="003C42E1">
            <w:pPr>
              <w:jc w:val="center"/>
            </w:pPr>
            <w:r>
              <w:rPr>
                <w:rFonts w:ascii="宋体" w:hAnsi="宋体" w:hint="eastAsia"/>
                <w:color w:val="000000"/>
                <w:kern w:val="0"/>
                <w:szCs w:val="21"/>
              </w:rPr>
              <w:t>2018/1/1-2018/3/31</w:t>
            </w:r>
          </w:p>
        </w:tc>
        <w:tc>
          <w:tcPr>
            <w:tcW w:w="851" w:type="dxa"/>
            <w:vAlign w:val="center"/>
          </w:tcPr>
          <w:p w:rsidR="005A376A" w:rsidRDefault="003C42E1">
            <w:pPr>
              <w:jc w:val="center"/>
            </w:pPr>
            <w:r>
              <w:rPr>
                <w:rFonts w:ascii="宋体" w:hAnsi="宋体" w:hint="eastAsia"/>
                <w:color w:val="000000"/>
                <w:kern w:val="0"/>
                <w:szCs w:val="21"/>
              </w:rPr>
              <w:t>1,515,650,935.20</w:t>
            </w:r>
          </w:p>
        </w:tc>
        <w:tc>
          <w:tcPr>
            <w:tcW w:w="850" w:type="dxa"/>
            <w:vAlign w:val="center"/>
          </w:tcPr>
          <w:p w:rsidR="005A376A" w:rsidRDefault="003C42E1">
            <w:pPr>
              <w:jc w:val="center"/>
            </w:pPr>
            <w:r>
              <w:rPr>
                <w:rFonts w:ascii="宋体" w:hAnsi="宋体" w:hint="eastAsia"/>
                <w:color w:val="000000"/>
                <w:kern w:val="0"/>
                <w:szCs w:val="21"/>
              </w:rPr>
              <w:t>2,023,312,007.83</w:t>
            </w:r>
          </w:p>
        </w:tc>
        <w:tc>
          <w:tcPr>
            <w:tcW w:w="1134" w:type="dxa"/>
            <w:vAlign w:val="center"/>
          </w:tcPr>
          <w:p w:rsidR="005A376A" w:rsidRDefault="003C42E1">
            <w:pPr>
              <w:jc w:val="center"/>
            </w:pPr>
            <w:r>
              <w:rPr>
                <w:rFonts w:ascii="宋体" w:hAnsi="宋体" w:hint="eastAsia"/>
                <w:color w:val="000000"/>
                <w:kern w:val="0"/>
                <w:szCs w:val="21"/>
              </w:rPr>
              <w:t>1,528,176,206.48</w:t>
            </w:r>
          </w:p>
        </w:tc>
        <w:tc>
          <w:tcPr>
            <w:tcW w:w="1419" w:type="dxa"/>
            <w:vAlign w:val="center"/>
          </w:tcPr>
          <w:p w:rsidR="005A376A" w:rsidRDefault="003C42E1">
            <w:pPr>
              <w:jc w:val="center"/>
            </w:pPr>
            <w:r>
              <w:rPr>
                <w:rFonts w:ascii="宋体" w:hAnsi="宋体" w:hint="eastAsia"/>
                <w:color w:val="000000"/>
                <w:kern w:val="0"/>
                <w:szCs w:val="21"/>
              </w:rPr>
              <w:t>2,010,786,736.55</w:t>
            </w:r>
          </w:p>
        </w:tc>
        <w:tc>
          <w:tcPr>
            <w:tcW w:w="1130" w:type="dxa"/>
            <w:vAlign w:val="center"/>
          </w:tcPr>
          <w:p w:rsidR="005A376A" w:rsidRDefault="003C42E1">
            <w:pPr>
              <w:jc w:val="center"/>
            </w:pPr>
            <w:r>
              <w:rPr>
                <w:rFonts w:ascii="宋体" w:hAnsi="宋体" w:hint="eastAsia"/>
                <w:color w:val="000000"/>
                <w:kern w:val="0"/>
                <w:szCs w:val="21"/>
              </w:rPr>
              <w:t>9.07%</w:t>
            </w:r>
          </w:p>
        </w:tc>
      </w:tr>
      <w:tr w:rsidR="005A376A">
        <w:tc>
          <w:tcPr>
            <w:tcW w:w="992" w:type="dxa"/>
            <w:vMerge/>
          </w:tcPr>
          <w:p w:rsidR="005A376A" w:rsidRDefault="005A376A"/>
        </w:tc>
        <w:tc>
          <w:tcPr>
            <w:tcW w:w="991" w:type="dxa"/>
            <w:vAlign w:val="center"/>
          </w:tcPr>
          <w:p w:rsidR="005A376A" w:rsidRDefault="003C42E1">
            <w:pPr>
              <w:jc w:val="center"/>
            </w:pPr>
            <w:r>
              <w:rPr>
                <w:rFonts w:ascii="宋体" w:hAnsi="宋体" w:hint="eastAsia"/>
                <w:color w:val="000000"/>
                <w:kern w:val="0"/>
                <w:szCs w:val="21"/>
              </w:rPr>
              <w:t>2</w:t>
            </w:r>
          </w:p>
        </w:tc>
        <w:tc>
          <w:tcPr>
            <w:tcW w:w="1843" w:type="dxa"/>
            <w:vAlign w:val="center"/>
          </w:tcPr>
          <w:p w:rsidR="005A376A" w:rsidRDefault="003C42E1">
            <w:pPr>
              <w:jc w:val="center"/>
            </w:pPr>
            <w:r>
              <w:rPr>
                <w:rFonts w:ascii="宋体" w:hAnsi="宋体" w:hint="eastAsia"/>
                <w:color w:val="000000"/>
                <w:kern w:val="0"/>
                <w:szCs w:val="21"/>
              </w:rPr>
              <w:t>2018/1/1-2018/3/31</w:t>
            </w:r>
          </w:p>
        </w:tc>
        <w:tc>
          <w:tcPr>
            <w:tcW w:w="851" w:type="dxa"/>
            <w:vAlign w:val="center"/>
          </w:tcPr>
          <w:p w:rsidR="005A376A" w:rsidRDefault="003C42E1">
            <w:pPr>
              <w:jc w:val="center"/>
            </w:pPr>
            <w:r>
              <w:rPr>
                <w:rFonts w:ascii="宋体" w:hAnsi="宋体" w:hint="eastAsia"/>
                <w:color w:val="000000"/>
                <w:kern w:val="0"/>
                <w:szCs w:val="21"/>
              </w:rPr>
              <w:t>-</w:t>
            </w:r>
          </w:p>
        </w:tc>
        <w:tc>
          <w:tcPr>
            <w:tcW w:w="850" w:type="dxa"/>
            <w:vAlign w:val="center"/>
          </w:tcPr>
          <w:p w:rsidR="005A376A" w:rsidRDefault="003C42E1">
            <w:pPr>
              <w:jc w:val="center"/>
            </w:pPr>
            <w:r>
              <w:rPr>
                <w:rFonts w:ascii="宋体" w:hAnsi="宋体" w:hint="eastAsia"/>
                <w:color w:val="000000"/>
                <w:kern w:val="0"/>
                <w:szCs w:val="21"/>
              </w:rPr>
              <w:t>5,518,850,014.32</w:t>
            </w:r>
          </w:p>
        </w:tc>
        <w:tc>
          <w:tcPr>
            <w:tcW w:w="1134" w:type="dxa"/>
            <w:vAlign w:val="center"/>
          </w:tcPr>
          <w:p w:rsidR="005A376A" w:rsidRDefault="003C42E1">
            <w:pPr>
              <w:jc w:val="center"/>
            </w:pPr>
            <w:r>
              <w:rPr>
                <w:rFonts w:ascii="宋体" w:hAnsi="宋体" w:hint="eastAsia"/>
                <w:color w:val="000000"/>
                <w:kern w:val="0"/>
                <w:szCs w:val="21"/>
              </w:rPr>
              <w:t>-</w:t>
            </w:r>
          </w:p>
        </w:tc>
        <w:tc>
          <w:tcPr>
            <w:tcW w:w="1419" w:type="dxa"/>
            <w:vAlign w:val="center"/>
          </w:tcPr>
          <w:p w:rsidR="005A376A" w:rsidRDefault="003C42E1">
            <w:pPr>
              <w:jc w:val="center"/>
            </w:pPr>
            <w:r>
              <w:rPr>
                <w:rFonts w:ascii="宋体" w:hAnsi="宋体" w:hint="eastAsia"/>
                <w:color w:val="000000"/>
                <w:kern w:val="0"/>
                <w:szCs w:val="21"/>
              </w:rPr>
              <w:t>5,518,850,014.32</w:t>
            </w:r>
          </w:p>
        </w:tc>
        <w:tc>
          <w:tcPr>
            <w:tcW w:w="1130" w:type="dxa"/>
            <w:vAlign w:val="center"/>
          </w:tcPr>
          <w:p w:rsidR="005A376A" w:rsidRDefault="003C42E1">
            <w:pPr>
              <w:jc w:val="center"/>
            </w:pPr>
            <w:r>
              <w:rPr>
                <w:rFonts w:ascii="宋体" w:hAnsi="宋体" w:hint="eastAsia"/>
                <w:color w:val="000000"/>
                <w:kern w:val="0"/>
                <w:szCs w:val="21"/>
              </w:rPr>
              <w:t>24.89%</w:t>
            </w:r>
          </w:p>
        </w:tc>
      </w:tr>
      <w:tr w:rsidR="005A376A">
        <w:tc>
          <w:tcPr>
            <w:tcW w:w="992" w:type="dxa"/>
            <w:vMerge/>
          </w:tcPr>
          <w:p w:rsidR="005A376A" w:rsidRDefault="005A376A"/>
        </w:tc>
        <w:tc>
          <w:tcPr>
            <w:tcW w:w="991" w:type="dxa"/>
            <w:vAlign w:val="center"/>
          </w:tcPr>
          <w:p w:rsidR="005A376A" w:rsidRDefault="003C42E1">
            <w:pPr>
              <w:jc w:val="center"/>
            </w:pPr>
            <w:r>
              <w:rPr>
                <w:rFonts w:ascii="宋体" w:hAnsi="宋体" w:hint="eastAsia"/>
                <w:color w:val="000000"/>
                <w:kern w:val="0"/>
                <w:szCs w:val="21"/>
              </w:rPr>
              <w:t>3</w:t>
            </w:r>
          </w:p>
        </w:tc>
        <w:tc>
          <w:tcPr>
            <w:tcW w:w="1843" w:type="dxa"/>
            <w:vAlign w:val="center"/>
          </w:tcPr>
          <w:p w:rsidR="005A376A" w:rsidRDefault="003C42E1">
            <w:pPr>
              <w:jc w:val="center"/>
            </w:pPr>
            <w:r>
              <w:rPr>
                <w:rFonts w:ascii="宋体" w:hAnsi="宋体" w:hint="eastAsia"/>
                <w:color w:val="000000"/>
                <w:kern w:val="0"/>
                <w:szCs w:val="21"/>
              </w:rPr>
              <w:t>2018/1/1-2018/3/31</w:t>
            </w:r>
          </w:p>
        </w:tc>
        <w:tc>
          <w:tcPr>
            <w:tcW w:w="851" w:type="dxa"/>
            <w:vAlign w:val="center"/>
          </w:tcPr>
          <w:p w:rsidR="005A376A" w:rsidRDefault="003C42E1">
            <w:pPr>
              <w:jc w:val="center"/>
            </w:pPr>
            <w:r>
              <w:rPr>
                <w:rFonts w:ascii="宋体" w:hAnsi="宋体" w:hint="eastAsia"/>
                <w:color w:val="000000"/>
                <w:kern w:val="0"/>
                <w:szCs w:val="21"/>
              </w:rPr>
              <w:t>2,016,587,072.35</w:t>
            </w:r>
          </w:p>
        </w:tc>
        <w:tc>
          <w:tcPr>
            <w:tcW w:w="850" w:type="dxa"/>
            <w:vAlign w:val="center"/>
          </w:tcPr>
          <w:p w:rsidR="005A376A" w:rsidRDefault="003C42E1">
            <w:pPr>
              <w:jc w:val="center"/>
            </w:pPr>
            <w:r>
              <w:rPr>
                <w:rFonts w:ascii="宋体" w:hAnsi="宋体" w:hint="eastAsia"/>
                <w:color w:val="000000"/>
                <w:kern w:val="0"/>
                <w:szCs w:val="21"/>
              </w:rPr>
              <w:t>1,035,485,989.05</w:t>
            </w:r>
          </w:p>
        </w:tc>
        <w:tc>
          <w:tcPr>
            <w:tcW w:w="1134" w:type="dxa"/>
            <w:vAlign w:val="center"/>
          </w:tcPr>
          <w:p w:rsidR="005A376A" w:rsidRDefault="003C42E1">
            <w:pPr>
              <w:jc w:val="center"/>
            </w:pPr>
            <w:r>
              <w:rPr>
                <w:rFonts w:ascii="宋体" w:hAnsi="宋体" w:hint="eastAsia"/>
                <w:color w:val="000000"/>
                <w:kern w:val="0"/>
                <w:szCs w:val="21"/>
              </w:rPr>
              <w:t>-</w:t>
            </w:r>
          </w:p>
        </w:tc>
        <w:tc>
          <w:tcPr>
            <w:tcW w:w="1419" w:type="dxa"/>
            <w:vAlign w:val="center"/>
          </w:tcPr>
          <w:p w:rsidR="005A376A" w:rsidRDefault="003C42E1">
            <w:pPr>
              <w:jc w:val="center"/>
            </w:pPr>
            <w:r>
              <w:rPr>
                <w:rFonts w:ascii="宋体" w:hAnsi="宋体" w:hint="eastAsia"/>
                <w:color w:val="000000"/>
                <w:kern w:val="0"/>
                <w:szCs w:val="21"/>
              </w:rPr>
              <w:t>3,052,073,061.40</w:t>
            </w:r>
          </w:p>
        </w:tc>
        <w:tc>
          <w:tcPr>
            <w:tcW w:w="1130" w:type="dxa"/>
            <w:vAlign w:val="center"/>
          </w:tcPr>
          <w:p w:rsidR="005A376A" w:rsidRDefault="003C42E1">
            <w:pPr>
              <w:jc w:val="center"/>
            </w:pPr>
            <w:r>
              <w:rPr>
                <w:rFonts w:ascii="宋体" w:hAnsi="宋体" w:hint="eastAsia"/>
                <w:color w:val="000000"/>
                <w:kern w:val="0"/>
                <w:szCs w:val="21"/>
              </w:rPr>
              <w:t>13.76%</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w:t>
            </w:r>
            <w:r>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lastRenderedPageBreak/>
        <w:t>8.2 影响投资者决策的其他重要信息</w:t>
      </w:r>
    </w:p>
    <w:p w:rsidR="005A376A" w:rsidRPr="003B0533" w:rsidRDefault="003C42E1">
      <w:pPr>
        <w:spacing w:line="360" w:lineRule="auto"/>
        <w:ind w:firstLineChars="200" w:firstLine="480"/>
        <w:rPr>
          <w:rFonts w:ascii="宋体" w:hAnsi="宋体"/>
          <w:color w:val="000000"/>
          <w:sz w:val="24"/>
        </w:rPr>
      </w:pPr>
      <w:r w:rsidRPr="003B0533">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D1E1A" w:rsidRPr="003B0533" w:rsidRDefault="003D1E1A" w:rsidP="003D1E1A">
      <w:pPr>
        <w:spacing w:line="360" w:lineRule="auto"/>
        <w:ind w:firstLineChars="200" w:firstLine="480"/>
        <w:rPr>
          <w:rFonts w:ascii="宋体" w:hAnsi="宋体"/>
          <w:color w:val="000000"/>
          <w:sz w:val="24"/>
        </w:rPr>
      </w:pPr>
      <w:r w:rsidRPr="003B0533">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5A376A" w:rsidRDefault="003C42E1">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A376A" w:rsidRDefault="003C42E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5A376A" w:rsidRDefault="003C42E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E0" w:rsidRDefault="004174E0">
      <w:r>
        <w:separator/>
      </w:r>
    </w:p>
  </w:endnote>
  <w:endnote w:type="continuationSeparator" w:id="0">
    <w:p w:rsidR="004174E0" w:rsidRDefault="0041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A90E63">
      <w:rPr>
        <w:noProof/>
        <w:kern w:val="0"/>
        <w:szCs w:val="21"/>
      </w:rPr>
      <w:t>11</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A90E63">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E0" w:rsidRDefault="004174E0">
      <w:r>
        <w:separator/>
      </w:r>
    </w:p>
  </w:footnote>
  <w:footnote w:type="continuationSeparator" w:id="0">
    <w:p w:rsidR="004174E0" w:rsidRDefault="0041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3CE1"/>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0533"/>
    <w:rsid w:val="003B36B4"/>
    <w:rsid w:val="003B6DC6"/>
    <w:rsid w:val="003C0E8C"/>
    <w:rsid w:val="003C1137"/>
    <w:rsid w:val="003C42E1"/>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174E0"/>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376A"/>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52A85"/>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0E63"/>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172BA"/>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45A17"/>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3A058DF-201A-4A54-8C94-E6EC4694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273EC2-80A2-4CB6-ABE0-C27FE9D2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15</Pages>
  <Words>1331</Words>
  <Characters>7587</Characters>
  <Application>Microsoft Office Word</Application>
  <DocSecurity>0</DocSecurity>
  <Lines>63</Lines>
  <Paragraphs>17</Paragraphs>
  <ScaleCrop>false</ScaleCrop>
  <Company>jysld</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318</cp:revision>
  <cp:lastPrinted>2009-01-22T10:11:00Z</cp:lastPrinted>
  <dcterms:created xsi:type="dcterms:W3CDTF">2012-11-21T05:49:00Z</dcterms:created>
  <dcterms:modified xsi:type="dcterms:W3CDTF">2018-04-19T08:35:00Z</dcterms:modified>
</cp:coreProperties>
</file>