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2018</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2018</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二〇一八年四月二十一日</w:t>
      </w:r>
    </w:p>
    <w:p w:rsidR="00220542" w:rsidRPr="0036023B" w:rsidRDefault="00220542" w:rsidP="006D2F4A">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0F664D" w:rsidRDefault="00953F41">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F664D" w:rsidRDefault="00953F41">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F664D" w:rsidRDefault="00953F4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F664D" w:rsidRDefault="00953F4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F664D" w:rsidRDefault="00953F41">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2018</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39,329,693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66EA5" w:rsidRPr="0036023B" w:rsidTr="00166EA5">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(2018</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-2018</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166EA5" w:rsidRPr="0036023B" w:rsidTr="00166EA5">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1,922,894.45</w:t>
            </w:r>
          </w:p>
        </w:tc>
      </w:tr>
      <w:tr w:rsidR="00166EA5" w:rsidRPr="0036023B" w:rsidTr="00166EA5">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-4,635,697.71</w:t>
            </w:r>
          </w:p>
        </w:tc>
      </w:tr>
      <w:tr w:rsidR="00166EA5" w:rsidRPr="0036023B" w:rsidTr="00166EA5">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-0.1118</w:t>
            </w:r>
          </w:p>
        </w:tc>
      </w:tr>
      <w:tr w:rsidR="00166EA5" w:rsidRPr="0036023B" w:rsidTr="00166EA5">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71,828,561.68</w:t>
            </w:r>
          </w:p>
        </w:tc>
      </w:tr>
      <w:tr w:rsidR="00166EA5" w:rsidRPr="0036023B" w:rsidTr="00166EA5">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1.826</w:t>
            </w:r>
          </w:p>
        </w:tc>
      </w:tr>
    </w:tbl>
    <w:p w:rsidR="000F664D" w:rsidRDefault="00953F4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0F664D">
        <w:trPr>
          <w:jc w:val="center"/>
        </w:trPr>
        <w:tc>
          <w:tcPr>
            <w:tcW w:w="1469" w:type="dxa"/>
            <w:vAlign w:val="center"/>
          </w:tcPr>
          <w:p w:rsidR="000F664D" w:rsidRDefault="00953F41">
            <w:pPr>
              <w:jc w:val="left"/>
            </w:pPr>
            <w:r>
              <w:rPr>
                <w:color w:val="000000"/>
                <w:sz w:val="24"/>
              </w:rPr>
              <w:t>过去三个月</w:t>
            </w:r>
          </w:p>
        </w:tc>
        <w:tc>
          <w:tcPr>
            <w:tcW w:w="1150" w:type="dxa"/>
            <w:vAlign w:val="center"/>
          </w:tcPr>
          <w:p w:rsidR="000F664D" w:rsidRDefault="00953F41">
            <w:pPr>
              <w:jc w:val="center"/>
            </w:pPr>
            <w:r>
              <w:rPr>
                <w:color w:val="000000"/>
                <w:sz w:val="24"/>
              </w:rPr>
              <w:t>-3.54%</w:t>
            </w:r>
          </w:p>
        </w:tc>
        <w:tc>
          <w:tcPr>
            <w:tcW w:w="1223" w:type="dxa"/>
            <w:vAlign w:val="center"/>
          </w:tcPr>
          <w:p w:rsidR="000F664D" w:rsidRDefault="00953F41">
            <w:pPr>
              <w:jc w:val="center"/>
            </w:pPr>
            <w:r>
              <w:rPr>
                <w:color w:val="000000"/>
                <w:sz w:val="24"/>
              </w:rPr>
              <w:t>1.50%</w:t>
            </w:r>
          </w:p>
        </w:tc>
        <w:tc>
          <w:tcPr>
            <w:tcW w:w="1244" w:type="dxa"/>
            <w:vAlign w:val="center"/>
          </w:tcPr>
          <w:p w:rsidR="000F664D" w:rsidRDefault="00953F41">
            <w:pPr>
              <w:jc w:val="center"/>
            </w:pPr>
            <w:r>
              <w:rPr>
                <w:color w:val="000000"/>
                <w:sz w:val="24"/>
              </w:rPr>
              <w:t>-3.47%</w:t>
            </w:r>
          </w:p>
        </w:tc>
        <w:tc>
          <w:tcPr>
            <w:tcW w:w="1251" w:type="dxa"/>
            <w:vAlign w:val="center"/>
          </w:tcPr>
          <w:p w:rsidR="000F664D" w:rsidRDefault="00953F41">
            <w:pPr>
              <w:jc w:val="center"/>
            </w:pPr>
            <w:r>
              <w:rPr>
                <w:color w:val="000000"/>
                <w:sz w:val="24"/>
              </w:rPr>
              <w:t>1.51%</w:t>
            </w:r>
          </w:p>
        </w:tc>
        <w:tc>
          <w:tcPr>
            <w:tcW w:w="1263" w:type="dxa"/>
            <w:vAlign w:val="center"/>
          </w:tcPr>
          <w:p w:rsidR="000F664D" w:rsidRDefault="00953F41">
            <w:pPr>
              <w:jc w:val="center"/>
            </w:pPr>
            <w:r>
              <w:rPr>
                <w:color w:val="000000"/>
                <w:sz w:val="24"/>
              </w:rPr>
              <w:t>-0.07%</w:t>
            </w:r>
          </w:p>
        </w:tc>
        <w:tc>
          <w:tcPr>
            <w:tcW w:w="1268" w:type="dxa"/>
            <w:vAlign w:val="center"/>
          </w:tcPr>
          <w:p w:rsidR="000F664D" w:rsidRDefault="00953F41">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2018</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0F664D">
        <w:trPr>
          <w:jc w:val="center"/>
        </w:trPr>
        <w:tc>
          <w:tcPr>
            <w:tcW w:w="846" w:type="dxa"/>
            <w:vAlign w:val="center"/>
          </w:tcPr>
          <w:p w:rsidR="000F664D" w:rsidRDefault="00953F41">
            <w:pPr>
              <w:jc w:val="center"/>
            </w:pPr>
            <w:r>
              <w:rPr>
                <w:color w:val="000000"/>
                <w:sz w:val="24"/>
              </w:rPr>
              <w:t>蔡铮</w:t>
            </w:r>
          </w:p>
        </w:tc>
        <w:tc>
          <w:tcPr>
            <w:tcW w:w="845" w:type="dxa"/>
            <w:vAlign w:val="center"/>
          </w:tcPr>
          <w:p w:rsidR="000F664D" w:rsidRDefault="00953F41">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lastRenderedPageBreak/>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w:t>
            </w:r>
            <w:r>
              <w:rPr>
                <w:color w:val="000000"/>
                <w:sz w:val="24"/>
              </w:rPr>
              <w:lastRenderedPageBreak/>
              <w:t>多元资产管理副总监</w:t>
            </w:r>
          </w:p>
        </w:tc>
        <w:tc>
          <w:tcPr>
            <w:tcW w:w="1549" w:type="dxa"/>
            <w:vAlign w:val="center"/>
          </w:tcPr>
          <w:p w:rsidR="000F664D" w:rsidRDefault="00953F41">
            <w:pPr>
              <w:jc w:val="center"/>
            </w:pPr>
            <w:r>
              <w:rPr>
                <w:color w:val="000000"/>
                <w:sz w:val="24"/>
              </w:rPr>
              <w:lastRenderedPageBreak/>
              <w:t>2012-12-27</w:t>
            </w:r>
          </w:p>
        </w:tc>
        <w:tc>
          <w:tcPr>
            <w:tcW w:w="1548" w:type="dxa"/>
            <w:vAlign w:val="center"/>
          </w:tcPr>
          <w:p w:rsidR="000F664D" w:rsidRDefault="00953F41">
            <w:pPr>
              <w:jc w:val="center"/>
            </w:pPr>
            <w:r>
              <w:rPr>
                <w:color w:val="000000"/>
                <w:sz w:val="24"/>
              </w:rPr>
              <w:t>-</w:t>
            </w:r>
          </w:p>
        </w:tc>
        <w:tc>
          <w:tcPr>
            <w:tcW w:w="1407" w:type="dxa"/>
            <w:vAlign w:val="center"/>
          </w:tcPr>
          <w:p w:rsidR="000F664D" w:rsidRDefault="00953F41">
            <w:pPr>
              <w:jc w:val="center"/>
            </w:pPr>
            <w:r>
              <w:rPr>
                <w:color w:val="000000"/>
                <w:sz w:val="24"/>
              </w:rPr>
              <w:t>9</w:t>
            </w:r>
            <w:r>
              <w:rPr>
                <w:color w:val="000000"/>
                <w:sz w:val="24"/>
              </w:rPr>
              <w:t>年</w:t>
            </w:r>
          </w:p>
        </w:tc>
        <w:tc>
          <w:tcPr>
            <w:tcW w:w="2673" w:type="dxa"/>
            <w:vAlign w:val="center"/>
          </w:tcPr>
          <w:p w:rsidR="000F664D" w:rsidRDefault="00953F41">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w:t>
            </w:r>
            <w:r>
              <w:rPr>
                <w:color w:val="000000"/>
                <w:sz w:val="24"/>
              </w:rPr>
              <w:lastRenderedPageBreak/>
              <w:t>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0F664D" w:rsidRDefault="00953F4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F664D" w:rsidRDefault="00953F4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F664D" w:rsidRDefault="00953F4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lastRenderedPageBreak/>
        <w:t xml:space="preserve">4.4 </w:t>
      </w:r>
      <w:r w:rsidRPr="0036023B">
        <w:rPr>
          <w:rFonts w:hAnsi="宋体"/>
          <w:b/>
          <w:bCs/>
          <w:color w:val="000000"/>
          <w:sz w:val="24"/>
        </w:rPr>
        <w:t>报告期内基金的投资策略和运作分析</w:t>
      </w:r>
    </w:p>
    <w:p w:rsidR="000F664D" w:rsidRDefault="00953F41">
      <w:pPr>
        <w:spacing w:before="29" w:line="288" w:lineRule="auto"/>
        <w:ind w:firstLineChars="200" w:firstLine="480"/>
        <w:rPr>
          <w:color w:val="000000"/>
          <w:sz w:val="24"/>
        </w:rPr>
      </w:pPr>
      <w:r>
        <w:rPr>
          <w:color w:val="000000"/>
          <w:sz w:val="24"/>
        </w:rPr>
        <w:t>2018</w:t>
      </w:r>
      <w:r>
        <w:rPr>
          <w:color w:val="000000"/>
          <w:sz w:val="24"/>
        </w:rPr>
        <w:t>年一季度国内经济整体延续稳定状态，投资增速缓中趋稳，结构持续优化</w:t>
      </w:r>
      <w:r>
        <w:rPr>
          <w:color w:val="000000"/>
          <w:sz w:val="24"/>
        </w:rPr>
        <w:t>,</w:t>
      </w:r>
      <w:r>
        <w:rPr>
          <w:color w:val="000000"/>
          <w:sz w:val="24"/>
        </w:rPr>
        <w:t>消费增速小幅回落，对经济的贡献有所减弱。新旧动能转换、工业产能持续出清</w:t>
      </w:r>
      <w:r>
        <w:rPr>
          <w:color w:val="000000"/>
          <w:sz w:val="24"/>
        </w:rPr>
        <w:t>,</w:t>
      </w:r>
      <w:r>
        <w:rPr>
          <w:color w:val="000000"/>
          <w:sz w:val="24"/>
        </w:rPr>
        <w:t>同时产能利用率回升，行业集中度上升，经济整体效率提升，继而推动经济增长进入高质量发展阶段的新时代。在此经济背景下，一季度</w:t>
      </w:r>
      <w:r>
        <w:rPr>
          <w:color w:val="000000"/>
          <w:sz w:val="24"/>
        </w:rPr>
        <w:t>A</w:t>
      </w:r>
      <w:r>
        <w:rPr>
          <w:color w:val="000000"/>
          <w:sz w:val="24"/>
        </w:rPr>
        <w:t>股市场宽幅震荡，作为跟踪基准指数的指数基金，一季度基金总体呈现出区间震荡的走势。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我们认为通胀仍将维持温和，货币中性稳健，财政政策持续发力。受中美贸易战影响，短期内外需对经济的拉动作用或将面临一定冲击，但从中长期来看有利于加快培育壮大我国经济新动能。总体而言，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2018</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日，本基金份额净值为</w:t>
      </w:r>
      <w:r w:rsidRPr="0036023B">
        <w:rPr>
          <w:color w:val="000000"/>
          <w:sz w:val="24"/>
        </w:rPr>
        <w:t>1.826</w:t>
      </w:r>
      <w:r w:rsidRPr="0036023B">
        <w:rPr>
          <w:color w:val="000000"/>
          <w:sz w:val="24"/>
        </w:rPr>
        <w:t>元，本报告期份额净值增长率为</w:t>
      </w:r>
      <w:r w:rsidRPr="0036023B">
        <w:rPr>
          <w:color w:val="000000"/>
          <w:sz w:val="24"/>
        </w:rPr>
        <w:t>-3.54%</w:t>
      </w:r>
      <w:r w:rsidRPr="0036023B">
        <w:rPr>
          <w:color w:val="000000"/>
          <w:sz w:val="24"/>
        </w:rPr>
        <w:t>，同期业绩比较基准增长率为</w:t>
      </w:r>
      <w:r w:rsidRPr="0036023B">
        <w:rPr>
          <w:color w:val="000000"/>
          <w:sz w:val="24"/>
        </w:rPr>
        <w:t>-3.47%</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71,006,060.42</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98.51</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71,006,060.42</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98.51</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157,400.00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0.22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157,400.00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0.22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917,122.30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1.27</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794.21</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72,081,376.93</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2,773,726.00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3.86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482,300.80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0.67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46,732,181.93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65.06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1,162,759.90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1.62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686,830.24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812,290.00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228,390.00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441,438.00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6,736,653.38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9.38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8,888,379.41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12.37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1,683,740.76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2.34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377,370.00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71,006,060.42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98.85</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0F664D">
        <w:trPr>
          <w:jc w:val="center"/>
        </w:trPr>
        <w:tc>
          <w:tcPr>
            <w:tcW w:w="850" w:type="dxa"/>
            <w:vAlign w:val="center"/>
          </w:tcPr>
          <w:p w:rsidR="000F664D" w:rsidRDefault="00953F41">
            <w:pPr>
              <w:jc w:val="center"/>
            </w:pPr>
            <w:r>
              <w:rPr>
                <w:color w:val="000000"/>
                <w:sz w:val="24"/>
              </w:rPr>
              <w:t>1</w:t>
            </w:r>
          </w:p>
        </w:tc>
        <w:tc>
          <w:tcPr>
            <w:tcW w:w="1327" w:type="dxa"/>
            <w:vAlign w:val="center"/>
          </w:tcPr>
          <w:p w:rsidR="000F664D" w:rsidRDefault="00953F41">
            <w:pPr>
              <w:jc w:val="center"/>
            </w:pPr>
            <w:r>
              <w:rPr>
                <w:color w:val="000000"/>
                <w:sz w:val="24"/>
              </w:rPr>
              <w:t>000333</w:t>
            </w:r>
          </w:p>
        </w:tc>
        <w:tc>
          <w:tcPr>
            <w:tcW w:w="1769" w:type="dxa"/>
            <w:vAlign w:val="center"/>
          </w:tcPr>
          <w:p w:rsidR="000F664D" w:rsidRDefault="00953F41">
            <w:pPr>
              <w:jc w:val="center"/>
            </w:pPr>
            <w:r>
              <w:rPr>
                <w:color w:val="000000"/>
                <w:sz w:val="24"/>
              </w:rPr>
              <w:t>美的集团</w:t>
            </w:r>
          </w:p>
        </w:tc>
        <w:tc>
          <w:tcPr>
            <w:tcW w:w="1327" w:type="dxa"/>
            <w:vAlign w:val="center"/>
          </w:tcPr>
          <w:p w:rsidR="000F664D" w:rsidRDefault="00953F41">
            <w:pPr>
              <w:jc w:val="right"/>
            </w:pPr>
            <w:r>
              <w:rPr>
                <w:color w:val="000000"/>
                <w:sz w:val="24"/>
              </w:rPr>
              <w:t>118,753</w:t>
            </w:r>
          </w:p>
        </w:tc>
        <w:tc>
          <w:tcPr>
            <w:tcW w:w="1915" w:type="dxa"/>
            <w:vAlign w:val="center"/>
          </w:tcPr>
          <w:p w:rsidR="000F664D" w:rsidRDefault="00953F41">
            <w:pPr>
              <w:jc w:val="right"/>
            </w:pPr>
            <w:r>
              <w:rPr>
                <w:color w:val="000000"/>
                <w:sz w:val="24"/>
              </w:rPr>
              <w:t>6,475,601.09</w:t>
            </w:r>
          </w:p>
        </w:tc>
        <w:tc>
          <w:tcPr>
            <w:tcW w:w="1680" w:type="dxa"/>
            <w:vAlign w:val="center"/>
          </w:tcPr>
          <w:p w:rsidR="000F664D" w:rsidRDefault="00953F41">
            <w:pPr>
              <w:jc w:val="right"/>
            </w:pPr>
            <w:r>
              <w:rPr>
                <w:color w:val="000000"/>
                <w:sz w:val="24"/>
              </w:rPr>
              <w:t>9.02</w:t>
            </w:r>
          </w:p>
        </w:tc>
      </w:tr>
      <w:tr w:rsidR="000F664D">
        <w:trPr>
          <w:jc w:val="center"/>
        </w:trPr>
        <w:tc>
          <w:tcPr>
            <w:tcW w:w="850" w:type="dxa"/>
            <w:vAlign w:val="center"/>
          </w:tcPr>
          <w:p w:rsidR="000F664D" w:rsidRDefault="00953F41">
            <w:pPr>
              <w:jc w:val="center"/>
            </w:pPr>
            <w:r>
              <w:rPr>
                <w:color w:val="000000"/>
                <w:sz w:val="24"/>
              </w:rPr>
              <w:t>2</w:t>
            </w:r>
          </w:p>
        </w:tc>
        <w:tc>
          <w:tcPr>
            <w:tcW w:w="1327" w:type="dxa"/>
            <w:vAlign w:val="center"/>
          </w:tcPr>
          <w:p w:rsidR="000F664D" w:rsidRDefault="00953F41">
            <w:pPr>
              <w:jc w:val="center"/>
            </w:pPr>
            <w:r>
              <w:rPr>
                <w:color w:val="000000"/>
                <w:sz w:val="24"/>
              </w:rPr>
              <w:t>000651</w:t>
            </w:r>
          </w:p>
        </w:tc>
        <w:tc>
          <w:tcPr>
            <w:tcW w:w="1769" w:type="dxa"/>
            <w:vAlign w:val="center"/>
          </w:tcPr>
          <w:p w:rsidR="000F664D" w:rsidRDefault="00953F41">
            <w:pPr>
              <w:jc w:val="center"/>
            </w:pPr>
            <w:r>
              <w:rPr>
                <w:color w:val="000000"/>
                <w:sz w:val="24"/>
              </w:rPr>
              <w:t>格力电器</w:t>
            </w:r>
          </w:p>
        </w:tc>
        <w:tc>
          <w:tcPr>
            <w:tcW w:w="1327" w:type="dxa"/>
            <w:vAlign w:val="center"/>
          </w:tcPr>
          <w:p w:rsidR="000F664D" w:rsidRDefault="00953F41">
            <w:pPr>
              <w:jc w:val="right"/>
            </w:pPr>
            <w:r>
              <w:rPr>
                <w:color w:val="000000"/>
                <w:sz w:val="24"/>
              </w:rPr>
              <w:t>126,974</w:t>
            </w:r>
          </w:p>
        </w:tc>
        <w:tc>
          <w:tcPr>
            <w:tcW w:w="1915" w:type="dxa"/>
            <w:vAlign w:val="center"/>
          </w:tcPr>
          <w:p w:rsidR="000F664D" w:rsidRDefault="00953F41">
            <w:pPr>
              <w:jc w:val="right"/>
            </w:pPr>
            <w:r>
              <w:rPr>
                <w:color w:val="000000"/>
                <w:sz w:val="24"/>
              </w:rPr>
              <w:t>5,955,080.60</w:t>
            </w:r>
          </w:p>
        </w:tc>
        <w:tc>
          <w:tcPr>
            <w:tcW w:w="1680" w:type="dxa"/>
            <w:vAlign w:val="center"/>
          </w:tcPr>
          <w:p w:rsidR="000F664D" w:rsidRDefault="00953F41">
            <w:pPr>
              <w:jc w:val="right"/>
            </w:pPr>
            <w:r>
              <w:rPr>
                <w:color w:val="000000"/>
                <w:sz w:val="24"/>
              </w:rPr>
              <w:t>8.29</w:t>
            </w:r>
          </w:p>
        </w:tc>
      </w:tr>
      <w:tr w:rsidR="000F664D">
        <w:trPr>
          <w:jc w:val="center"/>
        </w:trPr>
        <w:tc>
          <w:tcPr>
            <w:tcW w:w="850" w:type="dxa"/>
            <w:vAlign w:val="center"/>
          </w:tcPr>
          <w:p w:rsidR="000F664D" w:rsidRDefault="00953F41">
            <w:pPr>
              <w:jc w:val="center"/>
            </w:pPr>
            <w:r>
              <w:rPr>
                <w:color w:val="000000"/>
                <w:sz w:val="24"/>
              </w:rPr>
              <w:t>3</w:t>
            </w:r>
          </w:p>
        </w:tc>
        <w:tc>
          <w:tcPr>
            <w:tcW w:w="1327" w:type="dxa"/>
            <w:vAlign w:val="center"/>
          </w:tcPr>
          <w:p w:rsidR="000F664D" w:rsidRDefault="00953F41">
            <w:pPr>
              <w:jc w:val="center"/>
            </w:pPr>
            <w:r>
              <w:rPr>
                <w:color w:val="000000"/>
                <w:sz w:val="24"/>
              </w:rPr>
              <w:t>002415</w:t>
            </w:r>
          </w:p>
        </w:tc>
        <w:tc>
          <w:tcPr>
            <w:tcW w:w="1769" w:type="dxa"/>
            <w:vAlign w:val="center"/>
          </w:tcPr>
          <w:p w:rsidR="000F664D" w:rsidRDefault="00953F41">
            <w:pPr>
              <w:jc w:val="center"/>
            </w:pPr>
            <w:r>
              <w:rPr>
                <w:color w:val="000000"/>
                <w:sz w:val="24"/>
              </w:rPr>
              <w:t>海康威视</w:t>
            </w:r>
          </w:p>
        </w:tc>
        <w:tc>
          <w:tcPr>
            <w:tcW w:w="1327" w:type="dxa"/>
            <w:vAlign w:val="center"/>
          </w:tcPr>
          <w:p w:rsidR="000F664D" w:rsidRDefault="00953F41">
            <w:pPr>
              <w:jc w:val="right"/>
            </w:pPr>
            <w:r>
              <w:rPr>
                <w:color w:val="000000"/>
                <w:sz w:val="24"/>
              </w:rPr>
              <w:t>87,195</w:t>
            </w:r>
          </w:p>
        </w:tc>
        <w:tc>
          <w:tcPr>
            <w:tcW w:w="1915" w:type="dxa"/>
            <w:vAlign w:val="center"/>
          </w:tcPr>
          <w:p w:rsidR="000F664D" w:rsidRDefault="00953F41">
            <w:pPr>
              <w:jc w:val="right"/>
            </w:pPr>
            <w:r>
              <w:rPr>
                <w:color w:val="000000"/>
                <w:sz w:val="24"/>
              </w:rPr>
              <w:t>3,601,153.50</w:t>
            </w:r>
          </w:p>
        </w:tc>
        <w:tc>
          <w:tcPr>
            <w:tcW w:w="1680" w:type="dxa"/>
            <w:vAlign w:val="center"/>
          </w:tcPr>
          <w:p w:rsidR="000F664D" w:rsidRDefault="00953F41">
            <w:pPr>
              <w:jc w:val="right"/>
            </w:pPr>
            <w:r>
              <w:rPr>
                <w:color w:val="000000"/>
                <w:sz w:val="24"/>
              </w:rPr>
              <w:t>5.01</w:t>
            </w:r>
          </w:p>
        </w:tc>
      </w:tr>
      <w:tr w:rsidR="000F664D">
        <w:trPr>
          <w:jc w:val="center"/>
        </w:trPr>
        <w:tc>
          <w:tcPr>
            <w:tcW w:w="850" w:type="dxa"/>
            <w:vAlign w:val="center"/>
          </w:tcPr>
          <w:p w:rsidR="000F664D" w:rsidRDefault="00953F41">
            <w:pPr>
              <w:jc w:val="center"/>
            </w:pPr>
            <w:r>
              <w:rPr>
                <w:color w:val="000000"/>
                <w:sz w:val="24"/>
              </w:rPr>
              <w:t>4</w:t>
            </w:r>
          </w:p>
        </w:tc>
        <w:tc>
          <w:tcPr>
            <w:tcW w:w="1327" w:type="dxa"/>
            <w:vAlign w:val="center"/>
          </w:tcPr>
          <w:p w:rsidR="000F664D" w:rsidRDefault="00953F41">
            <w:pPr>
              <w:jc w:val="center"/>
            </w:pPr>
            <w:r>
              <w:rPr>
                <w:color w:val="000000"/>
                <w:sz w:val="24"/>
              </w:rPr>
              <w:t>000002</w:t>
            </w:r>
          </w:p>
        </w:tc>
        <w:tc>
          <w:tcPr>
            <w:tcW w:w="1769" w:type="dxa"/>
            <w:vAlign w:val="center"/>
          </w:tcPr>
          <w:p w:rsidR="000F664D" w:rsidRDefault="00953F41">
            <w:pPr>
              <w:jc w:val="center"/>
            </w:pPr>
            <w:r>
              <w:rPr>
                <w:color w:val="000000"/>
                <w:sz w:val="24"/>
              </w:rPr>
              <w:t>万科</w:t>
            </w:r>
            <w:r>
              <w:rPr>
                <w:color w:val="000000"/>
                <w:sz w:val="24"/>
              </w:rPr>
              <w:t>A</w:t>
            </w:r>
          </w:p>
        </w:tc>
        <w:tc>
          <w:tcPr>
            <w:tcW w:w="1327" w:type="dxa"/>
            <w:vAlign w:val="center"/>
          </w:tcPr>
          <w:p w:rsidR="000F664D" w:rsidRDefault="00953F41">
            <w:pPr>
              <w:jc w:val="right"/>
            </w:pPr>
            <w:r>
              <w:rPr>
                <w:color w:val="000000"/>
                <w:sz w:val="24"/>
              </w:rPr>
              <w:t>107,400</w:t>
            </w:r>
          </w:p>
        </w:tc>
        <w:tc>
          <w:tcPr>
            <w:tcW w:w="1915" w:type="dxa"/>
            <w:vAlign w:val="center"/>
          </w:tcPr>
          <w:p w:rsidR="000F664D" w:rsidRDefault="00953F41">
            <w:pPr>
              <w:jc w:val="right"/>
            </w:pPr>
            <w:r>
              <w:rPr>
                <w:color w:val="000000"/>
                <w:sz w:val="24"/>
              </w:rPr>
              <w:t>3,575,346.00</w:t>
            </w:r>
          </w:p>
        </w:tc>
        <w:tc>
          <w:tcPr>
            <w:tcW w:w="1680" w:type="dxa"/>
            <w:vAlign w:val="center"/>
          </w:tcPr>
          <w:p w:rsidR="000F664D" w:rsidRDefault="00953F41">
            <w:pPr>
              <w:jc w:val="right"/>
            </w:pPr>
            <w:r>
              <w:rPr>
                <w:color w:val="000000"/>
                <w:sz w:val="24"/>
              </w:rPr>
              <w:t>4.98</w:t>
            </w:r>
          </w:p>
        </w:tc>
      </w:tr>
      <w:tr w:rsidR="000F664D">
        <w:trPr>
          <w:jc w:val="center"/>
        </w:trPr>
        <w:tc>
          <w:tcPr>
            <w:tcW w:w="850" w:type="dxa"/>
            <w:vAlign w:val="center"/>
          </w:tcPr>
          <w:p w:rsidR="000F664D" w:rsidRDefault="00953F41">
            <w:pPr>
              <w:jc w:val="center"/>
            </w:pPr>
            <w:r>
              <w:rPr>
                <w:color w:val="000000"/>
                <w:sz w:val="24"/>
              </w:rPr>
              <w:t>5</w:t>
            </w:r>
          </w:p>
        </w:tc>
        <w:tc>
          <w:tcPr>
            <w:tcW w:w="1327" w:type="dxa"/>
            <w:vAlign w:val="center"/>
          </w:tcPr>
          <w:p w:rsidR="000F664D" w:rsidRDefault="00953F41">
            <w:pPr>
              <w:jc w:val="center"/>
            </w:pPr>
            <w:r>
              <w:rPr>
                <w:color w:val="000000"/>
                <w:sz w:val="24"/>
              </w:rPr>
              <w:t>000725</w:t>
            </w:r>
          </w:p>
        </w:tc>
        <w:tc>
          <w:tcPr>
            <w:tcW w:w="1769" w:type="dxa"/>
            <w:vAlign w:val="center"/>
          </w:tcPr>
          <w:p w:rsidR="000F664D" w:rsidRDefault="00953F41">
            <w:pPr>
              <w:jc w:val="center"/>
            </w:pPr>
            <w:r>
              <w:rPr>
                <w:color w:val="000000"/>
                <w:sz w:val="24"/>
              </w:rPr>
              <w:t>京东方</w:t>
            </w:r>
            <w:r>
              <w:rPr>
                <w:color w:val="000000"/>
                <w:sz w:val="24"/>
              </w:rPr>
              <w:t>A</w:t>
            </w:r>
          </w:p>
        </w:tc>
        <w:tc>
          <w:tcPr>
            <w:tcW w:w="1327" w:type="dxa"/>
            <w:vAlign w:val="center"/>
          </w:tcPr>
          <w:p w:rsidR="000F664D" w:rsidRDefault="00953F41">
            <w:pPr>
              <w:jc w:val="right"/>
            </w:pPr>
            <w:r>
              <w:rPr>
                <w:color w:val="000000"/>
                <w:sz w:val="24"/>
              </w:rPr>
              <w:t>663,885</w:t>
            </w:r>
          </w:p>
        </w:tc>
        <w:tc>
          <w:tcPr>
            <w:tcW w:w="1915" w:type="dxa"/>
            <w:vAlign w:val="center"/>
          </w:tcPr>
          <w:p w:rsidR="000F664D" w:rsidRDefault="00953F41">
            <w:pPr>
              <w:jc w:val="right"/>
            </w:pPr>
            <w:r>
              <w:rPr>
                <w:color w:val="000000"/>
                <w:sz w:val="24"/>
              </w:rPr>
              <w:t>3,531,868.20</w:t>
            </w:r>
          </w:p>
        </w:tc>
        <w:tc>
          <w:tcPr>
            <w:tcW w:w="1680" w:type="dxa"/>
            <w:vAlign w:val="center"/>
          </w:tcPr>
          <w:p w:rsidR="000F664D" w:rsidRDefault="00953F41">
            <w:pPr>
              <w:jc w:val="right"/>
            </w:pPr>
            <w:r>
              <w:rPr>
                <w:color w:val="000000"/>
                <w:sz w:val="24"/>
              </w:rPr>
              <w:t>4.92</w:t>
            </w:r>
          </w:p>
        </w:tc>
      </w:tr>
      <w:tr w:rsidR="000F664D">
        <w:trPr>
          <w:jc w:val="center"/>
        </w:trPr>
        <w:tc>
          <w:tcPr>
            <w:tcW w:w="850" w:type="dxa"/>
            <w:vAlign w:val="center"/>
          </w:tcPr>
          <w:p w:rsidR="000F664D" w:rsidRDefault="00953F41">
            <w:pPr>
              <w:jc w:val="center"/>
            </w:pPr>
            <w:r>
              <w:rPr>
                <w:color w:val="000000"/>
                <w:sz w:val="24"/>
              </w:rPr>
              <w:t>6</w:t>
            </w:r>
          </w:p>
        </w:tc>
        <w:tc>
          <w:tcPr>
            <w:tcW w:w="1327" w:type="dxa"/>
            <w:vAlign w:val="center"/>
          </w:tcPr>
          <w:p w:rsidR="000F664D" w:rsidRDefault="00953F41">
            <w:pPr>
              <w:jc w:val="center"/>
            </w:pPr>
            <w:r>
              <w:rPr>
                <w:color w:val="000000"/>
                <w:sz w:val="24"/>
              </w:rPr>
              <w:t>000858</w:t>
            </w:r>
          </w:p>
        </w:tc>
        <w:tc>
          <w:tcPr>
            <w:tcW w:w="1769" w:type="dxa"/>
            <w:vAlign w:val="center"/>
          </w:tcPr>
          <w:p w:rsidR="000F664D" w:rsidRDefault="00953F41">
            <w:pPr>
              <w:jc w:val="center"/>
            </w:pPr>
            <w:r>
              <w:rPr>
                <w:color w:val="000000"/>
                <w:sz w:val="24"/>
              </w:rPr>
              <w:t>五粮液</w:t>
            </w:r>
          </w:p>
        </w:tc>
        <w:tc>
          <w:tcPr>
            <w:tcW w:w="1327" w:type="dxa"/>
            <w:vAlign w:val="center"/>
          </w:tcPr>
          <w:p w:rsidR="000F664D" w:rsidRDefault="00953F41">
            <w:pPr>
              <w:jc w:val="right"/>
            </w:pPr>
            <w:r>
              <w:rPr>
                <w:color w:val="000000"/>
                <w:sz w:val="24"/>
              </w:rPr>
              <w:t>48,726</w:t>
            </w:r>
          </w:p>
        </w:tc>
        <w:tc>
          <w:tcPr>
            <w:tcW w:w="1915" w:type="dxa"/>
            <w:vAlign w:val="center"/>
          </w:tcPr>
          <w:p w:rsidR="000F664D" w:rsidRDefault="00953F41">
            <w:pPr>
              <w:jc w:val="right"/>
            </w:pPr>
            <w:r>
              <w:rPr>
                <w:color w:val="000000"/>
                <w:sz w:val="24"/>
              </w:rPr>
              <w:t>3,233,457.36</w:t>
            </w:r>
          </w:p>
        </w:tc>
        <w:tc>
          <w:tcPr>
            <w:tcW w:w="1680" w:type="dxa"/>
            <w:vAlign w:val="center"/>
          </w:tcPr>
          <w:p w:rsidR="000F664D" w:rsidRDefault="00953F41">
            <w:pPr>
              <w:jc w:val="right"/>
            </w:pPr>
            <w:r>
              <w:rPr>
                <w:color w:val="000000"/>
                <w:sz w:val="24"/>
              </w:rPr>
              <w:t>4.50</w:t>
            </w:r>
          </w:p>
        </w:tc>
      </w:tr>
      <w:tr w:rsidR="000F664D">
        <w:trPr>
          <w:jc w:val="center"/>
        </w:trPr>
        <w:tc>
          <w:tcPr>
            <w:tcW w:w="850" w:type="dxa"/>
            <w:vAlign w:val="center"/>
          </w:tcPr>
          <w:p w:rsidR="000F664D" w:rsidRDefault="00953F41">
            <w:pPr>
              <w:jc w:val="center"/>
            </w:pPr>
            <w:r>
              <w:rPr>
                <w:color w:val="000000"/>
                <w:sz w:val="24"/>
              </w:rPr>
              <w:t>7</w:t>
            </w:r>
          </w:p>
        </w:tc>
        <w:tc>
          <w:tcPr>
            <w:tcW w:w="1327" w:type="dxa"/>
            <w:vAlign w:val="center"/>
          </w:tcPr>
          <w:p w:rsidR="000F664D" w:rsidRDefault="00953F41">
            <w:pPr>
              <w:jc w:val="center"/>
            </w:pPr>
            <w:r>
              <w:rPr>
                <w:color w:val="000000"/>
                <w:sz w:val="24"/>
              </w:rPr>
              <w:t>000001</w:t>
            </w:r>
          </w:p>
        </w:tc>
        <w:tc>
          <w:tcPr>
            <w:tcW w:w="1769" w:type="dxa"/>
            <w:vAlign w:val="center"/>
          </w:tcPr>
          <w:p w:rsidR="000F664D" w:rsidRDefault="00953F41">
            <w:pPr>
              <w:jc w:val="center"/>
            </w:pPr>
            <w:r>
              <w:rPr>
                <w:color w:val="000000"/>
                <w:sz w:val="24"/>
              </w:rPr>
              <w:t>平安银行</w:t>
            </w:r>
          </w:p>
        </w:tc>
        <w:tc>
          <w:tcPr>
            <w:tcW w:w="1327" w:type="dxa"/>
            <w:vAlign w:val="center"/>
          </w:tcPr>
          <w:p w:rsidR="000F664D" w:rsidRDefault="00953F41">
            <w:pPr>
              <w:jc w:val="right"/>
            </w:pPr>
            <w:r>
              <w:rPr>
                <w:color w:val="000000"/>
                <w:sz w:val="24"/>
              </w:rPr>
              <w:t>223,594</w:t>
            </w:r>
          </w:p>
        </w:tc>
        <w:tc>
          <w:tcPr>
            <w:tcW w:w="1915" w:type="dxa"/>
            <w:vAlign w:val="center"/>
          </w:tcPr>
          <w:p w:rsidR="000F664D" w:rsidRDefault="00953F41">
            <w:pPr>
              <w:jc w:val="right"/>
            </w:pPr>
            <w:r>
              <w:rPr>
                <w:color w:val="000000"/>
                <w:sz w:val="24"/>
              </w:rPr>
              <w:t>2,437,174.60</w:t>
            </w:r>
          </w:p>
        </w:tc>
        <w:tc>
          <w:tcPr>
            <w:tcW w:w="1680" w:type="dxa"/>
            <w:vAlign w:val="center"/>
          </w:tcPr>
          <w:p w:rsidR="000F664D" w:rsidRDefault="00953F41">
            <w:pPr>
              <w:jc w:val="right"/>
            </w:pPr>
            <w:r>
              <w:rPr>
                <w:color w:val="000000"/>
                <w:sz w:val="24"/>
              </w:rPr>
              <w:t>3.39</w:t>
            </w:r>
          </w:p>
        </w:tc>
      </w:tr>
      <w:tr w:rsidR="000F664D">
        <w:trPr>
          <w:jc w:val="center"/>
        </w:trPr>
        <w:tc>
          <w:tcPr>
            <w:tcW w:w="850" w:type="dxa"/>
            <w:vAlign w:val="center"/>
          </w:tcPr>
          <w:p w:rsidR="000F664D" w:rsidRDefault="00953F41">
            <w:pPr>
              <w:jc w:val="center"/>
            </w:pPr>
            <w:r>
              <w:rPr>
                <w:color w:val="000000"/>
                <w:sz w:val="24"/>
              </w:rPr>
              <w:t>8</w:t>
            </w:r>
          </w:p>
        </w:tc>
        <w:tc>
          <w:tcPr>
            <w:tcW w:w="1327" w:type="dxa"/>
            <w:vAlign w:val="center"/>
          </w:tcPr>
          <w:p w:rsidR="000F664D" w:rsidRDefault="00953F41">
            <w:pPr>
              <w:jc w:val="center"/>
            </w:pPr>
            <w:r>
              <w:rPr>
                <w:color w:val="000000"/>
                <w:sz w:val="24"/>
              </w:rPr>
              <w:t>300498</w:t>
            </w:r>
          </w:p>
        </w:tc>
        <w:tc>
          <w:tcPr>
            <w:tcW w:w="1769" w:type="dxa"/>
            <w:vAlign w:val="center"/>
          </w:tcPr>
          <w:p w:rsidR="000F664D" w:rsidRDefault="00953F41">
            <w:pPr>
              <w:jc w:val="center"/>
            </w:pPr>
            <w:r>
              <w:rPr>
                <w:color w:val="000000"/>
                <w:sz w:val="24"/>
              </w:rPr>
              <w:t>温氏股份</w:t>
            </w:r>
          </w:p>
        </w:tc>
        <w:tc>
          <w:tcPr>
            <w:tcW w:w="1327" w:type="dxa"/>
            <w:vAlign w:val="center"/>
          </w:tcPr>
          <w:p w:rsidR="000F664D" w:rsidRDefault="00953F41">
            <w:pPr>
              <w:jc w:val="right"/>
            </w:pPr>
            <w:r>
              <w:rPr>
                <w:color w:val="000000"/>
                <w:sz w:val="24"/>
              </w:rPr>
              <w:t>97,800</w:t>
            </w:r>
          </w:p>
        </w:tc>
        <w:tc>
          <w:tcPr>
            <w:tcW w:w="1915" w:type="dxa"/>
            <w:vAlign w:val="center"/>
          </w:tcPr>
          <w:p w:rsidR="000F664D" w:rsidRDefault="00953F41">
            <w:pPr>
              <w:jc w:val="right"/>
            </w:pPr>
            <w:r>
              <w:rPr>
                <w:color w:val="000000"/>
                <w:sz w:val="24"/>
              </w:rPr>
              <w:t>2,040,108.00</w:t>
            </w:r>
          </w:p>
        </w:tc>
        <w:tc>
          <w:tcPr>
            <w:tcW w:w="1680" w:type="dxa"/>
            <w:vAlign w:val="center"/>
          </w:tcPr>
          <w:p w:rsidR="000F664D" w:rsidRDefault="00953F41">
            <w:pPr>
              <w:jc w:val="right"/>
            </w:pPr>
            <w:r>
              <w:rPr>
                <w:color w:val="000000"/>
                <w:sz w:val="24"/>
              </w:rPr>
              <w:t>2.84</w:t>
            </w:r>
          </w:p>
        </w:tc>
      </w:tr>
      <w:tr w:rsidR="000F664D">
        <w:trPr>
          <w:jc w:val="center"/>
        </w:trPr>
        <w:tc>
          <w:tcPr>
            <w:tcW w:w="850" w:type="dxa"/>
            <w:vAlign w:val="center"/>
          </w:tcPr>
          <w:p w:rsidR="000F664D" w:rsidRDefault="00953F41">
            <w:pPr>
              <w:jc w:val="center"/>
            </w:pPr>
            <w:r>
              <w:rPr>
                <w:color w:val="000000"/>
                <w:sz w:val="24"/>
              </w:rPr>
              <w:t>9</w:t>
            </w:r>
          </w:p>
        </w:tc>
        <w:tc>
          <w:tcPr>
            <w:tcW w:w="1327" w:type="dxa"/>
            <w:vAlign w:val="center"/>
          </w:tcPr>
          <w:p w:rsidR="000F664D" w:rsidRDefault="00953F41">
            <w:pPr>
              <w:jc w:val="center"/>
            </w:pPr>
            <w:r>
              <w:rPr>
                <w:color w:val="000000"/>
                <w:sz w:val="24"/>
              </w:rPr>
              <w:t>002304</w:t>
            </w:r>
          </w:p>
        </w:tc>
        <w:tc>
          <w:tcPr>
            <w:tcW w:w="1769" w:type="dxa"/>
            <w:vAlign w:val="center"/>
          </w:tcPr>
          <w:p w:rsidR="000F664D" w:rsidRDefault="00953F41">
            <w:pPr>
              <w:jc w:val="center"/>
            </w:pPr>
            <w:r>
              <w:rPr>
                <w:color w:val="000000"/>
                <w:sz w:val="24"/>
              </w:rPr>
              <w:t>洋河股份</w:t>
            </w:r>
          </w:p>
        </w:tc>
        <w:tc>
          <w:tcPr>
            <w:tcW w:w="1327" w:type="dxa"/>
            <w:vAlign w:val="center"/>
          </w:tcPr>
          <w:p w:rsidR="000F664D" w:rsidRDefault="00953F41">
            <w:pPr>
              <w:jc w:val="right"/>
            </w:pPr>
            <w:r>
              <w:rPr>
                <w:color w:val="000000"/>
                <w:sz w:val="24"/>
              </w:rPr>
              <w:t>15,038</w:t>
            </w:r>
          </w:p>
        </w:tc>
        <w:tc>
          <w:tcPr>
            <w:tcW w:w="1915" w:type="dxa"/>
            <w:vAlign w:val="center"/>
          </w:tcPr>
          <w:p w:rsidR="000F664D" w:rsidRDefault="00953F41">
            <w:pPr>
              <w:jc w:val="right"/>
            </w:pPr>
            <w:r>
              <w:rPr>
                <w:color w:val="000000"/>
                <w:sz w:val="24"/>
              </w:rPr>
              <w:t>1,623,953.62</w:t>
            </w:r>
          </w:p>
        </w:tc>
        <w:tc>
          <w:tcPr>
            <w:tcW w:w="1680" w:type="dxa"/>
            <w:vAlign w:val="center"/>
          </w:tcPr>
          <w:p w:rsidR="000F664D" w:rsidRDefault="00953F41">
            <w:pPr>
              <w:jc w:val="right"/>
            </w:pPr>
            <w:r>
              <w:rPr>
                <w:color w:val="000000"/>
                <w:sz w:val="24"/>
              </w:rPr>
              <w:t>2.26</w:t>
            </w:r>
          </w:p>
        </w:tc>
      </w:tr>
      <w:tr w:rsidR="000F664D">
        <w:trPr>
          <w:jc w:val="center"/>
        </w:trPr>
        <w:tc>
          <w:tcPr>
            <w:tcW w:w="850" w:type="dxa"/>
            <w:vAlign w:val="center"/>
          </w:tcPr>
          <w:p w:rsidR="000F664D" w:rsidRDefault="00953F41">
            <w:pPr>
              <w:jc w:val="center"/>
            </w:pPr>
            <w:r>
              <w:rPr>
                <w:color w:val="000000"/>
                <w:sz w:val="24"/>
              </w:rPr>
              <w:t>10</w:t>
            </w:r>
          </w:p>
        </w:tc>
        <w:tc>
          <w:tcPr>
            <w:tcW w:w="1327" w:type="dxa"/>
            <w:vAlign w:val="center"/>
          </w:tcPr>
          <w:p w:rsidR="000F664D" w:rsidRDefault="00953F41">
            <w:pPr>
              <w:jc w:val="center"/>
            </w:pPr>
            <w:r>
              <w:rPr>
                <w:color w:val="000000"/>
                <w:sz w:val="24"/>
              </w:rPr>
              <w:t>002027</w:t>
            </w:r>
          </w:p>
        </w:tc>
        <w:tc>
          <w:tcPr>
            <w:tcW w:w="1769" w:type="dxa"/>
            <w:vAlign w:val="center"/>
          </w:tcPr>
          <w:p w:rsidR="000F664D" w:rsidRDefault="00953F41">
            <w:pPr>
              <w:jc w:val="center"/>
            </w:pPr>
            <w:r>
              <w:rPr>
                <w:color w:val="000000"/>
                <w:sz w:val="24"/>
              </w:rPr>
              <w:t>分众传媒</w:t>
            </w:r>
          </w:p>
        </w:tc>
        <w:tc>
          <w:tcPr>
            <w:tcW w:w="1327" w:type="dxa"/>
            <w:vAlign w:val="center"/>
          </w:tcPr>
          <w:p w:rsidR="000F664D" w:rsidRDefault="00953F41">
            <w:pPr>
              <w:jc w:val="right"/>
            </w:pPr>
            <w:r>
              <w:rPr>
                <w:color w:val="000000"/>
                <w:sz w:val="24"/>
              </w:rPr>
              <w:t>115,100</w:t>
            </w:r>
          </w:p>
        </w:tc>
        <w:tc>
          <w:tcPr>
            <w:tcW w:w="1915" w:type="dxa"/>
            <w:vAlign w:val="center"/>
          </w:tcPr>
          <w:p w:rsidR="000F664D" w:rsidRDefault="00953F41">
            <w:pPr>
              <w:jc w:val="right"/>
            </w:pPr>
            <w:r>
              <w:rPr>
                <w:color w:val="000000"/>
                <w:sz w:val="24"/>
              </w:rPr>
              <w:t>1,483,639.00</w:t>
            </w:r>
          </w:p>
        </w:tc>
        <w:tc>
          <w:tcPr>
            <w:tcW w:w="1680" w:type="dxa"/>
            <w:vAlign w:val="center"/>
          </w:tcPr>
          <w:p w:rsidR="000F664D" w:rsidRDefault="00953F41">
            <w:pPr>
              <w:jc w:val="right"/>
            </w:pPr>
            <w:r>
              <w:rPr>
                <w:color w:val="000000"/>
                <w:sz w:val="24"/>
              </w:rPr>
              <w:t>2.07</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企业短期融资</w:t>
            </w:r>
            <w:r w:rsidR="007D021A" w:rsidRPr="0036023B">
              <w:rPr>
                <w:color w:val="000000"/>
                <w:sz w:val="24"/>
              </w:rPr>
              <w:t>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可转债</w:t>
            </w:r>
            <w:r w:rsidR="00F36DF3">
              <w:rPr>
                <w:rFonts w:hint="eastAsia"/>
                <w:sz w:val="24"/>
              </w:rPr>
              <w:t>（可交换债）</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157,400.00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0.22</w:t>
            </w:r>
          </w:p>
        </w:tc>
      </w:tr>
      <w:tr w:rsidR="002942A1" w:rsidRPr="0036023B" w:rsidTr="00622A9C">
        <w:trPr>
          <w:jc w:val="center"/>
        </w:trPr>
        <w:tc>
          <w:tcPr>
            <w:tcW w:w="1292" w:type="dxa"/>
            <w:shd w:val="clear" w:color="auto" w:fill="auto"/>
            <w:vAlign w:val="center"/>
          </w:tcPr>
          <w:p w:rsidR="002942A1" w:rsidRPr="00CD0479" w:rsidRDefault="002942A1" w:rsidP="00622A9C">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rsidR="002942A1" w:rsidRPr="00CD0479" w:rsidRDefault="002942A1" w:rsidP="00622A9C">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157,400.00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0.22</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6023B" w:rsidTr="00D823F2">
        <w:trPr>
          <w:jc w:val="center"/>
        </w:trPr>
        <w:tc>
          <w:tcPr>
            <w:tcW w:w="125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F664D">
        <w:trPr>
          <w:jc w:val="center"/>
        </w:trPr>
        <w:tc>
          <w:tcPr>
            <w:tcW w:w="1302" w:type="dxa"/>
            <w:vAlign w:val="center"/>
          </w:tcPr>
          <w:p w:rsidR="000F664D" w:rsidRDefault="00953F41">
            <w:pPr>
              <w:jc w:val="center"/>
            </w:pPr>
            <w:r>
              <w:rPr>
                <w:color w:val="000000"/>
                <w:sz w:val="24"/>
              </w:rPr>
              <w:t>1</w:t>
            </w:r>
          </w:p>
        </w:tc>
        <w:tc>
          <w:tcPr>
            <w:tcW w:w="1362" w:type="dxa"/>
            <w:vAlign w:val="center"/>
          </w:tcPr>
          <w:p w:rsidR="000F664D" w:rsidRDefault="00953F41">
            <w:pPr>
              <w:jc w:val="center"/>
            </w:pPr>
            <w:r>
              <w:rPr>
                <w:color w:val="000000"/>
                <w:sz w:val="24"/>
              </w:rPr>
              <w:t>127005</w:t>
            </w:r>
          </w:p>
        </w:tc>
        <w:tc>
          <w:tcPr>
            <w:tcW w:w="1333" w:type="dxa"/>
            <w:vAlign w:val="center"/>
          </w:tcPr>
          <w:p w:rsidR="000F664D" w:rsidRDefault="00953F41">
            <w:pPr>
              <w:jc w:val="center"/>
            </w:pPr>
            <w:r>
              <w:rPr>
                <w:color w:val="000000"/>
                <w:sz w:val="24"/>
              </w:rPr>
              <w:t>长证转债</w:t>
            </w:r>
          </w:p>
        </w:tc>
        <w:tc>
          <w:tcPr>
            <w:tcW w:w="1483" w:type="dxa"/>
            <w:vAlign w:val="center"/>
          </w:tcPr>
          <w:p w:rsidR="000F664D" w:rsidRDefault="00953F41">
            <w:pPr>
              <w:jc w:val="right"/>
            </w:pPr>
            <w:r>
              <w:rPr>
                <w:color w:val="000000"/>
                <w:sz w:val="24"/>
              </w:rPr>
              <w:t>1,061</w:t>
            </w:r>
          </w:p>
        </w:tc>
        <w:tc>
          <w:tcPr>
            <w:tcW w:w="1712" w:type="dxa"/>
            <w:vAlign w:val="center"/>
          </w:tcPr>
          <w:p w:rsidR="000F664D" w:rsidRDefault="00953F41">
            <w:pPr>
              <w:jc w:val="right"/>
            </w:pPr>
            <w:r>
              <w:rPr>
                <w:color w:val="000000"/>
                <w:sz w:val="24"/>
              </w:rPr>
              <w:t>106,100.00</w:t>
            </w:r>
          </w:p>
        </w:tc>
        <w:tc>
          <w:tcPr>
            <w:tcW w:w="1676" w:type="dxa"/>
            <w:vAlign w:val="center"/>
          </w:tcPr>
          <w:p w:rsidR="000F664D" w:rsidRDefault="00953F41">
            <w:pPr>
              <w:jc w:val="right"/>
            </w:pPr>
            <w:r>
              <w:rPr>
                <w:color w:val="000000"/>
                <w:sz w:val="24"/>
              </w:rPr>
              <w:t>0.15</w:t>
            </w:r>
          </w:p>
        </w:tc>
      </w:tr>
      <w:tr w:rsidR="000F664D">
        <w:trPr>
          <w:jc w:val="center"/>
        </w:trPr>
        <w:tc>
          <w:tcPr>
            <w:tcW w:w="1302" w:type="dxa"/>
            <w:vAlign w:val="center"/>
          </w:tcPr>
          <w:p w:rsidR="000F664D" w:rsidRDefault="00953F41">
            <w:pPr>
              <w:jc w:val="center"/>
            </w:pPr>
            <w:r>
              <w:rPr>
                <w:color w:val="000000"/>
                <w:sz w:val="24"/>
              </w:rPr>
              <w:t>2</w:t>
            </w:r>
          </w:p>
        </w:tc>
        <w:tc>
          <w:tcPr>
            <w:tcW w:w="1362" w:type="dxa"/>
            <w:vAlign w:val="center"/>
          </w:tcPr>
          <w:p w:rsidR="000F664D" w:rsidRDefault="00953F41">
            <w:pPr>
              <w:jc w:val="center"/>
            </w:pPr>
            <w:r>
              <w:rPr>
                <w:color w:val="000000"/>
                <w:sz w:val="24"/>
              </w:rPr>
              <w:t>127006</w:t>
            </w:r>
          </w:p>
        </w:tc>
        <w:tc>
          <w:tcPr>
            <w:tcW w:w="1333" w:type="dxa"/>
            <w:vAlign w:val="center"/>
          </w:tcPr>
          <w:p w:rsidR="000F664D" w:rsidRDefault="00953F41">
            <w:pPr>
              <w:jc w:val="center"/>
            </w:pPr>
            <w:r>
              <w:rPr>
                <w:color w:val="000000"/>
                <w:sz w:val="24"/>
              </w:rPr>
              <w:t>敖东转债</w:t>
            </w:r>
          </w:p>
        </w:tc>
        <w:tc>
          <w:tcPr>
            <w:tcW w:w="1483" w:type="dxa"/>
            <w:vAlign w:val="center"/>
          </w:tcPr>
          <w:p w:rsidR="000F664D" w:rsidRDefault="00953F41">
            <w:pPr>
              <w:jc w:val="right"/>
            </w:pPr>
            <w:r>
              <w:rPr>
                <w:color w:val="000000"/>
                <w:sz w:val="24"/>
              </w:rPr>
              <w:t>513</w:t>
            </w:r>
          </w:p>
        </w:tc>
        <w:tc>
          <w:tcPr>
            <w:tcW w:w="1712" w:type="dxa"/>
            <w:vAlign w:val="center"/>
          </w:tcPr>
          <w:p w:rsidR="000F664D" w:rsidRDefault="00953F41">
            <w:pPr>
              <w:jc w:val="right"/>
            </w:pPr>
            <w:r>
              <w:rPr>
                <w:color w:val="000000"/>
                <w:sz w:val="24"/>
              </w:rPr>
              <w:t>51,300.00</w:t>
            </w:r>
          </w:p>
        </w:tc>
        <w:tc>
          <w:tcPr>
            <w:tcW w:w="1676" w:type="dxa"/>
            <w:vAlign w:val="center"/>
          </w:tcPr>
          <w:p w:rsidR="000F664D" w:rsidRDefault="00953F41">
            <w:pPr>
              <w:jc w:val="right"/>
            </w:pPr>
            <w:r>
              <w:rPr>
                <w:color w:val="000000"/>
                <w:sz w:val="24"/>
              </w:rPr>
              <w:t>0.07</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lastRenderedPageBreak/>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572.92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221.29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794.21</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742ADC" w:rsidRPr="00166EA5" w:rsidRDefault="00742ADC" w:rsidP="006D2F4A">
      <w:pPr>
        <w:pStyle w:val="1"/>
        <w:spacing w:beforeLines="100" w:before="312" w:afterLines="100" w:after="312" w:line="360" w:lineRule="auto"/>
        <w:jc w:val="center"/>
        <w:rPr>
          <w:rFonts w:eastAsiaTheme="minorEastAsia"/>
          <w:bCs w:val="0"/>
          <w:color w:val="000000" w:themeColor="text1"/>
          <w:kern w:val="0"/>
          <w:sz w:val="24"/>
          <w:szCs w:val="24"/>
        </w:rPr>
      </w:pPr>
      <w:r w:rsidRPr="00166EA5">
        <w:rPr>
          <w:rFonts w:eastAsiaTheme="minorEastAsia"/>
          <w:bCs w:val="0"/>
          <w:color w:val="000000" w:themeColor="text1"/>
          <w:kern w:val="0"/>
          <w:sz w:val="24"/>
          <w:szCs w:val="24"/>
        </w:rPr>
        <w:t>§6</w:t>
      </w:r>
      <w:r w:rsidRPr="00166EA5">
        <w:rPr>
          <w:rFonts w:eastAsiaTheme="minorEastAsia" w:hint="eastAsia"/>
          <w:bCs w:val="0"/>
          <w:color w:val="000000" w:themeColor="text1"/>
          <w:kern w:val="0"/>
          <w:sz w:val="24"/>
          <w:szCs w:val="24"/>
        </w:rPr>
        <w:t xml:space="preserve">  </w:t>
      </w:r>
      <w:r w:rsidRPr="00166EA5">
        <w:rPr>
          <w:rFonts w:eastAsiaTheme="minorEastAsia" w:hint="eastAsia"/>
          <w:bCs w:val="0"/>
          <w:color w:val="000000" w:themeColor="text1"/>
          <w:kern w:val="0"/>
          <w:sz w:val="24"/>
          <w:szCs w:val="24"/>
        </w:rPr>
        <w:t>基金中基金</w:t>
      </w:r>
    </w:p>
    <w:p w:rsidR="00742ADC" w:rsidRPr="00166EA5" w:rsidRDefault="00742ADC" w:rsidP="00742ADC">
      <w:pPr>
        <w:adjustRightInd w:val="0"/>
        <w:snapToGrid w:val="0"/>
        <w:spacing w:line="360" w:lineRule="auto"/>
        <w:rPr>
          <w:rFonts w:eastAsiaTheme="minorEastAsia"/>
          <w:b/>
          <w:color w:val="000000" w:themeColor="text1"/>
          <w:kern w:val="0"/>
          <w:sz w:val="24"/>
        </w:rPr>
      </w:pPr>
      <w:r w:rsidRPr="00166EA5">
        <w:rPr>
          <w:rFonts w:eastAsiaTheme="minorEastAsia"/>
          <w:b/>
          <w:color w:val="000000" w:themeColor="text1"/>
          <w:kern w:val="0"/>
          <w:sz w:val="24"/>
        </w:rPr>
        <w:t>6.1</w:t>
      </w:r>
      <w:r w:rsidRPr="00166EA5">
        <w:rPr>
          <w:rFonts w:eastAsiaTheme="minorEastAsia" w:hint="eastAsia"/>
          <w:b/>
          <w:color w:val="000000" w:themeColor="text1"/>
          <w:kern w:val="0"/>
          <w:sz w:val="24"/>
        </w:rPr>
        <w:t xml:space="preserve"> </w:t>
      </w:r>
      <w:r w:rsidRPr="00166EA5">
        <w:rPr>
          <w:rFonts w:eastAsiaTheme="minorEastAsia" w:hint="eastAsia"/>
          <w:b/>
          <w:color w:val="000000" w:themeColor="text1"/>
          <w:kern w:val="0"/>
          <w:sz w:val="24"/>
        </w:rPr>
        <w:t>报告期末按公允价值占基金资产净值比例大小排序的前十名基金投资明细</w:t>
      </w:r>
    </w:p>
    <w:p w:rsidR="00742ADC" w:rsidRPr="00166EA5" w:rsidRDefault="00742ADC" w:rsidP="00742ADC">
      <w:pPr>
        <w:autoSpaceDE w:val="0"/>
        <w:autoSpaceDN w:val="0"/>
        <w:adjustRightInd w:val="0"/>
        <w:spacing w:line="360" w:lineRule="auto"/>
        <w:ind w:firstLineChars="200" w:firstLine="480"/>
        <w:jc w:val="left"/>
        <w:rPr>
          <w:rFonts w:eastAsiaTheme="minorEastAsia"/>
          <w:color w:val="000000" w:themeColor="text1"/>
          <w:kern w:val="0"/>
          <w:sz w:val="24"/>
        </w:rPr>
      </w:pPr>
      <w:r w:rsidRPr="00166EA5">
        <w:rPr>
          <w:rFonts w:eastAsiaTheme="minorEastAsia"/>
          <w:color w:val="000000" w:themeColor="text1"/>
          <w:kern w:val="0"/>
          <w:sz w:val="24"/>
        </w:rPr>
        <w:t>本基金本报告期末未持有基金。</w:t>
      </w:r>
    </w:p>
    <w:p w:rsidR="00742ADC" w:rsidRPr="00166EA5" w:rsidRDefault="00742ADC" w:rsidP="006D2F4A">
      <w:pPr>
        <w:adjustRightInd w:val="0"/>
        <w:snapToGrid w:val="0"/>
        <w:spacing w:beforeLines="50" w:before="156" w:line="360" w:lineRule="auto"/>
        <w:rPr>
          <w:rFonts w:eastAsiaTheme="minorEastAsia"/>
          <w:b/>
          <w:color w:val="000000" w:themeColor="text1"/>
          <w:kern w:val="0"/>
          <w:sz w:val="24"/>
        </w:rPr>
      </w:pPr>
      <w:r w:rsidRPr="00166EA5">
        <w:rPr>
          <w:rFonts w:eastAsiaTheme="minorEastAsia"/>
          <w:b/>
          <w:color w:val="000000" w:themeColor="text1"/>
          <w:kern w:val="0"/>
          <w:sz w:val="24"/>
        </w:rPr>
        <w:t>6.2</w:t>
      </w:r>
      <w:r w:rsidRPr="00166EA5">
        <w:rPr>
          <w:rFonts w:eastAsiaTheme="minorEastAsia" w:hint="eastAsia"/>
          <w:b/>
          <w:color w:val="000000" w:themeColor="text1"/>
          <w:kern w:val="0"/>
          <w:sz w:val="24"/>
        </w:rPr>
        <w:t xml:space="preserve"> </w:t>
      </w:r>
      <w:r w:rsidRPr="00166EA5">
        <w:rPr>
          <w:rFonts w:eastAsiaTheme="minorEastAsia" w:hint="eastAsia"/>
          <w:b/>
          <w:color w:val="000000" w:themeColor="text1"/>
          <w:kern w:val="0"/>
          <w:sz w:val="24"/>
        </w:rPr>
        <w:t>当期交易及持有基金产生的费用</w:t>
      </w:r>
    </w:p>
    <w:p w:rsidR="00742ADC" w:rsidRPr="00166EA5" w:rsidRDefault="00742ADC" w:rsidP="00742ADC">
      <w:pPr>
        <w:autoSpaceDE w:val="0"/>
        <w:autoSpaceDN w:val="0"/>
        <w:adjustRightInd w:val="0"/>
        <w:spacing w:line="360" w:lineRule="auto"/>
        <w:ind w:firstLineChars="200" w:firstLine="480"/>
        <w:jc w:val="left"/>
        <w:rPr>
          <w:rFonts w:eastAsiaTheme="minorEastAsia"/>
          <w:color w:val="000000" w:themeColor="text1"/>
          <w:kern w:val="0"/>
          <w:sz w:val="24"/>
        </w:rPr>
      </w:pPr>
      <w:r w:rsidRPr="00166EA5">
        <w:rPr>
          <w:rFonts w:eastAsiaTheme="minorEastAsia"/>
          <w:color w:val="000000" w:themeColor="text1"/>
          <w:kern w:val="0"/>
          <w:sz w:val="24"/>
        </w:rPr>
        <w:t>本基金本报告期内未交易或持有基金。</w:t>
      </w:r>
    </w:p>
    <w:p w:rsidR="00166EA5" w:rsidRPr="00A85930" w:rsidRDefault="00166EA5" w:rsidP="00166EA5">
      <w:pPr>
        <w:adjustRightInd w:val="0"/>
        <w:snapToGrid w:val="0"/>
        <w:spacing w:beforeLines="50" w:before="156" w:line="360" w:lineRule="auto"/>
        <w:rPr>
          <w:rFonts w:eastAsiaTheme="minorEastAsia"/>
          <w:b/>
          <w:color w:val="000000" w:themeColor="text1"/>
          <w:kern w:val="0"/>
          <w:sz w:val="24"/>
        </w:rPr>
      </w:pPr>
      <w:r w:rsidRPr="00A85930">
        <w:rPr>
          <w:rFonts w:eastAsiaTheme="minorEastAsia" w:hint="eastAsia"/>
          <w:b/>
          <w:color w:val="000000" w:themeColor="text1"/>
          <w:kern w:val="0"/>
          <w:sz w:val="24"/>
        </w:rPr>
        <w:t xml:space="preserve">6.3 </w:t>
      </w:r>
      <w:r w:rsidRPr="00A85930">
        <w:rPr>
          <w:rFonts w:eastAsiaTheme="minorEastAsia" w:hint="eastAsia"/>
          <w:b/>
          <w:color w:val="000000" w:themeColor="text1"/>
          <w:kern w:val="0"/>
          <w:sz w:val="24"/>
        </w:rPr>
        <w:t>本报告期持有的基金发生的重大影响事件</w:t>
      </w:r>
    </w:p>
    <w:p w:rsidR="00166EA5" w:rsidRPr="00A04B8F" w:rsidRDefault="00166EA5" w:rsidP="00166EA5">
      <w:pPr>
        <w:spacing w:before="29" w:line="288" w:lineRule="auto"/>
        <w:ind w:firstLineChars="200" w:firstLine="480"/>
        <w:rPr>
          <w:sz w:val="24"/>
        </w:rPr>
      </w:pPr>
      <w:r w:rsidRPr="00A04B8F">
        <w:rPr>
          <w:rFonts w:hint="eastAsia"/>
          <w:sz w:val="24"/>
        </w:rPr>
        <w:lastRenderedPageBreak/>
        <w:t>无。</w:t>
      </w:r>
    </w:p>
    <w:p w:rsidR="00166EA5" w:rsidRPr="00166EA5" w:rsidRDefault="00166EA5" w:rsidP="00742ADC">
      <w:pPr>
        <w:autoSpaceDE w:val="0"/>
        <w:autoSpaceDN w:val="0"/>
        <w:adjustRightInd w:val="0"/>
        <w:spacing w:line="360" w:lineRule="auto"/>
        <w:ind w:firstLineChars="200" w:firstLine="420"/>
        <w:jc w:val="left"/>
        <w:rPr>
          <w:rFonts w:eastAsiaTheme="minorEastAsia"/>
          <w:color w:val="000000" w:themeColor="text1"/>
          <w:szCs w:val="21"/>
        </w:rPr>
      </w:pPr>
    </w:p>
    <w:p w:rsidR="00220542" w:rsidRPr="0036023B" w:rsidRDefault="0055680B" w:rsidP="006D2F4A">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34,329,693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14,000,000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9,000,000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39,329,693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6D2F4A">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8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6D2F4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F664D">
        <w:tc>
          <w:tcPr>
            <w:tcW w:w="992" w:type="dxa"/>
            <w:vMerge w:val="restart"/>
          </w:tcPr>
          <w:p w:rsidR="000F664D" w:rsidRDefault="000F664D"/>
          <w:p w:rsidR="000F664D" w:rsidRDefault="00953F41">
            <w:r>
              <w:rPr>
                <w:rFonts w:ascii="宋体" w:hAnsi="宋体" w:hint="eastAsia"/>
                <w:kern w:val="0"/>
                <w:szCs w:val="21"/>
              </w:rPr>
              <w:t>交银施罗德深证300价值交易型开放式指数证券</w:t>
            </w:r>
            <w:r>
              <w:rPr>
                <w:rFonts w:ascii="宋体" w:hAnsi="宋体" w:hint="eastAsia"/>
                <w:kern w:val="0"/>
                <w:szCs w:val="21"/>
              </w:rPr>
              <w:lastRenderedPageBreak/>
              <w:t>投资基金联接基金</w:t>
            </w:r>
          </w:p>
        </w:tc>
        <w:tc>
          <w:tcPr>
            <w:tcW w:w="991" w:type="dxa"/>
            <w:vAlign w:val="center"/>
          </w:tcPr>
          <w:p w:rsidR="000F664D" w:rsidRDefault="00953F41">
            <w:pPr>
              <w:jc w:val="center"/>
            </w:pPr>
            <w:r>
              <w:rPr>
                <w:rFonts w:ascii="宋体" w:hAnsi="宋体" w:hint="eastAsia"/>
                <w:bCs/>
                <w:color w:val="000000"/>
                <w:kern w:val="0"/>
                <w:szCs w:val="21"/>
              </w:rPr>
              <w:lastRenderedPageBreak/>
              <w:t>1</w:t>
            </w:r>
          </w:p>
        </w:tc>
        <w:tc>
          <w:tcPr>
            <w:tcW w:w="1843" w:type="dxa"/>
            <w:vAlign w:val="center"/>
          </w:tcPr>
          <w:p w:rsidR="000F664D" w:rsidRDefault="00953F41">
            <w:pPr>
              <w:jc w:val="center"/>
            </w:pPr>
            <w:r>
              <w:rPr>
                <w:rFonts w:ascii="宋体" w:hAnsi="宋体" w:hint="eastAsia"/>
                <w:bCs/>
                <w:color w:val="000000"/>
                <w:kern w:val="0"/>
                <w:szCs w:val="21"/>
              </w:rPr>
              <w:t>2018/1/1-2018/3/31</w:t>
            </w:r>
          </w:p>
        </w:tc>
        <w:tc>
          <w:tcPr>
            <w:tcW w:w="851" w:type="dxa"/>
            <w:vAlign w:val="center"/>
          </w:tcPr>
          <w:p w:rsidR="000F664D" w:rsidRDefault="00953F41">
            <w:pPr>
              <w:jc w:val="center"/>
            </w:pPr>
            <w:r>
              <w:rPr>
                <w:rFonts w:ascii="宋体" w:hAnsi="宋体" w:hint="eastAsia"/>
                <w:bCs/>
                <w:color w:val="000000"/>
                <w:kern w:val="0"/>
                <w:szCs w:val="21"/>
              </w:rPr>
              <w:t>31,802,500.00</w:t>
            </w:r>
          </w:p>
        </w:tc>
        <w:tc>
          <w:tcPr>
            <w:tcW w:w="850" w:type="dxa"/>
            <w:vAlign w:val="center"/>
          </w:tcPr>
          <w:p w:rsidR="000F664D" w:rsidRDefault="00953F41">
            <w:pPr>
              <w:jc w:val="center"/>
            </w:pPr>
            <w:r>
              <w:rPr>
                <w:rFonts w:ascii="宋体" w:hAnsi="宋体" w:hint="eastAsia"/>
                <w:bCs/>
                <w:color w:val="000000"/>
                <w:kern w:val="0"/>
                <w:szCs w:val="21"/>
              </w:rPr>
              <w:t>13,000,000.00</w:t>
            </w:r>
          </w:p>
        </w:tc>
        <w:tc>
          <w:tcPr>
            <w:tcW w:w="1134" w:type="dxa"/>
            <w:vAlign w:val="center"/>
          </w:tcPr>
          <w:p w:rsidR="000F664D" w:rsidRDefault="00953F41">
            <w:pPr>
              <w:jc w:val="center"/>
            </w:pPr>
            <w:r>
              <w:rPr>
                <w:rFonts w:ascii="宋体" w:hAnsi="宋体" w:hint="eastAsia"/>
                <w:bCs/>
                <w:color w:val="000000"/>
                <w:kern w:val="0"/>
                <w:szCs w:val="21"/>
              </w:rPr>
              <w:t>9,000,000.00</w:t>
            </w:r>
          </w:p>
        </w:tc>
        <w:tc>
          <w:tcPr>
            <w:tcW w:w="1419" w:type="dxa"/>
            <w:vAlign w:val="center"/>
          </w:tcPr>
          <w:p w:rsidR="000F664D" w:rsidRDefault="00953F41">
            <w:pPr>
              <w:jc w:val="center"/>
            </w:pPr>
            <w:r>
              <w:rPr>
                <w:rFonts w:ascii="宋体" w:hAnsi="宋体" w:hint="eastAsia"/>
                <w:bCs/>
                <w:color w:val="000000"/>
                <w:kern w:val="0"/>
                <w:szCs w:val="21"/>
              </w:rPr>
              <w:t>35,802,500.00</w:t>
            </w:r>
          </w:p>
        </w:tc>
        <w:tc>
          <w:tcPr>
            <w:tcW w:w="1130" w:type="dxa"/>
            <w:vAlign w:val="center"/>
          </w:tcPr>
          <w:p w:rsidR="000F664D" w:rsidRDefault="00953F41">
            <w:pPr>
              <w:jc w:val="center"/>
            </w:pPr>
            <w:r>
              <w:rPr>
                <w:rFonts w:ascii="宋体" w:hAnsi="宋体" w:hint="eastAsia"/>
                <w:bCs/>
                <w:color w:val="000000"/>
                <w:kern w:val="0"/>
                <w:szCs w:val="21"/>
              </w:rPr>
              <w:t>91.03%</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RPr="00BE170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Pr="00BE1700" w:rsidRDefault="00BF00F0">
            <w:pPr>
              <w:autoSpaceDE w:val="0"/>
              <w:autoSpaceDN w:val="0"/>
              <w:adjustRightInd w:val="0"/>
              <w:jc w:val="left"/>
              <w:rPr>
                <w:rFonts w:ascii="宋体" w:hAnsi="宋体"/>
                <w:kern w:val="0"/>
                <w:sz w:val="24"/>
              </w:rPr>
            </w:pPr>
            <w:r w:rsidRPr="00BE1700">
              <w:rPr>
                <w:rFonts w:ascii="宋体" w:hAnsi="宋体" w:hint="eastAsia"/>
                <w:kern w:val="0"/>
                <w:sz w:val="24"/>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BE1700" w:rsidRPr="00BE1700" w:rsidRDefault="00BE1700" w:rsidP="00BF00F0">
      <w:pPr>
        <w:autoSpaceDE w:val="0"/>
        <w:autoSpaceDN w:val="0"/>
        <w:adjustRightInd w:val="0"/>
        <w:spacing w:line="360" w:lineRule="auto"/>
        <w:jc w:val="left"/>
        <w:rPr>
          <w:rFonts w:ascii="宋体" w:hAnsi="宋体"/>
          <w:b/>
          <w:bCs/>
          <w:color w:val="000000"/>
          <w:kern w:val="0"/>
          <w:sz w:val="24"/>
        </w:rPr>
      </w:pPr>
    </w:p>
    <w:p w:rsidR="00BF00F0" w:rsidRPr="00BE1700" w:rsidRDefault="00BF00F0" w:rsidP="00BF00F0">
      <w:pPr>
        <w:autoSpaceDE w:val="0"/>
        <w:autoSpaceDN w:val="0"/>
        <w:adjustRightInd w:val="0"/>
        <w:spacing w:line="360" w:lineRule="auto"/>
        <w:jc w:val="left"/>
        <w:rPr>
          <w:rFonts w:ascii="宋体" w:hAnsi="宋体"/>
          <w:b/>
          <w:bCs/>
          <w:color w:val="000000"/>
          <w:kern w:val="0"/>
          <w:sz w:val="24"/>
        </w:rPr>
      </w:pPr>
      <w:r w:rsidRPr="00BE1700">
        <w:rPr>
          <w:rFonts w:ascii="宋体" w:hAnsi="宋体" w:hint="eastAsia"/>
          <w:b/>
          <w:bCs/>
          <w:color w:val="000000"/>
          <w:kern w:val="0"/>
          <w:sz w:val="24"/>
        </w:rPr>
        <w:t>9.2 影响投资者决策的其他重要信息</w:t>
      </w:r>
    </w:p>
    <w:p w:rsidR="000F664D" w:rsidRPr="00BE1700" w:rsidRDefault="00953F41">
      <w:pPr>
        <w:spacing w:line="360" w:lineRule="auto"/>
        <w:ind w:firstLineChars="200" w:firstLine="480"/>
        <w:rPr>
          <w:rFonts w:ascii="宋体" w:hAnsi="宋体"/>
          <w:color w:val="000000"/>
          <w:sz w:val="24"/>
        </w:rPr>
      </w:pPr>
      <w:r w:rsidRPr="00BE1700">
        <w:rPr>
          <w:rFonts w:ascii="宋体" w:hAnsi="宋体" w:hint="eastAsia"/>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BF00F0" w:rsidRPr="00BE1700" w:rsidRDefault="00BF00F0" w:rsidP="00BF00F0">
      <w:pPr>
        <w:spacing w:line="360" w:lineRule="auto"/>
        <w:ind w:firstLineChars="200" w:firstLine="480"/>
        <w:rPr>
          <w:rFonts w:ascii="宋体" w:hAnsi="宋体"/>
          <w:color w:val="000000"/>
          <w:sz w:val="24"/>
        </w:rPr>
      </w:pPr>
      <w:r w:rsidRPr="00BE1700">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BF5A17" w:rsidRPr="0036023B" w:rsidRDefault="00BF5A17" w:rsidP="0099526C">
      <w:pPr>
        <w:spacing w:before="29" w:line="288" w:lineRule="auto"/>
        <w:ind w:firstLineChars="200" w:firstLine="480"/>
        <w:rPr>
          <w:color w:val="000000"/>
          <w:sz w:val="24"/>
        </w:rPr>
      </w:pPr>
    </w:p>
    <w:p w:rsidR="00981CE6" w:rsidRPr="00405A85"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0F664D" w:rsidRDefault="00953F41">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0F664D" w:rsidRDefault="00953F41">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0F664D" w:rsidRDefault="00953F41">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0F664D" w:rsidRDefault="00953F41">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0F664D" w:rsidRDefault="00953F41">
      <w:pPr>
        <w:spacing w:before="29" w:line="288" w:lineRule="auto"/>
        <w:ind w:firstLineChars="200" w:firstLine="480"/>
        <w:rPr>
          <w:color w:val="000000"/>
          <w:sz w:val="24"/>
        </w:rPr>
      </w:pPr>
      <w:r>
        <w:rPr>
          <w:color w:val="000000"/>
          <w:sz w:val="24"/>
        </w:rPr>
        <w:lastRenderedPageBreak/>
        <w:t>5</w:t>
      </w:r>
      <w:r>
        <w:rPr>
          <w:color w:val="000000"/>
          <w:sz w:val="24"/>
        </w:rPr>
        <w:t>、关于申请募集深证</w:t>
      </w:r>
      <w:r>
        <w:rPr>
          <w:color w:val="000000"/>
          <w:sz w:val="24"/>
        </w:rPr>
        <w:t>300</w:t>
      </w:r>
      <w:r>
        <w:rPr>
          <w:color w:val="000000"/>
          <w:sz w:val="24"/>
        </w:rPr>
        <w:t>价值交易型开放式指数证券投资基金之法律意见书；</w:t>
      </w:r>
    </w:p>
    <w:p w:rsidR="000F664D" w:rsidRDefault="00953F41">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0F664D" w:rsidRDefault="00953F41">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0F664D" w:rsidRDefault="00953F4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2F" w:rsidRDefault="009B5C2F">
      <w:r>
        <w:separator/>
      </w:r>
    </w:p>
  </w:endnote>
  <w:endnote w:type="continuationSeparator" w:id="0">
    <w:p w:rsidR="009B5C2F" w:rsidRDefault="009B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A76DFA">
      <w:rPr>
        <w:kern w:val="0"/>
        <w:szCs w:val="21"/>
      </w:rPr>
      <w:fldChar w:fldCharType="begin"/>
    </w:r>
    <w:r>
      <w:rPr>
        <w:kern w:val="0"/>
        <w:szCs w:val="21"/>
      </w:rPr>
      <w:instrText xml:space="preserve"> PAGE </w:instrText>
    </w:r>
    <w:r w:rsidR="00A76DFA">
      <w:rPr>
        <w:kern w:val="0"/>
        <w:szCs w:val="21"/>
      </w:rPr>
      <w:fldChar w:fldCharType="separate"/>
    </w:r>
    <w:r w:rsidR="002A7DE3">
      <w:rPr>
        <w:noProof/>
        <w:kern w:val="0"/>
        <w:szCs w:val="21"/>
      </w:rPr>
      <w:t>3</w:t>
    </w:r>
    <w:r w:rsidR="00A76DFA">
      <w:rPr>
        <w:kern w:val="0"/>
        <w:szCs w:val="21"/>
      </w:rPr>
      <w:fldChar w:fldCharType="end"/>
    </w:r>
    <w:r>
      <w:rPr>
        <w:rFonts w:hint="eastAsia"/>
        <w:kern w:val="0"/>
        <w:szCs w:val="21"/>
      </w:rPr>
      <w:t>页共</w:t>
    </w:r>
    <w:r w:rsidR="00A76DFA">
      <w:rPr>
        <w:kern w:val="0"/>
        <w:szCs w:val="21"/>
      </w:rPr>
      <w:fldChar w:fldCharType="begin"/>
    </w:r>
    <w:r>
      <w:rPr>
        <w:kern w:val="0"/>
        <w:szCs w:val="21"/>
      </w:rPr>
      <w:instrText xml:space="preserve"> NUMPAGES </w:instrText>
    </w:r>
    <w:r w:rsidR="00A76DFA">
      <w:rPr>
        <w:kern w:val="0"/>
        <w:szCs w:val="21"/>
      </w:rPr>
      <w:fldChar w:fldCharType="separate"/>
    </w:r>
    <w:r w:rsidR="002A7DE3">
      <w:rPr>
        <w:noProof/>
        <w:kern w:val="0"/>
        <w:szCs w:val="21"/>
      </w:rPr>
      <w:t>14</w:t>
    </w:r>
    <w:r w:rsidR="00A76DF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A76DFA">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2F" w:rsidRDefault="009B5C2F">
      <w:r>
        <w:separator/>
      </w:r>
    </w:p>
  </w:footnote>
  <w:footnote w:type="continuationSeparator" w:id="0">
    <w:p w:rsidR="009B5C2F" w:rsidRDefault="009B5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深证</w:t>
    </w:r>
    <w:r w:rsidRPr="003E676C">
      <w:rPr>
        <w:sz w:val="24"/>
        <w:szCs w:val="24"/>
      </w:rPr>
      <w:t>300</w:t>
    </w:r>
    <w:r w:rsidRPr="003E676C">
      <w:rPr>
        <w:sz w:val="24"/>
        <w:szCs w:val="24"/>
      </w:rPr>
      <w:t>价值交易型开放式指数证券投资基金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64D"/>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66EA5"/>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A7DE3"/>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268C"/>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3F41"/>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B5C2F"/>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700"/>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5E84AD2-25F0-49F4-B825-028D40F6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14</Pages>
  <Words>1197</Words>
  <Characters>6828</Characters>
  <Application>Microsoft Office Word</Application>
  <DocSecurity>0</DocSecurity>
  <Lines>56</Lines>
  <Paragraphs>16</Paragraphs>
  <ScaleCrop>false</ScaleCrop>
  <Company>TRT. Ltd. Co.</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394</cp:revision>
  <cp:lastPrinted>2007-07-19T00:46:00Z</cp:lastPrinted>
  <dcterms:created xsi:type="dcterms:W3CDTF">2012-11-21T04:46:00Z</dcterms:created>
  <dcterms:modified xsi:type="dcterms:W3CDTF">2018-04-19T01:37:00Z</dcterms:modified>
</cp:coreProperties>
</file>