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B7EB6" w:rsidRDefault="00CE07F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B7EB6" w:rsidRDefault="00CE07F9">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B7EB6" w:rsidRDefault="00CE07F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B7EB6" w:rsidRDefault="00CE07F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B7EB6" w:rsidRDefault="00CE07F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201,170,111.60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187,260,737.74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13,909,373.86</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-1,315,975.06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-112,532.41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468,573.61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13,527.26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0.0024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0.0009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219,427,767.90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15,825,688.56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1.172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1.138</w:t>
            </w:r>
          </w:p>
        </w:tc>
      </w:tr>
    </w:tbl>
    <w:p w:rsidR="006B7EB6" w:rsidRDefault="00CE07F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w:t>
      </w:r>
      <w:r w:rsidRPr="007F52FA">
        <w:rPr>
          <w:rFonts w:eastAsiaTheme="minorEastAsia"/>
          <w:color w:val="000000"/>
          <w:sz w:val="24"/>
        </w:rPr>
        <w:lastRenderedPageBreak/>
        <w:t>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B7EB6">
        <w:trPr>
          <w:jc w:val="center"/>
        </w:trPr>
        <w:tc>
          <w:tcPr>
            <w:tcW w:w="1266" w:type="dxa"/>
            <w:vAlign w:val="center"/>
          </w:tcPr>
          <w:p w:rsidR="006B7EB6" w:rsidRDefault="00CE07F9">
            <w:pPr>
              <w:jc w:val="left"/>
            </w:pPr>
            <w:r>
              <w:rPr>
                <w:color w:val="000000"/>
                <w:sz w:val="24"/>
              </w:rPr>
              <w:t>过去三个月</w:t>
            </w:r>
          </w:p>
        </w:tc>
        <w:tc>
          <w:tcPr>
            <w:tcW w:w="1267" w:type="dxa"/>
            <w:vAlign w:val="center"/>
          </w:tcPr>
          <w:p w:rsidR="006B7EB6" w:rsidRDefault="00CE07F9">
            <w:pPr>
              <w:jc w:val="center"/>
            </w:pPr>
            <w:r>
              <w:rPr>
                <w:color w:val="000000"/>
                <w:sz w:val="24"/>
              </w:rPr>
              <w:t>0.17%</w:t>
            </w:r>
          </w:p>
        </w:tc>
        <w:tc>
          <w:tcPr>
            <w:tcW w:w="1267" w:type="dxa"/>
            <w:vAlign w:val="center"/>
          </w:tcPr>
          <w:p w:rsidR="006B7EB6" w:rsidRDefault="00CE07F9">
            <w:pPr>
              <w:jc w:val="center"/>
            </w:pPr>
            <w:r>
              <w:rPr>
                <w:color w:val="000000"/>
                <w:sz w:val="24"/>
              </w:rPr>
              <w:t>0.20%</w:t>
            </w:r>
          </w:p>
        </w:tc>
        <w:tc>
          <w:tcPr>
            <w:tcW w:w="1267" w:type="dxa"/>
            <w:vAlign w:val="center"/>
          </w:tcPr>
          <w:p w:rsidR="006B7EB6" w:rsidRDefault="00CE07F9">
            <w:pPr>
              <w:jc w:val="center"/>
            </w:pPr>
            <w:r>
              <w:rPr>
                <w:color w:val="000000"/>
                <w:sz w:val="24"/>
              </w:rPr>
              <w:t>0.73%</w:t>
            </w:r>
          </w:p>
        </w:tc>
        <w:tc>
          <w:tcPr>
            <w:tcW w:w="1267" w:type="dxa"/>
            <w:vAlign w:val="center"/>
          </w:tcPr>
          <w:p w:rsidR="006B7EB6" w:rsidRDefault="00CE07F9">
            <w:pPr>
              <w:jc w:val="center"/>
            </w:pPr>
            <w:r>
              <w:rPr>
                <w:color w:val="000000"/>
                <w:sz w:val="24"/>
              </w:rPr>
              <w:t>0.11%</w:t>
            </w:r>
          </w:p>
        </w:tc>
        <w:tc>
          <w:tcPr>
            <w:tcW w:w="1267" w:type="dxa"/>
            <w:vAlign w:val="center"/>
          </w:tcPr>
          <w:p w:rsidR="006B7EB6" w:rsidRDefault="00CE07F9">
            <w:pPr>
              <w:jc w:val="center"/>
            </w:pPr>
            <w:r>
              <w:rPr>
                <w:color w:val="000000"/>
                <w:sz w:val="24"/>
              </w:rPr>
              <w:t>-0.56%</w:t>
            </w:r>
          </w:p>
        </w:tc>
        <w:tc>
          <w:tcPr>
            <w:tcW w:w="1267" w:type="dxa"/>
            <w:vAlign w:val="center"/>
          </w:tcPr>
          <w:p w:rsidR="006B7EB6" w:rsidRDefault="00CE07F9">
            <w:pPr>
              <w:jc w:val="center"/>
            </w:pPr>
            <w:r>
              <w:rPr>
                <w:color w:val="000000"/>
                <w:sz w:val="24"/>
              </w:rPr>
              <w:t>0.09%</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B7EB6">
        <w:trPr>
          <w:jc w:val="center"/>
        </w:trPr>
        <w:tc>
          <w:tcPr>
            <w:tcW w:w="1266" w:type="dxa"/>
            <w:vAlign w:val="center"/>
          </w:tcPr>
          <w:p w:rsidR="006B7EB6" w:rsidRDefault="00CE07F9">
            <w:pPr>
              <w:jc w:val="left"/>
            </w:pPr>
            <w:r>
              <w:rPr>
                <w:color w:val="000000"/>
                <w:sz w:val="24"/>
              </w:rPr>
              <w:t>过去三个月</w:t>
            </w:r>
          </w:p>
        </w:tc>
        <w:tc>
          <w:tcPr>
            <w:tcW w:w="1267" w:type="dxa"/>
            <w:vAlign w:val="center"/>
          </w:tcPr>
          <w:p w:rsidR="006B7EB6" w:rsidRDefault="00CE07F9">
            <w:pPr>
              <w:jc w:val="center"/>
            </w:pPr>
            <w:r>
              <w:rPr>
                <w:color w:val="000000"/>
                <w:sz w:val="24"/>
              </w:rPr>
              <w:t>0.09%</w:t>
            </w:r>
          </w:p>
        </w:tc>
        <w:tc>
          <w:tcPr>
            <w:tcW w:w="1267" w:type="dxa"/>
            <w:vAlign w:val="center"/>
          </w:tcPr>
          <w:p w:rsidR="006B7EB6" w:rsidRDefault="00CE07F9">
            <w:pPr>
              <w:jc w:val="center"/>
            </w:pPr>
            <w:r>
              <w:rPr>
                <w:color w:val="000000"/>
                <w:sz w:val="24"/>
              </w:rPr>
              <w:t>0.21%</w:t>
            </w:r>
          </w:p>
        </w:tc>
        <w:tc>
          <w:tcPr>
            <w:tcW w:w="1267" w:type="dxa"/>
            <w:vAlign w:val="center"/>
          </w:tcPr>
          <w:p w:rsidR="006B7EB6" w:rsidRDefault="00CE07F9">
            <w:pPr>
              <w:jc w:val="center"/>
            </w:pPr>
            <w:r>
              <w:rPr>
                <w:color w:val="000000"/>
                <w:sz w:val="24"/>
              </w:rPr>
              <w:t>0.73%</w:t>
            </w:r>
          </w:p>
        </w:tc>
        <w:tc>
          <w:tcPr>
            <w:tcW w:w="1267" w:type="dxa"/>
            <w:vAlign w:val="center"/>
          </w:tcPr>
          <w:p w:rsidR="006B7EB6" w:rsidRDefault="00CE07F9">
            <w:pPr>
              <w:jc w:val="center"/>
            </w:pPr>
            <w:r>
              <w:rPr>
                <w:color w:val="000000"/>
                <w:sz w:val="24"/>
              </w:rPr>
              <w:t>0.11%</w:t>
            </w:r>
          </w:p>
        </w:tc>
        <w:tc>
          <w:tcPr>
            <w:tcW w:w="1267" w:type="dxa"/>
            <w:vAlign w:val="center"/>
          </w:tcPr>
          <w:p w:rsidR="006B7EB6" w:rsidRDefault="00CE07F9">
            <w:pPr>
              <w:jc w:val="center"/>
            </w:pPr>
            <w:r>
              <w:rPr>
                <w:color w:val="000000"/>
                <w:sz w:val="24"/>
              </w:rPr>
              <w:t>-0.64%</w:t>
            </w:r>
          </w:p>
        </w:tc>
        <w:tc>
          <w:tcPr>
            <w:tcW w:w="1267" w:type="dxa"/>
            <w:vAlign w:val="center"/>
          </w:tcPr>
          <w:p w:rsidR="006B7EB6" w:rsidRDefault="00CE07F9">
            <w:pPr>
              <w:jc w:val="center"/>
            </w:pPr>
            <w:r>
              <w:rPr>
                <w:color w:val="000000"/>
                <w:sz w:val="24"/>
              </w:rPr>
              <w:t>0.10%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roofErr w:type="gramStart"/>
            <w:r w:rsidRPr="007F52FA">
              <w:rPr>
                <w:color w:val="000000"/>
                <w:kern w:val="0"/>
                <w:sz w:val="24"/>
              </w:rPr>
              <w:t>任本基金</w:t>
            </w:r>
            <w:proofErr w:type="gramEnd"/>
            <w:r w:rsidRPr="007F52FA">
              <w:rPr>
                <w:color w:val="000000"/>
                <w:kern w:val="0"/>
                <w:sz w:val="24"/>
              </w:rPr>
              <w:t>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B7EB6">
        <w:trPr>
          <w:jc w:val="center"/>
        </w:trPr>
        <w:tc>
          <w:tcPr>
            <w:tcW w:w="946" w:type="dxa"/>
            <w:vAlign w:val="center"/>
          </w:tcPr>
          <w:p w:rsidR="006B7EB6" w:rsidRDefault="00CE07F9">
            <w:pPr>
              <w:jc w:val="center"/>
            </w:pPr>
            <w:r>
              <w:rPr>
                <w:color w:val="000000"/>
                <w:sz w:val="24"/>
              </w:rPr>
              <w:t>唐赟</w:t>
            </w:r>
          </w:p>
        </w:tc>
        <w:tc>
          <w:tcPr>
            <w:tcW w:w="924" w:type="dxa"/>
            <w:vAlign w:val="center"/>
          </w:tcPr>
          <w:p w:rsidR="006B7EB6" w:rsidRDefault="00CE07F9">
            <w:pPr>
              <w:jc w:val="center"/>
            </w:pPr>
            <w:r>
              <w:rPr>
                <w:color w:val="000000"/>
                <w:sz w:val="24"/>
              </w:rPr>
              <w:t>交银信用添利债券</w:t>
            </w:r>
            <w:r>
              <w:rPr>
                <w:color w:val="000000"/>
                <w:sz w:val="24"/>
              </w:rPr>
              <w:t>(LOF)</w:t>
            </w:r>
            <w:r>
              <w:rPr>
                <w:color w:val="000000"/>
                <w:sz w:val="24"/>
              </w:rPr>
              <w:t>、交银双利债券、交银双轮动债券、交银荣和保本混合、交银裕通纯债债券的基金经理</w:t>
            </w:r>
          </w:p>
        </w:tc>
        <w:tc>
          <w:tcPr>
            <w:tcW w:w="1202" w:type="dxa"/>
            <w:vAlign w:val="center"/>
          </w:tcPr>
          <w:p w:rsidR="006B7EB6" w:rsidRDefault="00CE07F9">
            <w:pPr>
              <w:jc w:val="center"/>
            </w:pPr>
            <w:r>
              <w:rPr>
                <w:color w:val="000000"/>
                <w:sz w:val="24"/>
              </w:rPr>
              <w:t>2015-11-07</w:t>
            </w:r>
          </w:p>
        </w:tc>
        <w:tc>
          <w:tcPr>
            <w:tcW w:w="1300" w:type="dxa"/>
            <w:vAlign w:val="center"/>
          </w:tcPr>
          <w:p w:rsidR="006B7EB6" w:rsidRDefault="00CE07F9">
            <w:pPr>
              <w:jc w:val="center"/>
            </w:pPr>
            <w:r>
              <w:rPr>
                <w:color w:val="000000"/>
                <w:sz w:val="24"/>
              </w:rPr>
              <w:t>-</w:t>
            </w:r>
          </w:p>
        </w:tc>
        <w:tc>
          <w:tcPr>
            <w:tcW w:w="1245" w:type="dxa"/>
            <w:vAlign w:val="center"/>
          </w:tcPr>
          <w:p w:rsidR="006B7EB6" w:rsidRDefault="00CE07F9">
            <w:pPr>
              <w:jc w:val="center"/>
            </w:pPr>
            <w:r>
              <w:rPr>
                <w:color w:val="000000"/>
                <w:sz w:val="24"/>
              </w:rPr>
              <w:t>6</w:t>
            </w:r>
            <w:r>
              <w:rPr>
                <w:color w:val="000000"/>
                <w:sz w:val="24"/>
              </w:rPr>
              <w:t>年</w:t>
            </w:r>
          </w:p>
        </w:tc>
        <w:tc>
          <w:tcPr>
            <w:tcW w:w="3251" w:type="dxa"/>
            <w:vAlign w:val="center"/>
          </w:tcPr>
          <w:p w:rsidR="006B7EB6" w:rsidRDefault="00CE07F9">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lastRenderedPageBreak/>
          <w:t>4.3.1</w:t>
        </w:r>
      </w:smartTag>
      <w:r w:rsidRPr="007F52FA">
        <w:rPr>
          <w:sz w:val="24"/>
        </w:rPr>
        <w:t>公平交易制度的执行情况</w:t>
      </w:r>
    </w:p>
    <w:p w:rsidR="006B7EB6" w:rsidRDefault="00CE07F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B7EB6" w:rsidRDefault="00CE07F9">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B7EB6" w:rsidRDefault="00CE07F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6B7EB6" w:rsidRDefault="00CE07F9">
      <w:pPr>
        <w:spacing w:before="29" w:line="288" w:lineRule="auto"/>
        <w:ind w:firstLineChars="200" w:firstLine="480"/>
        <w:rPr>
          <w:color w:val="000000"/>
          <w:sz w:val="24"/>
        </w:rPr>
      </w:pPr>
      <w:r>
        <w:rPr>
          <w:color w:val="000000"/>
          <w:sz w:val="24"/>
        </w:rPr>
        <w:t>今年以来，多方面因素共同推动了债券收益率明显下行。经济增长方面，春节之后复工弱于往年，大宗商品库存高企，大宗商品价格回落，经济增长预期出现分歧。物价虽然在二月由于春节错位因素抬升，但猪肉价格大幅下挫，生产资料价格下行明显，整体通胀环境不构成担忧。资金面方面，年初以来流动性超预期宽松，货币政策没有边际上收紧，三月份美联储加息，中国央行跟随上调公开市场</w:t>
      </w:r>
      <w:r>
        <w:rPr>
          <w:color w:val="000000"/>
          <w:sz w:val="24"/>
        </w:rPr>
        <w:t>5BP</w:t>
      </w:r>
      <w:r>
        <w:rPr>
          <w:color w:val="000000"/>
          <w:sz w:val="24"/>
        </w:rPr>
        <w:t>，上调幅度符合市场预期。今年年初以来随着基本面和资金面预期的修复，债市收益率明显下行。</w:t>
      </w:r>
    </w:p>
    <w:p w:rsidR="006B7EB6" w:rsidRDefault="00CE07F9">
      <w:pPr>
        <w:spacing w:before="29" w:line="288" w:lineRule="auto"/>
        <w:ind w:firstLineChars="200" w:firstLine="480"/>
        <w:rPr>
          <w:color w:val="000000"/>
          <w:sz w:val="24"/>
        </w:rPr>
      </w:pPr>
      <w:r>
        <w:rPr>
          <w:color w:val="000000"/>
          <w:sz w:val="24"/>
        </w:rPr>
        <w:t>报告期内，基于对债券市场偏谨慎看法</w:t>
      </w:r>
      <w:r>
        <w:rPr>
          <w:color w:val="000000"/>
          <w:sz w:val="24"/>
        </w:rPr>
        <w:t>的修正，本基金及时进行了组合调仓操作，从较短的债券久期转换成中性债券久期，把握了收益率下行带来的机会。同时，组合配置一定的转债仓位，优选个券，波段操作，为组合增强收益。</w:t>
      </w:r>
    </w:p>
    <w:p w:rsidR="006B7EB6" w:rsidRDefault="00CE07F9">
      <w:pPr>
        <w:spacing w:before="29" w:line="288" w:lineRule="auto"/>
        <w:ind w:firstLineChars="200" w:firstLine="480"/>
        <w:rPr>
          <w:color w:val="000000"/>
          <w:sz w:val="24"/>
        </w:rPr>
      </w:pPr>
      <w:r>
        <w:rPr>
          <w:color w:val="000000"/>
          <w:sz w:val="24"/>
        </w:rPr>
        <w:t>展望二季度，我们判断债市可能在波折中缓慢下行。随着金融去杠杆的推进，去杠杆任务更加侧重于实体层面，我们认为后期债市关注焦点将回归经济基本面。而经济基本面方面，我们关注随着实体去杠杆和表外融资压缩，更多的融资转向表内，而表内信贷额度有限制，整体融资结构将会呈现出</w:t>
      </w:r>
      <w:r>
        <w:rPr>
          <w:color w:val="000000"/>
          <w:sz w:val="24"/>
        </w:rPr>
        <w:t>“</w:t>
      </w:r>
      <w:r>
        <w:rPr>
          <w:color w:val="000000"/>
          <w:sz w:val="24"/>
        </w:rPr>
        <w:t>宽货币</w:t>
      </w:r>
      <w:r>
        <w:rPr>
          <w:color w:val="000000"/>
          <w:sz w:val="24"/>
        </w:rPr>
        <w:t>”+“</w:t>
      </w:r>
      <w:r>
        <w:rPr>
          <w:color w:val="000000"/>
          <w:sz w:val="24"/>
        </w:rPr>
        <w:t>紧信用</w:t>
      </w:r>
      <w:r>
        <w:rPr>
          <w:color w:val="000000"/>
          <w:sz w:val="24"/>
        </w:rPr>
        <w:t>”</w:t>
      </w:r>
      <w:r>
        <w:rPr>
          <w:color w:val="000000"/>
          <w:sz w:val="24"/>
        </w:rPr>
        <w:t>的组合，对债市形成支撑。</w:t>
      </w:r>
      <w:r>
        <w:rPr>
          <w:color w:val="000000"/>
          <w:sz w:val="24"/>
        </w:rPr>
        <w:lastRenderedPageBreak/>
        <w:t>同时，我们也关注到，随着人民币汇率的</w:t>
      </w:r>
      <w:r>
        <w:rPr>
          <w:color w:val="000000"/>
          <w:sz w:val="24"/>
        </w:rPr>
        <w:t>升值和贸易战局势的推进，</w:t>
      </w:r>
      <w:r>
        <w:rPr>
          <w:color w:val="000000"/>
          <w:sz w:val="24"/>
        </w:rPr>
        <w:t>2017</w:t>
      </w:r>
      <w:r>
        <w:rPr>
          <w:color w:val="000000"/>
          <w:sz w:val="24"/>
        </w:rPr>
        <w:t>年拉动经济增长的重要推动力出口将明显弱化。通胀方面，虽然今年</w:t>
      </w:r>
      <w:r>
        <w:rPr>
          <w:color w:val="000000"/>
          <w:sz w:val="24"/>
        </w:rPr>
        <w:t>CPI</w:t>
      </w:r>
      <w:r>
        <w:rPr>
          <w:color w:val="000000"/>
          <w:sz w:val="24"/>
        </w:rPr>
        <w:t>由于基数较低，整体的中枢较</w:t>
      </w:r>
      <w:r>
        <w:rPr>
          <w:color w:val="000000"/>
          <w:sz w:val="24"/>
        </w:rPr>
        <w:t>2017</w:t>
      </w:r>
      <w:r>
        <w:rPr>
          <w:color w:val="000000"/>
          <w:sz w:val="24"/>
        </w:rPr>
        <w:t>年有所提高，但</w:t>
      </w:r>
      <w:r>
        <w:rPr>
          <w:color w:val="000000"/>
          <w:sz w:val="24"/>
        </w:rPr>
        <w:t>PPI</w:t>
      </w:r>
      <w:r>
        <w:rPr>
          <w:color w:val="000000"/>
          <w:sz w:val="24"/>
        </w:rPr>
        <w:t>随着商品价格的回落，同时受到高基数影响，将明显回落，综合考虑物价因素将会比较平稳。债券收益率将在波折中缓慢下行，我们将适当提高组合久期。同时，我们认为低等级信用债利差未能充分反应未来的信用风险，我们将一如既往地规避中低评级信用债，以中高等级的信用债为底仓，择机进行利率债的波段操作，以期增强组合收益。</w:t>
      </w:r>
    </w:p>
    <w:p w:rsidR="006B7EB6" w:rsidRDefault="00CE07F9">
      <w:pPr>
        <w:spacing w:before="29" w:line="288" w:lineRule="auto"/>
        <w:ind w:firstLineChars="200" w:firstLine="480"/>
        <w:rPr>
          <w:color w:val="000000"/>
          <w:sz w:val="24"/>
        </w:rPr>
      </w:pPr>
      <w:r>
        <w:rPr>
          <w:color w:val="000000"/>
          <w:sz w:val="24"/>
        </w:rPr>
        <w:t>可转债方面，转债市场扩容后行业分布更加均衡，标的选择空间加</w:t>
      </w:r>
      <w:r>
        <w:rPr>
          <w:color w:val="000000"/>
          <w:sz w:val="24"/>
        </w:rPr>
        <w:t>大，二季度我们认为转债缺乏系统性的机会，但不乏行业和个券机会，我们将更加均衡的配置，关注新兴行业转债，灵活操作尽力为组合增强收益。</w:t>
      </w:r>
    </w:p>
    <w:p w:rsidR="00952A72" w:rsidRPr="007F52FA" w:rsidRDefault="00323F25" w:rsidP="007C14DF">
      <w:pPr>
        <w:spacing w:before="29" w:line="288" w:lineRule="auto"/>
        <w:ind w:firstLineChars="200" w:firstLine="480"/>
        <w:rPr>
          <w:color w:val="000000"/>
          <w:sz w:val="24"/>
        </w:rPr>
      </w:pPr>
      <w:r w:rsidRPr="007F52FA">
        <w:rPr>
          <w:color w:val="000000"/>
          <w:sz w:val="24"/>
        </w:rPr>
        <w:t>权益市场方面，我们对二季度权益类资产持谨慎乐观态度，我们会关注市场风格是否持续，计划将继续保持中性仓位，在尽力控制回撤的前提下争取增强组合的收益。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日，交银双利债券</w:t>
      </w:r>
      <w:r w:rsidRPr="007F52FA">
        <w:rPr>
          <w:color w:val="000000"/>
          <w:sz w:val="24"/>
        </w:rPr>
        <w:t>A/B</w:t>
      </w:r>
      <w:r w:rsidRPr="007F52FA">
        <w:rPr>
          <w:color w:val="000000"/>
          <w:sz w:val="24"/>
        </w:rPr>
        <w:t>份额净值为</w:t>
      </w:r>
      <w:r w:rsidRPr="007F52FA">
        <w:rPr>
          <w:color w:val="000000"/>
          <w:sz w:val="24"/>
        </w:rPr>
        <w:t>1.172</w:t>
      </w:r>
      <w:r w:rsidRPr="007F52FA">
        <w:rPr>
          <w:color w:val="000000"/>
          <w:sz w:val="24"/>
        </w:rPr>
        <w:t>元，本报告期份额净值增长率为</w:t>
      </w:r>
      <w:r w:rsidRPr="007F52FA">
        <w:rPr>
          <w:color w:val="000000"/>
          <w:sz w:val="24"/>
        </w:rPr>
        <w:t>0.17%</w:t>
      </w:r>
      <w:r w:rsidRPr="007F52FA">
        <w:rPr>
          <w:color w:val="000000"/>
          <w:sz w:val="24"/>
        </w:rPr>
        <w:t>，同期业绩比较基准增长率为</w:t>
      </w:r>
      <w:r w:rsidRPr="007F52FA">
        <w:rPr>
          <w:color w:val="000000"/>
          <w:sz w:val="24"/>
        </w:rPr>
        <w:t>0.73%</w:t>
      </w:r>
      <w:r w:rsidRPr="007F52FA">
        <w:rPr>
          <w:color w:val="000000"/>
          <w:sz w:val="24"/>
        </w:rPr>
        <w:t>；交银双利债券</w:t>
      </w:r>
      <w:r w:rsidRPr="007F52FA">
        <w:rPr>
          <w:color w:val="000000"/>
          <w:sz w:val="24"/>
        </w:rPr>
        <w:t>C</w:t>
      </w:r>
      <w:r w:rsidRPr="007F52FA">
        <w:rPr>
          <w:color w:val="000000"/>
          <w:sz w:val="24"/>
        </w:rPr>
        <w:t>份额净值为</w:t>
      </w:r>
      <w:r w:rsidRPr="007F52FA">
        <w:rPr>
          <w:color w:val="000000"/>
          <w:sz w:val="24"/>
        </w:rPr>
        <w:t>1.138</w:t>
      </w:r>
      <w:r w:rsidRPr="007F52FA">
        <w:rPr>
          <w:color w:val="000000"/>
          <w:sz w:val="24"/>
        </w:rPr>
        <w:t>元，本报告期份额净值增长率为</w:t>
      </w:r>
      <w:r w:rsidRPr="007F52FA">
        <w:rPr>
          <w:color w:val="000000"/>
          <w:sz w:val="24"/>
        </w:rPr>
        <w:t>0.09%</w:t>
      </w:r>
      <w:r w:rsidRPr="007F52FA">
        <w:rPr>
          <w:color w:val="000000"/>
          <w:sz w:val="24"/>
        </w:rPr>
        <w:t>，同期业绩比较基准增长率为</w:t>
      </w:r>
      <w:r w:rsidRPr="007F52FA">
        <w:rPr>
          <w:color w:val="000000"/>
          <w:sz w:val="24"/>
        </w:rPr>
        <w:t>0.73%</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22,174,072.00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8.86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22,174,072.00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8.86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216,315,250.92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216,315,250.92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w:t>
            </w:r>
            <w:proofErr w:type="gramStart"/>
            <w:r w:rsidRPr="0028293E">
              <w:rPr>
                <w:rFonts w:eastAsiaTheme="minorEastAsia"/>
                <w:color w:val="000000" w:themeColor="text1"/>
                <w:sz w:val="24"/>
              </w:rPr>
              <w:t>品投资</w:t>
            </w:r>
            <w:proofErr w:type="gramEnd"/>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0.60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2,639,648.33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7,663,971.98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3.06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250,292,943.23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8,738,800.00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3.71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5,652,172.00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2.40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5,097,600.00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2.17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2,685,500.00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22,174,072.00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9.43</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6B7EB6">
        <w:trPr>
          <w:jc w:val="center"/>
        </w:trPr>
        <w:tc>
          <w:tcPr>
            <w:tcW w:w="850" w:type="dxa"/>
            <w:vAlign w:val="center"/>
          </w:tcPr>
          <w:p w:rsidR="006B7EB6" w:rsidRDefault="00CE07F9">
            <w:pPr>
              <w:jc w:val="center"/>
            </w:pPr>
            <w:r>
              <w:rPr>
                <w:color w:val="000000"/>
                <w:sz w:val="24"/>
              </w:rPr>
              <w:t>1</w:t>
            </w:r>
          </w:p>
        </w:tc>
        <w:tc>
          <w:tcPr>
            <w:tcW w:w="1327" w:type="dxa"/>
            <w:vAlign w:val="center"/>
          </w:tcPr>
          <w:p w:rsidR="006B7EB6" w:rsidRDefault="00CE07F9">
            <w:pPr>
              <w:jc w:val="center"/>
            </w:pPr>
            <w:r>
              <w:rPr>
                <w:color w:val="000000"/>
                <w:sz w:val="24"/>
              </w:rPr>
              <w:t>300347</w:t>
            </w:r>
          </w:p>
        </w:tc>
        <w:tc>
          <w:tcPr>
            <w:tcW w:w="1769" w:type="dxa"/>
            <w:vAlign w:val="center"/>
          </w:tcPr>
          <w:p w:rsidR="006B7EB6" w:rsidRDefault="00CE07F9">
            <w:pPr>
              <w:jc w:val="center"/>
            </w:pPr>
            <w:r>
              <w:rPr>
                <w:color w:val="000000"/>
                <w:sz w:val="24"/>
              </w:rPr>
              <w:t>泰格医药</w:t>
            </w:r>
          </w:p>
        </w:tc>
        <w:tc>
          <w:tcPr>
            <w:tcW w:w="1327" w:type="dxa"/>
            <w:vAlign w:val="center"/>
          </w:tcPr>
          <w:p w:rsidR="006B7EB6" w:rsidRDefault="00CE07F9">
            <w:pPr>
              <w:jc w:val="right"/>
            </w:pPr>
            <w:r>
              <w:rPr>
                <w:color w:val="000000"/>
                <w:sz w:val="24"/>
              </w:rPr>
              <w:t>50,000</w:t>
            </w:r>
          </w:p>
        </w:tc>
        <w:tc>
          <w:tcPr>
            <w:tcW w:w="1915" w:type="dxa"/>
            <w:vAlign w:val="center"/>
          </w:tcPr>
          <w:p w:rsidR="006B7EB6" w:rsidRDefault="00CE07F9">
            <w:pPr>
              <w:jc w:val="right"/>
            </w:pPr>
            <w:r>
              <w:rPr>
                <w:color w:val="000000"/>
                <w:sz w:val="24"/>
              </w:rPr>
              <w:t>2,685,500.00</w:t>
            </w:r>
          </w:p>
        </w:tc>
        <w:tc>
          <w:tcPr>
            <w:tcW w:w="1680" w:type="dxa"/>
            <w:vAlign w:val="center"/>
          </w:tcPr>
          <w:p w:rsidR="006B7EB6" w:rsidRDefault="00CE07F9">
            <w:pPr>
              <w:jc w:val="right"/>
            </w:pPr>
            <w:r>
              <w:rPr>
                <w:color w:val="000000"/>
                <w:sz w:val="24"/>
              </w:rPr>
              <w:t>1.14</w:t>
            </w:r>
          </w:p>
        </w:tc>
      </w:tr>
      <w:tr w:rsidR="006B7EB6">
        <w:trPr>
          <w:jc w:val="center"/>
        </w:trPr>
        <w:tc>
          <w:tcPr>
            <w:tcW w:w="850" w:type="dxa"/>
            <w:vAlign w:val="center"/>
          </w:tcPr>
          <w:p w:rsidR="006B7EB6" w:rsidRDefault="00CE07F9">
            <w:pPr>
              <w:jc w:val="center"/>
            </w:pPr>
            <w:r>
              <w:rPr>
                <w:color w:val="000000"/>
                <w:sz w:val="24"/>
              </w:rPr>
              <w:t>2</w:t>
            </w:r>
          </w:p>
        </w:tc>
        <w:tc>
          <w:tcPr>
            <w:tcW w:w="1327" w:type="dxa"/>
            <w:vAlign w:val="center"/>
          </w:tcPr>
          <w:p w:rsidR="006B7EB6" w:rsidRDefault="00CE07F9">
            <w:pPr>
              <w:jc w:val="center"/>
            </w:pPr>
            <w:r>
              <w:rPr>
                <w:color w:val="000000"/>
                <w:sz w:val="24"/>
              </w:rPr>
              <w:t>300377</w:t>
            </w:r>
          </w:p>
        </w:tc>
        <w:tc>
          <w:tcPr>
            <w:tcW w:w="1769" w:type="dxa"/>
            <w:vAlign w:val="center"/>
          </w:tcPr>
          <w:p w:rsidR="006B7EB6" w:rsidRDefault="00CE07F9">
            <w:pPr>
              <w:jc w:val="center"/>
            </w:pPr>
            <w:r>
              <w:rPr>
                <w:color w:val="000000"/>
                <w:sz w:val="24"/>
              </w:rPr>
              <w:t>赢时胜</w:t>
            </w:r>
          </w:p>
        </w:tc>
        <w:tc>
          <w:tcPr>
            <w:tcW w:w="1327" w:type="dxa"/>
            <w:vAlign w:val="center"/>
          </w:tcPr>
          <w:p w:rsidR="006B7EB6" w:rsidRDefault="00CE07F9">
            <w:pPr>
              <w:jc w:val="right"/>
            </w:pPr>
            <w:r>
              <w:rPr>
                <w:color w:val="000000"/>
                <w:sz w:val="24"/>
              </w:rPr>
              <w:t>150,000</w:t>
            </w:r>
          </w:p>
        </w:tc>
        <w:tc>
          <w:tcPr>
            <w:tcW w:w="1915" w:type="dxa"/>
            <w:vAlign w:val="center"/>
          </w:tcPr>
          <w:p w:rsidR="006B7EB6" w:rsidRDefault="00CE07F9">
            <w:pPr>
              <w:jc w:val="right"/>
            </w:pPr>
            <w:r>
              <w:rPr>
                <w:color w:val="000000"/>
                <w:sz w:val="24"/>
              </w:rPr>
              <w:t>2,673,000.00</w:t>
            </w:r>
          </w:p>
        </w:tc>
        <w:tc>
          <w:tcPr>
            <w:tcW w:w="1680" w:type="dxa"/>
            <w:vAlign w:val="center"/>
          </w:tcPr>
          <w:p w:rsidR="006B7EB6" w:rsidRDefault="00CE07F9">
            <w:pPr>
              <w:jc w:val="right"/>
            </w:pPr>
            <w:r>
              <w:rPr>
                <w:color w:val="000000"/>
                <w:sz w:val="24"/>
              </w:rPr>
              <w:t>1.14</w:t>
            </w:r>
          </w:p>
        </w:tc>
      </w:tr>
      <w:tr w:rsidR="006B7EB6">
        <w:trPr>
          <w:jc w:val="center"/>
        </w:trPr>
        <w:tc>
          <w:tcPr>
            <w:tcW w:w="850" w:type="dxa"/>
            <w:vAlign w:val="center"/>
          </w:tcPr>
          <w:p w:rsidR="006B7EB6" w:rsidRDefault="00CE07F9">
            <w:pPr>
              <w:jc w:val="center"/>
            </w:pPr>
            <w:r>
              <w:rPr>
                <w:color w:val="000000"/>
                <w:sz w:val="24"/>
              </w:rPr>
              <w:t>3</w:t>
            </w:r>
          </w:p>
        </w:tc>
        <w:tc>
          <w:tcPr>
            <w:tcW w:w="1327" w:type="dxa"/>
            <w:vAlign w:val="center"/>
          </w:tcPr>
          <w:p w:rsidR="006B7EB6" w:rsidRDefault="00CE07F9">
            <w:pPr>
              <w:jc w:val="center"/>
            </w:pPr>
            <w:r>
              <w:rPr>
                <w:color w:val="000000"/>
                <w:sz w:val="24"/>
              </w:rPr>
              <w:t>000895</w:t>
            </w:r>
          </w:p>
        </w:tc>
        <w:tc>
          <w:tcPr>
            <w:tcW w:w="1769" w:type="dxa"/>
            <w:vAlign w:val="center"/>
          </w:tcPr>
          <w:p w:rsidR="006B7EB6" w:rsidRDefault="00CE07F9">
            <w:pPr>
              <w:jc w:val="center"/>
            </w:pPr>
            <w:r>
              <w:rPr>
                <w:color w:val="000000"/>
                <w:sz w:val="24"/>
              </w:rPr>
              <w:t>双汇发展</w:t>
            </w:r>
          </w:p>
        </w:tc>
        <w:tc>
          <w:tcPr>
            <w:tcW w:w="1327" w:type="dxa"/>
            <w:vAlign w:val="center"/>
          </w:tcPr>
          <w:p w:rsidR="006B7EB6" w:rsidRDefault="00CE07F9">
            <w:pPr>
              <w:jc w:val="right"/>
            </w:pPr>
            <w:r>
              <w:rPr>
                <w:color w:val="000000"/>
                <w:sz w:val="24"/>
              </w:rPr>
              <w:t>100,000</w:t>
            </w:r>
          </w:p>
        </w:tc>
        <w:tc>
          <w:tcPr>
            <w:tcW w:w="1915" w:type="dxa"/>
            <w:vAlign w:val="center"/>
          </w:tcPr>
          <w:p w:rsidR="006B7EB6" w:rsidRDefault="00CE07F9">
            <w:pPr>
              <w:jc w:val="right"/>
            </w:pPr>
            <w:r>
              <w:rPr>
                <w:color w:val="000000"/>
                <w:sz w:val="24"/>
              </w:rPr>
              <w:t>2,560,000.00</w:t>
            </w:r>
          </w:p>
        </w:tc>
        <w:tc>
          <w:tcPr>
            <w:tcW w:w="1680" w:type="dxa"/>
            <w:vAlign w:val="center"/>
          </w:tcPr>
          <w:p w:rsidR="006B7EB6" w:rsidRDefault="00CE07F9">
            <w:pPr>
              <w:jc w:val="right"/>
            </w:pPr>
            <w:r>
              <w:rPr>
                <w:color w:val="000000"/>
                <w:sz w:val="24"/>
              </w:rPr>
              <w:t>1.09</w:t>
            </w:r>
          </w:p>
        </w:tc>
      </w:tr>
      <w:tr w:rsidR="006B7EB6">
        <w:trPr>
          <w:jc w:val="center"/>
        </w:trPr>
        <w:tc>
          <w:tcPr>
            <w:tcW w:w="850" w:type="dxa"/>
            <w:vAlign w:val="center"/>
          </w:tcPr>
          <w:p w:rsidR="006B7EB6" w:rsidRDefault="00CE07F9">
            <w:pPr>
              <w:jc w:val="center"/>
            </w:pPr>
            <w:r>
              <w:rPr>
                <w:color w:val="000000"/>
                <w:sz w:val="24"/>
              </w:rPr>
              <w:t>4</w:t>
            </w:r>
          </w:p>
        </w:tc>
        <w:tc>
          <w:tcPr>
            <w:tcW w:w="1327" w:type="dxa"/>
            <w:vAlign w:val="center"/>
          </w:tcPr>
          <w:p w:rsidR="006B7EB6" w:rsidRDefault="00CE07F9">
            <w:pPr>
              <w:jc w:val="center"/>
            </w:pPr>
            <w:r>
              <w:rPr>
                <w:color w:val="000000"/>
                <w:sz w:val="24"/>
              </w:rPr>
              <w:t>603108</w:t>
            </w:r>
          </w:p>
        </w:tc>
        <w:tc>
          <w:tcPr>
            <w:tcW w:w="1769" w:type="dxa"/>
            <w:vAlign w:val="center"/>
          </w:tcPr>
          <w:p w:rsidR="006B7EB6" w:rsidRDefault="00CE07F9">
            <w:pPr>
              <w:jc w:val="center"/>
            </w:pPr>
            <w:r>
              <w:rPr>
                <w:color w:val="000000"/>
                <w:sz w:val="24"/>
              </w:rPr>
              <w:t>润达医疗</w:t>
            </w:r>
          </w:p>
        </w:tc>
        <w:tc>
          <w:tcPr>
            <w:tcW w:w="1327" w:type="dxa"/>
            <w:vAlign w:val="center"/>
          </w:tcPr>
          <w:p w:rsidR="006B7EB6" w:rsidRDefault="00CE07F9">
            <w:pPr>
              <w:jc w:val="right"/>
            </w:pPr>
            <w:r>
              <w:rPr>
                <w:color w:val="000000"/>
                <w:sz w:val="24"/>
              </w:rPr>
              <w:t>150,800</w:t>
            </w:r>
          </w:p>
        </w:tc>
        <w:tc>
          <w:tcPr>
            <w:tcW w:w="1915" w:type="dxa"/>
            <w:vAlign w:val="center"/>
          </w:tcPr>
          <w:p w:rsidR="006B7EB6" w:rsidRDefault="00CE07F9">
            <w:pPr>
              <w:jc w:val="right"/>
            </w:pPr>
            <w:r>
              <w:rPr>
                <w:color w:val="000000"/>
                <w:sz w:val="24"/>
              </w:rPr>
              <w:t>2,464,072.00</w:t>
            </w:r>
          </w:p>
        </w:tc>
        <w:tc>
          <w:tcPr>
            <w:tcW w:w="1680" w:type="dxa"/>
            <w:vAlign w:val="center"/>
          </w:tcPr>
          <w:p w:rsidR="006B7EB6" w:rsidRDefault="00CE07F9">
            <w:pPr>
              <w:jc w:val="right"/>
            </w:pPr>
            <w:r>
              <w:rPr>
                <w:color w:val="000000"/>
                <w:sz w:val="24"/>
              </w:rPr>
              <w:t>1.05</w:t>
            </w:r>
          </w:p>
        </w:tc>
      </w:tr>
      <w:tr w:rsidR="006B7EB6">
        <w:trPr>
          <w:jc w:val="center"/>
        </w:trPr>
        <w:tc>
          <w:tcPr>
            <w:tcW w:w="850" w:type="dxa"/>
            <w:vAlign w:val="center"/>
          </w:tcPr>
          <w:p w:rsidR="006B7EB6" w:rsidRDefault="00CE07F9">
            <w:pPr>
              <w:jc w:val="center"/>
            </w:pPr>
            <w:r>
              <w:rPr>
                <w:color w:val="000000"/>
                <w:sz w:val="24"/>
              </w:rPr>
              <w:t>5</w:t>
            </w:r>
          </w:p>
        </w:tc>
        <w:tc>
          <w:tcPr>
            <w:tcW w:w="1327" w:type="dxa"/>
            <w:vAlign w:val="center"/>
          </w:tcPr>
          <w:p w:rsidR="006B7EB6" w:rsidRDefault="00CE07F9">
            <w:pPr>
              <w:jc w:val="center"/>
            </w:pPr>
            <w:r>
              <w:rPr>
                <w:color w:val="000000"/>
                <w:sz w:val="24"/>
              </w:rPr>
              <w:t>600309</w:t>
            </w:r>
          </w:p>
        </w:tc>
        <w:tc>
          <w:tcPr>
            <w:tcW w:w="1769" w:type="dxa"/>
            <w:vAlign w:val="center"/>
          </w:tcPr>
          <w:p w:rsidR="006B7EB6" w:rsidRDefault="00CE07F9">
            <w:pPr>
              <w:jc w:val="center"/>
            </w:pPr>
            <w:r>
              <w:rPr>
                <w:color w:val="000000"/>
                <w:sz w:val="24"/>
              </w:rPr>
              <w:t>万华化学</w:t>
            </w:r>
          </w:p>
        </w:tc>
        <w:tc>
          <w:tcPr>
            <w:tcW w:w="1327" w:type="dxa"/>
            <w:vAlign w:val="center"/>
          </w:tcPr>
          <w:p w:rsidR="006B7EB6" w:rsidRDefault="00CE07F9">
            <w:pPr>
              <w:jc w:val="right"/>
            </w:pPr>
            <w:r>
              <w:rPr>
                <w:color w:val="000000"/>
                <w:sz w:val="24"/>
              </w:rPr>
              <w:t>70,000</w:t>
            </w:r>
          </w:p>
        </w:tc>
        <w:tc>
          <w:tcPr>
            <w:tcW w:w="1915" w:type="dxa"/>
            <w:vAlign w:val="center"/>
          </w:tcPr>
          <w:p w:rsidR="006B7EB6" w:rsidRDefault="00CE07F9">
            <w:pPr>
              <w:jc w:val="right"/>
            </w:pPr>
            <w:r>
              <w:rPr>
                <w:color w:val="000000"/>
                <w:sz w:val="24"/>
              </w:rPr>
              <w:t>2,456,300.00</w:t>
            </w:r>
          </w:p>
        </w:tc>
        <w:tc>
          <w:tcPr>
            <w:tcW w:w="1680" w:type="dxa"/>
            <w:vAlign w:val="center"/>
          </w:tcPr>
          <w:p w:rsidR="006B7EB6" w:rsidRDefault="00CE07F9">
            <w:pPr>
              <w:jc w:val="right"/>
            </w:pPr>
            <w:r>
              <w:rPr>
                <w:color w:val="000000"/>
                <w:sz w:val="24"/>
              </w:rPr>
              <w:t>1.04</w:t>
            </w:r>
          </w:p>
        </w:tc>
      </w:tr>
      <w:tr w:rsidR="006B7EB6">
        <w:trPr>
          <w:jc w:val="center"/>
        </w:trPr>
        <w:tc>
          <w:tcPr>
            <w:tcW w:w="850" w:type="dxa"/>
            <w:vAlign w:val="center"/>
          </w:tcPr>
          <w:p w:rsidR="006B7EB6" w:rsidRDefault="00CE07F9">
            <w:pPr>
              <w:jc w:val="center"/>
            </w:pPr>
            <w:r>
              <w:rPr>
                <w:color w:val="000000"/>
                <w:sz w:val="24"/>
              </w:rPr>
              <w:t>6</w:t>
            </w:r>
          </w:p>
        </w:tc>
        <w:tc>
          <w:tcPr>
            <w:tcW w:w="1327" w:type="dxa"/>
            <w:vAlign w:val="center"/>
          </w:tcPr>
          <w:p w:rsidR="006B7EB6" w:rsidRDefault="00CE07F9">
            <w:pPr>
              <w:jc w:val="center"/>
            </w:pPr>
            <w:r>
              <w:rPr>
                <w:color w:val="000000"/>
                <w:sz w:val="24"/>
              </w:rPr>
              <w:t>600436</w:t>
            </w:r>
          </w:p>
        </w:tc>
        <w:tc>
          <w:tcPr>
            <w:tcW w:w="1769" w:type="dxa"/>
            <w:vAlign w:val="center"/>
          </w:tcPr>
          <w:p w:rsidR="006B7EB6" w:rsidRDefault="00CE07F9">
            <w:pPr>
              <w:jc w:val="center"/>
            </w:pPr>
            <w:r>
              <w:rPr>
                <w:color w:val="000000"/>
                <w:sz w:val="24"/>
              </w:rPr>
              <w:t>片仔癀</w:t>
            </w:r>
          </w:p>
        </w:tc>
        <w:tc>
          <w:tcPr>
            <w:tcW w:w="1327" w:type="dxa"/>
            <w:vAlign w:val="center"/>
          </w:tcPr>
          <w:p w:rsidR="006B7EB6" w:rsidRDefault="00CE07F9">
            <w:pPr>
              <w:jc w:val="right"/>
            </w:pPr>
            <w:r>
              <w:rPr>
                <w:color w:val="000000"/>
                <w:sz w:val="24"/>
              </w:rPr>
              <w:t>25,000</w:t>
            </w:r>
          </w:p>
        </w:tc>
        <w:tc>
          <w:tcPr>
            <w:tcW w:w="1915" w:type="dxa"/>
            <w:vAlign w:val="center"/>
          </w:tcPr>
          <w:p w:rsidR="006B7EB6" w:rsidRDefault="00CE07F9">
            <w:pPr>
              <w:jc w:val="right"/>
            </w:pPr>
            <w:r>
              <w:rPr>
                <w:color w:val="000000"/>
                <w:sz w:val="24"/>
              </w:rPr>
              <w:t>2,074,500.00</w:t>
            </w:r>
          </w:p>
        </w:tc>
        <w:tc>
          <w:tcPr>
            <w:tcW w:w="1680" w:type="dxa"/>
            <w:vAlign w:val="center"/>
          </w:tcPr>
          <w:p w:rsidR="006B7EB6" w:rsidRDefault="00CE07F9">
            <w:pPr>
              <w:jc w:val="right"/>
            </w:pPr>
            <w:r>
              <w:rPr>
                <w:color w:val="000000"/>
                <w:sz w:val="24"/>
              </w:rPr>
              <w:t>0.88</w:t>
            </w:r>
          </w:p>
        </w:tc>
      </w:tr>
      <w:tr w:rsidR="006B7EB6">
        <w:trPr>
          <w:jc w:val="center"/>
        </w:trPr>
        <w:tc>
          <w:tcPr>
            <w:tcW w:w="850" w:type="dxa"/>
            <w:vAlign w:val="center"/>
          </w:tcPr>
          <w:p w:rsidR="006B7EB6" w:rsidRDefault="00CE07F9">
            <w:pPr>
              <w:jc w:val="center"/>
            </w:pPr>
            <w:r>
              <w:rPr>
                <w:color w:val="000000"/>
                <w:sz w:val="24"/>
              </w:rPr>
              <w:t>7</w:t>
            </w:r>
          </w:p>
        </w:tc>
        <w:tc>
          <w:tcPr>
            <w:tcW w:w="1327" w:type="dxa"/>
            <w:vAlign w:val="center"/>
          </w:tcPr>
          <w:p w:rsidR="006B7EB6" w:rsidRDefault="00CE07F9">
            <w:pPr>
              <w:jc w:val="center"/>
            </w:pPr>
            <w:r>
              <w:rPr>
                <w:color w:val="000000"/>
                <w:sz w:val="24"/>
              </w:rPr>
              <w:t>300413</w:t>
            </w:r>
          </w:p>
        </w:tc>
        <w:tc>
          <w:tcPr>
            <w:tcW w:w="1769" w:type="dxa"/>
            <w:vAlign w:val="center"/>
          </w:tcPr>
          <w:p w:rsidR="006B7EB6" w:rsidRDefault="00CE07F9">
            <w:pPr>
              <w:jc w:val="center"/>
            </w:pPr>
            <w:r>
              <w:rPr>
                <w:color w:val="000000"/>
                <w:sz w:val="24"/>
              </w:rPr>
              <w:t>快乐购</w:t>
            </w:r>
          </w:p>
        </w:tc>
        <w:tc>
          <w:tcPr>
            <w:tcW w:w="1327" w:type="dxa"/>
            <w:vAlign w:val="center"/>
          </w:tcPr>
          <w:p w:rsidR="006B7EB6" w:rsidRDefault="00CE07F9">
            <w:pPr>
              <w:jc w:val="right"/>
            </w:pPr>
            <w:r>
              <w:rPr>
                <w:color w:val="000000"/>
                <w:sz w:val="24"/>
              </w:rPr>
              <w:t>50,000</w:t>
            </w:r>
          </w:p>
        </w:tc>
        <w:tc>
          <w:tcPr>
            <w:tcW w:w="1915" w:type="dxa"/>
            <w:vAlign w:val="center"/>
          </w:tcPr>
          <w:p w:rsidR="006B7EB6" w:rsidRDefault="00CE07F9">
            <w:pPr>
              <w:jc w:val="right"/>
            </w:pPr>
            <w:r>
              <w:rPr>
                <w:color w:val="000000"/>
                <w:sz w:val="24"/>
              </w:rPr>
              <w:t>2,018,500.00</w:t>
            </w:r>
          </w:p>
        </w:tc>
        <w:tc>
          <w:tcPr>
            <w:tcW w:w="1680" w:type="dxa"/>
            <w:vAlign w:val="center"/>
          </w:tcPr>
          <w:p w:rsidR="006B7EB6" w:rsidRDefault="00CE07F9">
            <w:pPr>
              <w:jc w:val="right"/>
            </w:pPr>
            <w:r>
              <w:rPr>
                <w:color w:val="000000"/>
                <w:sz w:val="24"/>
              </w:rPr>
              <w:t>0.86</w:t>
            </w:r>
          </w:p>
        </w:tc>
      </w:tr>
      <w:tr w:rsidR="006B7EB6">
        <w:trPr>
          <w:jc w:val="center"/>
        </w:trPr>
        <w:tc>
          <w:tcPr>
            <w:tcW w:w="850" w:type="dxa"/>
            <w:vAlign w:val="center"/>
          </w:tcPr>
          <w:p w:rsidR="006B7EB6" w:rsidRDefault="00CE07F9">
            <w:pPr>
              <w:jc w:val="center"/>
            </w:pPr>
            <w:r>
              <w:rPr>
                <w:color w:val="000000"/>
                <w:sz w:val="24"/>
              </w:rPr>
              <w:t>8</w:t>
            </w:r>
          </w:p>
        </w:tc>
        <w:tc>
          <w:tcPr>
            <w:tcW w:w="1327" w:type="dxa"/>
            <w:vAlign w:val="center"/>
          </w:tcPr>
          <w:p w:rsidR="006B7EB6" w:rsidRDefault="00CE07F9">
            <w:pPr>
              <w:jc w:val="center"/>
            </w:pPr>
            <w:r>
              <w:rPr>
                <w:color w:val="000000"/>
                <w:sz w:val="24"/>
              </w:rPr>
              <w:t>002563</w:t>
            </w:r>
          </w:p>
        </w:tc>
        <w:tc>
          <w:tcPr>
            <w:tcW w:w="1769" w:type="dxa"/>
            <w:vAlign w:val="center"/>
          </w:tcPr>
          <w:p w:rsidR="006B7EB6" w:rsidRDefault="00CE07F9">
            <w:pPr>
              <w:jc w:val="center"/>
            </w:pPr>
            <w:r>
              <w:rPr>
                <w:color w:val="000000"/>
                <w:sz w:val="24"/>
              </w:rPr>
              <w:t>森马服饰</w:t>
            </w:r>
          </w:p>
        </w:tc>
        <w:tc>
          <w:tcPr>
            <w:tcW w:w="1327" w:type="dxa"/>
            <w:vAlign w:val="center"/>
          </w:tcPr>
          <w:p w:rsidR="006B7EB6" w:rsidRDefault="00CE07F9">
            <w:pPr>
              <w:jc w:val="right"/>
            </w:pPr>
            <w:r>
              <w:rPr>
                <w:color w:val="000000"/>
                <w:sz w:val="24"/>
              </w:rPr>
              <w:t>160,000</w:t>
            </w:r>
          </w:p>
        </w:tc>
        <w:tc>
          <w:tcPr>
            <w:tcW w:w="1915" w:type="dxa"/>
            <w:vAlign w:val="center"/>
          </w:tcPr>
          <w:p w:rsidR="006B7EB6" w:rsidRDefault="00CE07F9">
            <w:pPr>
              <w:jc w:val="right"/>
            </w:pPr>
            <w:r>
              <w:rPr>
                <w:color w:val="000000"/>
                <w:sz w:val="24"/>
              </w:rPr>
              <w:t>1,648,000.00</w:t>
            </w:r>
          </w:p>
        </w:tc>
        <w:tc>
          <w:tcPr>
            <w:tcW w:w="1680" w:type="dxa"/>
            <w:vAlign w:val="center"/>
          </w:tcPr>
          <w:p w:rsidR="006B7EB6" w:rsidRDefault="00CE07F9">
            <w:pPr>
              <w:jc w:val="right"/>
            </w:pPr>
            <w:r>
              <w:rPr>
                <w:color w:val="000000"/>
                <w:sz w:val="24"/>
              </w:rPr>
              <w:t>0.70</w:t>
            </w:r>
          </w:p>
        </w:tc>
      </w:tr>
      <w:tr w:rsidR="006B7EB6">
        <w:trPr>
          <w:jc w:val="center"/>
        </w:trPr>
        <w:tc>
          <w:tcPr>
            <w:tcW w:w="850" w:type="dxa"/>
            <w:vAlign w:val="center"/>
          </w:tcPr>
          <w:p w:rsidR="006B7EB6" w:rsidRDefault="00CE07F9">
            <w:pPr>
              <w:jc w:val="center"/>
            </w:pPr>
            <w:r>
              <w:rPr>
                <w:color w:val="000000"/>
                <w:sz w:val="24"/>
              </w:rPr>
              <w:t>9</w:t>
            </w:r>
          </w:p>
        </w:tc>
        <w:tc>
          <w:tcPr>
            <w:tcW w:w="1327" w:type="dxa"/>
            <w:vAlign w:val="center"/>
          </w:tcPr>
          <w:p w:rsidR="006B7EB6" w:rsidRDefault="00CE07F9">
            <w:pPr>
              <w:jc w:val="center"/>
            </w:pPr>
            <w:r>
              <w:rPr>
                <w:color w:val="000000"/>
                <w:sz w:val="24"/>
              </w:rPr>
              <w:t>300253</w:t>
            </w:r>
          </w:p>
        </w:tc>
        <w:tc>
          <w:tcPr>
            <w:tcW w:w="1769" w:type="dxa"/>
            <w:vAlign w:val="center"/>
          </w:tcPr>
          <w:p w:rsidR="006B7EB6" w:rsidRDefault="00CE07F9">
            <w:pPr>
              <w:jc w:val="center"/>
            </w:pPr>
            <w:r>
              <w:rPr>
                <w:color w:val="000000"/>
                <w:sz w:val="24"/>
              </w:rPr>
              <w:t>卫宁健康</w:t>
            </w:r>
          </w:p>
        </w:tc>
        <w:tc>
          <w:tcPr>
            <w:tcW w:w="1327" w:type="dxa"/>
            <w:vAlign w:val="center"/>
          </w:tcPr>
          <w:p w:rsidR="006B7EB6" w:rsidRDefault="00CE07F9">
            <w:pPr>
              <w:jc w:val="right"/>
            </w:pPr>
            <w:r>
              <w:rPr>
                <w:color w:val="000000"/>
                <w:sz w:val="24"/>
              </w:rPr>
              <w:t>100,000</w:t>
            </w:r>
          </w:p>
        </w:tc>
        <w:tc>
          <w:tcPr>
            <w:tcW w:w="1915" w:type="dxa"/>
            <w:vAlign w:val="center"/>
          </w:tcPr>
          <w:p w:rsidR="006B7EB6" w:rsidRDefault="00CE07F9">
            <w:pPr>
              <w:jc w:val="right"/>
            </w:pPr>
            <w:r>
              <w:rPr>
                <w:color w:val="000000"/>
                <w:sz w:val="24"/>
              </w:rPr>
              <w:t>1,229,000.00</w:t>
            </w:r>
          </w:p>
        </w:tc>
        <w:tc>
          <w:tcPr>
            <w:tcW w:w="1680" w:type="dxa"/>
            <w:vAlign w:val="center"/>
          </w:tcPr>
          <w:p w:rsidR="006B7EB6" w:rsidRDefault="00CE07F9">
            <w:pPr>
              <w:jc w:val="right"/>
            </w:pPr>
            <w:r>
              <w:rPr>
                <w:color w:val="000000"/>
                <w:sz w:val="24"/>
              </w:rPr>
              <w:t>0.52</w:t>
            </w:r>
          </w:p>
        </w:tc>
      </w:tr>
      <w:tr w:rsidR="006B7EB6">
        <w:trPr>
          <w:jc w:val="center"/>
        </w:trPr>
        <w:tc>
          <w:tcPr>
            <w:tcW w:w="850" w:type="dxa"/>
            <w:vAlign w:val="center"/>
          </w:tcPr>
          <w:p w:rsidR="006B7EB6" w:rsidRDefault="00CE07F9">
            <w:pPr>
              <w:jc w:val="center"/>
            </w:pPr>
            <w:r>
              <w:rPr>
                <w:color w:val="000000"/>
                <w:sz w:val="24"/>
              </w:rPr>
              <w:t>10</w:t>
            </w:r>
          </w:p>
        </w:tc>
        <w:tc>
          <w:tcPr>
            <w:tcW w:w="1327" w:type="dxa"/>
            <w:vAlign w:val="center"/>
          </w:tcPr>
          <w:p w:rsidR="006B7EB6" w:rsidRDefault="00CE07F9">
            <w:pPr>
              <w:jc w:val="center"/>
            </w:pPr>
            <w:r>
              <w:rPr>
                <w:color w:val="000000"/>
                <w:sz w:val="24"/>
              </w:rPr>
              <w:t>600570</w:t>
            </w:r>
          </w:p>
        </w:tc>
        <w:tc>
          <w:tcPr>
            <w:tcW w:w="1769" w:type="dxa"/>
            <w:vAlign w:val="center"/>
          </w:tcPr>
          <w:p w:rsidR="006B7EB6" w:rsidRDefault="00CE07F9">
            <w:pPr>
              <w:jc w:val="center"/>
            </w:pPr>
            <w:r>
              <w:rPr>
                <w:color w:val="000000"/>
                <w:sz w:val="24"/>
              </w:rPr>
              <w:t>恒生电子</w:t>
            </w:r>
          </w:p>
        </w:tc>
        <w:tc>
          <w:tcPr>
            <w:tcW w:w="1327" w:type="dxa"/>
            <w:vAlign w:val="center"/>
          </w:tcPr>
          <w:p w:rsidR="006B7EB6" w:rsidRDefault="00CE07F9">
            <w:pPr>
              <w:jc w:val="right"/>
            </w:pPr>
            <w:r>
              <w:rPr>
                <w:color w:val="000000"/>
                <w:sz w:val="24"/>
              </w:rPr>
              <w:t>20,000</w:t>
            </w:r>
          </w:p>
        </w:tc>
        <w:tc>
          <w:tcPr>
            <w:tcW w:w="1915" w:type="dxa"/>
            <w:vAlign w:val="center"/>
          </w:tcPr>
          <w:p w:rsidR="006B7EB6" w:rsidRDefault="00CE07F9">
            <w:pPr>
              <w:jc w:val="right"/>
            </w:pPr>
            <w:r>
              <w:rPr>
                <w:color w:val="000000"/>
                <w:sz w:val="24"/>
              </w:rPr>
              <w:t>1,195,600.00</w:t>
            </w:r>
          </w:p>
        </w:tc>
        <w:tc>
          <w:tcPr>
            <w:tcW w:w="1680" w:type="dxa"/>
            <w:vAlign w:val="center"/>
          </w:tcPr>
          <w:p w:rsidR="006B7EB6" w:rsidRDefault="00CE07F9">
            <w:pPr>
              <w:jc w:val="right"/>
            </w:pPr>
            <w:r>
              <w:rPr>
                <w:color w:val="000000"/>
                <w:sz w:val="24"/>
              </w:rPr>
              <w:t>0.51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12,896,130.00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12,896,130.00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162,101,295.70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68.90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proofErr w:type="gramStart"/>
            <w:r w:rsidR="00FA786F" w:rsidRPr="007F52FA">
              <w:rPr>
                <w:color w:val="000000"/>
                <w:sz w:val="24"/>
              </w:rPr>
              <w:t>券</w:t>
            </w:r>
            <w:proofErr w:type="gramEnd"/>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40,139,000.00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17.06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1,178,825.22</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0.50</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lastRenderedPageBreak/>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216,315,250.92</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91.95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6B7EB6">
        <w:trPr>
          <w:jc w:val="center"/>
        </w:trPr>
        <w:tc>
          <w:tcPr>
            <w:tcW w:w="1075" w:type="dxa"/>
            <w:vAlign w:val="center"/>
          </w:tcPr>
          <w:p w:rsidR="006B7EB6" w:rsidRDefault="00CE07F9">
            <w:pPr>
              <w:jc w:val="center"/>
            </w:pPr>
            <w:r>
              <w:rPr>
                <w:color w:val="000000"/>
                <w:sz w:val="24"/>
              </w:rPr>
              <w:t>1</w:t>
            </w:r>
          </w:p>
        </w:tc>
        <w:tc>
          <w:tcPr>
            <w:tcW w:w="1533" w:type="dxa"/>
            <w:vAlign w:val="center"/>
          </w:tcPr>
          <w:p w:rsidR="006B7EB6" w:rsidRDefault="00CE07F9">
            <w:pPr>
              <w:jc w:val="center"/>
            </w:pPr>
            <w:r>
              <w:rPr>
                <w:color w:val="000000"/>
                <w:sz w:val="24"/>
              </w:rPr>
              <w:t>122514</w:t>
            </w:r>
          </w:p>
        </w:tc>
        <w:tc>
          <w:tcPr>
            <w:tcW w:w="1533" w:type="dxa"/>
            <w:vAlign w:val="center"/>
          </w:tcPr>
          <w:p w:rsidR="006B7EB6" w:rsidRDefault="00CE07F9">
            <w:pPr>
              <w:jc w:val="center"/>
            </w:pPr>
            <w:r>
              <w:rPr>
                <w:color w:val="000000"/>
                <w:sz w:val="24"/>
              </w:rPr>
              <w:t>12</w:t>
            </w:r>
            <w:r>
              <w:rPr>
                <w:color w:val="000000"/>
                <w:sz w:val="24"/>
              </w:rPr>
              <w:t>金融街</w:t>
            </w:r>
          </w:p>
        </w:tc>
        <w:tc>
          <w:tcPr>
            <w:tcW w:w="1394" w:type="dxa"/>
            <w:vAlign w:val="center"/>
          </w:tcPr>
          <w:p w:rsidR="006B7EB6" w:rsidRDefault="00CE07F9">
            <w:pPr>
              <w:jc w:val="right"/>
            </w:pPr>
            <w:r>
              <w:rPr>
                <w:color w:val="000000"/>
                <w:sz w:val="24"/>
              </w:rPr>
              <w:t>200,000</w:t>
            </w:r>
          </w:p>
        </w:tc>
        <w:tc>
          <w:tcPr>
            <w:tcW w:w="1944" w:type="dxa"/>
            <w:vAlign w:val="center"/>
          </w:tcPr>
          <w:p w:rsidR="006B7EB6" w:rsidRDefault="00CE07F9">
            <w:pPr>
              <w:jc w:val="right"/>
            </w:pPr>
            <w:r>
              <w:rPr>
                <w:color w:val="000000"/>
                <w:sz w:val="24"/>
              </w:rPr>
              <w:t>20,114,000.00</w:t>
            </w:r>
          </w:p>
        </w:tc>
        <w:tc>
          <w:tcPr>
            <w:tcW w:w="1389" w:type="dxa"/>
            <w:vAlign w:val="center"/>
          </w:tcPr>
          <w:p w:rsidR="006B7EB6" w:rsidRDefault="00CE07F9">
            <w:pPr>
              <w:jc w:val="right"/>
            </w:pPr>
            <w:r>
              <w:rPr>
                <w:color w:val="000000"/>
                <w:sz w:val="24"/>
              </w:rPr>
              <w:t>8.55</w:t>
            </w:r>
          </w:p>
        </w:tc>
      </w:tr>
      <w:tr w:rsidR="006B7EB6">
        <w:trPr>
          <w:jc w:val="center"/>
        </w:trPr>
        <w:tc>
          <w:tcPr>
            <w:tcW w:w="1075" w:type="dxa"/>
            <w:vAlign w:val="center"/>
          </w:tcPr>
          <w:p w:rsidR="006B7EB6" w:rsidRDefault="00CE07F9">
            <w:pPr>
              <w:jc w:val="center"/>
            </w:pPr>
            <w:r>
              <w:rPr>
                <w:color w:val="000000"/>
                <w:sz w:val="24"/>
              </w:rPr>
              <w:t>2</w:t>
            </w:r>
          </w:p>
        </w:tc>
        <w:tc>
          <w:tcPr>
            <w:tcW w:w="1533" w:type="dxa"/>
            <w:vAlign w:val="center"/>
          </w:tcPr>
          <w:p w:rsidR="006B7EB6" w:rsidRDefault="00CE07F9">
            <w:pPr>
              <w:jc w:val="center"/>
            </w:pPr>
            <w:r>
              <w:rPr>
                <w:color w:val="000000"/>
                <w:sz w:val="24"/>
              </w:rPr>
              <w:t>101562046</w:t>
            </w:r>
          </w:p>
        </w:tc>
        <w:tc>
          <w:tcPr>
            <w:tcW w:w="1533" w:type="dxa"/>
            <w:vAlign w:val="center"/>
          </w:tcPr>
          <w:p w:rsidR="006B7EB6" w:rsidRDefault="00CE07F9">
            <w:pPr>
              <w:jc w:val="center"/>
            </w:pPr>
            <w:r>
              <w:rPr>
                <w:color w:val="000000"/>
                <w:sz w:val="24"/>
              </w:rPr>
              <w:t>15</w:t>
            </w:r>
            <w:r>
              <w:rPr>
                <w:color w:val="000000"/>
                <w:sz w:val="24"/>
              </w:rPr>
              <w:t>东方</w:t>
            </w:r>
            <w:r>
              <w:rPr>
                <w:color w:val="000000"/>
                <w:sz w:val="24"/>
              </w:rPr>
              <w:t>MTN003</w:t>
            </w:r>
          </w:p>
        </w:tc>
        <w:tc>
          <w:tcPr>
            <w:tcW w:w="1394" w:type="dxa"/>
            <w:vAlign w:val="center"/>
          </w:tcPr>
          <w:p w:rsidR="006B7EB6" w:rsidRDefault="00CE07F9">
            <w:pPr>
              <w:jc w:val="right"/>
            </w:pPr>
            <w:r>
              <w:rPr>
                <w:color w:val="000000"/>
                <w:sz w:val="24"/>
              </w:rPr>
              <w:t>200,000</w:t>
            </w:r>
          </w:p>
        </w:tc>
        <w:tc>
          <w:tcPr>
            <w:tcW w:w="1944" w:type="dxa"/>
            <w:vAlign w:val="center"/>
          </w:tcPr>
          <w:p w:rsidR="006B7EB6" w:rsidRDefault="00CE07F9">
            <w:pPr>
              <w:jc w:val="right"/>
            </w:pPr>
            <w:r>
              <w:rPr>
                <w:color w:val="000000"/>
                <w:sz w:val="24"/>
              </w:rPr>
              <w:t>20,114,000.00</w:t>
            </w:r>
          </w:p>
        </w:tc>
        <w:tc>
          <w:tcPr>
            <w:tcW w:w="1389" w:type="dxa"/>
            <w:vAlign w:val="center"/>
          </w:tcPr>
          <w:p w:rsidR="006B7EB6" w:rsidRDefault="00CE07F9">
            <w:pPr>
              <w:jc w:val="right"/>
            </w:pPr>
            <w:r>
              <w:rPr>
                <w:color w:val="000000"/>
                <w:sz w:val="24"/>
              </w:rPr>
              <w:t>8.55</w:t>
            </w:r>
          </w:p>
        </w:tc>
      </w:tr>
      <w:tr w:rsidR="006B7EB6">
        <w:trPr>
          <w:jc w:val="center"/>
        </w:trPr>
        <w:tc>
          <w:tcPr>
            <w:tcW w:w="1075" w:type="dxa"/>
            <w:vAlign w:val="center"/>
          </w:tcPr>
          <w:p w:rsidR="006B7EB6" w:rsidRDefault="00CE07F9">
            <w:pPr>
              <w:jc w:val="center"/>
            </w:pPr>
            <w:r>
              <w:rPr>
                <w:color w:val="000000"/>
                <w:sz w:val="24"/>
              </w:rPr>
              <w:t>3</w:t>
            </w:r>
          </w:p>
        </w:tc>
        <w:tc>
          <w:tcPr>
            <w:tcW w:w="1533" w:type="dxa"/>
            <w:vAlign w:val="center"/>
          </w:tcPr>
          <w:p w:rsidR="006B7EB6" w:rsidRDefault="00CE07F9">
            <w:pPr>
              <w:jc w:val="center"/>
            </w:pPr>
            <w:r>
              <w:rPr>
                <w:color w:val="000000"/>
                <w:sz w:val="24"/>
              </w:rPr>
              <w:t>136180</w:t>
            </w:r>
          </w:p>
        </w:tc>
        <w:tc>
          <w:tcPr>
            <w:tcW w:w="1533" w:type="dxa"/>
            <w:vAlign w:val="center"/>
          </w:tcPr>
          <w:p w:rsidR="006B7EB6" w:rsidRDefault="00CE07F9">
            <w:pPr>
              <w:jc w:val="center"/>
            </w:pPr>
            <w:r>
              <w:rPr>
                <w:color w:val="000000"/>
                <w:sz w:val="24"/>
              </w:rPr>
              <w:t>16</w:t>
            </w:r>
            <w:r>
              <w:rPr>
                <w:color w:val="000000"/>
                <w:sz w:val="24"/>
              </w:rPr>
              <w:t>国汽</w:t>
            </w:r>
            <w:r>
              <w:rPr>
                <w:color w:val="000000"/>
                <w:sz w:val="24"/>
              </w:rPr>
              <w:t>01</w:t>
            </w:r>
          </w:p>
        </w:tc>
        <w:tc>
          <w:tcPr>
            <w:tcW w:w="1394" w:type="dxa"/>
            <w:vAlign w:val="center"/>
          </w:tcPr>
          <w:p w:rsidR="006B7EB6" w:rsidRDefault="00CE07F9">
            <w:pPr>
              <w:jc w:val="right"/>
            </w:pPr>
            <w:r>
              <w:rPr>
                <w:color w:val="000000"/>
                <w:sz w:val="24"/>
              </w:rPr>
              <w:t>200,000</w:t>
            </w:r>
          </w:p>
        </w:tc>
        <w:tc>
          <w:tcPr>
            <w:tcW w:w="1944" w:type="dxa"/>
            <w:vAlign w:val="center"/>
          </w:tcPr>
          <w:p w:rsidR="006B7EB6" w:rsidRDefault="00CE07F9">
            <w:pPr>
              <w:jc w:val="right"/>
            </w:pPr>
            <w:r>
              <w:rPr>
                <w:color w:val="000000"/>
                <w:sz w:val="24"/>
              </w:rPr>
              <w:t>19,774,000.00</w:t>
            </w:r>
          </w:p>
        </w:tc>
        <w:tc>
          <w:tcPr>
            <w:tcW w:w="1389" w:type="dxa"/>
            <w:vAlign w:val="center"/>
          </w:tcPr>
          <w:p w:rsidR="006B7EB6" w:rsidRDefault="00CE07F9">
            <w:pPr>
              <w:jc w:val="right"/>
            </w:pPr>
            <w:r>
              <w:rPr>
                <w:color w:val="000000"/>
                <w:sz w:val="24"/>
              </w:rPr>
              <w:t>8.41</w:t>
            </w:r>
          </w:p>
        </w:tc>
      </w:tr>
      <w:tr w:rsidR="006B7EB6">
        <w:trPr>
          <w:jc w:val="center"/>
        </w:trPr>
        <w:tc>
          <w:tcPr>
            <w:tcW w:w="1075" w:type="dxa"/>
            <w:vAlign w:val="center"/>
          </w:tcPr>
          <w:p w:rsidR="006B7EB6" w:rsidRDefault="00CE07F9">
            <w:pPr>
              <w:jc w:val="center"/>
            </w:pPr>
            <w:r>
              <w:rPr>
                <w:color w:val="000000"/>
                <w:sz w:val="24"/>
              </w:rPr>
              <w:t>4</w:t>
            </w:r>
          </w:p>
        </w:tc>
        <w:tc>
          <w:tcPr>
            <w:tcW w:w="1533" w:type="dxa"/>
            <w:vAlign w:val="center"/>
          </w:tcPr>
          <w:p w:rsidR="006B7EB6" w:rsidRDefault="00CE07F9">
            <w:pPr>
              <w:jc w:val="center"/>
            </w:pPr>
            <w:r>
              <w:rPr>
                <w:color w:val="000000"/>
                <w:sz w:val="24"/>
              </w:rPr>
              <w:t>136147</w:t>
            </w:r>
          </w:p>
        </w:tc>
        <w:tc>
          <w:tcPr>
            <w:tcW w:w="1533" w:type="dxa"/>
            <w:vAlign w:val="center"/>
          </w:tcPr>
          <w:p w:rsidR="006B7EB6" w:rsidRDefault="00CE07F9">
            <w:pPr>
              <w:jc w:val="center"/>
            </w:pPr>
            <w:r>
              <w:rPr>
                <w:color w:val="000000"/>
                <w:sz w:val="24"/>
              </w:rPr>
              <w:t>16</w:t>
            </w:r>
            <w:r>
              <w:rPr>
                <w:color w:val="000000"/>
                <w:sz w:val="24"/>
              </w:rPr>
              <w:t>中粮</w:t>
            </w:r>
            <w:r>
              <w:rPr>
                <w:color w:val="000000"/>
                <w:sz w:val="24"/>
              </w:rPr>
              <w:t>01</w:t>
            </w:r>
          </w:p>
        </w:tc>
        <w:tc>
          <w:tcPr>
            <w:tcW w:w="1394" w:type="dxa"/>
            <w:vAlign w:val="center"/>
          </w:tcPr>
          <w:p w:rsidR="006B7EB6" w:rsidRDefault="00CE07F9">
            <w:pPr>
              <w:jc w:val="right"/>
            </w:pPr>
            <w:r>
              <w:rPr>
                <w:color w:val="000000"/>
                <w:sz w:val="24"/>
              </w:rPr>
              <w:t>200,000</w:t>
            </w:r>
          </w:p>
        </w:tc>
        <w:tc>
          <w:tcPr>
            <w:tcW w:w="1944" w:type="dxa"/>
            <w:vAlign w:val="center"/>
          </w:tcPr>
          <w:p w:rsidR="006B7EB6" w:rsidRDefault="00CE07F9">
            <w:pPr>
              <w:jc w:val="right"/>
            </w:pPr>
            <w:r>
              <w:rPr>
                <w:color w:val="000000"/>
                <w:sz w:val="24"/>
              </w:rPr>
              <w:t>19,694,000.00</w:t>
            </w:r>
          </w:p>
        </w:tc>
        <w:tc>
          <w:tcPr>
            <w:tcW w:w="1389" w:type="dxa"/>
            <w:vAlign w:val="center"/>
          </w:tcPr>
          <w:p w:rsidR="006B7EB6" w:rsidRDefault="00CE07F9">
            <w:pPr>
              <w:jc w:val="right"/>
            </w:pPr>
            <w:r>
              <w:rPr>
                <w:color w:val="000000"/>
                <w:sz w:val="24"/>
              </w:rPr>
              <w:t>8.37</w:t>
            </w:r>
          </w:p>
        </w:tc>
      </w:tr>
      <w:tr w:rsidR="006B7EB6">
        <w:trPr>
          <w:jc w:val="center"/>
        </w:trPr>
        <w:tc>
          <w:tcPr>
            <w:tcW w:w="1075" w:type="dxa"/>
            <w:vAlign w:val="center"/>
          </w:tcPr>
          <w:p w:rsidR="006B7EB6" w:rsidRDefault="00CE07F9">
            <w:pPr>
              <w:jc w:val="center"/>
            </w:pPr>
            <w:r>
              <w:rPr>
                <w:color w:val="000000"/>
                <w:sz w:val="24"/>
              </w:rPr>
              <w:t>5</w:t>
            </w:r>
          </w:p>
        </w:tc>
        <w:tc>
          <w:tcPr>
            <w:tcW w:w="1533" w:type="dxa"/>
            <w:vAlign w:val="center"/>
          </w:tcPr>
          <w:p w:rsidR="006B7EB6" w:rsidRDefault="00CE07F9">
            <w:pPr>
              <w:jc w:val="center"/>
            </w:pPr>
            <w:r>
              <w:rPr>
                <w:color w:val="000000"/>
                <w:sz w:val="24"/>
              </w:rPr>
              <w:t>136427</w:t>
            </w:r>
          </w:p>
        </w:tc>
        <w:tc>
          <w:tcPr>
            <w:tcW w:w="1533" w:type="dxa"/>
            <w:vAlign w:val="center"/>
          </w:tcPr>
          <w:p w:rsidR="006B7EB6" w:rsidRDefault="00CE07F9">
            <w:pPr>
              <w:jc w:val="center"/>
            </w:pPr>
            <w:r>
              <w:rPr>
                <w:color w:val="000000"/>
                <w:sz w:val="24"/>
              </w:rPr>
              <w:t>16</w:t>
            </w:r>
            <w:r>
              <w:rPr>
                <w:color w:val="000000"/>
                <w:sz w:val="24"/>
              </w:rPr>
              <w:t>葛洲</w:t>
            </w:r>
            <w:r>
              <w:rPr>
                <w:color w:val="000000"/>
                <w:sz w:val="24"/>
              </w:rPr>
              <w:t>02</w:t>
            </w:r>
          </w:p>
        </w:tc>
        <w:tc>
          <w:tcPr>
            <w:tcW w:w="1394" w:type="dxa"/>
            <w:vAlign w:val="center"/>
          </w:tcPr>
          <w:p w:rsidR="006B7EB6" w:rsidRDefault="00CE07F9">
            <w:pPr>
              <w:jc w:val="right"/>
            </w:pPr>
            <w:r>
              <w:rPr>
                <w:color w:val="000000"/>
                <w:sz w:val="24"/>
              </w:rPr>
              <w:t>200,000</w:t>
            </w:r>
          </w:p>
        </w:tc>
        <w:tc>
          <w:tcPr>
            <w:tcW w:w="1944" w:type="dxa"/>
            <w:vAlign w:val="center"/>
          </w:tcPr>
          <w:p w:rsidR="006B7EB6" w:rsidRDefault="00CE07F9">
            <w:pPr>
              <w:jc w:val="right"/>
            </w:pPr>
            <w:r>
              <w:rPr>
                <w:color w:val="000000"/>
                <w:sz w:val="24"/>
              </w:rPr>
              <w:t>19,640,000.00</w:t>
            </w:r>
          </w:p>
        </w:tc>
        <w:tc>
          <w:tcPr>
            <w:tcW w:w="1389" w:type="dxa"/>
            <w:vAlign w:val="center"/>
          </w:tcPr>
          <w:p w:rsidR="006B7EB6" w:rsidRDefault="00CE07F9">
            <w:pPr>
              <w:jc w:val="right"/>
            </w:pPr>
            <w:r>
              <w:rPr>
                <w:color w:val="000000"/>
                <w:sz w:val="24"/>
              </w:rPr>
              <w:t>8.35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lastRenderedPageBreak/>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187,411.28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2,994,151.17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4,480,034.63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2,374.90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7,663,971.98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685106"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685106">
        <w:rPr>
          <w:rFonts w:eastAsiaTheme="minorEastAsia"/>
          <w:color w:val="000000" w:themeColor="text1"/>
          <w:kern w:val="0"/>
          <w:sz w:val="24"/>
          <w:szCs w:val="24"/>
        </w:rPr>
        <w:t>§6</w:t>
      </w:r>
      <w:r w:rsidRPr="00685106">
        <w:rPr>
          <w:rFonts w:eastAsiaTheme="minorEastAsia" w:hint="eastAsia"/>
          <w:color w:val="000000" w:themeColor="text1"/>
          <w:kern w:val="0"/>
          <w:sz w:val="24"/>
          <w:szCs w:val="24"/>
        </w:rPr>
        <w:t xml:space="preserve">  </w:t>
      </w:r>
      <w:r w:rsidRPr="00685106">
        <w:rPr>
          <w:rFonts w:eastAsiaTheme="minorEastAsia" w:hint="eastAsia"/>
          <w:color w:val="000000" w:themeColor="text1"/>
          <w:kern w:val="0"/>
          <w:sz w:val="24"/>
          <w:szCs w:val="24"/>
        </w:rPr>
        <w:t>基金中基金</w:t>
      </w:r>
    </w:p>
    <w:p w:rsidR="00C51B4E" w:rsidRPr="00685106" w:rsidRDefault="00C51B4E" w:rsidP="00C51B4E">
      <w:pPr>
        <w:adjustRightInd w:val="0"/>
        <w:snapToGrid w:val="0"/>
        <w:spacing w:line="360" w:lineRule="auto"/>
        <w:rPr>
          <w:rFonts w:eastAsiaTheme="minorEastAsia"/>
          <w:b/>
          <w:color w:val="000000" w:themeColor="text1"/>
          <w:kern w:val="0"/>
          <w:sz w:val="24"/>
        </w:rPr>
      </w:pPr>
      <w:r w:rsidRPr="00685106">
        <w:rPr>
          <w:rFonts w:eastAsiaTheme="minorEastAsia"/>
          <w:b/>
          <w:color w:val="000000" w:themeColor="text1"/>
          <w:kern w:val="0"/>
          <w:sz w:val="24"/>
        </w:rPr>
        <w:t>6.1</w:t>
      </w:r>
      <w:r w:rsidRPr="00685106">
        <w:rPr>
          <w:rFonts w:eastAsiaTheme="minorEastAsia" w:hint="eastAsia"/>
          <w:b/>
          <w:color w:val="000000" w:themeColor="text1"/>
          <w:kern w:val="0"/>
          <w:sz w:val="24"/>
        </w:rPr>
        <w:t xml:space="preserve"> </w:t>
      </w:r>
      <w:r w:rsidRPr="00685106">
        <w:rPr>
          <w:rFonts w:eastAsiaTheme="minorEastAsia" w:hint="eastAsia"/>
          <w:b/>
          <w:color w:val="000000" w:themeColor="text1"/>
          <w:kern w:val="0"/>
          <w:sz w:val="24"/>
        </w:rPr>
        <w:t>报告期末按公允价值占基金资产净值比例大小排序的前十名基金投资明细</w:t>
      </w:r>
    </w:p>
    <w:p w:rsidR="00C51B4E" w:rsidRPr="00685106"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685106">
        <w:rPr>
          <w:rFonts w:eastAsiaTheme="minorEastAsia"/>
          <w:color w:val="000000" w:themeColor="text1"/>
          <w:sz w:val="24"/>
        </w:rPr>
        <w:t>本基金本报告期末未持有基金。</w:t>
      </w:r>
    </w:p>
    <w:p w:rsidR="00C51B4E" w:rsidRPr="00685106" w:rsidRDefault="00C51B4E" w:rsidP="0028293E">
      <w:pPr>
        <w:adjustRightInd w:val="0"/>
        <w:snapToGrid w:val="0"/>
        <w:spacing w:beforeLines="50" w:before="156" w:line="360" w:lineRule="auto"/>
        <w:rPr>
          <w:rFonts w:eastAsiaTheme="minorEastAsia"/>
          <w:b/>
          <w:color w:val="000000" w:themeColor="text1"/>
          <w:kern w:val="0"/>
          <w:sz w:val="24"/>
        </w:rPr>
      </w:pPr>
      <w:r w:rsidRPr="00685106">
        <w:rPr>
          <w:rFonts w:eastAsiaTheme="minorEastAsia"/>
          <w:b/>
          <w:color w:val="000000" w:themeColor="text1"/>
          <w:kern w:val="0"/>
          <w:sz w:val="24"/>
        </w:rPr>
        <w:t>6.2</w:t>
      </w:r>
      <w:r w:rsidRPr="00685106">
        <w:rPr>
          <w:rFonts w:eastAsiaTheme="minorEastAsia" w:hint="eastAsia"/>
          <w:b/>
          <w:color w:val="000000" w:themeColor="text1"/>
          <w:kern w:val="0"/>
          <w:sz w:val="24"/>
        </w:rPr>
        <w:t xml:space="preserve"> </w:t>
      </w:r>
      <w:r w:rsidRPr="00685106">
        <w:rPr>
          <w:rFonts w:eastAsiaTheme="minorEastAsia" w:hint="eastAsia"/>
          <w:b/>
          <w:color w:val="000000" w:themeColor="text1"/>
          <w:kern w:val="0"/>
          <w:sz w:val="24"/>
        </w:rPr>
        <w:t>当期交易及持有基金产生的费用</w:t>
      </w:r>
    </w:p>
    <w:p w:rsidR="00C51B4E" w:rsidRPr="00685106"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685106">
        <w:rPr>
          <w:rFonts w:eastAsiaTheme="minorEastAsia"/>
          <w:color w:val="000000" w:themeColor="text1"/>
          <w:sz w:val="24"/>
        </w:rPr>
        <w:t>本基金本报告期内未交易或持有基金。</w:t>
      </w:r>
    </w:p>
    <w:p w:rsidR="00685106" w:rsidRPr="00685106" w:rsidRDefault="00685106" w:rsidP="00685106">
      <w:pPr>
        <w:adjustRightInd w:val="0"/>
        <w:snapToGrid w:val="0"/>
        <w:spacing w:beforeLines="50" w:before="156" w:line="360" w:lineRule="auto"/>
        <w:rPr>
          <w:rFonts w:eastAsiaTheme="minorEastAsia"/>
          <w:b/>
          <w:color w:val="000000" w:themeColor="text1"/>
          <w:kern w:val="0"/>
          <w:sz w:val="24"/>
        </w:rPr>
      </w:pPr>
      <w:r w:rsidRPr="00685106">
        <w:rPr>
          <w:rFonts w:eastAsiaTheme="minorEastAsia" w:hint="eastAsia"/>
          <w:b/>
          <w:color w:val="000000" w:themeColor="text1"/>
          <w:kern w:val="0"/>
          <w:sz w:val="24"/>
        </w:rPr>
        <w:t xml:space="preserve">6.3 </w:t>
      </w:r>
      <w:r w:rsidRPr="00685106">
        <w:rPr>
          <w:rFonts w:eastAsiaTheme="minorEastAsia" w:hint="eastAsia"/>
          <w:b/>
          <w:color w:val="000000" w:themeColor="text1"/>
          <w:kern w:val="0"/>
          <w:sz w:val="24"/>
        </w:rPr>
        <w:t>本报告期持有的基金发生的重大影响事件</w:t>
      </w:r>
    </w:p>
    <w:p w:rsidR="00685106" w:rsidRPr="00685106" w:rsidRDefault="00685106" w:rsidP="00685106">
      <w:pPr>
        <w:autoSpaceDE w:val="0"/>
        <w:autoSpaceDN w:val="0"/>
        <w:adjustRightInd w:val="0"/>
        <w:spacing w:line="360" w:lineRule="auto"/>
        <w:ind w:firstLineChars="200" w:firstLine="480"/>
        <w:jc w:val="left"/>
        <w:rPr>
          <w:rFonts w:eastAsiaTheme="minorEastAsia"/>
          <w:color w:val="000000" w:themeColor="text1"/>
          <w:sz w:val="24"/>
        </w:rPr>
      </w:pPr>
      <w:r w:rsidRPr="00685106">
        <w:rPr>
          <w:rFonts w:eastAsiaTheme="minorEastAsia" w:hint="eastAsia"/>
          <w:color w:val="000000" w:themeColor="text1"/>
          <w:sz w:val="24"/>
        </w:rPr>
        <w:t>无。</w:t>
      </w:r>
    </w:p>
    <w:p w:rsidR="00685106" w:rsidRPr="00685106" w:rsidRDefault="00685106" w:rsidP="00C51B4E">
      <w:pPr>
        <w:autoSpaceDE w:val="0"/>
        <w:autoSpaceDN w:val="0"/>
        <w:adjustRightInd w:val="0"/>
        <w:spacing w:line="360" w:lineRule="auto"/>
        <w:ind w:firstLineChars="200" w:firstLine="420"/>
        <w:jc w:val="left"/>
        <w:rPr>
          <w:rFonts w:eastAsiaTheme="minorEastAsia" w:hint="eastAsia"/>
          <w:color w:val="000000" w:themeColor="text1"/>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lastRenderedPageBreak/>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w:t>
            </w:r>
            <w:proofErr w:type="gramStart"/>
            <w:r w:rsidRPr="007F52FA">
              <w:rPr>
                <w:rFonts w:eastAsiaTheme="minorEastAsia"/>
                <w:color w:val="000000"/>
                <w:kern w:val="0"/>
                <w:sz w:val="24"/>
              </w:rPr>
              <w:t>初基金</w:t>
            </w:r>
            <w:proofErr w:type="gramEnd"/>
            <w:r w:rsidRPr="007F52FA">
              <w:rPr>
                <w:rFonts w:eastAsiaTheme="minorEastAsia"/>
                <w:color w:val="000000"/>
                <w:kern w:val="0"/>
                <w:sz w:val="24"/>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201,435,471.37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14,880,992.65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9,073,388.89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358,666.61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23,248,122.52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1,330,285.40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0.00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187,260,737.74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13,909,373.86</w:t>
            </w:r>
          </w:p>
        </w:tc>
      </w:tr>
    </w:tbl>
    <w:p w:rsidR="006B7EB6" w:rsidRDefault="00CE07F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w:t>
      </w:r>
      <w:proofErr w:type="gramStart"/>
      <w:r w:rsidR="000673DA" w:rsidRPr="000673DA">
        <w:rPr>
          <w:rFonts w:hAnsi="宋体"/>
          <w:sz w:val="24"/>
          <w:szCs w:val="24"/>
        </w:rPr>
        <w:t>固有资金</w:t>
      </w:r>
      <w:proofErr w:type="gramEnd"/>
      <w:r w:rsidR="000673DA" w:rsidRPr="000673DA">
        <w:rPr>
          <w:rFonts w:hAnsi="宋体"/>
          <w:sz w:val="24"/>
          <w:szCs w:val="24"/>
        </w:rPr>
        <w:t>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496E53" w:rsidRDefault="00ED0E09" w:rsidP="0028293E">
      <w:pPr>
        <w:pStyle w:val="1"/>
        <w:spacing w:beforeLines="100" w:before="312" w:afterLines="100" w:after="312" w:line="360" w:lineRule="auto"/>
        <w:jc w:val="center"/>
        <w:rPr>
          <w:rFonts w:eastAsiaTheme="minorEastAsia"/>
          <w:color w:val="000000" w:themeColor="text1"/>
          <w:kern w:val="0"/>
          <w:sz w:val="24"/>
          <w:szCs w:val="24"/>
        </w:rPr>
      </w:pPr>
      <w:r w:rsidRPr="00496E53">
        <w:rPr>
          <w:rFonts w:eastAsiaTheme="minorEastAsia"/>
          <w:color w:val="000000" w:themeColor="text1"/>
          <w:kern w:val="0"/>
          <w:sz w:val="24"/>
          <w:szCs w:val="24"/>
        </w:rPr>
        <w:t xml:space="preserve">§9 </w:t>
      </w:r>
      <w:r w:rsidR="00F139D5" w:rsidRPr="00496E53">
        <w:rPr>
          <w:rFonts w:eastAsiaTheme="minorEastAsia"/>
          <w:color w:val="000000" w:themeColor="text1"/>
          <w:kern w:val="0"/>
          <w:sz w:val="24"/>
          <w:szCs w:val="24"/>
        </w:rPr>
        <w:t xml:space="preserve"> </w:t>
      </w:r>
      <w:r w:rsidRPr="00496E53">
        <w:rPr>
          <w:rFonts w:eastAsiaTheme="minorEastAsia" w:hint="eastAsia"/>
          <w:color w:val="000000" w:themeColor="text1"/>
          <w:kern w:val="0"/>
          <w:sz w:val="24"/>
          <w:szCs w:val="24"/>
        </w:rPr>
        <w:t>影响投资者决策的其他重要信息</w:t>
      </w:r>
    </w:p>
    <w:p w:rsidR="00ED0E09" w:rsidRPr="00496E53" w:rsidRDefault="00ED0E09" w:rsidP="00ED0E09">
      <w:pPr>
        <w:autoSpaceDE w:val="0"/>
        <w:autoSpaceDN w:val="0"/>
        <w:adjustRightInd w:val="0"/>
        <w:spacing w:line="360" w:lineRule="auto"/>
        <w:jc w:val="left"/>
        <w:rPr>
          <w:rFonts w:ascii="宋体" w:hAnsi="宋体"/>
          <w:b/>
          <w:bCs/>
          <w:color w:val="000000"/>
          <w:kern w:val="0"/>
          <w:sz w:val="24"/>
        </w:rPr>
      </w:pPr>
      <w:r w:rsidRPr="00496E53">
        <w:rPr>
          <w:rFonts w:ascii="宋体" w:hAnsi="宋体" w:hint="eastAsia"/>
          <w:b/>
          <w:bCs/>
          <w:color w:val="000000"/>
          <w:kern w:val="0"/>
          <w:sz w:val="24"/>
        </w:rPr>
        <w:t>9.1 影响投资者决策的其他重要信息</w:t>
      </w:r>
    </w:p>
    <w:p w:rsidR="006B7EB6" w:rsidRPr="00685106" w:rsidRDefault="00CE07F9" w:rsidP="00685106">
      <w:pPr>
        <w:spacing w:before="29" w:line="288" w:lineRule="auto"/>
        <w:ind w:firstLineChars="200" w:firstLine="480"/>
        <w:rPr>
          <w:rFonts w:eastAsiaTheme="minorEastAsia"/>
          <w:color w:val="000000"/>
          <w:sz w:val="24"/>
        </w:rPr>
      </w:pPr>
      <w:r w:rsidRPr="00685106">
        <w:rPr>
          <w:rFonts w:eastAsiaTheme="minorEastAsia" w:hint="eastAsia"/>
          <w:color w:val="000000"/>
          <w:sz w:val="24"/>
        </w:rPr>
        <w:t>1</w:t>
      </w:r>
      <w:r w:rsidRPr="00685106">
        <w:rPr>
          <w:rFonts w:eastAsiaTheme="minorEastAsia" w:hint="eastAsia"/>
          <w:color w:val="000000"/>
          <w:sz w:val="24"/>
        </w:rPr>
        <w:t>、根据财政部和国家税务总局于</w:t>
      </w:r>
      <w:r w:rsidRPr="00685106">
        <w:rPr>
          <w:rFonts w:eastAsiaTheme="minorEastAsia" w:hint="eastAsia"/>
          <w:color w:val="000000"/>
          <w:sz w:val="24"/>
        </w:rPr>
        <w:t>2016</w:t>
      </w:r>
      <w:r w:rsidRPr="00685106">
        <w:rPr>
          <w:rFonts w:eastAsiaTheme="minorEastAsia" w:hint="eastAsia"/>
          <w:color w:val="000000"/>
          <w:sz w:val="24"/>
        </w:rPr>
        <w:t>年</w:t>
      </w:r>
      <w:r w:rsidRPr="00685106">
        <w:rPr>
          <w:rFonts w:eastAsiaTheme="minorEastAsia" w:hint="eastAsia"/>
          <w:color w:val="000000"/>
          <w:sz w:val="24"/>
        </w:rPr>
        <w:t>12</w:t>
      </w:r>
      <w:r w:rsidRPr="00685106">
        <w:rPr>
          <w:rFonts w:eastAsiaTheme="minorEastAsia" w:hint="eastAsia"/>
          <w:color w:val="000000"/>
          <w:sz w:val="24"/>
        </w:rPr>
        <w:t>月</w:t>
      </w:r>
      <w:r w:rsidRPr="00685106">
        <w:rPr>
          <w:rFonts w:eastAsiaTheme="minorEastAsia" w:hint="eastAsia"/>
          <w:color w:val="000000"/>
          <w:sz w:val="24"/>
        </w:rPr>
        <w:t>21</w:t>
      </w:r>
      <w:r w:rsidRPr="00685106">
        <w:rPr>
          <w:rFonts w:eastAsiaTheme="minorEastAsia" w:hint="eastAsia"/>
          <w:color w:val="000000"/>
          <w:sz w:val="24"/>
        </w:rPr>
        <w:t>日联合发布的《关于明确金融、房地产开发、教育辅助服务等增值税政策的通知》（财税</w:t>
      </w:r>
      <w:r w:rsidRPr="00685106">
        <w:rPr>
          <w:rFonts w:eastAsiaTheme="minorEastAsia" w:hint="eastAsia"/>
          <w:color w:val="000000"/>
          <w:sz w:val="24"/>
        </w:rPr>
        <w:t>[2016]140</w:t>
      </w:r>
      <w:r w:rsidRPr="00685106">
        <w:rPr>
          <w:rFonts w:eastAsiaTheme="minorEastAsia" w:hint="eastAsia"/>
          <w:color w:val="000000"/>
          <w:sz w:val="24"/>
        </w:rPr>
        <w:t>号）以及于</w:t>
      </w:r>
      <w:r w:rsidRPr="00685106">
        <w:rPr>
          <w:rFonts w:eastAsiaTheme="minorEastAsia" w:hint="eastAsia"/>
          <w:color w:val="000000"/>
          <w:sz w:val="24"/>
        </w:rPr>
        <w:t>2017</w:t>
      </w:r>
      <w:r w:rsidRPr="00685106">
        <w:rPr>
          <w:rFonts w:eastAsiaTheme="minorEastAsia" w:hint="eastAsia"/>
          <w:color w:val="000000"/>
          <w:sz w:val="24"/>
        </w:rPr>
        <w:t>年</w:t>
      </w:r>
      <w:r w:rsidRPr="00685106">
        <w:rPr>
          <w:rFonts w:eastAsiaTheme="minorEastAsia" w:hint="eastAsia"/>
          <w:color w:val="000000"/>
          <w:sz w:val="24"/>
        </w:rPr>
        <w:t>6</w:t>
      </w:r>
      <w:r w:rsidRPr="00685106">
        <w:rPr>
          <w:rFonts w:eastAsiaTheme="minorEastAsia" w:hint="eastAsia"/>
          <w:color w:val="000000"/>
          <w:sz w:val="24"/>
        </w:rPr>
        <w:t>月</w:t>
      </w:r>
      <w:r w:rsidRPr="00685106">
        <w:rPr>
          <w:rFonts w:eastAsiaTheme="minorEastAsia" w:hint="eastAsia"/>
          <w:color w:val="000000"/>
          <w:sz w:val="24"/>
        </w:rPr>
        <w:t>30</w:t>
      </w:r>
      <w:r w:rsidRPr="00685106">
        <w:rPr>
          <w:rFonts w:eastAsiaTheme="minorEastAsia" w:hint="eastAsia"/>
          <w:color w:val="000000"/>
          <w:sz w:val="24"/>
        </w:rPr>
        <w:t>日联合发布的《</w:t>
      </w:r>
      <w:bookmarkStart w:id="0" w:name="_GoBack"/>
      <w:bookmarkEnd w:id="0"/>
      <w:r w:rsidRPr="00685106">
        <w:rPr>
          <w:rFonts w:eastAsiaTheme="minorEastAsia" w:hint="eastAsia"/>
          <w:color w:val="000000"/>
          <w:sz w:val="24"/>
        </w:rPr>
        <w:t>财政部、税务总局关于资管产品增值税有关问题的通知》（财税</w:t>
      </w:r>
      <w:r w:rsidRPr="00685106">
        <w:rPr>
          <w:rFonts w:eastAsiaTheme="minorEastAsia" w:hint="eastAsia"/>
          <w:color w:val="000000"/>
          <w:sz w:val="24"/>
        </w:rPr>
        <w:t>[2017]56</w:t>
      </w:r>
      <w:r w:rsidRPr="00685106">
        <w:rPr>
          <w:rFonts w:eastAsiaTheme="minorEastAsia" w:hint="eastAsia"/>
          <w:color w:val="000000"/>
          <w:sz w:val="24"/>
        </w:rPr>
        <w:t>号）等规定，自</w:t>
      </w:r>
      <w:r w:rsidRPr="00685106">
        <w:rPr>
          <w:rFonts w:eastAsiaTheme="minorEastAsia" w:hint="eastAsia"/>
          <w:color w:val="000000"/>
          <w:sz w:val="24"/>
        </w:rPr>
        <w:t>2018</w:t>
      </w:r>
      <w:r w:rsidRPr="00685106">
        <w:rPr>
          <w:rFonts w:eastAsiaTheme="minorEastAsia" w:hint="eastAsia"/>
          <w:color w:val="000000"/>
          <w:sz w:val="24"/>
        </w:rPr>
        <w:t>年</w:t>
      </w:r>
      <w:r w:rsidRPr="00685106">
        <w:rPr>
          <w:rFonts w:eastAsiaTheme="minorEastAsia" w:hint="eastAsia"/>
          <w:color w:val="000000"/>
          <w:sz w:val="24"/>
        </w:rPr>
        <w:t>1</w:t>
      </w:r>
      <w:r w:rsidRPr="00685106">
        <w:rPr>
          <w:rFonts w:eastAsiaTheme="minorEastAsia" w:hint="eastAsia"/>
          <w:color w:val="000000"/>
          <w:sz w:val="24"/>
        </w:rPr>
        <w:t>月</w:t>
      </w:r>
      <w:r w:rsidRPr="00685106">
        <w:rPr>
          <w:rFonts w:eastAsiaTheme="minorEastAsia" w:hint="eastAsia"/>
          <w:color w:val="000000"/>
          <w:sz w:val="24"/>
        </w:rPr>
        <w:t>1</w:t>
      </w:r>
      <w:r w:rsidRPr="00685106">
        <w:rPr>
          <w:rFonts w:eastAsiaTheme="minorEastAsia" w:hint="eastAsia"/>
          <w:color w:val="000000"/>
          <w:sz w:val="24"/>
        </w:rPr>
        <w:t>日（含）起，基金管理人运营公开募集证券投资基金（以下简称“基金”）过程中发生的增值税应税行为，应按照现行规定缴纳增值税。本基金管理人将依据国家税收法律、法</w:t>
      </w:r>
      <w:r w:rsidRPr="00685106">
        <w:rPr>
          <w:rFonts w:eastAsiaTheme="minorEastAsia" w:hint="eastAsia"/>
          <w:color w:val="000000"/>
          <w:sz w:val="24"/>
        </w:rPr>
        <w:t>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Pr="00685106" w:rsidRDefault="00ED0E09" w:rsidP="00685106">
      <w:pPr>
        <w:spacing w:before="29" w:line="288" w:lineRule="auto"/>
        <w:ind w:firstLineChars="200" w:firstLine="480"/>
        <w:rPr>
          <w:rFonts w:eastAsiaTheme="minorEastAsia"/>
          <w:color w:val="000000"/>
          <w:sz w:val="24"/>
        </w:rPr>
      </w:pPr>
      <w:r w:rsidRPr="00685106">
        <w:rPr>
          <w:rFonts w:eastAsiaTheme="minorEastAsia" w:hint="eastAsia"/>
          <w:color w:val="000000"/>
          <w:sz w:val="24"/>
        </w:rPr>
        <w:lastRenderedPageBreak/>
        <w:t>2</w:t>
      </w:r>
      <w:r w:rsidRPr="00685106">
        <w:rPr>
          <w:rFonts w:eastAsiaTheme="minorEastAsia" w:hint="eastAsia"/>
          <w:color w:val="000000"/>
          <w:sz w:val="24"/>
        </w:rPr>
        <w:t>、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w:t>
      </w:r>
      <w:r w:rsidRPr="00685106">
        <w:rPr>
          <w:rFonts w:eastAsiaTheme="minorEastAsia" w:hint="eastAsia"/>
          <w:color w:val="000000"/>
          <w:sz w:val="24"/>
        </w:rPr>
        <w:t>7</w:t>
      </w:r>
      <w:r w:rsidRPr="00685106">
        <w:rPr>
          <w:rFonts w:eastAsiaTheme="minorEastAsia" w:hint="eastAsia"/>
          <w:color w:val="000000"/>
          <w:sz w:val="24"/>
        </w:rPr>
        <w:t>日的基金份额持有人收取不低于</w:t>
      </w:r>
      <w:r w:rsidRPr="00685106">
        <w:rPr>
          <w:rFonts w:eastAsiaTheme="minorEastAsia" w:hint="eastAsia"/>
          <w:color w:val="000000"/>
          <w:sz w:val="24"/>
        </w:rPr>
        <w:t>1.5%</w:t>
      </w:r>
      <w:r w:rsidRPr="00685106">
        <w:rPr>
          <w:rFonts w:eastAsiaTheme="minorEastAsia" w:hint="eastAsia"/>
          <w:color w:val="000000"/>
          <w:sz w:val="24"/>
        </w:rPr>
        <w:t>的赎回费并全额计入基金财产”的条款已于</w:t>
      </w:r>
      <w:r w:rsidRPr="00685106">
        <w:rPr>
          <w:rFonts w:eastAsiaTheme="minorEastAsia" w:hint="eastAsia"/>
          <w:color w:val="000000"/>
          <w:sz w:val="24"/>
        </w:rPr>
        <w:t>2018</w:t>
      </w:r>
      <w:r w:rsidRPr="00685106">
        <w:rPr>
          <w:rFonts w:eastAsiaTheme="minorEastAsia" w:hint="eastAsia"/>
          <w:color w:val="000000"/>
          <w:sz w:val="24"/>
        </w:rPr>
        <w:t>年</w:t>
      </w:r>
      <w:r w:rsidRPr="00685106">
        <w:rPr>
          <w:rFonts w:eastAsiaTheme="minorEastAsia" w:hint="eastAsia"/>
          <w:color w:val="000000"/>
          <w:sz w:val="24"/>
        </w:rPr>
        <w:t>3</w:t>
      </w:r>
      <w:r w:rsidRPr="00685106">
        <w:rPr>
          <w:rFonts w:eastAsiaTheme="minorEastAsia" w:hint="eastAsia"/>
          <w:color w:val="000000"/>
          <w:sz w:val="24"/>
        </w:rPr>
        <w:t>月</w:t>
      </w:r>
      <w:r w:rsidRPr="00685106">
        <w:rPr>
          <w:rFonts w:eastAsiaTheme="minorEastAsia" w:hint="eastAsia"/>
          <w:color w:val="000000"/>
          <w:sz w:val="24"/>
        </w:rPr>
        <w:t>31</w:t>
      </w:r>
      <w:r w:rsidRPr="00685106">
        <w:rPr>
          <w:rFonts w:eastAsiaTheme="minorEastAsia" w:hint="eastAsia"/>
          <w:color w:val="000000"/>
          <w:sz w:val="24"/>
        </w:rPr>
        <w:t>日起正式实施。欲知详情请查阅本基金管理人于</w:t>
      </w:r>
      <w:r w:rsidRPr="00685106">
        <w:rPr>
          <w:rFonts w:eastAsiaTheme="minorEastAsia" w:hint="eastAsia"/>
          <w:color w:val="000000"/>
          <w:sz w:val="24"/>
        </w:rPr>
        <w:t>2018</w:t>
      </w:r>
      <w:r w:rsidRPr="00685106">
        <w:rPr>
          <w:rFonts w:eastAsiaTheme="minorEastAsia" w:hint="eastAsia"/>
          <w:color w:val="000000"/>
          <w:sz w:val="24"/>
        </w:rPr>
        <w:t>年</w:t>
      </w:r>
      <w:r w:rsidRPr="00685106">
        <w:rPr>
          <w:rFonts w:eastAsiaTheme="minorEastAsia" w:hint="eastAsia"/>
          <w:color w:val="000000"/>
          <w:sz w:val="24"/>
        </w:rPr>
        <w:t>3</w:t>
      </w:r>
      <w:r w:rsidRPr="00685106">
        <w:rPr>
          <w:rFonts w:eastAsiaTheme="minorEastAsia" w:hint="eastAsia"/>
          <w:color w:val="000000"/>
          <w:sz w:val="24"/>
        </w:rPr>
        <w:t>月</w:t>
      </w:r>
      <w:r w:rsidRPr="00685106">
        <w:rPr>
          <w:rFonts w:eastAsiaTheme="minorEastAsia" w:hint="eastAsia"/>
          <w:color w:val="000000"/>
          <w:sz w:val="24"/>
        </w:rPr>
        <w:t>22</w:t>
      </w:r>
      <w:r w:rsidRPr="00685106">
        <w:rPr>
          <w:rFonts w:eastAsiaTheme="minorEastAsia" w:hint="eastAsia"/>
          <w:color w:val="000000"/>
          <w:sz w:val="24"/>
        </w:rPr>
        <w:t>日发布的有关公告及法律文件。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6B7EB6" w:rsidRDefault="00CE07F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6B7EB6" w:rsidRDefault="00CE07F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6B7EB6" w:rsidRDefault="00CE07F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6B7EB6" w:rsidRDefault="00CE07F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6B7EB6" w:rsidRDefault="00CE07F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6B7EB6" w:rsidRDefault="00CE07F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6B7EB6" w:rsidRDefault="00CE07F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6B7EB6" w:rsidRDefault="00CE07F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7F9" w:rsidRDefault="00CE07F9">
      <w:r>
        <w:separator/>
      </w:r>
    </w:p>
  </w:endnote>
  <w:endnote w:type="continuationSeparator" w:id="0">
    <w:p w:rsidR="00CE07F9" w:rsidRDefault="00CE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496E53">
      <w:rPr>
        <w:noProof/>
        <w:kern w:val="0"/>
        <w:szCs w:val="21"/>
      </w:rPr>
      <w:t>14</w:t>
    </w:r>
    <w:r w:rsidR="003F1674">
      <w:rPr>
        <w:kern w:val="0"/>
        <w:szCs w:val="21"/>
      </w:rPr>
      <w:fldChar w:fldCharType="end"/>
    </w:r>
    <w:proofErr w:type="gramStart"/>
    <w:r>
      <w:rPr>
        <w:rFonts w:hint="eastAsia"/>
        <w:kern w:val="0"/>
        <w:szCs w:val="21"/>
      </w:rPr>
      <w:t>页共</w:t>
    </w:r>
    <w:proofErr w:type="gramEnd"/>
    <w:r w:rsidR="003F1674">
      <w:rPr>
        <w:kern w:val="0"/>
        <w:szCs w:val="21"/>
      </w:rPr>
      <w:fldChar w:fldCharType="begin"/>
    </w:r>
    <w:r>
      <w:rPr>
        <w:kern w:val="0"/>
        <w:szCs w:val="21"/>
      </w:rPr>
      <w:instrText xml:space="preserve"> NUMPAGES </w:instrText>
    </w:r>
    <w:r w:rsidR="003F1674">
      <w:rPr>
        <w:kern w:val="0"/>
        <w:szCs w:val="21"/>
      </w:rPr>
      <w:fldChar w:fldCharType="separate"/>
    </w:r>
    <w:r w:rsidR="00496E53">
      <w:rPr>
        <w:noProof/>
        <w:kern w:val="0"/>
        <w:szCs w:val="21"/>
      </w:rPr>
      <w:t>14</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7F9" w:rsidRDefault="00CE07F9">
      <w:r>
        <w:separator/>
      </w:r>
    </w:p>
  </w:footnote>
  <w:footnote w:type="continuationSeparator" w:id="0">
    <w:p w:rsidR="00CE07F9" w:rsidRDefault="00CE0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交银施罗德双利债券证券投资基金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6E5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106"/>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B7EB6"/>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07F9"/>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C5FE6-11B4-4C2C-BBC3-0181B1CF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208</TotalTime>
  <Pages>14</Pages>
  <Words>1294</Words>
  <Characters>7382</Characters>
  <Application>Microsoft Office Word</Application>
  <DocSecurity>0</DocSecurity>
  <Lines>61</Lines>
  <Paragraphs>17</Paragraphs>
  <ScaleCrop>false</ScaleCrop>
  <Company>TRT. Ltd. Co.</Company>
  <LinksUpToDate>false</LinksUpToDate>
  <CharactersWithSpaces>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377</cp:revision>
  <cp:lastPrinted>2007-07-19T00:46:00Z</cp:lastPrinted>
  <dcterms:created xsi:type="dcterms:W3CDTF">2014-01-17T06:19:00Z</dcterms:created>
  <dcterms:modified xsi:type="dcterms:W3CDTF">2018-04-18T10:00:00Z</dcterms:modified>
</cp:coreProperties>
</file>