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36F65" w:rsidRDefault="008E71B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36F65" w:rsidRDefault="008E71BB">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36F65" w:rsidRDefault="008E71B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36F65" w:rsidRDefault="008E71B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36F65" w:rsidRDefault="008E71BB">
      <w:pPr>
        <w:spacing w:before="29" w:line="288" w:lineRule="auto"/>
        <w:ind w:firstLineChars="200" w:firstLine="480"/>
        <w:rPr>
          <w:color w:val="000000"/>
          <w:sz w:val="24"/>
          <w:szCs w:val="24"/>
        </w:rPr>
      </w:pPr>
      <w:r>
        <w:rPr>
          <w:color w:val="000000"/>
          <w:sz w:val="24"/>
          <w:szCs w:val="24"/>
        </w:rPr>
        <w:t>本报告中财务资料未经审计。</w:t>
      </w:r>
      <w:bookmarkStart w:id="0" w:name="_GoBack"/>
      <w:bookmarkEnd w:id="0"/>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257,362,687.34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E71BB" w:rsidRPr="00414345" w:rsidTr="008E71B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E71BB" w:rsidRPr="00414345" w:rsidTr="008E71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11,692,404.91</w:t>
            </w:r>
          </w:p>
        </w:tc>
      </w:tr>
      <w:tr w:rsidR="008E71BB" w:rsidRPr="00414345" w:rsidTr="008E71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-26,180,549.87</w:t>
            </w:r>
          </w:p>
        </w:tc>
      </w:tr>
      <w:tr w:rsidR="008E71BB" w:rsidRPr="00414345" w:rsidTr="008E71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-0.1012</w:t>
            </w:r>
          </w:p>
        </w:tc>
      </w:tr>
      <w:tr w:rsidR="008E71BB" w:rsidRPr="00414345" w:rsidTr="008E71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348,697,249.87</w:t>
            </w:r>
          </w:p>
        </w:tc>
      </w:tr>
      <w:tr w:rsidR="008E71BB" w:rsidRPr="00414345" w:rsidTr="008E71B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1.355</w:t>
            </w:r>
          </w:p>
        </w:tc>
      </w:tr>
    </w:tbl>
    <w:p w:rsidR="00F36F65" w:rsidRDefault="008E71B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36F65">
        <w:trPr>
          <w:jc w:val="center"/>
        </w:trPr>
        <w:tc>
          <w:tcPr>
            <w:tcW w:w="1701" w:type="dxa"/>
            <w:vAlign w:val="center"/>
          </w:tcPr>
          <w:p w:rsidR="00F36F65" w:rsidRDefault="008E71BB">
            <w:pPr>
              <w:jc w:val="left"/>
            </w:pPr>
            <w:r>
              <w:rPr>
                <w:color w:val="000000"/>
                <w:sz w:val="24"/>
                <w:szCs w:val="24"/>
              </w:rPr>
              <w:t>过去三个月</w:t>
            </w:r>
          </w:p>
        </w:tc>
        <w:tc>
          <w:tcPr>
            <w:tcW w:w="1045" w:type="dxa"/>
            <w:vAlign w:val="center"/>
          </w:tcPr>
          <w:p w:rsidR="00F36F65" w:rsidRDefault="008E71BB">
            <w:pPr>
              <w:jc w:val="center"/>
            </w:pPr>
            <w:r>
              <w:rPr>
                <w:color w:val="000000"/>
                <w:sz w:val="24"/>
                <w:szCs w:val="24"/>
              </w:rPr>
              <w:t>-6.87%</w:t>
            </w:r>
          </w:p>
        </w:tc>
        <w:tc>
          <w:tcPr>
            <w:tcW w:w="1344" w:type="dxa"/>
            <w:vAlign w:val="center"/>
          </w:tcPr>
          <w:p w:rsidR="00F36F65" w:rsidRDefault="008E71BB">
            <w:pPr>
              <w:jc w:val="center"/>
            </w:pPr>
            <w:r>
              <w:rPr>
                <w:color w:val="000000"/>
                <w:sz w:val="24"/>
                <w:szCs w:val="24"/>
              </w:rPr>
              <w:t>1.39%</w:t>
            </w:r>
          </w:p>
        </w:tc>
        <w:tc>
          <w:tcPr>
            <w:tcW w:w="1194" w:type="dxa"/>
            <w:vAlign w:val="center"/>
          </w:tcPr>
          <w:p w:rsidR="00F36F65" w:rsidRDefault="008E71BB">
            <w:pPr>
              <w:jc w:val="center"/>
            </w:pPr>
            <w:r>
              <w:rPr>
                <w:color w:val="000000"/>
                <w:sz w:val="24"/>
                <w:szCs w:val="24"/>
              </w:rPr>
              <w:t>-1.90%</w:t>
            </w:r>
          </w:p>
        </w:tc>
        <w:tc>
          <w:tcPr>
            <w:tcW w:w="1492" w:type="dxa"/>
            <w:vAlign w:val="center"/>
          </w:tcPr>
          <w:p w:rsidR="00F36F65" w:rsidRDefault="008E71BB">
            <w:pPr>
              <w:jc w:val="center"/>
            </w:pPr>
            <w:r>
              <w:rPr>
                <w:color w:val="000000"/>
                <w:sz w:val="24"/>
                <w:szCs w:val="24"/>
              </w:rPr>
              <w:t>0.88%</w:t>
            </w:r>
          </w:p>
        </w:tc>
        <w:tc>
          <w:tcPr>
            <w:tcW w:w="1194" w:type="dxa"/>
            <w:vAlign w:val="center"/>
          </w:tcPr>
          <w:p w:rsidR="00F36F65" w:rsidRDefault="008E71BB">
            <w:pPr>
              <w:jc w:val="center"/>
            </w:pPr>
            <w:r>
              <w:rPr>
                <w:color w:val="000000"/>
                <w:sz w:val="24"/>
                <w:szCs w:val="24"/>
              </w:rPr>
              <w:t>-4.97%</w:t>
            </w:r>
          </w:p>
        </w:tc>
        <w:tc>
          <w:tcPr>
            <w:tcW w:w="898" w:type="dxa"/>
            <w:vAlign w:val="center"/>
          </w:tcPr>
          <w:p w:rsidR="00F36F65" w:rsidRDefault="008E71BB">
            <w:pPr>
              <w:jc w:val="center"/>
            </w:pPr>
            <w:r>
              <w:rPr>
                <w:color w:val="000000"/>
                <w:sz w:val="24"/>
                <w:szCs w:val="24"/>
              </w:rPr>
              <w:t>0.51%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36F65">
        <w:trPr>
          <w:jc w:val="center"/>
        </w:trPr>
        <w:tc>
          <w:tcPr>
            <w:tcW w:w="846" w:type="dxa"/>
            <w:vAlign w:val="center"/>
          </w:tcPr>
          <w:p w:rsidR="00F36F65" w:rsidRDefault="008E71BB">
            <w:pPr>
              <w:jc w:val="center"/>
            </w:pPr>
            <w:r>
              <w:rPr>
                <w:color w:val="000000"/>
                <w:sz w:val="24"/>
                <w:szCs w:val="24"/>
              </w:rPr>
              <w:t>韩威俊</w:t>
            </w:r>
          </w:p>
        </w:tc>
        <w:tc>
          <w:tcPr>
            <w:tcW w:w="845" w:type="dxa"/>
            <w:vAlign w:val="center"/>
          </w:tcPr>
          <w:p w:rsidR="00F36F65" w:rsidRDefault="008E71BB">
            <w:pPr>
              <w:jc w:val="center"/>
            </w:pPr>
            <w:r>
              <w:rPr>
                <w:color w:val="000000"/>
                <w:sz w:val="24"/>
                <w:szCs w:val="24"/>
              </w:rPr>
              <w:t>交银趋势混合、交银策略回报灵活配置混合、</w:t>
            </w:r>
            <w:r>
              <w:rPr>
                <w:color w:val="000000"/>
                <w:sz w:val="24"/>
                <w:szCs w:val="24"/>
              </w:rPr>
              <w:lastRenderedPageBreak/>
              <w:t>交银股息优化混合、交银品质升级混合的基金经理</w:t>
            </w:r>
          </w:p>
        </w:tc>
        <w:tc>
          <w:tcPr>
            <w:tcW w:w="1549" w:type="dxa"/>
            <w:vAlign w:val="center"/>
          </w:tcPr>
          <w:p w:rsidR="00F36F65" w:rsidRDefault="008E71BB">
            <w:pPr>
              <w:jc w:val="center"/>
            </w:pPr>
            <w:r>
              <w:rPr>
                <w:color w:val="000000"/>
                <w:sz w:val="24"/>
                <w:szCs w:val="24"/>
              </w:rPr>
              <w:lastRenderedPageBreak/>
              <w:t>2017-06-03</w:t>
            </w:r>
          </w:p>
        </w:tc>
        <w:tc>
          <w:tcPr>
            <w:tcW w:w="1548" w:type="dxa"/>
            <w:vAlign w:val="center"/>
          </w:tcPr>
          <w:p w:rsidR="00F36F65" w:rsidRDefault="008E71BB">
            <w:pPr>
              <w:jc w:val="center"/>
            </w:pPr>
            <w:r>
              <w:rPr>
                <w:color w:val="000000"/>
                <w:sz w:val="24"/>
                <w:szCs w:val="24"/>
              </w:rPr>
              <w:t>-</w:t>
            </w:r>
          </w:p>
        </w:tc>
        <w:tc>
          <w:tcPr>
            <w:tcW w:w="1407" w:type="dxa"/>
            <w:vAlign w:val="center"/>
          </w:tcPr>
          <w:p w:rsidR="00F36F65" w:rsidRDefault="008E71BB">
            <w:pPr>
              <w:jc w:val="center"/>
            </w:pPr>
            <w:r>
              <w:rPr>
                <w:color w:val="000000"/>
                <w:sz w:val="24"/>
                <w:szCs w:val="24"/>
              </w:rPr>
              <w:t>12</w:t>
            </w:r>
            <w:r>
              <w:rPr>
                <w:color w:val="000000"/>
                <w:sz w:val="24"/>
                <w:szCs w:val="24"/>
              </w:rPr>
              <w:t>年</w:t>
            </w:r>
          </w:p>
        </w:tc>
        <w:tc>
          <w:tcPr>
            <w:tcW w:w="2673" w:type="dxa"/>
            <w:vAlign w:val="center"/>
          </w:tcPr>
          <w:p w:rsidR="00F36F65" w:rsidRDefault="008E71BB">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w:t>
            </w:r>
            <w:r>
              <w:rPr>
                <w:color w:val="000000"/>
                <w:sz w:val="24"/>
                <w:szCs w:val="24"/>
              </w:rPr>
              <w:lastRenderedPageBreak/>
              <w:t>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36F65" w:rsidRDefault="008E71B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36F65" w:rsidRDefault="008E71B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36F65" w:rsidRDefault="008E71B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36F65" w:rsidRDefault="008E71BB">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年一季度，利率维持在高位，整体市场流动性仍然较弱，整个市场仍然处于存量博弈阶段。白马股一月份表现较好，但是由于过去两年涨幅较大，二、三月份整体回落比较大，资金流出相对比较明显。</w:t>
      </w:r>
    </w:p>
    <w:p w:rsidR="00F36F65" w:rsidRDefault="008E71BB">
      <w:pPr>
        <w:spacing w:before="29" w:line="288" w:lineRule="auto"/>
        <w:ind w:firstLineChars="200" w:firstLine="480"/>
        <w:rPr>
          <w:color w:val="000000"/>
          <w:sz w:val="24"/>
          <w:szCs w:val="24"/>
        </w:rPr>
      </w:pPr>
      <w:r>
        <w:rPr>
          <w:color w:val="000000"/>
          <w:sz w:val="24"/>
          <w:szCs w:val="24"/>
        </w:rPr>
        <w:t>本基金在一月份末整体降低了仓位，继续维持配置现金流趋势性向上的价值成长白马股，适当减持了部分流动性较差的重仓股，继续持有流动性较好的价值白马股。由于二、三月份整体回撤较大，一季度绝对收益和相对收益整体表现不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年二季度，整体风险偏好很难出现系统性上升，流动性压力将有所改善，贸易战、</w:t>
      </w:r>
      <w:r w:rsidRPr="00414345">
        <w:rPr>
          <w:color w:val="000000"/>
          <w:sz w:val="24"/>
          <w:szCs w:val="24"/>
        </w:rPr>
        <w:t>CDR</w:t>
      </w:r>
      <w:r w:rsidRPr="00414345">
        <w:rPr>
          <w:color w:val="000000"/>
          <w:sz w:val="24"/>
          <w:szCs w:val="24"/>
        </w:rPr>
        <w:t>等因素将继续对整个资本市场的波动率施加影响，但整体波动会有所收敛，市场仍然维持在一定区间内震荡。价值白马股年内将出现明显分化，包括板块的分化和个股的分化，本基金希望通过自下而上的分析，选择继续持有业绩和现金流持续好转的个股。此外，部分小市值成长股在经过两年估值消化以后，具备了一定的吸引力，我们后续会考虑适当进行一些成长股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03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1.355</w:t>
      </w:r>
      <w:r w:rsidRPr="00414345">
        <w:rPr>
          <w:color w:val="000000"/>
          <w:sz w:val="24"/>
          <w:szCs w:val="24"/>
        </w:rPr>
        <w:t>元，本报告期份额净值增长率为</w:t>
      </w:r>
      <w:r w:rsidRPr="00414345">
        <w:rPr>
          <w:color w:val="000000"/>
          <w:sz w:val="24"/>
          <w:szCs w:val="24"/>
        </w:rPr>
        <w:t>-6.87%</w:t>
      </w:r>
      <w:r w:rsidRPr="00414345">
        <w:rPr>
          <w:color w:val="000000"/>
          <w:sz w:val="24"/>
          <w:szCs w:val="24"/>
        </w:rPr>
        <w:t>，同期业绩比较基准增长率为</w:t>
      </w:r>
      <w:r w:rsidRPr="00414345">
        <w:rPr>
          <w:color w:val="000000"/>
          <w:sz w:val="24"/>
          <w:szCs w:val="24"/>
        </w:rPr>
        <w:t>-1.90%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317,141,175.15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317,141,175.15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10,005,000.00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10,005,000.00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22,803,610.68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1,144,848.76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351,094,634.59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233,263,433.89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2,111,386.87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7,858,203.96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17,896,749.80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29,258,269.01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24,612,212.00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2,104,260.00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317,141,175.15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90.95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36F65">
        <w:trPr>
          <w:jc w:val="center"/>
        </w:trPr>
        <w:tc>
          <w:tcPr>
            <w:tcW w:w="855" w:type="dxa"/>
            <w:vAlign w:val="center"/>
          </w:tcPr>
          <w:p w:rsidR="00F36F65" w:rsidRDefault="008E71BB">
            <w:pPr>
              <w:jc w:val="center"/>
            </w:pPr>
            <w:r>
              <w:rPr>
                <w:color w:val="000000"/>
                <w:sz w:val="24"/>
                <w:szCs w:val="24"/>
              </w:rPr>
              <w:t>1</w:t>
            </w:r>
          </w:p>
        </w:tc>
        <w:tc>
          <w:tcPr>
            <w:tcW w:w="1334" w:type="dxa"/>
            <w:vAlign w:val="center"/>
          </w:tcPr>
          <w:p w:rsidR="00F36F65" w:rsidRDefault="008E71BB">
            <w:pPr>
              <w:jc w:val="center"/>
            </w:pPr>
            <w:r>
              <w:rPr>
                <w:color w:val="000000"/>
                <w:sz w:val="24"/>
                <w:szCs w:val="24"/>
              </w:rPr>
              <w:t>002304</w:t>
            </w:r>
          </w:p>
        </w:tc>
        <w:tc>
          <w:tcPr>
            <w:tcW w:w="1777" w:type="dxa"/>
            <w:vAlign w:val="center"/>
          </w:tcPr>
          <w:p w:rsidR="00F36F65" w:rsidRDefault="008E71BB">
            <w:pPr>
              <w:jc w:val="center"/>
            </w:pPr>
            <w:r>
              <w:rPr>
                <w:color w:val="000000"/>
                <w:sz w:val="24"/>
                <w:szCs w:val="24"/>
              </w:rPr>
              <w:t>洋河股份</w:t>
            </w:r>
          </w:p>
        </w:tc>
        <w:tc>
          <w:tcPr>
            <w:tcW w:w="1334" w:type="dxa"/>
            <w:vAlign w:val="center"/>
          </w:tcPr>
          <w:p w:rsidR="00F36F65" w:rsidRDefault="008E71BB">
            <w:pPr>
              <w:jc w:val="right"/>
            </w:pPr>
            <w:r>
              <w:rPr>
                <w:color w:val="000000"/>
                <w:sz w:val="24"/>
                <w:szCs w:val="24"/>
              </w:rPr>
              <w:t>299,613</w:t>
            </w:r>
          </w:p>
        </w:tc>
        <w:tc>
          <w:tcPr>
            <w:tcW w:w="1924" w:type="dxa"/>
            <w:vAlign w:val="center"/>
          </w:tcPr>
          <w:p w:rsidR="00F36F65" w:rsidRDefault="008E71BB">
            <w:pPr>
              <w:jc w:val="right"/>
            </w:pPr>
            <w:r>
              <w:rPr>
                <w:color w:val="000000"/>
                <w:sz w:val="24"/>
                <w:szCs w:val="24"/>
              </w:rPr>
              <w:t>32,355,207.87</w:t>
            </w:r>
          </w:p>
        </w:tc>
        <w:tc>
          <w:tcPr>
            <w:tcW w:w="1644" w:type="dxa"/>
            <w:vAlign w:val="center"/>
          </w:tcPr>
          <w:p w:rsidR="00F36F65" w:rsidRDefault="008E71BB">
            <w:pPr>
              <w:jc w:val="right"/>
            </w:pPr>
            <w:r>
              <w:rPr>
                <w:color w:val="000000"/>
                <w:sz w:val="24"/>
                <w:szCs w:val="24"/>
              </w:rPr>
              <w:t>9.28</w:t>
            </w:r>
          </w:p>
        </w:tc>
      </w:tr>
      <w:tr w:rsidR="00F36F65">
        <w:trPr>
          <w:jc w:val="center"/>
        </w:trPr>
        <w:tc>
          <w:tcPr>
            <w:tcW w:w="855" w:type="dxa"/>
            <w:vAlign w:val="center"/>
          </w:tcPr>
          <w:p w:rsidR="00F36F65" w:rsidRDefault="008E71BB">
            <w:pPr>
              <w:jc w:val="center"/>
            </w:pPr>
            <w:r>
              <w:rPr>
                <w:color w:val="000000"/>
                <w:sz w:val="24"/>
                <w:szCs w:val="24"/>
              </w:rPr>
              <w:t>2</w:t>
            </w:r>
          </w:p>
        </w:tc>
        <w:tc>
          <w:tcPr>
            <w:tcW w:w="1334" w:type="dxa"/>
            <w:vAlign w:val="center"/>
          </w:tcPr>
          <w:p w:rsidR="00F36F65" w:rsidRDefault="008E71BB">
            <w:pPr>
              <w:jc w:val="center"/>
            </w:pPr>
            <w:r>
              <w:rPr>
                <w:color w:val="000000"/>
                <w:sz w:val="24"/>
                <w:szCs w:val="24"/>
              </w:rPr>
              <w:t>600519</w:t>
            </w:r>
          </w:p>
        </w:tc>
        <w:tc>
          <w:tcPr>
            <w:tcW w:w="1777" w:type="dxa"/>
            <w:vAlign w:val="center"/>
          </w:tcPr>
          <w:p w:rsidR="00F36F65" w:rsidRDefault="008E71BB">
            <w:pPr>
              <w:jc w:val="center"/>
            </w:pPr>
            <w:r>
              <w:rPr>
                <w:color w:val="000000"/>
                <w:sz w:val="24"/>
                <w:szCs w:val="24"/>
              </w:rPr>
              <w:t>贵州茅台</w:t>
            </w:r>
          </w:p>
        </w:tc>
        <w:tc>
          <w:tcPr>
            <w:tcW w:w="1334" w:type="dxa"/>
            <w:vAlign w:val="center"/>
          </w:tcPr>
          <w:p w:rsidR="00F36F65" w:rsidRDefault="008E71BB">
            <w:pPr>
              <w:jc w:val="right"/>
            </w:pPr>
            <w:r>
              <w:rPr>
                <w:color w:val="000000"/>
                <w:sz w:val="24"/>
                <w:szCs w:val="24"/>
              </w:rPr>
              <w:t>47,312</w:t>
            </w:r>
          </w:p>
        </w:tc>
        <w:tc>
          <w:tcPr>
            <w:tcW w:w="1924" w:type="dxa"/>
            <w:vAlign w:val="center"/>
          </w:tcPr>
          <w:p w:rsidR="00F36F65" w:rsidRDefault="008E71BB">
            <w:pPr>
              <w:jc w:val="right"/>
            </w:pPr>
            <w:r>
              <w:rPr>
                <w:color w:val="000000"/>
                <w:sz w:val="24"/>
                <w:szCs w:val="24"/>
              </w:rPr>
              <w:t>32,343,429.44</w:t>
            </w:r>
          </w:p>
        </w:tc>
        <w:tc>
          <w:tcPr>
            <w:tcW w:w="1644" w:type="dxa"/>
            <w:vAlign w:val="center"/>
          </w:tcPr>
          <w:p w:rsidR="00F36F65" w:rsidRDefault="008E71BB">
            <w:pPr>
              <w:jc w:val="right"/>
            </w:pPr>
            <w:r>
              <w:rPr>
                <w:color w:val="000000"/>
                <w:sz w:val="24"/>
                <w:szCs w:val="24"/>
              </w:rPr>
              <w:t>9.28</w:t>
            </w:r>
          </w:p>
        </w:tc>
      </w:tr>
      <w:tr w:rsidR="00F36F65">
        <w:trPr>
          <w:jc w:val="center"/>
        </w:trPr>
        <w:tc>
          <w:tcPr>
            <w:tcW w:w="855" w:type="dxa"/>
            <w:vAlign w:val="center"/>
          </w:tcPr>
          <w:p w:rsidR="00F36F65" w:rsidRDefault="008E71BB">
            <w:pPr>
              <w:jc w:val="center"/>
            </w:pPr>
            <w:r>
              <w:rPr>
                <w:color w:val="000000"/>
                <w:sz w:val="24"/>
                <w:szCs w:val="24"/>
              </w:rPr>
              <w:t>3</w:t>
            </w:r>
          </w:p>
        </w:tc>
        <w:tc>
          <w:tcPr>
            <w:tcW w:w="1334" w:type="dxa"/>
            <w:vAlign w:val="center"/>
          </w:tcPr>
          <w:p w:rsidR="00F36F65" w:rsidRDefault="008E71BB">
            <w:pPr>
              <w:jc w:val="center"/>
            </w:pPr>
            <w:r>
              <w:rPr>
                <w:color w:val="000000"/>
                <w:sz w:val="24"/>
                <w:szCs w:val="24"/>
              </w:rPr>
              <w:t>603808</w:t>
            </w:r>
          </w:p>
        </w:tc>
        <w:tc>
          <w:tcPr>
            <w:tcW w:w="1777" w:type="dxa"/>
            <w:vAlign w:val="center"/>
          </w:tcPr>
          <w:p w:rsidR="00F36F65" w:rsidRDefault="008E71BB">
            <w:pPr>
              <w:jc w:val="center"/>
            </w:pPr>
            <w:r>
              <w:rPr>
                <w:color w:val="000000"/>
                <w:sz w:val="24"/>
                <w:szCs w:val="24"/>
              </w:rPr>
              <w:t>歌力思</w:t>
            </w:r>
          </w:p>
        </w:tc>
        <w:tc>
          <w:tcPr>
            <w:tcW w:w="1334" w:type="dxa"/>
            <w:vAlign w:val="center"/>
          </w:tcPr>
          <w:p w:rsidR="00F36F65" w:rsidRDefault="008E71BB">
            <w:pPr>
              <w:jc w:val="right"/>
            </w:pPr>
            <w:r>
              <w:rPr>
                <w:color w:val="000000"/>
                <w:sz w:val="24"/>
                <w:szCs w:val="24"/>
              </w:rPr>
              <w:t>1,563,565</w:t>
            </w:r>
          </w:p>
        </w:tc>
        <w:tc>
          <w:tcPr>
            <w:tcW w:w="1924" w:type="dxa"/>
            <w:vAlign w:val="center"/>
          </w:tcPr>
          <w:p w:rsidR="00F36F65" w:rsidRDefault="008E71BB">
            <w:pPr>
              <w:jc w:val="right"/>
            </w:pPr>
            <w:r>
              <w:rPr>
                <w:color w:val="000000"/>
                <w:sz w:val="24"/>
                <w:szCs w:val="24"/>
              </w:rPr>
              <w:t>32,099,989.45</w:t>
            </w:r>
          </w:p>
        </w:tc>
        <w:tc>
          <w:tcPr>
            <w:tcW w:w="1644" w:type="dxa"/>
            <w:vAlign w:val="center"/>
          </w:tcPr>
          <w:p w:rsidR="00F36F65" w:rsidRDefault="008E71BB">
            <w:pPr>
              <w:jc w:val="right"/>
            </w:pPr>
            <w:r>
              <w:rPr>
                <w:color w:val="000000"/>
                <w:sz w:val="24"/>
                <w:szCs w:val="24"/>
              </w:rPr>
              <w:t>9.21</w:t>
            </w:r>
          </w:p>
        </w:tc>
      </w:tr>
      <w:tr w:rsidR="00F36F65">
        <w:trPr>
          <w:jc w:val="center"/>
        </w:trPr>
        <w:tc>
          <w:tcPr>
            <w:tcW w:w="855" w:type="dxa"/>
            <w:vAlign w:val="center"/>
          </w:tcPr>
          <w:p w:rsidR="00F36F65" w:rsidRDefault="008E71BB">
            <w:pPr>
              <w:jc w:val="center"/>
            </w:pPr>
            <w:r>
              <w:rPr>
                <w:color w:val="000000"/>
                <w:sz w:val="24"/>
                <w:szCs w:val="24"/>
              </w:rPr>
              <w:t>4</w:t>
            </w:r>
          </w:p>
        </w:tc>
        <w:tc>
          <w:tcPr>
            <w:tcW w:w="1334" w:type="dxa"/>
            <w:vAlign w:val="center"/>
          </w:tcPr>
          <w:p w:rsidR="00F36F65" w:rsidRDefault="008E71BB">
            <w:pPr>
              <w:jc w:val="center"/>
            </w:pPr>
            <w:r>
              <w:rPr>
                <w:color w:val="000000"/>
                <w:sz w:val="24"/>
                <w:szCs w:val="24"/>
              </w:rPr>
              <w:t>600887</w:t>
            </w:r>
          </w:p>
        </w:tc>
        <w:tc>
          <w:tcPr>
            <w:tcW w:w="1777" w:type="dxa"/>
            <w:vAlign w:val="center"/>
          </w:tcPr>
          <w:p w:rsidR="00F36F65" w:rsidRDefault="008E71BB">
            <w:pPr>
              <w:jc w:val="center"/>
            </w:pPr>
            <w:r>
              <w:rPr>
                <w:color w:val="000000"/>
                <w:sz w:val="24"/>
                <w:szCs w:val="24"/>
              </w:rPr>
              <w:t>伊利股份</w:t>
            </w:r>
          </w:p>
        </w:tc>
        <w:tc>
          <w:tcPr>
            <w:tcW w:w="1334" w:type="dxa"/>
            <w:vAlign w:val="center"/>
          </w:tcPr>
          <w:p w:rsidR="00F36F65" w:rsidRDefault="008E71BB">
            <w:pPr>
              <w:jc w:val="right"/>
            </w:pPr>
            <w:r>
              <w:rPr>
                <w:color w:val="000000"/>
                <w:sz w:val="24"/>
                <w:szCs w:val="24"/>
              </w:rPr>
              <w:t>1,120,066</w:t>
            </w:r>
          </w:p>
        </w:tc>
        <w:tc>
          <w:tcPr>
            <w:tcW w:w="1924" w:type="dxa"/>
            <w:vAlign w:val="center"/>
          </w:tcPr>
          <w:p w:rsidR="00F36F65" w:rsidRDefault="008E71BB">
            <w:pPr>
              <w:jc w:val="right"/>
            </w:pPr>
            <w:r>
              <w:rPr>
                <w:color w:val="000000"/>
                <w:sz w:val="24"/>
                <w:szCs w:val="24"/>
              </w:rPr>
              <w:t>31,910,680.34</w:t>
            </w:r>
          </w:p>
        </w:tc>
        <w:tc>
          <w:tcPr>
            <w:tcW w:w="1644" w:type="dxa"/>
            <w:vAlign w:val="center"/>
          </w:tcPr>
          <w:p w:rsidR="00F36F65" w:rsidRDefault="008E71BB">
            <w:pPr>
              <w:jc w:val="right"/>
            </w:pPr>
            <w:r>
              <w:rPr>
                <w:color w:val="000000"/>
                <w:sz w:val="24"/>
                <w:szCs w:val="24"/>
              </w:rPr>
              <w:t>9.15</w:t>
            </w:r>
          </w:p>
        </w:tc>
      </w:tr>
      <w:tr w:rsidR="00F36F65">
        <w:trPr>
          <w:jc w:val="center"/>
        </w:trPr>
        <w:tc>
          <w:tcPr>
            <w:tcW w:w="855" w:type="dxa"/>
            <w:vAlign w:val="center"/>
          </w:tcPr>
          <w:p w:rsidR="00F36F65" w:rsidRDefault="008E71BB">
            <w:pPr>
              <w:jc w:val="center"/>
            </w:pPr>
            <w:r>
              <w:rPr>
                <w:color w:val="000000"/>
                <w:sz w:val="24"/>
                <w:szCs w:val="24"/>
              </w:rPr>
              <w:t>5</w:t>
            </w:r>
          </w:p>
        </w:tc>
        <w:tc>
          <w:tcPr>
            <w:tcW w:w="1334" w:type="dxa"/>
            <w:vAlign w:val="center"/>
          </w:tcPr>
          <w:p w:rsidR="00F36F65" w:rsidRDefault="008E71BB">
            <w:pPr>
              <w:jc w:val="center"/>
            </w:pPr>
            <w:r>
              <w:rPr>
                <w:color w:val="000000"/>
                <w:sz w:val="24"/>
                <w:szCs w:val="24"/>
              </w:rPr>
              <w:t>000858</w:t>
            </w:r>
          </w:p>
        </w:tc>
        <w:tc>
          <w:tcPr>
            <w:tcW w:w="1777" w:type="dxa"/>
            <w:vAlign w:val="center"/>
          </w:tcPr>
          <w:p w:rsidR="00F36F65" w:rsidRDefault="008E71BB">
            <w:pPr>
              <w:jc w:val="center"/>
            </w:pPr>
            <w:r>
              <w:rPr>
                <w:color w:val="000000"/>
                <w:sz w:val="24"/>
                <w:szCs w:val="24"/>
              </w:rPr>
              <w:t>五粮液</w:t>
            </w:r>
          </w:p>
        </w:tc>
        <w:tc>
          <w:tcPr>
            <w:tcW w:w="1334" w:type="dxa"/>
            <w:vAlign w:val="center"/>
          </w:tcPr>
          <w:p w:rsidR="00F36F65" w:rsidRDefault="008E71BB">
            <w:pPr>
              <w:jc w:val="right"/>
            </w:pPr>
            <w:r>
              <w:rPr>
                <w:color w:val="000000"/>
                <w:sz w:val="24"/>
                <w:szCs w:val="24"/>
              </w:rPr>
              <w:t>460,715</w:t>
            </w:r>
          </w:p>
        </w:tc>
        <w:tc>
          <w:tcPr>
            <w:tcW w:w="1924" w:type="dxa"/>
            <w:vAlign w:val="center"/>
          </w:tcPr>
          <w:p w:rsidR="00F36F65" w:rsidRDefault="008E71BB">
            <w:pPr>
              <w:jc w:val="right"/>
            </w:pPr>
            <w:r>
              <w:rPr>
                <w:color w:val="000000"/>
                <w:sz w:val="24"/>
                <w:szCs w:val="24"/>
              </w:rPr>
              <w:t>30,573,047.40</w:t>
            </w:r>
          </w:p>
        </w:tc>
        <w:tc>
          <w:tcPr>
            <w:tcW w:w="1644" w:type="dxa"/>
            <w:vAlign w:val="center"/>
          </w:tcPr>
          <w:p w:rsidR="00F36F65" w:rsidRDefault="008E71BB">
            <w:pPr>
              <w:jc w:val="right"/>
            </w:pPr>
            <w:r>
              <w:rPr>
                <w:color w:val="000000"/>
                <w:sz w:val="24"/>
                <w:szCs w:val="24"/>
              </w:rPr>
              <w:t>8.77</w:t>
            </w:r>
          </w:p>
        </w:tc>
      </w:tr>
      <w:tr w:rsidR="00F36F65">
        <w:trPr>
          <w:jc w:val="center"/>
        </w:trPr>
        <w:tc>
          <w:tcPr>
            <w:tcW w:w="855" w:type="dxa"/>
            <w:vAlign w:val="center"/>
          </w:tcPr>
          <w:p w:rsidR="00F36F65" w:rsidRDefault="008E71BB">
            <w:pPr>
              <w:jc w:val="center"/>
            </w:pPr>
            <w:r>
              <w:rPr>
                <w:color w:val="000000"/>
                <w:sz w:val="24"/>
                <w:szCs w:val="24"/>
              </w:rPr>
              <w:t>6</w:t>
            </w:r>
          </w:p>
        </w:tc>
        <w:tc>
          <w:tcPr>
            <w:tcW w:w="1334" w:type="dxa"/>
            <w:vAlign w:val="center"/>
          </w:tcPr>
          <w:p w:rsidR="00F36F65" w:rsidRDefault="008E71BB">
            <w:pPr>
              <w:jc w:val="center"/>
            </w:pPr>
            <w:r>
              <w:rPr>
                <w:color w:val="000000"/>
                <w:sz w:val="24"/>
                <w:szCs w:val="24"/>
              </w:rPr>
              <w:t>002027</w:t>
            </w:r>
          </w:p>
        </w:tc>
        <w:tc>
          <w:tcPr>
            <w:tcW w:w="1777" w:type="dxa"/>
            <w:vAlign w:val="center"/>
          </w:tcPr>
          <w:p w:rsidR="00F36F65" w:rsidRDefault="008E71BB">
            <w:pPr>
              <w:jc w:val="center"/>
            </w:pPr>
            <w:r>
              <w:rPr>
                <w:color w:val="000000"/>
                <w:sz w:val="24"/>
                <w:szCs w:val="24"/>
              </w:rPr>
              <w:t>分众传媒</w:t>
            </w:r>
          </w:p>
        </w:tc>
        <w:tc>
          <w:tcPr>
            <w:tcW w:w="1334" w:type="dxa"/>
            <w:vAlign w:val="center"/>
          </w:tcPr>
          <w:p w:rsidR="00F36F65" w:rsidRDefault="008E71BB">
            <w:pPr>
              <w:jc w:val="right"/>
            </w:pPr>
            <w:r>
              <w:rPr>
                <w:color w:val="000000"/>
                <w:sz w:val="24"/>
                <w:szCs w:val="24"/>
              </w:rPr>
              <w:t>1,937,800</w:t>
            </w:r>
          </w:p>
        </w:tc>
        <w:tc>
          <w:tcPr>
            <w:tcW w:w="1924" w:type="dxa"/>
            <w:vAlign w:val="center"/>
          </w:tcPr>
          <w:p w:rsidR="00F36F65" w:rsidRDefault="008E71BB">
            <w:pPr>
              <w:jc w:val="right"/>
            </w:pPr>
            <w:r>
              <w:rPr>
                <w:color w:val="000000"/>
                <w:sz w:val="24"/>
                <w:szCs w:val="24"/>
              </w:rPr>
              <w:t>24,612,212.00</w:t>
            </w:r>
          </w:p>
        </w:tc>
        <w:tc>
          <w:tcPr>
            <w:tcW w:w="1644" w:type="dxa"/>
            <w:vAlign w:val="center"/>
          </w:tcPr>
          <w:p w:rsidR="00F36F65" w:rsidRDefault="008E71BB">
            <w:pPr>
              <w:jc w:val="right"/>
            </w:pPr>
            <w:r>
              <w:rPr>
                <w:color w:val="000000"/>
                <w:sz w:val="24"/>
                <w:szCs w:val="24"/>
              </w:rPr>
              <w:t>7.06</w:t>
            </w:r>
          </w:p>
        </w:tc>
      </w:tr>
      <w:tr w:rsidR="00F36F65">
        <w:trPr>
          <w:jc w:val="center"/>
        </w:trPr>
        <w:tc>
          <w:tcPr>
            <w:tcW w:w="855" w:type="dxa"/>
            <w:vAlign w:val="center"/>
          </w:tcPr>
          <w:p w:rsidR="00F36F65" w:rsidRDefault="008E71BB">
            <w:pPr>
              <w:jc w:val="center"/>
            </w:pPr>
            <w:r>
              <w:rPr>
                <w:color w:val="000000"/>
                <w:sz w:val="24"/>
                <w:szCs w:val="24"/>
              </w:rPr>
              <w:t>7</w:t>
            </w:r>
          </w:p>
        </w:tc>
        <w:tc>
          <w:tcPr>
            <w:tcW w:w="1334" w:type="dxa"/>
            <w:vAlign w:val="center"/>
          </w:tcPr>
          <w:p w:rsidR="00F36F65" w:rsidRDefault="008E71BB">
            <w:pPr>
              <w:jc w:val="center"/>
            </w:pPr>
            <w:r>
              <w:rPr>
                <w:color w:val="000000"/>
                <w:sz w:val="24"/>
                <w:szCs w:val="24"/>
              </w:rPr>
              <w:t>600036</w:t>
            </w:r>
          </w:p>
        </w:tc>
        <w:tc>
          <w:tcPr>
            <w:tcW w:w="1777" w:type="dxa"/>
            <w:vAlign w:val="center"/>
          </w:tcPr>
          <w:p w:rsidR="00F36F65" w:rsidRDefault="008E71BB">
            <w:pPr>
              <w:jc w:val="center"/>
            </w:pPr>
            <w:r>
              <w:rPr>
                <w:color w:val="000000"/>
                <w:sz w:val="24"/>
                <w:szCs w:val="24"/>
              </w:rPr>
              <w:t>招商银行</w:t>
            </w:r>
          </w:p>
        </w:tc>
        <w:tc>
          <w:tcPr>
            <w:tcW w:w="1334" w:type="dxa"/>
            <w:vAlign w:val="center"/>
          </w:tcPr>
          <w:p w:rsidR="00F36F65" w:rsidRDefault="008E71BB">
            <w:pPr>
              <w:jc w:val="right"/>
            </w:pPr>
            <w:r>
              <w:rPr>
                <w:color w:val="000000"/>
                <w:sz w:val="24"/>
                <w:szCs w:val="24"/>
              </w:rPr>
              <w:t>615,220</w:t>
            </w:r>
          </w:p>
        </w:tc>
        <w:tc>
          <w:tcPr>
            <w:tcW w:w="1924" w:type="dxa"/>
            <w:vAlign w:val="center"/>
          </w:tcPr>
          <w:p w:rsidR="00F36F65" w:rsidRDefault="008E71BB">
            <w:pPr>
              <w:jc w:val="right"/>
            </w:pPr>
            <w:r>
              <w:rPr>
                <w:color w:val="000000"/>
                <w:sz w:val="24"/>
                <w:szCs w:val="24"/>
              </w:rPr>
              <w:t>17,896,749.80</w:t>
            </w:r>
          </w:p>
        </w:tc>
        <w:tc>
          <w:tcPr>
            <w:tcW w:w="1644" w:type="dxa"/>
            <w:vAlign w:val="center"/>
          </w:tcPr>
          <w:p w:rsidR="00F36F65" w:rsidRDefault="008E71BB">
            <w:pPr>
              <w:jc w:val="right"/>
            </w:pPr>
            <w:r>
              <w:rPr>
                <w:color w:val="000000"/>
                <w:sz w:val="24"/>
                <w:szCs w:val="24"/>
              </w:rPr>
              <w:t>5.13</w:t>
            </w:r>
          </w:p>
        </w:tc>
      </w:tr>
      <w:tr w:rsidR="00F36F65">
        <w:trPr>
          <w:jc w:val="center"/>
        </w:trPr>
        <w:tc>
          <w:tcPr>
            <w:tcW w:w="855" w:type="dxa"/>
            <w:vAlign w:val="center"/>
          </w:tcPr>
          <w:p w:rsidR="00F36F65" w:rsidRDefault="008E71BB">
            <w:pPr>
              <w:jc w:val="center"/>
            </w:pPr>
            <w:r>
              <w:rPr>
                <w:color w:val="000000"/>
                <w:sz w:val="24"/>
                <w:szCs w:val="24"/>
              </w:rPr>
              <w:t>8</w:t>
            </w:r>
          </w:p>
        </w:tc>
        <w:tc>
          <w:tcPr>
            <w:tcW w:w="1334" w:type="dxa"/>
            <w:vAlign w:val="center"/>
          </w:tcPr>
          <w:p w:rsidR="00F36F65" w:rsidRDefault="008E71BB">
            <w:pPr>
              <w:jc w:val="center"/>
            </w:pPr>
            <w:r>
              <w:rPr>
                <w:color w:val="000000"/>
                <w:sz w:val="24"/>
                <w:szCs w:val="24"/>
              </w:rPr>
              <w:t>600048</w:t>
            </w:r>
          </w:p>
        </w:tc>
        <w:tc>
          <w:tcPr>
            <w:tcW w:w="1777" w:type="dxa"/>
            <w:vAlign w:val="center"/>
          </w:tcPr>
          <w:p w:rsidR="00F36F65" w:rsidRDefault="008E71BB">
            <w:pPr>
              <w:jc w:val="center"/>
            </w:pPr>
            <w:r>
              <w:rPr>
                <w:color w:val="000000"/>
                <w:sz w:val="24"/>
                <w:szCs w:val="24"/>
              </w:rPr>
              <w:t>保利地产</w:t>
            </w:r>
          </w:p>
        </w:tc>
        <w:tc>
          <w:tcPr>
            <w:tcW w:w="1334" w:type="dxa"/>
            <w:vAlign w:val="center"/>
          </w:tcPr>
          <w:p w:rsidR="00F36F65" w:rsidRDefault="008E71BB">
            <w:pPr>
              <w:jc w:val="right"/>
            </w:pPr>
            <w:r>
              <w:rPr>
                <w:color w:val="000000"/>
                <w:sz w:val="24"/>
                <w:szCs w:val="24"/>
              </w:rPr>
              <w:t>1,293,863</w:t>
            </w:r>
          </w:p>
        </w:tc>
        <w:tc>
          <w:tcPr>
            <w:tcW w:w="1924" w:type="dxa"/>
            <w:vAlign w:val="center"/>
          </w:tcPr>
          <w:p w:rsidR="00F36F65" w:rsidRDefault="008E71BB">
            <w:pPr>
              <w:jc w:val="right"/>
            </w:pPr>
            <w:r>
              <w:rPr>
                <w:color w:val="000000"/>
                <w:sz w:val="24"/>
                <w:szCs w:val="24"/>
              </w:rPr>
              <w:t>17,428,334.61</w:t>
            </w:r>
          </w:p>
        </w:tc>
        <w:tc>
          <w:tcPr>
            <w:tcW w:w="1644" w:type="dxa"/>
            <w:vAlign w:val="center"/>
          </w:tcPr>
          <w:p w:rsidR="00F36F65" w:rsidRDefault="008E71BB">
            <w:pPr>
              <w:jc w:val="right"/>
            </w:pPr>
            <w:r>
              <w:rPr>
                <w:color w:val="000000"/>
                <w:sz w:val="24"/>
                <w:szCs w:val="24"/>
              </w:rPr>
              <w:t>5.00</w:t>
            </w:r>
          </w:p>
        </w:tc>
      </w:tr>
      <w:tr w:rsidR="00F36F65">
        <w:trPr>
          <w:jc w:val="center"/>
        </w:trPr>
        <w:tc>
          <w:tcPr>
            <w:tcW w:w="855" w:type="dxa"/>
            <w:vAlign w:val="center"/>
          </w:tcPr>
          <w:p w:rsidR="00F36F65" w:rsidRDefault="008E71BB">
            <w:pPr>
              <w:jc w:val="center"/>
            </w:pPr>
            <w:r>
              <w:rPr>
                <w:color w:val="000000"/>
                <w:sz w:val="24"/>
                <w:szCs w:val="24"/>
              </w:rPr>
              <w:t>9</w:t>
            </w:r>
          </w:p>
        </w:tc>
        <w:tc>
          <w:tcPr>
            <w:tcW w:w="1334" w:type="dxa"/>
            <w:vAlign w:val="center"/>
          </w:tcPr>
          <w:p w:rsidR="00F36F65" w:rsidRDefault="008E71BB">
            <w:pPr>
              <w:jc w:val="center"/>
            </w:pPr>
            <w:r>
              <w:rPr>
                <w:color w:val="000000"/>
                <w:sz w:val="24"/>
                <w:szCs w:val="24"/>
              </w:rPr>
              <w:t>000651</w:t>
            </w:r>
          </w:p>
        </w:tc>
        <w:tc>
          <w:tcPr>
            <w:tcW w:w="1777" w:type="dxa"/>
            <w:vAlign w:val="center"/>
          </w:tcPr>
          <w:p w:rsidR="00F36F65" w:rsidRDefault="008E71BB">
            <w:pPr>
              <w:jc w:val="center"/>
            </w:pPr>
            <w:r>
              <w:rPr>
                <w:color w:val="000000"/>
                <w:sz w:val="24"/>
                <w:szCs w:val="24"/>
              </w:rPr>
              <w:t>格力电器</w:t>
            </w:r>
          </w:p>
        </w:tc>
        <w:tc>
          <w:tcPr>
            <w:tcW w:w="1334" w:type="dxa"/>
            <w:vAlign w:val="center"/>
          </w:tcPr>
          <w:p w:rsidR="00F36F65" w:rsidRDefault="008E71BB">
            <w:pPr>
              <w:jc w:val="right"/>
            </w:pPr>
            <w:r>
              <w:rPr>
                <w:color w:val="000000"/>
                <w:sz w:val="24"/>
                <w:szCs w:val="24"/>
              </w:rPr>
              <w:t>370,870</w:t>
            </w:r>
          </w:p>
        </w:tc>
        <w:tc>
          <w:tcPr>
            <w:tcW w:w="1924" w:type="dxa"/>
            <w:vAlign w:val="center"/>
          </w:tcPr>
          <w:p w:rsidR="00F36F65" w:rsidRDefault="008E71BB">
            <w:pPr>
              <w:jc w:val="right"/>
            </w:pPr>
            <w:r>
              <w:rPr>
                <w:color w:val="000000"/>
                <w:sz w:val="24"/>
                <w:szCs w:val="24"/>
              </w:rPr>
              <w:t>17,393,803.00</w:t>
            </w:r>
          </w:p>
        </w:tc>
        <w:tc>
          <w:tcPr>
            <w:tcW w:w="1644" w:type="dxa"/>
            <w:vAlign w:val="center"/>
          </w:tcPr>
          <w:p w:rsidR="00F36F65" w:rsidRDefault="008E71BB">
            <w:pPr>
              <w:jc w:val="right"/>
            </w:pPr>
            <w:r>
              <w:rPr>
                <w:color w:val="000000"/>
                <w:sz w:val="24"/>
                <w:szCs w:val="24"/>
              </w:rPr>
              <w:t>4.99</w:t>
            </w:r>
          </w:p>
        </w:tc>
      </w:tr>
      <w:tr w:rsidR="00F36F65">
        <w:trPr>
          <w:jc w:val="center"/>
        </w:trPr>
        <w:tc>
          <w:tcPr>
            <w:tcW w:w="855" w:type="dxa"/>
            <w:vAlign w:val="center"/>
          </w:tcPr>
          <w:p w:rsidR="00F36F65" w:rsidRDefault="008E71BB">
            <w:pPr>
              <w:jc w:val="center"/>
            </w:pPr>
            <w:r>
              <w:rPr>
                <w:color w:val="000000"/>
                <w:sz w:val="24"/>
                <w:szCs w:val="24"/>
              </w:rPr>
              <w:t>10</w:t>
            </w:r>
          </w:p>
        </w:tc>
        <w:tc>
          <w:tcPr>
            <w:tcW w:w="1334" w:type="dxa"/>
            <w:vAlign w:val="center"/>
          </w:tcPr>
          <w:p w:rsidR="00F36F65" w:rsidRDefault="008E71BB">
            <w:pPr>
              <w:jc w:val="center"/>
            </w:pPr>
            <w:r>
              <w:rPr>
                <w:color w:val="000000"/>
                <w:sz w:val="24"/>
                <w:szCs w:val="24"/>
              </w:rPr>
              <w:t>000002</w:t>
            </w:r>
          </w:p>
        </w:tc>
        <w:tc>
          <w:tcPr>
            <w:tcW w:w="1777" w:type="dxa"/>
            <w:vAlign w:val="center"/>
          </w:tcPr>
          <w:p w:rsidR="00F36F65" w:rsidRDefault="008E71BB">
            <w:pPr>
              <w:jc w:val="center"/>
            </w:pPr>
            <w:r>
              <w:rPr>
                <w:color w:val="000000"/>
                <w:sz w:val="24"/>
                <w:szCs w:val="24"/>
              </w:rPr>
              <w:t>万科</w:t>
            </w:r>
            <w:r>
              <w:rPr>
                <w:color w:val="000000"/>
                <w:sz w:val="24"/>
                <w:szCs w:val="24"/>
              </w:rPr>
              <w:t>A</w:t>
            </w:r>
          </w:p>
        </w:tc>
        <w:tc>
          <w:tcPr>
            <w:tcW w:w="1334" w:type="dxa"/>
            <w:vAlign w:val="center"/>
          </w:tcPr>
          <w:p w:rsidR="00F36F65" w:rsidRDefault="008E71BB">
            <w:pPr>
              <w:jc w:val="right"/>
            </w:pPr>
            <w:r>
              <w:rPr>
                <w:color w:val="000000"/>
                <w:sz w:val="24"/>
                <w:szCs w:val="24"/>
              </w:rPr>
              <w:t>355,360</w:t>
            </w:r>
          </w:p>
        </w:tc>
        <w:tc>
          <w:tcPr>
            <w:tcW w:w="1924" w:type="dxa"/>
            <w:vAlign w:val="center"/>
          </w:tcPr>
          <w:p w:rsidR="00F36F65" w:rsidRDefault="008E71BB">
            <w:pPr>
              <w:jc w:val="right"/>
            </w:pPr>
            <w:r>
              <w:rPr>
                <w:color w:val="000000"/>
                <w:sz w:val="24"/>
                <w:szCs w:val="24"/>
              </w:rPr>
              <w:t>11,829,934.40</w:t>
            </w:r>
          </w:p>
        </w:tc>
        <w:tc>
          <w:tcPr>
            <w:tcW w:w="1644" w:type="dxa"/>
            <w:vAlign w:val="center"/>
          </w:tcPr>
          <w:p w:rsidR="00F36F65" w:rsidRDefault="008E71BB">
            <w:pPr>
              <w:jc w:val="right"/>
            </w:pPr>
            <w:r>
              <w:rPr>
                <w:color w:val="000000"/>
                <w:sz w:val="24"/>
                <w:szCs w:val="24"/>
              </w:rPr>
              <w:t>3.39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36F65">
        <w:trPr>
          <w:jc w:val="center"/>
        </w:trPr>
        <w:tc>
          <w:tcPr>
            <w:tcW w:w="850" w:type="dxa"/>
            <w:vAlign w:val="center"/>
          </w:tcPr>
          <w:p w:rsidR="00F36F65" w:rsidRDefault="008E71BB">
            <w:pPr>
              <w:jc w:val="center"/>
            </w:pPr>
            <w:r>
              <w:rPr>
                <w:color w:val="000000"/>
                <w:sz w:val="24"/>
                <w:szCs w:val="24"/>
              </w:rPr>
              <w:t>1</w:t>
            </w:r>
          </w:p>
        </w:tc>
        <w:tc>
          <w:tcPr>
            <w:tcW w:w="1475" w:type="dxa"/>
            <w:vAlign w:val="center"/>
          </w:tcPr>
          <w:p w:rsidR="00F36F65" w:rsidRDefault="008E71BB">
            <w:pPr>
              <w:jc w:val="center"/>
            </w:pPr>
            <w:r>
              <w:rPr>
                <w:color w:val="000000"/>
                <w:sz w:val="24"/>
                <w:szCs w:val="24"/>
              </w:rPr>
              <w:t>150418</w:t>
            </w:r>
          </w:p>
        </w:tc>
        <w:tc>
          <w:tcPr>
            <w:tcW w:w="1769" w:type="dxa"/>
            <w:vAlign w:val="center"/>
          </w:tcPr>
          <w:p w:rsidR="00F36F65" w:rsidRDefault="008E71BB">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F36F65" w:rsidRDefault="008E71BB">
            <w:pPr>
              <w:jc w:val="right"/>
            </w:pPr>
            <w:r>
              <w:rPr>
                <w:color w:val="000000"/>
                <w:sz w:val="24"/>
                <w:szCs w:val="24"/>
              </w:rPr>
              <w:t>100,000</w:t>
            </w:r>
          </w:p>
        </w:tc>
        <w:tc>
          <w:tcPr>
            <w:tcW w:w="2150" w:type="dxa"/>
            <w:vAlign w:val="center"/>
          </w:tcPr>
          <w:p w:rsidR="00F36F65" w:rsidRDefault="008E71BB">
            <w:pPr>
              <w:jc w:val="right"/>
            </w:pPr>
            <w:r>
              <w:rPr>
                <w:color w:val="000000"/>
                <w:sz w:val="24"/>
                <w:szCs w:val="24"/>
              </w:rPr>
              <w:t>10,005,000.00</w:t>
            </w:r>
          </w:p>
        </w:tc>
        <w:tc>
          <w:tcPr>
            <w:tcW w:w="1237" w:type="dxa"/>
            <w:vAlign w:val="center"/>
          </w:tcPr>
          <w:p w:rsidR="00F36F65" w:rsidRDefault="008E71BB">
            <w:pPr>
              <w:jc w:val="right"/>
            </w:pPr>
            <w:r>
              <w:rPr>
                <w:color w:val="000000"/>
                <w:sz w:val="24"/>
                <w:szCs w:val="24"/>
              </w:rPr>
              <w:t>2.87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181,220.42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259,022.63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704,605.71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1,144,848.76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4220F3">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4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36F65">
        <w:trPr>
          <w:jc w:val="center"/>
        </w:trPr>
        <w:tc>
          <w:tcPr>
            <w:tcW w:w="1129" w:type="dxa"/>
            <w:vAlign w:val="center"/>
          </w:tcPr>
          <w:p w:rsidR="00F36F65" w:rsidRDefault="00F65025">
            <w:pPr>
              <w:jc w:val="center"/>
            </w:pPr>
            <w:r>
              <w:rPr>
                <w:color w:val="000000"/>
                <w:sz w:val="24"/>
                <w:szCs w:val="24"/>
              </w:rPr>
              <w:t>1</w:t>
            </w:r>
          </w:p>
        </w:tc>
        <w:tc>
          <w:tcPr>
            <w:tcW w:w="1356" w:type="dxa"/>
            <w:vAlign w:val="center"/>
          </w:tcPr>
          <w:p w:rsidR="00F36F65" w:rsidRDefault="008E71BB">
            <w:pPr>
              <w:jc w:val="center"/>
            </w:pPr>
            <w:r>
              <w:rPr>
                <w:color w:val="000000"/>
                <w:sz w:val="24"/>
                <w:szCs w:val="24"/>
              </w:rPr>
              <w:t>002027</w:t>
            </w:r>
          </w:p>
        </w:tc>
        <w:tc>
          <w:tcPr>
            <w:tcW w:w="1355" w:type="dxa"/>
            <w:vAlign w:val="center"/>
          </w:tcPr>
          <w:p w:rsidR="00F36F65" w:rsidRDefault="008E71BB">
            <w:pPr>
              <w:jc w:val="center"/>
            </w:pPr>
            <w:r>
              <w:rPr>
                <w:color w:val="000000"/>
                <w:sz w:val="24"/>
                <w:szCs w:val="24"/>
              </w:rPr>
              <w:t>分众传媒</w:t>
            </w:r>
          </w:p>
        </w:tc>
        <w:tc>
          <w:tcPr>
            <w:tcW w:w="1880" w:type="dxa"/>
            <w:vAlign w:val="center"/>
          </w:tcPr>
          <w:p w:rsidR="00F36F65" w:rsidRDefault="008E71BB">
            <w:pPr>
              <w:jc w:val="right"/>
            </w:pPr>
            <w:r>
              <w:rPr>
                <w:color w:val="000000"/>
                <w:sz w:val="24"/>
                <w:szCs w:val="24"/>
              </w:rPr>
              <w:t>5,318,460.00</w:t>
            </w:r>
          </w:p>
        </w:tc>
        <w:tc>
          <w:tcPr>
            <w:tcW w:w="1724" w:type="dxa"/>
            <w:vAlign w:val="center"/>
          </w:tcPr>
          <w:p w:rsidR="00F36F65" w:rsidRDefault="008E71BB">
            <w:pPr>
              <w:jc w:val="right"/>
            </w:pPr>
            <w:r>
              <w:rPr>
                <w:color w:val="000000"/>
                <w:sz w:val="24"/>
                <w:szCs w:val="24"/>
              </w:rPr>
              <w:t>1.53</w:t>
            </w:r>
          </w:p>
        </w:tc>
        <w:tc>
          <w:tcPr>
            <w:tcW w:w="1424" w:type="dxa"/>
            <w:vAlign w:val="center"/>
          </w:tcPr>
          <w:p w:rsidR="00F36F65" w:rsidRDefault="008E71BB">
            <w:pPr>
              <w:jc w:val="right"/>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F65025" w:rsidRPr="004220F3" w:rsidRDefault="00F65025" w:rsidP="004220F3">
      <w:pPr>
        <w:adjustRightInd w:val="0"/>
        <w:snapToGrid w:val="0"/>
        <w:spacing w:beforeLines="50" w:before="156" w:line="360" w:lineRule="auto"/>
        <w:rPr>
          <w:rFonts w:eastAsiaTheme="minorEastAsia"/>
          <w:b/>
          <w:color w:val="000000" w:themeColor="text1"/>
          <w:kern w:val="0"/>
          <w:sz w:val="24"/>
          <w:szCs w:val="24"/>
        </w:rPr>
      </w:pPr>
      <w:r w:rsidRPr="004220F3">
        <w:rPr>
          <w:rFonts w:eastAsiaTheme="minorEastAsia"/>
          <w:b/>
          <w:color w:val="000000" w:themeColor="text1"/>
          <w:kern w:val="0"/>
          <w:sz w:val="24"/>
          <w:szCs w:val="24"/>
        </w:rPr>
        <w:t xml:space="preserve">6.3 </w:t>
      </w:r>
      <w:r w:rsidRPr="004220F3">
        <w:rPr>
          <w:rFonts w:eastAsiaTheme="minorEastAsia" w:hint="eastAsia"/>
          <w:b/>
          <w:color w:val="000000" w:themeColor="text1"/>
          <w:kern w:val="0"/>
          <w:sz w:val="24"/>
          <w:szCs w:val="24"/>
        </w:rPr>
        <w:t>本报告期持有的基金发生的重大影响事件</w:t>
      </w:r>
    </w:p>
    <w:p w:rsidR="00F65025" w:rsidRPr="004220F3" w:rsidRDefault="00F65025" w:rsidP="004220F3">
      <w:pPr>
        <w:autoSpaceDE w:val="0"/>
        <w:autoSpaceDN w:val="0"/>
        <w:adjustRightInd w:val="0"/>
        <w:spacing w:line="360" w:lineRule="auto"/>
        <w:ind w:firstLineChars="200" w:firstLine="480"/>
        <w:jc w:val="left"/>
        <w:rPr>
          <w:rFonts w:eastAsiaTheme="minorEastAsia"/>
          <w:color w:val="000000" w:themeColor="text1"/>
          <w:sz w:val="24"/>
          <w:szCs w:val="24"/>
        </w:rPr>
      </w:pPr>
      <w:r w:rsidRPr="004220F3">
        <w:rPr>
          <w:rFonts w:eastAsiaTheme="minorEastAsia" w:hint="eastAsia"/>
          <w:color w:val="000000" w:themeColor="text1"/>
          <w:sz w:val="24"/>
          <w:szCs w:val="24"/>
        </w:rPr>
        <w:t>无。</w:t>
      </w:r>
    </w:p>
    <w:p w:rsidR="00F65025" w:rsidRPr="00575270" w:rsidRDefault="00F65025"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255,196,785.71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41,454,161.57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39,288,259.94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257,362,687.34</w:t>
            </w:r>
          </w:p>
        </w:tc>
      </w:tr>
    </w:tbl>
    <w:p w:rsidR="00F36F65" w:rsidRDefault="008E71B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F36F65" w:rsidRPr="004220F3" w:rsidRDefault="008E71BB">
      <w:pPr>
        <w:spacing w:line="360" w:lineRule="auto"/>
        <w:ind w:firstLineChars="200" w:firstLine="480"/>
        <w:rPr>
          <w:rFonts w:ascii="宋体" w:hAnsi="宋体"/>
          <w:color w:val="000000"/>
          <w:sz w:val="24"/>
          <w:szCs w:val="24"/>
        </w:rPr>
      </w:pPr>
      <w:r w:rsidRPr="004220F3">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w:t>
      </w:r>
      <w:r w:rsidRPr="004220F3">
        <w:rPr>
          <w:rFonts w:ascii="宋体" w:hAnsi="宋体"/>
          <w:color w:val="000000"/>
          <w:sz w:val="24"/>
          <w:szCs w:val="24"/>
        </w:rPr>
        <w:lastRenderedPageBreak/>
        <w:t>基金资产承担。如后续国家法律法规、税收政策进行调整的，或者对基金产品的税收政策作出补充规定的，基金管理人将及时根据所涉及的税收政策作出相应调整，切实履行基金管理人的职责。</w:t>
      </w:r>
    </w:p>
    <w:p w:rsidR="003C50AD" w:rsidRPr="004220F3" w:rsidRDefault="003C50AD" w:rsidP="003C50AD">
      <w:pPr>
        <w:spacing w:line="360" w:lineRule="auto"/>
        <w:ind w:firstLineChars="200" w:firstLine="480"/>
        <w:rPr>
          <w:rFonts w:ascii="宋体" w:hAnsi="宋体"/>
          <w:color w:val="000000"/>
          <w:sz w:val="24"/>
          <w:szCs w:val="24"/>
        </w:rPr>
      </w:pPr>
      <w:r w:rsidRPr="004220F3">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36F65" w:rsidRDefault="008E71B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F36F65" w:rsidRDefault="008E71B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F36F65" w:rsidRDefault="008E71B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F36F65" w:rsidRDefault="008E71B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F36F65" w:rsidRDefault="008E71B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F36F65" w:rsidRDefault="008E71B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F36F65" w:rsidRDefault="008E71B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36F65" w:rsidRDefault="008E71B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9C" w:rsidRDefault="00025B9C" w:rsidP="00876D65">
      <w:r>
        <w:separator/>
      </w:r>
    </w:p>
  </w:endnote>
  <w:endnote w:type="continuationSeparator" w:id="0">
    <w:p w:rsidR="00025B9C" w:rsidRDefault="00025B9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4220F3">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4220F3">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9C" w:rsidRDefault="00025B9C" w:rsidP="00876D65">
      <w:r>
        <w:separator/>
      </w:r>
    </w:p>
  </w:footnote>
  <w:footnote w:type="continuationSeparator" w:id="0">
    <w:p w:rsidR="00025B9C" w:rsidRDefault="00025B9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交银施罗德趋势优先混合型证券投资基金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25B9C"/>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13A"/>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20F3"/>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E71BB"/>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46ED2"/>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4DD8"/>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6F65"/>
    <w:rsid w:val="00F375F2"/>
    <w:rsid w:val="00F45C47"/>
    <w:rsid w:val="00F51C4E"/>
    <w:rsid w:val="00F534A2"/>
    <w:rsid w:val="00F53B0E"/>
    <w:rsid w:val="00F54EAE"/>
    <w:rsid w:val="00F65025"/>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27174">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6724-C352-46A4-BE36-3B269090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13</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戴梦菲</cp:lastModifiedBy>
  <cp:revision>580</cp:revision>
  <dcterms:created xsi:type="dcterms:W3CDTF">2012-10-16T06:07:00Z</dcterms:created>
  <dcterms:modified xsi:type="dcterms:W3CDTF">2018-04-19T01:45:00Z</dcterms:modified>
</cp:coreProperties>
</file>