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交银施罗德主题优选灵活配置混合型证券投资基金</w:t>
      </w:r>
    </w:p>
    <w:p w:rsidR="002279D3" w:rsidRPr="0081286B" w:rsidRDefault="002279D3" w:rsidP="00C15CAC">
      <w:pPr>
        <w:spacing w:before="29" w:line="288" w:lineRule="auto"/>
        <w:jc w:val="center"/>
        <w:rPr>
          <w:b/>
          <w:sz w:val="36"/>
          <w:szCs w:val="36"/>
        </w:rPr>
      </w:pPr>
      <w:r w:rsidRPr="0081286B">
        <w:rPr>
          <w:b/>
          <w:sz w:val="36"/>
          <w:szCs w:val="36"/>
        </w:rPr>
        <w:t>2018</w:t>
      </w:r>
      <w:r w:rsidRPr="0081286B">
        <w:rPr>
          <w:b/>
          <w:sz w:val="36"/>
          <w:szCs w:val="36"/>
        </w:rPr>
        <w:t>年第</w:t>
      </w:r>
      <w:r w:rsidRPr="0081286B">
        <w:rPr>
          <w:b/>
          <w:sz w:val="36"/>
          <w:szCs w:val="36"/>
        </w:rPr>
        <w:t>1</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2018</w:t>
      </w:r>
      <w:r w:rsidRPr="0081286B">
        <w:rPr>
          <w:b/>
          <w:sz w:val="36"/>
          <w:szCs w:val="36"/>
        </w:rPr>
        <w:t>年</w:t>
      </w:r>
      <w:r w:rsidRPr="0081286B">
        <w:rPr>
          <w:b/>
          <w:sz w:val="36"/>
          <w:szCs w:val="36"/>
        </w:rPr>
        <w:t>3</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default" r:id="rId8"/>
          <w:footerReference w:type="default" r:id="rId9"/>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二〇一八年四月二十一日</w:t>
      </w:r>
    </w:p>
    <w:p w:rsidR="004061AC" w:rsidRPr="00414345" w:rsidRDefault="004061AC" w:rsidP="007B5F21">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BE2EAD" w:rsidRDefault="00243D16">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BE2EAD" w:rsidRDefault="00243D16">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2018</w:t>
      </w:r>
      <w:r>
        <w:rPr>
          <w:color w:val="000000"/>
          <w:sz w:val="24"/>
          <w:szCs w:val="24"/>
        </w:rPr>
        <w:t>年</w:t>
      </w:r>
      <w:r>
        <w:rPr>
          <w:color w:val="000000"/>
          <w:sz w:val="24"/>
          <w:szCs w:val="24"/>
        </w:rPr>
        <w:t>4</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BE2EAD" w:rsidRDefault="00243D16">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BE2EAD" w:rsidRDefault="00243D16">
      <w:pPr>
        <w:spacing w:before="29" w:line="288" w:lineRule="auto"/>
        <w:ind w:firstLineChars="200" w:firstLine="480"/>
        <w:rPr>
          <w:color w:val="000000"/>
          <w:sz w:val="24"/>
          <w:szCs w:val="24"/>
        </w:rPr>
      </w:pPr>
      <w:r>
        <w:rPr>
          <w:color w:val="000000"/>
          <w:sz w:val="24"/>
          <w:szCs w:val="24"/>
        </w:rPr>
        <w:t>基金的过往业绩并不代表其未来表现。投资有风险，投资者在</w:t>
      </w:r>
      <w:proofErr w:type="gramStart"/>
      <w:r>
        <w:rPr>
          <w:color w:val="000000"/>
          <w:sz w:val="24"/>
          <w:szCs w:val="24"/>
        </w:rPr>
        <w:t>作出</w:t>
      </w:r>
      <w:proofErr w:type="gramEnd"/>
      <w:r>
        <w:rPr>
          <w:color w:val="000000"/>
          <w:sz w:val="24"/>
          <w:szCs w:val="24"/>
        </w:rPr>
        <w:t>投资决策前应仔细阅读本基金的招募说明书。</w:t>
      </w:r>
      <w:r>
        <w:rPr>
          <w:color w:val="000000"/>
          <w:sz w:val="24"/>
          <w:szCs w:val="24"/>
        </w:rPr>
        <w:t xml:space="preserve"> </w:t>
      </w:r>
    </w:p>
    <w:p w:rsidR="00BE2EAD" w:rsidRDefault="00243D16">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2018</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w:t>
            </w:r>
            <w:proofErr w:type="gramStart"/>
            <w:r w:rsidRPr="00414345">
              <w:rPr>
                <w:color w:val="000000"/>
                <w:kern w:val="0"/>
                <w:sz w:val="24"/>
                <w:szCs w:val="24"/>
              </w:rPr>
              <w:t>银主题</w:t>
            </w:r>
            <w:proofErr w:type="gramEnd"/>
            <w:r w:rsidRPr="00414345">
              <w:rPr>
                <w:color w:val="000000"/>
                <w:kern w:val="0"/>
                <w:sz w:val="24"/>
                <w:szCs w:val="24"/>
              </w:rPr>
              <w:t>优选混合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519700</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519700</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519701</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2010</w:t>
            </w:r>
            <w:r w:rsidRPr="00414345">
              <w:rPr>
                <w:color w:val="000000"/>
                <w:kern w:val="0"/>
                <w:sz w:val="24"/>
                <w:szCs w:val="24"/>
              </w:rPr>
              <w:t>年</w:t>
            </w:r>
            <w:r w:rsidRPr="00414345">
              <w:rPr>
                <w:color w:val="000000"/>
                <w:kern w:val="0"/>
                <w:sz w:val="24"/>
                <w:szCs w:val="24"/>
              </w:rPr>
              <w:t>6</w:t>
            </w:r>
            <w:r w:rsidRPr="00414345">
              <w:rPr>
                <w:color w:val="000000"/>
                <w:kern w:val="0"/>
                <w:sz w:val="24"/>
                <w:szCs w:val="24"/>
              </w:rPr>
              <w:t>月</w:t>
            </w:r>
            <w:r w:rsidRPr="00414345">
              <w:rPr>
                <w:color w:val="000000"/>
                <w:kern w:val="0"/>
                <w:sz w:val="24"/>
                <w:szCs w:val="24"/>
              </w:rPr>
              <w:t>30</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404,310,900.40</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本基金力图通过前瞻性的主题优选，积极把握行业和个股投资机会，在控制风险并保持基金资产良好的流动性的前提下，力争实现基金资产的长期稳定增值。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将严谨、规范化的选股方法与积极主动的投资风格相结合，在分析和判断宏观经济发展趋势、经济周期和市场环境变化趋势的基础上，动态调整投资组合比例，自上而下灵活配置资产；通过优选主题配置和挖掘预期具有良好增长前景的优势行业相结合的方式，精选个股，以谋求超额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60%×</w:t>
            </w: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+40%×</w:t>
            </w:r>
            <w:r w:rsidRPr="00414345">
              <w:rPr>
                <w:color w:val="000000"/>
                <w:kern w:val="0"/>
                <w:sz w:val="24"/>
                <w:szCs w:val="24"/>
              </w:rPr>
              <w:t>中证综合债券指数收益率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本基金是一只灵活配置的混合型基金，属于基金中的中高风险品种，本基金的风险与预期收益介于股票型基金和债券型基金之间。</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6E15C0" w:rsidRPr="00414345" w:rsidTr="006E15C0">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(2018</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-2018</w:t>
            </w:r>
            <w:r w:rsidRPr="00414345">
              <w:rPr>
                <w:color w:val="000000"/>
                <w:sz w:val="24"/>
                <w:szCs w:val="24"/>
              </w:rPr>
              <w:t>年</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6E15C0" w:rsidRPr="00414345" w:rsidTr="006E15C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39,569,666.84</w:t>
            </w:r>
          </w:p>
        </w:tc>
      </w:tr>
      <w:tr w:rsidR="006E15C0" w:rsidRPr="00414345" w:rsidTr="006E15C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37,896,131.48</w:t>
            </w:r>
          </w:p>
        </w:tc>
      </w:tr>
      <w:tr w:rsidR="006E15C0" w:rsidRPr="00414345" w:rsidTr="006E15C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0.0863</w:t>
            </w:r>
          </w:p>
        </w:tc>
      </w:tr>
      <w:tr w:rsidR="006E15C0" w:rsidRPr="00414345" w:rsidTr="006E15C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484,908,432.33</w:t>
            </w:r>
          </w:p>
        </w:tc>
      </w:tr>
      <w:tr w:rsidR="006E15C0" w:rsidRPr="00414345" w:rsidTr="006E15C0">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1.199</w:t>
            </w:r>
          </w:p>
        </w:tc>
      </w:tr>
    </w:tbl>
    <w:p w:rsidR="00BE2EAD" w:rsidRDefault="00243D16">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w:t>
      </w:r>
      <w:proofErr w:type="gramStart"/>
      <w:r w:rsidRPr="00414345">
        <w:rPr>
          <w:b/>
          <w:bCs/>
          <w:color w:val="000000"/>
          <w:kern w:val="0"/>
          <w:sz w:val="24"/>
          <w:szCs w:val="24"/>
        </w:rPr>
        <w:t>期基金</w:t>
      </w:r>
      <w:proofErr w:type="gramEnd"/>
      <w:r w:rsidRPr="00414345">
        <w:rPr>
          <w:b/>
          <w:bCs/>
          <w:color w:val="000000"/>
          <w:kern w:val="0"/>
          <w:sz w:val="24"/>
          <w:szCs w:val="24"/>
        </w:rPr>
        <w:t>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BE2EAD">
        <w:trPr>
          <w:jc w:val="center"/>
        </w:trPr>
        <w:tc>
          <w:tcPr>
            <w:tcW w:w="1701" w:type="dxa"/>
            <w:vAlign w:val="center"/>
          </w:tcPr>
          <w:p w:rsidR="00BE2EAD" w:rsidRDefault="00243D16">
            <w:pPr>
              <w:jc w:val="left"/>
            </w:pPr>
            <w:r>
              <w:rPr>
                <w:color w:val="000000"/>
                <w:sz w:val="24"/>
                <w:szCs w:val="24"/>
              </w:rPr>
              <w:t>过去三个月</w:t>
            </w:r>
          </w:p>
        </w:tc>
        <w:tc>
          <w:tcPr>
            <w:tcW w:w="1045" w:type="dxa"/>
            <w:vAlign w:val="center"/>
          </w:tcPr>
          <w:p w:rsidR="00BE2EAD" w:rsidRDefault="00243D16">
            <w:pPr>
              <w:jc w:val="center"/>
            </w:pPr>
            <w:r>
              <w:rPr>
                <w:color w:val="000000"/>
                <w:sz w:val="24"/>
                <w:szCs w:val="24"/>
              </w:rPr>
              <w:t>6.01%</w:t>
            </w:r>
          </w:p>
        </w:tc>
        <w:tc>
          <w:tcPr>
            <w:tcW w:w="1344" w:type="dxa"/>
            <w:vAlign w:val="center"/>
          </w:tcPr>
          <w:p w:rsidR="00BE2EAD" w:rsidRDefault="00243D16">
            <w:pPr>
              <w:jc w:val="center"/>
            </w:pPr>
            <w:r>
              <w:rPr>
                <w:color w:val="000000"/>
                <w:sz w:val="24"/>
                <w:szCs w:val="24"/>
              </w:rPr>
              <w:t>1.28%</w:t>
            </w:r>
          </w:p>
        </w:tc>
        <w:tc>
          <w:tcPr>
            <w:tcW w:w="1194" w:type="dxa"/>
            <w:vAlign w:val="center"/>
          </w:tcPr>
          <w:p w:rsidR="00BE2EAD" w:rsidRDefault="00243D16">
            <w:pPr>
              <w:jc w:val="center"/>
            </w:pPr>
            <w:r>
              <w:rPr>
                <w:color w:val="000000"/>
                <w:sz w:val="24"/>
                <w:szCs w:val="24"/>
              </w:rPr>
              <w:t>-1.09%</w:t>
            </w:r>
          </w:p>
        </w:tc>
        <w:tc>
          <w:tcPr>
            <w:tcW w:w="1492" w:type="dxa"/>
            <w:vAlign w:val="center"/>
          </w:tcPr>
          <w:p w:rsidR="00BE2EAD" w:rsidRDefault="00243D16">
            <w:pPr>
              <w:jc w:val="center"/>
            </w:pPr>
            <w:r>
              <w:rPr>
                <w:color w:val="000000"/>
                <w:sz w:val="24"/>
                <w:szCs w:val="24"/>
              </w:rPr>
              <w:t>0.71%</w:t>
            </w:r>
          </w:p>
        </w:tc>
        <w:tc>
          <w:tcPr>
            <w:tcW w:w="1194" w:type="dxa"/>
            <w:vAlign w:val="center"/>
          </w:tcPr>
          <w:p w:rsidR="00BE2EAD" w:rsidRDefault="00243D16">
            <w:pPr>
              <w:jc w:val="center"/>
            </w:pPr>
            <w:r>
              <w:rPr>
                <w:color w:val="000000"/>
                <w:sz w:val="24"/>
                <w:szCs w:val="24"/>
              </w:rPr>
              <w:t>7.10%</w:t>
            </w:r>
          </w:p>
        </w:tc>
        <w:tc>
          <w:tcPr>
            <w:tcW w:w="898" w:type="dxa"/>
            <w:vAlign w:val="center"/>
          </w:tcPr>
          <w:p w:rsidR="00BE2EAD" w:rsidRDefault="00243D16">
            <w:pPr>
              <w:jc w:val="center"/>
            </w:pPr>
            <w:r>
              <w:rPr>
                <w:color w:val="000000"/>
                <w:sz w:val="24"/>
                <w:szCs w:val="24"/>
              </w:rPr>
              <w:t>0.57%</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“60%×</w:t>
      </w:r>
      <w:r w:rsidRPr="00414345">
        <w:rPr>
          <w:color w:val="000000"/>
          <w:sz w:val="24"/>
          <w:szCs w:val="24"/>
        </w:rPr>
        <w:t>沪深</w:t>
      </w:r>
      <w:r w:rsidRPr="00414345">
        <w:rPr>
          <w:color w:val="000000"/>
          <w:sz w:val="24"/>
          <w:szCs w:val="24"/>
        </w:rPr>
        <w:t>300</w:t>
      </w:r>
      <w:r w:rsidRPr="00414345">
        <w:rPr>
          <w:color w:val="000000"/>
          <w:sz w:val="24"/>
          <w:szCs w:val="24"/>
        </w:rPr>
        <w:t>指数收益率</w:t>
      </w:r>
      <w:r w:rsidRPr="00414345">
        <w:rPr>
          <w:color w:val="000000"/>
          <w:sz w:val="24"/>
          <w:szCs w:val="24"/>
        </w:rPr>
        <w:t>+40%×</w:t>
      </w:r>
      <w:r w:rsidRPr="00414345">
        <w:rPr>
          <w:color w:val="000000"/>
          <w:sz w:val="24"/>
          <w:szCs w:val="24"/>
        </w:rPr>
        <w:t>中信标普全债指数收益率</w:t>
      </w:r>
      <w:r w:rsidRPr="00414345">
        <w:rPr>
          <w:color w:val="000000"/>
          <w:sz w:val="24"/>
          <w:szCs w:val="24"/>
        </w:rPr>
        <w:t>”</w:t>
      </w:r>
      <w:r w:rsidRPr="00414345">
        <w:rPr>
          <w:color w:val="000000"/>
          <w:sz w:val="24"/>
          <w:szCs w:val="24"/>
        </w:rPr>
        <w:t>变更为</w:t>
      </w:r>
      <w:r w:rsidRPr="00414345">
        <w:rPr>
          <w:color w:val="000000"/>
          <w:sz w:val="24"/>
          <w:szCs w:val="24"/>
        </w:rPr>
        <w:t>“60%×</w:t>
      </w:r>
      <w:r w:rsidRPr="00414345">
        <w:rPr>
          <w:color w:val="000000"/>
          <w:sz w:val="24"/>
          <w:szCs w:val="24"/>
        </w:rPr>
        <w:t>沪深</w:t>
      </w:r>
      <w:r w:rsidRPr="00414345">
        <w:rPr>
          <w:color w:val="000000"/>
          <w:sz w:val="24"/>
          <w:szCs w:val="24"/>
        </w:rPr>
        <w:t>300</w:t>
      </w:r>
      <w:r w:rsidRPr="00414345">
        <w:rPr>
          <w:color w:val="000000"/>
          <w:sz w:val="24"/>
          <w:szCs w:val="24"/>
        </w:rPr>
        <w:t>指数收益率</w:t>
      </w:r>
      <w:r w:rsidRPr="00414345">
        <w:rPr>
          <w:color w:val="000000"/>
          <w:sz w:val="24"/>
          <w:szCs w:val="24"/>
        </w:rPr>
        <w:t>+40%×</w:t>
      </w:r>
      <w:r w:rsidRPr="00414345">
        <w:rPr>
          <w:color w:val="000000"/>
          <w:sz w:val="24"/>
          <w:szCs w:val="24"/>
        </w:rPr>
        <w:t>中证综合债券指数收益率</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交银施罗德主题优选灵活配置混合型证券投资基金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2010</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6</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30</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2018</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3</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proofErr w:type="gramStart"/>
            <w:r w:rsidRPr="00414345">
              <w:rPr>
                <w:color w:val="000000"/>
                <w:kern w:val="0"/>
                <w:sz w:val="24"/>
                <w:szCs w:val="24"/>
              </w:rPr>
              <w:t>任本基金</w:t>
            </w:r>
            <w:proofErr w:type="gramEnd"/>
            <w:r w:rsidRPr="00414345">
              <w:rPr>
                <w:color w:val="000000"/>
                <w:kern w:val="0"/>
                <w:sz w:val="24"/>
                <w:szCs w:val="24"/>
              </w:rPr>
              <w:t>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BE2EAD">
        <w:trPr>
          <w:jc w:val="center"/>
        </w:trPr>
        <w:tc>
          <w:tcPr>
            <w:tcW w:w="846" w:type="dxa"/>
            <w:vAlign w:val="center"/>
          </w:tcPr>
          <w:p w:rsidR="00BE2EAD" w:rsidRDefault="00243D16">
            <w:pPr>
              <w:jc w:val="center"/>
            </w:pPr>
            <w:proofErr w:type="gramStart"/>
            <w:r>
              <w:rPr>
                <w:color w:val="000000"/>
                <w:sz w:val="24"/>
                <w:szCs w:val="24"/>
              </w:rPr>
              <w:t>沈楠</w:t>
            </w:r>
            <w:proofErr w:type="gramEnd"/>
          </w:p>
        </w:tc>
        <w:tc>
          <w:tcPr>
            <w:tcW w:w="845" w:type="dxa"/>
            <w:vAlign w:val="center"/>
          </w:tcPr>
          <w:p w:rsidR="00BE2EAD" w:rsidRDefault="00243D16">
            <w:pPr>
              <w:jc w:val="center"/>
            </w:pPr>
            <w:r>
              <w:rPr>
                <w:color w:val="000000"/>
                <w:sz w:val="24"/>
                <w:szCs w:val="24"/>
              </w:rPr>
              <w:t>交</w:t>
            </w:r>
            <w:proofErr w:type="gramStart"/>
            <w:r>
              <w:rPr>
                <w:color w:val="000000"/>
                <w:sz w:val="24"/>
                <w:szCs w:val="24"/>
              </w:rPr>
              <w:t>银主题</w:t>
            </w:r>
            <w:proofErr w:type="gramEnd"/>
            <w:r>
              <w:rPr>
                <w:color w:val="000000"/>
                <w:sz w:val="24"/>
                <w:szCs w:val="24"/>
              </w:rPr>
              <w:t>优选混合、交银国企改革灵活配置</w:t>
            </w:r>
            <w:r>
              <w:rPr>
                <w:color w:val="000000"/>
                <w:sz w:val="24"/>
                <w:szCs w:val="24"/>
              </w:rPr>
              <w:lastRenderedPageBreak/>
              <w:t>混合的基金经理</w:t>
            </w:r>
          </w:p>
        </w:tc>
        <w:tc>
          <w:tcPr>
            <w:tcW w:w="1549" w:type="dxa"/>
            <w:vAlign w:val="center"/>
          </w:tcPr>
          <w:p w:rsidR="00BE2EAD" w:rsidRDefault="00243D16">
            <w:pPr>
              <w:jc w:val="center"/>
            </w:pPr>
            <w:r>
              <w:rPr>
                <w:color w:val="000000"/>
                <w:sz w:val="24"/>
                <w:szCs w:val="24"/>
              </w:rPr>
              <w:lastRenderedPageBreak/>
              <w:t>2015-05-05</w:t>
            </w:r>
          </w:p>
        </w:tc>
        <w:tc>
          <w:tcPr>
            <w:tcW w:w="1548" w:type="dxa"/>
            <w:vAlign w:val="center"/>
          </w:tcPr>
          <w:p w:rsidR="00BE2EAD" w:rsidRDefault="00243D16">
            <w:pPr>
              <w:jc w:val="center"/>
            </w:pPr>
            <w:r>
              <w:rPr>
                <w:color w:val="000000"/>
                <w:sz w:val="24"/>
                <w:szCs w:val="24"/>
              </w:rPr>
              <w:t>-</w:t>
            </w:r>
          </w:p>
        </w:tc>
        <w:tc>
          <w:tcPr>
            <w:tcW w:w="1407" w:type="dxa"/>
            <w:vAlign w:val="center"/>
          </w:tcPr>
          <w:p w:rsidR="00BE2EAD" w:rsidRDefault="00243D16">
            <w:pPr>
              <w:jc w:val="center"/>
            </w:pPr>
            <w:r>
              <w:rPr>
                <w:color w:val="000000"/>
                <w:sz w:val="24"/>
                <w:szCs w:val="24"/>
              </w:rPr>
              <w:t>9</w:t>
            </w:r>
            <w:r>
              <w:rPr>
                <w:color w:val="000000"/>
                <w:sz w:val="24"/>
                <w:szCs w:val="24"/>
              </w:rPr>
              <w:t>年</w:t>
            </w:r>
          </w:p>
        </w:tc>
        <w:tc>
          <w:tcPr>
            <w:tcW w:w="2673" w:type="dxa"/>
            <w:vAlign w:val="center"/>
          </w:tcPr>
          <w:p w:rsidR="00BE2EAD" w:rsidRDefault="00243D16">
            <w:r>
              <w:rPr>
                <w:color w:val="000000"/>
                <w:sz w:val="24"/>
                <w:szCs w:val="24"/>
              </w:rPr>
              <w:t>沈楠先生，复旦大学硕士。历任长江证券高级分析师，</w:t>
            </w:r>
            <w:r>
              <w:rPr>
                <w:color w:val="000000"/>
                <w:sz w:val="24"/>
                <w:szCs w:val="24"/>
              </w:rPr>
              <w:t>2011</w:t>
            </w:r>
            <w:r>
              <w:rPr>
                <w:color w:val="000000"/>
                <w:sz w:val="24"/>
                <w:szCs w:val="24"/>
              </w:rPr>
              <w:t>年加入交银施罗德基金管理有限公司，历任行业分析师、基金经理助理。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BE2EAD" w:rsidRDefault="00243D16">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BE2EAD" w:rsidRDefault="00243D16">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BE2EAD" w:rsidRDefault="00243D16">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BE2EAD" w:rsidRDefault="00243D16">
      <w:pPr>
        <w:spacing w:before="29" w:line="288" w:lineRule="auto"/>
        <w:ind w:firstLineChars="200" w:firstLine="480"/>
        <w:rPr>
          <w:color w:val="000000"/>
          <w:sz w:val="24"/>
          <w:szCs w:val="24"/>
        </w:rPr>
      </w:pPr>
      <w:r>
        <w:rPr>
          <w:color w:val="000000"/>
          <w:sz w:val="24"/>
          <w:szCs w:val="24"/>
        </w:rPr>
        <w:lastRenderedPageBreak/>
        <w:t>2018</w:t>
      </w:r>
      <w:r>
        <w:rPr>
          <w:color w:val="000000"/>
          <w:sz w:val="24"/>
          <w:szCs w:val="24"/>
        </w:rPr>
        <w:t>年一季度，海外市场出现较大波动，国内经济</w:t>
      </w:r>
      <w:proofErr w:type="gramStart"/>
      <w:r>
        <w:rPr>
          <w:color w:val="000000"/>
          <w:sz w:val="24"/>
          <w:szCs w:val="24"/>
        </w:rPr>
        <w:t>景气改善</w:t>
      </w:r>
      <w:proofErr w:type="gramEnd"/>
      <w:r>
        <w:rPr>
          <w:color w:val="000000"/>
          <w:sz w:val="24"/>
          <w:szCs w:val="24"/>
        </w:rPr>
        <w:t>延续，但市场对未来半年的经济下滑略有担心。我们认为</w:t>
      </w:r>
      <w:r>
        <w:rPr>
          <w:color w:val="000000"/>
          <w:sz w:val="24"/>
          <w:szCs w:val="24"/>
        </w:rPr>
        <w:t>2018</w:t>
      </w:r>
      <w:r>
        <w:rPr>
          <w:color w:val="000000"/>
          <w:sz w:val="24"/>
          <w:szCs w:val="24"/>
        </w:rPr>
        <w:t>年经济仍呈现温和通胀局面，国内利率水平难以持续下行，因此</w:t>
      </w:r>
      <w:r>
        <w:rPr>
          <w:color w:val="000000"/>
          <w:sz w:val="24"/>
          <w:szCs w:val="24"/>
        </w:rPr>
        <w:t>A</w:t>
      </w:r>
      <w:r>
        <w:rPr>
          <w:color w:val="000000"/>
          <w:sz w:val="24"/>
          <w:szCs w:val="24"/>
        </w:rPr>
        <w:t>股市场将以结构性机会为主。白马蓝筹股由于部分业绩因素、相对估值因素、以及资金博弈的考虑，今年将以业绩增长消化估值为主。我们认为全年市场将更趋均衡。目前政策大力支持战略新兴产业发展，投资机会将聚焦在成长类板块，但同时板块内会呈现进一步的分化行情。</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报告期内，本基金增持了业绩增速与估值更为匹配的成长性行业，包括高端制造、医药、计算机、</w:t>
      </w:r>
      <w:r w:rsidRPr="00414345">
        <w:rPr>
          <w:color w:val="000000"/>
          <w:sz w:val="24"/>
          <w:szCs w:val="24"/>
        </w:rPr>
        <w:t>5G</w:t>
      </w:r>
      <w:r w:rsidRPr="00414345">
        <w:rPr>
          <w:color w:val="000000"/>
          <w:sz w:val="24"/>
          <w:szCs w:val="24"/>
        </w:rPr>
        <w:t>、环保、军工等领域，以及估值调整充分的银行业。展望</w:t>
      </w:r>
      <w:r w:rsidRPr="00414345">
        <w:rPr>
          <w:color w:val="000000"/>
          <w:sz w:val="24"/>
          <w:szCs w:val="24"/>
        </w:rPr>
        <w:t>2018</w:t>
      </w:r>
      <w:r w:rsidRPr="00414345">
        <w:rPr>
          <w:color w:val="000000"/>
          <w:sz w:val="24"/>
          <w:szCs w:val="24"/>
        </w:rPr>
        <w:t>年，我们认为投资机会仍将主要集中于此类行业，但可能更为扩散。盈利慢牛或将持续，市场估值洼地有望继续修复，并扩散到二三线标的。总体来看，尽管海外市场存在一定风险，我们对</w:t>
      </w:r>
      <w:r w:rsidRPr="00414345">
        <w:rPr>
          <w:color w:val="000000"/>
          <w:sz w:val="24"/>
          <w:szCs w:val="24"/>
        </w:rPr>
        <w:t>2018</w:t>
      </w:r>
      <w:r w:rsidRPr="00414345">
        <w:rPr>
          <w:color w:val="000000"/>
          <w:sz w:val="24"/>
          <w:szCs w:val="24"/>
        </w:rPr>
        <w:t>年</w:t>
      </w:r>
      <w:r w:rsidRPr="00414345">
        <w:rPr>
          <w:color w:val="000000"/>
          <w:sz w:val="24"/>
          <w:szCs w:val="24"/>
        </w:rPr>
        <w:t>A</w:t>
      </w:r>
      <w:r w:rsidRPr="00414345">
        <w:rPr>
          <w:color w:val="000000"/>
          <w:sz w:val="24"/>
          <w:szCs w:val="24"/>
        </w:rPr>
        <w:t>股市场仍保持乐观，未来将加大稳定细分行业拥有较强竞争壁垒的个股配置，关注航空、医药等可选消费，工程机械、新能源汽车、</w:t>
      </w:r>
      <w:r w:rsidRPr="00414345">
        <w:rPr>
          <w:color w:val="000000"/>
          <w:sz w:val="24"/>
          <w:szCs w:val="24"/>
        </w:rPr>
        <w:t>5G</w:t>
      </w:r>
      <w:r w:rsidRPr="00414345">
        <w:rPr>
          <w:color w:val="000000"/>
          <w:sz w:val="24"/>
          <w:szCs w:val="24"/>
        </w:rPr>
        <w:t>、半导体产业链等制造升级领域。</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9C5186" w:rsidRDefault="006E15C0" w:rsidP="00C15CAC">
      <w:pPr>
        <w:spacing w:before="29" w:line="288" w:lineRule="auto"/>
        <w:ind w:firstLineChars="200" w:firstLine="480"/>
        <w:rPr>
          <w:color w:val="000000"/>
          <w:sz w:val="24"/>
          <w:szCs w:val="24"/>
        </w:rPr>
      </w:pPr>
      <w:r w:rsidRPr="006E15C0">
        <w:rPr>
          <w:rFonts w:hint="eastAsia"/>
          <w:color w:val="000000"/>
          <w:sz w:val="24"/>
          <w:szCs w:val="24"/>
        </w:rPr>
        <w:t>截至</w:t>
      </w:r>
      <w:r w:rsidRPr="006E15C0">
        <w:rPr>
          <w:rFonts w:hint="eastAsia"/>
          <w:color w:val="000000"/>
          <w:sz w:val="24"/>
          <w:szCs w:val="24"/>
        </w:rPr>
        <w:t>2018</w:t>
      </w:r>
      <w:r w:rsidRPr="006E15C0">
        <w:rPr>
          <w:rFonts w:hint="eastAsia"/>
          <w:color w:val="000000"/>
          <w:sz w:val="24"/>
          <w:szCs w:val="24"/>
        </w:rPr>
        <w:t>年</w:t>
      </w:r>
      <w:r w:rsidRPr="006E15C0">
        <w:rPr>
          <w:rFonts w:hint="eastAsia"/>
          <w:color w:val="000000"/>
          <w:sz w:val="24"/>
          <w:szCs w:val="24"/>
        </w:rPr>
        <w:t>3</w:t>
      </w:r>
      <w:r w:rsidRPr="006E15C0">
        <w:rPr>
          <w:rFonts w:hint="eastAsia"/>
          <w:color w:val="000000"/>
          <w:sz w:val="24"/>
          <w:szCs w:val="24"/>
        </w:rPr>
        <w:t>月</w:t>
      </w:r>
      <w:r w:rsidRPr="006E15C0">
        <w:rPr>
          <w:rFonts w:hint="eastAsia"/>
          <w:color w:val="000000"/>
          <w:sz w:val="24"/>
          <w:szCs w:val="24"/>
        </w:rPr>
        <w:t>31</w:t>
      </w:r>
      <w:r w:rsidRPr="006E15C0">
        <w:rPr>
          <w:rFonts w:hint="eastAsia"/>
          <w:color w:val="000000"/>
          <w:sz w:val="24"/>
          <w:szCs w:val="24"/>
        </w:rPr>
        <w:t>日，本基金份额净值为</w:t>
      </w:r>
      <w:r w:rsidRPr="006E15C0">
        <w:rPr>
          <w:rFonts w:hint="eastAsia"/>
          <w:color w:val="000000"/>
          <w:sz w:val="24"/>
          <w:szCs w:val="24"/>
        </w:rPr>
        <w:t>1.199</w:t>
      </w:r>
      <w:r w:rsidRPr="006E15C0">
        <w:rPr>
          <w:rFonts w:hint="eastAsia"/>
          <w:color w:val="000000"/>
          <w:sz w:val="24"/>
          <w:szCs w:val="24"/>
        </w:rPr>
        <w:t>元，本报告期份额净值增长率为</w:t>
      </w:r>
      <w:r w:rsidRPr="006E15C0">
        <w:rPr>
          <w:rFonts w:hint="eastAsia"/>
          <w:color w:val="000000"/>
          <w:sz w:val="24"/>
          <w:szCs w:val="24"/>
        </w:rPr>
        <w:t>6.01%</w:t>
      </w:r>
      <w:r w:rsidRPr="006E15C0">
        <w:rPr>
          <w:rFonts w:hint="eastAsia"/>
          <w:color w:val="000000"/>
          <w:sz w:val="24"/>
          <w:szCs w:val="24"/>
        </w:rPr>
        <w:t>，同期业绩比较基准增长率为</w:t>
      </w:r>
      <w:r w:rsidRPr="006E15C0">
        <w:rPr>
          <w:rFonts w:hint="eastAsia"/>
          <w:color w:val="000000"/>
          <w:sz w:val="24"/>
          <w:szCs w:val="24"/>
        </w:rPr>
        <w:t>-1.09%</w:t>
      </w:r>
      <w:r w:rsidRPr="006E15C0">
        <w:rPr>
          <w:rFonts w:hint="eastAsia"/>
          <w:color w:val="000000"/>
          <w:sz w:val="24"/>
          <w:szCs w:val="24"/>
        </w:rPr>
        <w:t>。</w:t>
      </w:r>
    </w:p>
    <w:p w:rsidR="006E15C0" w:rsidRPr="006E15C0" w:rsidRDefault="006E15C0"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Pr="007B5F21"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824"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r w:rsidRPr="007B5F21">
              <w:rPr>
                <w:rFonts w:eastAsiaTheme="minorEastAsia"/>
                <w:color w:val="000000" w:themeColor="text1"/>
                <w:sz w:val="24"/>
                <w:szCs w:val="24"/>
              </w:rPr>
              <w:t>(</w:t>
            </w:r>
            <w:r w:rsidRPr="007B5F21">
              <w:rPr>
                <w:rFonts w:eastAsiaTheme="minorEastAsia"/>
                <w:color w:val="000000" w:themeColor="text1"/>
                <w:sz w:val="24"/>
                <w:szCs w:val="24"/>
              </w:rPr>
              <w:t>元</w:t>
            </w: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378,195,442.78</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77.48</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378,195,442.78</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77.48</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49,006,868.27</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10.04</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49,006,868.27</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10.04</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824"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w:t>
            </w:r>
            <w:proofErr w:type="gramStart"/>
            <w:r w:rsidRPr="007B5F21">
              <w:rPr>
                <w:rFonts w:eastAsiaTheme="minorEastAsia"/>
                <w:color w:val="000000" w:themeColor="text1"/>
                <w:sz w:val="24"/>
                <w:szCs w:val="24"/>
              </w:rPr>
              <w:t>品投资</w:t>
            </w:r>
            <w:proofErr w:type="gramEnd"/>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lastRenderedPageBreak/>
              <w:t>6</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54,275,675.46</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11.12</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6,620,796.58</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1.36</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488,098,783.09</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174,018,671.11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35.89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7,728,069.00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1.59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35,361,661.48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7.29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41,025,804.32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8.46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44,055,443.21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9.09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30,824,381.21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6.36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19,796,225.69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4.08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1,475,183.16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0.30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4,937,820.00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5,163,483.60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lastRenderedPageBreak/>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13,808,700.00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2.85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378,195,442.78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77.99</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BE2EAD">
        <w:trPr>
          <w:jc w:val="center"/>
        </w:trPr>
        <w:tc>
          <w:tcPr>
            <w:tcW w:w="855" w:type="dxa"/>
            <w:vAlign w:val="center"/>
          </w:tcPr>
          <w:p w:rsidR="00BE2EAD" w:rsidRDefault="00243D16">
            <w:pPr>
              <w:jc w:val="center"/>
            </w:pPr>
            <w:r>
              <w:rPr>
                <w:color w:val="000000"/>
                <w:sz w:val="24"/>
                <w:szCs w:val="24"/>
              </w:rPr>
              <w:t>1</w:t>
            </w:r>
          </w:p>
        </w:tc>
        <w:tc>
          <w:tcPr>
            <w:tcW w:w="1334" w:type="dxa"/>
            <w:vAlign w:val="center"/>
          </w:tcPr>
          <w:p w:rsidR="00BE2EAD" w:rsidRDefault="00243D16">
            <w:pPr>
              <w:jc w:val="center"/>
            </w:pPr>
            <w:r>
              <w:rPr>
                <w:color w:val="000000"/>
                <w:sz w:val="24"/>
                <w:szCs w:val="24"/>
              </w:rPr>
              <w:t>601100</w:t>
            </w:r>
          </w:p>
        </w:tc>
        <w:tc>
          <w:tcPr>
            <w:tcW w:w="1777" w:type="dxa"/>
            <w:vAlign w:val="center"/>
          </w:tcPr>
          <w:p w:rsidR="00BE2EAD" w:rsidRDefault="00243D16">
            <w:pPr>
              <w:jc w:val="center"/>
            </w:pPr>
            <w:r>
              <w:rPr>
                <w:color w:val="000000"/>
                <w:sz w:val="24"/>
                <w:szCs w:val="24"/>
              </w:rPr>
              <w:t>恒立液压</w:t>
            </w:r>
          </w:p>
        </w:tc>
        <w:tc>
          <w:tcPr>
            <w:tcW w:w="1334" w:type="dxa"/>
            <w:vAlign w:val="center"/>
          </w:tcPr>
          <w:p w:rsidR="00BE2EAD" w:rsidRDefault="00243D16">
            <w:pPr>
              <w:jc w:val="right"/>
            </w:pPr>
            <w:r>
              <w:rPr>
                <w:color w:val="000000"/>
                <w:sz w:val="24"/>
                <w:szCs w:val="24"/>
              </w:rPr>
              <w:t>1,071,843</w:t>
            </w:r>
          </w:p>
        </w:tc>
        <w:tc>
          <w:tcPr>
            <w:tcW w:w="1924" w:type="dxa"/>
            <w:vAlign w:val="center"/>
          </w:tcPr>
          <w:p w:rsidR="00BE2EAD" w:rsidRDefault="00243D16">
            <w:pPr>
              <w:jc w:val="right"/>
            </w:pPr>
            <w:r>
              <w:rPr>
                <w:color w:val="000000"/>
                <w:sz w:val="24"/>
                <w:szCs w:val="24"/>
              </w:rPr>
              <w:t>32,659,056.21</w:t>
            </w:r>
          </w:p>
        </w:tc>
        <w:tc>
          <w:tcPr>
            <w:tcW w:w="1644" w:type="dxa"/>
            <w:vAlign w:val="center"/>
          </w:tcPr>
          <w:p w:rsidR="00BE2EAD" w:rsidRDefault="00243D16">
            <w:pPr>
              <w:jc w:val="right"/>
            </w:pPr>
            <w:r>
              <w:rPr>
                <w:color w:val="000000"/>
                <w:sz w:val="24"/>
                <w:szCs w:val="24"/>
              </w:rPr>
              <w:t>6.74</w:t>
            </w:r>
          </w:p>
        </w:tc>
      </w:tr>
      <w:tr w:rsidR="00BE2EAD">
        <w:trPr>
          <w:jc w:val="center"/>
        </w:trPr>
        <w:tc>
          <w:tcPr>
            <w:tcW w:w="855" w:type="dxa"/>
            <w:vAlign w:val="center"/>
          </w:tcPr>
          <w:p w:rsidR="00BE2EAD" w:rsidRDefault="00243D16">
            <w:pPr>
              <w:jc w:val="center"/>
            </w:pPr>
            <w:r>
              <w:rPr>
                <w:color w:val="000000"/>
                <w:sz w:val="24"/>
                <w:szCs w:val="24"/>
              </w:rPr>
              <w:t>2</w:t>
            </w:r>
          </w:p>
        </w:tc>
        <w:tc>
          <w:tcPr>
            <w:tcW w:w="1334" w:type="dxa"/>
            <w:vAlign w:val="center"/>
          </w:tcPr>
          <w:p w:rsidR="00BE2EAD" w:rsidRDefault="00243D16">
            <w:pPr>
              <w:jc w:val="center"/>
            </w:pPr>
            <w:r>
              <w:rPr>
                <w:color w:val="000000"/>
                <w:sz w:val="24"/>
                <w:szCs w:val="24"/>
              </w:rPr>
              <w:t>600029</w:t>
            </w:r>
          </w:p>
        </w:tc>
        <w:tc>
          <w:tcPr>
            <w:tcW w:w="1777" w:type="dxa"/>
            <w:vAlign w:val="center"/>
          </w:tcPr>
          <w:p w:rsidR="00BE2EAD" w:rsidRDefault="00243D16">
            <w:pPr>
              <w:jc w:val="center"/>
            </w:pPr>
            <w:r>
              <w:rPr>
                <w:color w:val="000000"/>
                <w:sz w:val="24"/>
                <w:szCs w:val="24"/>
              </w:rPr>
              <w:t>南方航空</w:t>
            </w:r>
          </w:p>
        </w:tc>
        <w:tc>
          <w:tcPr>
            <w:tcW w:w="1334" w:type="dxa"/>
            <w:vAlign w:val="center"/>
          </w:tcPr>
          <w:p w:rsidR="00BE2EAD" w:rsidRDefault="00243D16">
            <w:pPr>
              <w:jc w:val="right"/>
            </w:pPr>
            <w:r>
              <w:rPr>
                <w:color w:val="000000"/>
                <w:sz w:val="24"/>
                <w:szCs w:val="24"/>
              </w:rPr>
              <w:t>1,965,955</w:t>
            </w:r>
          </w:p>
        </w:tc>
        <w:tc>
          <w:tcPr>
            <w:tcW w:w="1924" w:type="dxa"/>
            <w:vAlign w:val="center"/>
          </w:tcPr>
          <w:p w:rsidR="00BE2EAD" w:rsidRDefault="00243D16">
            <w:pPr>
              <w:jc w:val="right"/>
            </w:pPr>
            <w:r>
              <w:rPr>
                <w:color w:val="000000"/>
                <w:sz w:val="24"/>
                <w:szCs w:val="24"/>
              </w:rPr>
              <w:t>20,465,591.55</w:t>
            </w:r>
          </w:p>
        </w:tc>
        <w:tc>
          <w:tcPr>
            <w:tcW w:w="1644" w:type="dxa"/>
            <w:vAlign w:val="center"/>
          </w:tcPr>
          <w:p w:rsidR="00BE2EAD" w:rsidRDefault="00243D16">
            <w:pPr>
              <w:jc w:val="right"/>
            </w:pPr>
            <w:r>
              <w:rPr>
                <w:color w:val="000000"/>
                <w:sz w:val="24"/>
                <w:szCs w:val="24"/>
              </w:rPr>
              <w:t>4.22</w:t>
            </w:r>
          </w:p>
        </w:tc>
      </w:tr>
      <w:tr w:rsidR="00BE2EAD">
        <w:trPr>
          <w:jc w:val="center"/>
        </w:trPr>
        <w:tc>
          <w:tcPr>
            <w:tcW w:w="855" w:type="dxa"/>
            <w:vAlign w:val="center"/>
          </w:tcPr>
          <w:p w:rsidR="00BE2EAD" w:rsidRDefault="00243D16">
            <w:pPr>
              <w:jc w:val="center"/>
            </w:pPr>
            <w:r>
              <w:rPr>
                <w:color w:val="000000"/>
                <w:sz w:val="24"/>
                <w:szCs w:val="24"/>
              </w:rPr>
              <w:t>3</w:t>
            </w:r>
          </w:p>
        </w:tc>
        <w:tc>
          <w:tcPr>
            <w:tcW w:w="1334" w:type="dxa"/>
            <w:vAlign w:val="center"/>
          </w:tcPr>
          <w:p w:rsidR="00BE2EAD" w:rsidRDefault="00243D16">
            <w:pPr>
              <w:jc w:val="center"/>
            </w:pPr>
            <w:r>
              <w:rPr>
                <w:color w:val="000000"/>
                <w:sz w:val="24"/>
                <w:szCs w:val="24"/>
              </w:rPr>
              <w:t>601111</w:t>
            </w:r>
          </w:p>
        </w:tc>
        <w:tc>
          <w:tcPr>
            <w:tcW w:w="1777" w:type="dxa"/>
            <w:vAlign w:val="center"/>
          </w:tcPr>
          <w:p w:rsidR="00BE2EAD" w:rsidRDefault="00243D16">
            <w:pPr>
              <w:jc w:val="center"/>
            </w:pPr>
            <w:r>
              <w:rPr>
                <w:color w:val="000000"/>
                <w:sz w:val="24"/>
                <w:szCs w:val="24"/>
              </w:rPr>
              <w:t>中国国航</w:t>
            </w:r>
          </w:p>
        </w:tc>
        <w:tc>
          <w:tcPr>
            <w:tcW w:w="1334" w:type="dxa"/>
            <w:vAlign w:val="center"/>
          </w:tcPr>
          <w:p w:rsidR="00BE2EAD" w:rsidRDefault="00243D16">
            <w:pPr>
              <w:jc w:val="right"/>
            </w:pPr>
            <w:r>
              <w:rPr>
                <w:color w:val="000000"/>
                <w:sz w:val="24"/>
                <w:szCs w:val="24"/>
              </w:rPr>
              <w:t>1,405,899</w:t>
            </w:r>
          </w:p>
        </w:tc>
        <w:tc>
          <w:tcPr>
            <w:tcW w:w="1924" w:type="dxa"/>
            <w:vAlign w:val="center"/>
          </w:tcPr>
          <w:p w:rsidR="00BE2EAD" w:rsidRDefault="00243D16">
            <w:pPr>
              <w:jc w:val="right"/>
            </w:pPr>
            <w:r>
              <w:rPr>
                <w:color w:val="000000"/>
                <w:sz w:val="24"/>
                <w:szCs w:val="24"/>
              </w:rPr>
              <w:t>16,659,903.15</w:t>
            </w:r>
          </w:p>
        </w:tc>
        <w:tc>
          <w:tcPr>
            <w:tcW w:w="1644" w:type="dxa"/>
            <w:vAlign w:val="center"/>
          </w:tcPr>
          <w:p w:rsidR="00BE2EAD" w:rsidRDefault="00243D16">
            <w:pPr>
              <w:jc w:val="right"/>
            </w:pPr>
            <w:r>
              <w:rPr>
                <w:color w:val="000000"/>
                <w:sz w:val="24"/>
                <w:szCs w:val="24"/>
              </w:rPr>
              <w:t>3.44</w:t>
            </w:r>
          </w:p>
        </w:tc>
      </w:tr>
      <w:tr w:rsidR="00BE2EAD">
        <w:trPr>
          <w:jc w:val="center"/>
        </w:trPr>
        <w:tc>
          <w:tcPr>
            <w:tcW w:w="855" w:type="dxa"/>
            <w:vAlign w:val="center"/>
          </w:tcPr>
          <w:p w:rsidR="00BE2EAD" w:rsidRDefault="00243D16">
            <w:pPr>
              <w:jc w:val="center"/>
            </w:pPr>
            <w:r>
              <w:rPr>
                <w:color w:val="000000"/>
                <w:sz w:val="24"/>
                <w:szCs w:val="24"/>
              </w:rPr>
              <w:t>4</w:t>
            </w:r>
          </w:p>
        </w:tc>
        <w:tc>
          <w:tcPr>
            <w:tcW w:w="1334" w:type="dxa"/>
            <w:vAlign w:val="center"/>
          </w:tcPr>
          <w:p w:rsidR="00BE2EAD" w:rsidRDefault="00243D16">
            <w:pPr>
              <w:jc w:val="center"/>
            </w:pPr>
            <w:r>
              <w:rPr>
                <w:color w:val="000000"/>
                <w:sz w:val="24"/>
                <w:szCs w:val="24"/>
              </w:rPr>
              <w:t>300145</w:t>
            </w:r>
          </w:p>
        </w:tc>
        <w:tc>
          <w:tcPr>
            <w:tcW w:w="1777" w:type="dxa"/>
            <w:vAlign w:val="center"/>
          </w:tcPr>
          <w:p w:rsidR="00BE2EAD" w:rsidRDefault="00243D16">
            <w:pPr>
              <w:jc w:val="center"/>
            </w:pPr>
            <w:r>
              <w:rPr>
                <w:color w:val="000000"/>
                <w:sz w:val="24"/>
                <w:szCs w:val="24"/>
              </w:rPr>
              <w:t>中</w:t>
            </w:r>
            <w:proofErr w:type="gramStart"/>
            <w:r>
              <w:rPr>
                <w:color w:val="000000"/>
                <w:sz w:val="24"/>
                <w:szCs w:val="24"/>
              </w:rPr>
              <w:t>金环境</w:t>
            </w:r>
            <w:proofErr w:type="gramEnd"/>
          </w:p>
        </w:tc>
        <w:tc>
          <w:tcPr>
            <w:tcW w:w="1334" w:type="dxa"/>
            <w:vAlign w:val="center"/>
          </w:tcPr>
          <w:p w:rsidR="00BE2EAD" w:rsidRDefault="00243D16">
            <w:pPr>
              <w:jc w:val="right"/>
            </w:pPr>
            <w:r>
              <w:rPr>
                <w:color w:val="000000"/>
                <w:sz w:val="24"/>
                <w:szCs w:val="24"/>
              </w:rPr>
              <w:t>1,268,975</w:t>
            </w:r>
          </w:p>
        </w:tc>
        <w:tc>
          <w:tcPr>
            <w:tcW w:w="1924" w:type="dxa"/>
            <w:vAlign w:val="center"/>
          </w:tcPr>
          <w:p w:rsidR="00BE2EAD" w:rsidRDefault="00243D16">
            <w:pPr>
              <w:jc w:val="right"/>
            </w:pPr>
            <w:r>
              <w:rPr>
                <w:color w:val="000000"/>
                <w:sz w:val="24"/>
                <w:szCs w:val="24"/>
              </w:rPr>
              <w:t>15,075,423.00</w:t>
            </w:r>
          </w:p>
        </w:tc>
        <w:tc>
          <w:tcPr>
            <w:tcW w:w="1644" w:type="dxa"/>
            <w:vAlign w:val="center"/>
          </w:tcPr>
          <w:p w:rsidR="00BE2EAD" w:rsidRDefault="00243D16">
            <w:pPr>
              <w:jc w:val="right"/>
            </w:pPr>
            <w:r>
              <w:rPr>
                <w:color w:val="000000"/>
                <w:sz w:val="24"/>
                <w:szCs w:val="24"/>
              </w:rPr>
              <w:t>3.11</w:t>
            </w:r>
          </w:p>
        </w:tc>
      </w:tr>
      <w:tr w:rsidR="00BE2EAD">
        <w:trPr>
          <w:jc w:val="center"/>
        </w:trPr>
        <w:tc>
          <w:tcPr>
            <w:tcW w:w="855" w:type="dxa"/>
            <w:vAlign w:val="center"/>
          </w:tcPr>
          <w:p w:rsidR="00BE2EAD" w:rsidRDefault="00243D16">
            <w:pPr>
              <w:jc w:val="center"/>
            </w:pPr>
            <w:r>
              <w:rPr>
                <w:color w:val="000000"/>
                <w:sz w:val="24"/>
                <w:szCs w:val="24"/>
              </w:rPr>
              <w:t>5</w:t>
            </w:r>
          </w:p>
        </w:tc>
        <w:tc>
          <w:tcPr>
            <w:tcW w:w="1334" w:type="dxa"/>
            <w:vAlign w:val="center"/>
          </w:tcPr>
          <w:p w:rsidR="00BE2EAD" w:rsidRDefault="00243D16">
            <w:pPr>
              <w:jc w:val="center"/>
            </w:pPr>
            <w:r>
              <w:rPr>
                <w:color w:val="000000"/>
                <w:sz w:val="24"/>
                <w:szCs w:val="24"/>
              </w:rPr>
              <w:t>603638</w:t>
            </w:r>
          </w:p>
        </w:tc>
        <w:tc>
          <w:tcPr>
            <w:tcW w:w="1777" w:type="dxa"/>
            <w:vAlign w:val="center"/>
          </w:tcPr>
          <w:p w:rsidR="00BE2EAD" w:rsidRDefault="00243D16">
            <w:pPr>
              <w:jc w:val="center"/>
            </w:pPr>
            <w:r>
              <w:rPr>
                <w:color w:val="000000"/>
                <w:sz w:val="24"/>
                <w:szCs w:val="24"/>
              </w:rPr>
              <w:t>艾迪精密</w:t>
            </w:r>
          </w:p>
        </w:tc>
        <w:tc>
          <w:tcPr>
            <w:tcW w:w="1334" w:type="dxa"/>
            <w:vAlign w:val="center"/>
          </w:tcPr>
          <w:p w:rsidR="00BE2EAD" w:rsidRDefault="00243D16">
            <w:pPr>
              <w:jc w:val="right"/>
            </w:pPr>
            <w:r>
              <w:rPr>
                <w:color w:val="000000"/>
                <w:sz w:val="24"/>
                <w:szCs w:val="24"/>
              </w:rPr>
              <w:t>407,327</w:t>
            </w:r>
          </w:p>
        </w:tc>
        <w:tc>
          <w:tcPr>
            <w:tcW w:w="1924" w:type="dxa"/>
            <w:vAlign w:val="center"/>
          </w:tcPr>
          <w:p w:rsidR="00BE2EAD" w:rsidRDefault="00243D16">
            <w:pPr>
              <w:jc w:val="right"/>
            </w:pPr>
            <w:r>
              <w:rPr>
                <w:color w:val="000000"/>
                <w:sz w:val="24"/>
                <w:szCs w:val="24"/>
              </w:rPr>
              <w:t>14,166,833.06</w:t>
            </w:r>
          </w:p>
        </w:tc>
        <w:tc>
          <w:tcPr>
            <w:tcW w:w="1644" w:type="dxa"/>
            <w:vAlign w:val="center"/>
          </w:tcPr>
          <w:p w:rsidR="00BE2EAD" w:rsidRDefault="00243D16">
            <w:pPr>
              <w:jc w:val="right"/>
            </w:pPr>
            <w:r>
              <w:rPr>
                <w:color w:val="000000"/>
                <w:sz w:val="24"/>
                <w:szCs w:val="24"/>
              </w:rPr>
              <w:t>2.92</w:t>
            </w:r>
          </w:p>
        </w:tc>
      </w:tr>
      <w:tr w:rsidR="00BE2EAD">
        <w:trPr>
          <w:jc w:val="center"/>
        </w:trPr>
        <w:tc>
          <w:tcPr>
            <w:tcW w:w="855" w:type="dxa"/>
            <w:vAlign w:val="center"/>
          </w:tcPr>
          <w:p w:rsidR="00BE2EAD" w:rsidRDefault="00243D16">
            <w:pPr>
              <w:jc w:val="center"/>
            </w:pPr>
            <w:r>
              <w:rPr>
                <w:color w:val="000000"/>
                <w:sz w:val="24"/>
                <w:szCs w:val="24"/>
              </w:rPr>
              <w:t>6</w:t>
            </w:r>
          </w:p>
        </w:tc>
        <w:tc>
          <w:tcPr>
            <w:tcW w:w="1334" w:type="dxa"/>
            <w:vAlign w:val="center"/>
          </w:tcPr>
          <w:p w:rsidR="00BE2EAD" w:rsidRDefault="00243D16">
            <w:pPr>
              <w:jc w:val="center"/>
            </w:pPr>
            <w:r>
              <w:rPr>
                <w:color w:val="000000"/>
                <w:sz w:val="24"/>
                <w:szCs w:val="24"/>
              </w:rPr>
              <w:t>002343</w:t>
            </w:r>
          </w:p>
        </w:tc>
        <w:tc>
          <w:tcPr>
            <w:tcW w:w="1777" w:type="dxa"/>
            <w:vAlign w:val="center"/>
          </w:tcPr>
          <w:p w:rsidR="00BE2EAD" w:rsidRDefault="00243D16">
            <w:pPr>
              <w:jc w:val="center"/>
            </w:pPr>
            <w:proofErr w:type="gramStart"/>
            <w:r>
              <w:rPr>
                <w:color w:val="000000"/>
                <w:sz w:val="24"/>
                <w:szCs w:val="24"/>
              </w:rPr>
              <w:t>慈文传媒</w:t>
            </w:r>
            <w:proofErr w:type="gramEnd"/>
          </w:p>
        </w:tc>
        <w:tc>
          <w:tcPr>
            <w:tcW w:w="1334" w:type="dxa"/>
            <w:vAlign w:val="center"/>
          </w:tcPr>
          <w:p w:rsidR="00BE2EAD" w:rsidRDefault="00243D16">
            <w:pPr>
              <w:jc w:val="right"/>
            </w:pPr>
            <w:r>
              <w:rPr>
                <w:color w:val="000000"/>
                <w:sz w:val="24"/>
                <w:szCs w:val="24"/>
              </w:rPr>
              <w:t>335,000</w:t>
            </w:r>
          </w:p>
        </w:tc>
        <w:tc>
          <w:tcPr>
            <w:tcW w:w="1924" w:type="dxa"/>
            <w:vAlign w:val="center"/>
          </w:tcPr>
          <w:p w:rsidR="00BE2EAD" w:rsidRDefault="00243D16">
            <w:pPr>
              <w:jc w:val="right"/>
            </w:pPr>
            <w:r>
              <w:rPr>
                <w:color w:val="000000"/>
                <w:sz w:val="24"/>
                <w:szCs w:val="24"/>
              </w:rPr>
              <w:t>13,808,700.00</w:t>
            </w:r>
          </w:p>
        </w:tc>
        <w:tc>
          <w:tcPr>
            <w:tcW w:w="1644" w:type="dxa"/>
            <w:vAlign w:val="center"/>
          </w:tcPr>
          <w:p w:rsidR="00BE2EAD" w:rsidRDefault="00243D16">
            <w:pPr>
              <w:jc w:val="right"/>
            </w:pPr>
            <w:r>
              <w:rPr>
                <w:color w:val="000000"/>
                <w:sz w:val="24"/>
                <w:szCs w:val="24"/>
              </w:rPr>
              <w:t>2.85</w:t>
            </w:r>
          </w:p>
        </w:tc>
      </w:tr>
      <w:tr w:rsidR="00BE2EAD">
        <w:trPr>
          <w:jc w:val="center"/>
        </w:trPr>
        <w:tc>
          <w:tcPr>
            <w:tcW w:w="855" w:type="dxa"/>
            <w:vAlign w:val="center"/>
          </w:tcPr>
          <w:p w:rsidR="00BE2EAD" w:rsidRDefault="00243D16">
            <w:pPr>
              <w:jc w:val="center"/>
            </w:pPr>
            <w:r>
              <w:rPr>
                <w:color w:val="000000"/>
                <w:sz w:val="24"/>
                <w:szCs w:val="24"/>
              </w:rPr>
              <w:t>7</w:t>
            </w:r>
          </w:p>
        </w:tc>
        <w:tc>
          <w:tcPr>
            <w:tcW w:w="1334" w:type="dxa"/>
            <w:vAlign w:val="center"/>
          </w:tcPr>
          <w:p w:rsidR="00BE2EAD" w:rsidRDefault="00243D16">
            <w:pPr>
              <w:jc w:val="center"/>
            </w:pPr>
            <w:r>
              <w:rPr>
                <w:color w:val="000000"/>
                <w:sz w:val="24"/>
                <w:szCs w:val="24"/>
              </w:rPr>
              <w:t>601009</w:t>
            </w:r>
          </w:p>
        </w:tc>
        <w:tc>
          <w:tcPr>
            <w:tcW w:w="1777" w:type="dxa"/>
            <w:vAlign w:val="center"/>
          </w:tcPr>
          <w:p w:rsidR="00BE2EAD" w:rsidRDefault="00243D16">
            <w:pPr>
              <w:jc w:val="center"/>
            </w:pPr>
            <w:r>
              <w:rPr>
                <w:color w:val="000000"/>
                <w:sz w:val="24"/>
                <w:szCs w:val="24"/>
              </w:rPr>
              <w:t>南京银行</w:t>
            </w:r>
          </w:p>
        </w:tc>
        <w:tc>
          <w:tcPr>
            <w:tcW w:w="1334" w:type="dxa"/>
            <w:vAlign w:val="center"/>
          </w:tcPr>
          <w:p w:rsidR="00BE2EAD" w:rsidRDefault="00243D16">
            <w:pPr>
              <w:jc w:val="right"/>
            </w:pPr>
            <w:r>
              <w:rPr>
                <w:color w:val="000000"/>
                <w:sz w:val="24"/>
                <w:szCs w:val="24"/>
              </w:rPr>
              <w:t>1,647,344</w:t>
            </w:r>
          </w:p>
        </w:tc>
        <w:tc>
          <w:tcPr>
            <w:tcW w:w="1924" w:type="dxa"/>
            <w:vAlign w:val="center"/>
          </w:tcPr>
          <w:p w:rsidR="00BE2EAD" w:rsidRDefault="00243D16">
            <w:pPr>
              <w:jc w:val="right"/>
            </w:pPr>
            <w:r>
              <w:rPr>
                <w:color w:val="000000"/>
                <w:sz w:val="24"/>
                <w:szCs w:val="24"/>
              </w:rPr>
              <w:t>13,458,800.48</w:t>
            </w:r>
          </w:p>
        </w:tc>
        <w:tc>
          <w:tcPr>
            <w:tcW w:w="1644" w:type="dxa"/>
            <w:vAlign w:val="center"/>
          </w:tcPr>
          <w:p w:rsidR="00BE2EAD" w:rsidRDefault="00243D16">
            <w:pPr>
              <w:jc w:val="right"/>
            </w:pPr>
            <w:r>
              <w:rPr>
                <w:color w:val="000000"/>
                <w:sz w:val="24"/>
                <w:szCs w:val="24"/>
              </w:rPr>
              <w:t>2.78</w:t>
            </w:r>
          </w:p>
        </w:tc>
      </w:tr>
      <w:tr w:rsidR="00BE2EAD">
        <w:trPr>
          <w:jc w:val="center"/>
        </w:trPr>
        <w:tc>
          <w:tcPr>
            <w:tcW w:w="855" w:type="dxa"/>
            <w:vAlign w:val="center"/>
          </w:tcPr>
          <w:p w:rsidR="00BE2EAD" w:rsidRDefault="00243D16">
            <w:pPr>
              <w:jc w:val="center"/>
            </w:pPr>
            <w:r>
              <w:rPr>
                <w:color w:val="000000"/>
                <w:sz w:val="24"/>
                <w:szCs w:val="24"/>
              </w:rPr>
              <w:t>8</w:t>
            </w:r>
          </w:p>
        </w:tc>
        <w:tc>
          <w:tcPr>
            <w:tcW w:w="1334" w:type="dxa"/>
            <w:vAlign w:val="center"/>
          </w:tcPr>
          <w:p w:rsidR="00BE2EAD" w:rsidRDefault="00243D16">
            <w:pPr>
              <w:jc w:val="center"/>
            </w:pPr>
            <w:r>
              <w:rPr>
                <w:color w:val="000000"/>
                <w:sz w:val="24"/>
                <w:szCs w:val="24"/>
              </w:rPr>
              <w:t>603368</w:t>
            </w:r>
          </w:p>
        </w:tc>
        <w:tc>
          <w:tcPr>
            <w:tcW w:w="1777" w:type="dxa"/>
            <w:vAlign w:val="center"/>
          </w:tcPr>
          <w:p w:rsidR="00BE2EAD" w:rsidRDefault="00243D16">
            <w:pPr>
              <w:jc w:val="center"/>
            </w:pPr>
            <w:r>
              <w:rPr>
                <w:color w:val="000000"/>
                <w:sz w:val="24"/>
                <w:szCs w:val="24"/>
              </w:rPr>
              <w:t>柳州医药</w:t>
            </w:r>
          </w:p>
        </w:tc>
        <w:tc>
          <w:tcPr>
            <w:tcW w:w="1334" w:type="dxa"/>
            <w:vAlign w:val="center"/>
          </w:tcPr>
          <w:p w:rsidR="00BE2EAD" w:rsidRDefault="00243D16">
            <w:pPr>
              <w:jc w:val="right"/>
            </w:pPr>
            <w:r>
              <w:rPr>
                <w:color w:val="000000"/>
                <w:sz w:val="24"/>
                <w:szCs w:val="24"/>
              </w:rPr>
              <w:t>249,920</w:t>
            </w:r>
          </w:p>
        </w:tc>
        <w:tc>
          <w:tcPr>
            <w:tcW w:w="1924" w:type="dxa"/>
            <w:vAlign w:val="center"/>
          </w:tcPr>
          <w:p w:rsidR="00BE2EAD" w:rsidRDefault="00243D16">
            <w:pPr>
              <w:jc w:val="right"/>
            </w:pPr>
            <w:r>
              <w:rPr>
                <w:color w:val="000000"/>
                <w:sz w:val="24"/>
                <w:szCs w:val="24"/>
              </w:rPr>
              <w:t>12,643,452.80</w:t>
            </w:r>
          </w:p>
        </w:tc>
        <w:tc>
          <w:tcPr>
            <w:tcW w:w="1644" w:type="dxa"/>
            <w:vAlign w:val="center"/>
          </w:tcPr>
          <w:p w:rsidR="00BE2EAD" w:rsidRDefault="00243D16">
            <w:pPr>
              <w:jc w:val="right"/>
            </w:pPr>
            <w:r>
              <w:rPr>
                <w:color w:val="000000"/>
                <w:sz w:val="24"/>
                <w:szCs w:val="24"/>
              </w:rPr>
              <w:t>2.61</w:t>
            </w:r>
          </w:p>
        </w:tc>
      </w:tr>
      <w:tr w:rsidR="00BE2EAD">
        <w:trPr>
          <w:jc w:val="center"/>
        </w:trPr>
        <w:tc>
          <w:tcPr>
            <w:tcW w:w="855" w:type="dxa"/>
            <w:vAlign w:val="center"/>
          </w:tcPr>
          <w:p w:rsidR="00BE2EAD" w:rsidRDefault="00243D16">
            <w:pPr>
              <w:jc w:val="center"/>
            </w:pPr>
            <w:r>
              <w:rPr>
                <w:color w:val="000000"/>
                <w:sz w:val="24"/>
                <w:szCs w:val="24"/>
              </w:rPr>
              <w:t>9</w:t>
            </w:r>
          </w:p>
        </w:tc>
        <w:tc>
          <w:tcPr>
            <w:tcW w:w="1334" w:type="dxa"/>
            <w:vAlign w:val="center"/>
          </w:tcPr>
          <w:p w:rsidR="00BE2EAD" w:rsidRDefault="00243D16">
            <w:pPr>
              <w:jc w:val="center"/>
            </w:pPr>
            <w:r>
              <w:rPr>
                <w:color w:val="000000"/>
                <w:sz w:val="24"/>
                <w:szCs w:val="24"/>
              </w:rPr>
              <w:t>300170</w:t>
            </w:r>
          </w:p>
        </w:tc>
        <w:tc>
          <w:tcPr>
            <w:tcW w:w="1777" w:type="dxa"/>
            <w:vAlign w:val="center"/>
          </w:tcPr>
          <w:p w:rsidR="00BE2EAD" w:rsidRDefault="00243D16">
            <w:pPr>
              <w:jc w:val="center"/>
            </w:pPr>
            <w:r>
              <w:rPr>
                <w:color w:val="000000"/>
                <w:sz w:val="24"/>
                <w:szCs w:val="24"/>
              </w:rPr>
              <w:t>汉得信息</w:t>
            </w:r>
          </w:p>
        </w:tc>
        <w:tc>
          <w:tcPr>
            <w:tcW w:w="1334" w:type="dxa"/>
            <w:vAlign w:val="center"/>
          </w:tcPr>
          <w:p w:rsidR="00BE2EAD" w:rsidRDefault="00243D16">
            <w:pPr>
              <w:jc w:val="right"/>
            </w:pPr>
            <w:r>
              <w:rPr>
                <w:color w:val="000000"/>
                <w:sz w:val="24"/>
                <w:szCs w:val="24"/>
              </w:rPr>
              <w:t>710,058</w:t>
            </w:r>
          </w:p>
        </w:tc>
        <w:tc>
          <w:tcPr>
            <w:tcW w:w="1924" w:type="dxa"/>
            <w:vAlign w:val="center"/>
          </w:tcPr>
          <w:p w:rsidR="00BE2EAD" w:rsidRDefault="00243D16">
            <w:pPr>
              <w:jc w:val="right"/>
            </w:pPr>
            <w:r>
              <w:rPr>
                <w:color w:val="000000"/>
                <w:sz w:val="24"/>
                <w:szCs w:val="24"/>
              </w:rPr>
              <w:t>12,610,630.08</w:t>
            </w:r>
          </w:p>
        </w:tc>
        <w:tc>
          <w:tcPr>
            <w:tcW w:w="1644" w:type="dxa"/>
            <w:vAlign w:val="center"/>
          </w:tcPr>
          <w:p w:rsidR="00BE2EAD" w:rsidRDefault="00243D16">
            <w:pPr>
              <w:jc w:val="right"/>
            </w:pPr>
            <w:r>
              <w:rPr>
                <w:color w:val="000000"/>
                <w:sz w:val="24"/>
                <w:szCs w:val="24"/>
              </w:rPr>
              <w:t>2.60</w:t>
            </w:r>
          </w:p>
        </w:tc>
      </w:tr>
      <w:tr w:rsidR="00BE2EAD">
        <w:trPr>
          <w:jc w:val="center"/>
        </w:trPr>
        <w:tc>
          <w:tcPr>
            <w:tcW w:w="855" w:type="dxa"/>
            <w:vAlign w:val="center"/>
          </w:tcPr>
          <w:p w:rsidR="00BE2EAD" w:rsidRDefault="00243D16">
            <w:pPr>
              <w:jc w:val="center"/>
            </w:pPr>
            <w:r>
              <w:rPr>
                <w:color w:val="000000"/>
                <w:sz w:val="24"/>
                <w:szCs w:val="24"/>
              </w:rPr>
              <w:t>10</w:t>
            </w:r>
          </w:p>
        </w:tc>
        <w:tc>
          <w:tcPr>
            <w:tcW w:w="1334" w:type="dxa"/>
            <w:vAlign w:val="center"/>
          </w:tcPr>
          <w:p w:rsidR="00BE2EAD" w:rsidRDefault="00243D16">
            <w:pPr>
              <w:jc w:val="center"/>
            </w:pPr>
            <w:r>
              <w:rPr>
                <w:color w:val="000000"/>
                <w:sz w:val="24"/>
                <w:szCs w:val="24"/>
              </w:rPr>
              <w:t>000031</w:t>
            </w:r>
          </w:p>
        </w:tc>
        <w:tc>
          <w:tcPr>
            <w:tcW w:w="1777" w:type="dxa"/>
            <w:vAlign w:val="center"/>
          </w:tcPr>
          <w:p w:rsidR="00BE2EAD" w:rsidRDefault="00243D16">
            <w:pPr>
              <w:jc w:val="center"/>
            </w:pPr>
            <w:r>
              <w:rPr>
                <w:color w:val="000000"/>
                <w:sz w:val="24"/>
                <w:szCs w:val="24"/>
              </w:rPr>
              <w:t>中粮地产</w:t>
            </w:r>
          </w:p>
        </w:tc>
        <w:tc>
          <w:tcPr>
            <w:tcW w:w="1334" w:type="dxa"/>
            <w:vAlign w:val="center"/>
          </w:tcPr>
          <w:p w:rsidR="00BE2EAD" w:rsidRDefault="00243D16">
            <w:pPr>
              <w:jc w:val="right"/>
            </w:pPr>
            <w:r>
              <w:rPr>
                <w:color w:val="000000"/>
                <w:sz w:val="24"/>
                <w:szCs w:val="24"/>
              </w:rPr>
              <w:t>1,496,389</w:t>
            </w:r>
          </w:p>
        </w:tc>
        <w:tc>
          <w:tcPr>
            <w:tcW w:w="1924" w:type="dxa"/>
            <w:vAlign w:val="center"/>
          </w:tcPr>
          <w:p w:rsidR="00BE2EAD" w:rsidRDefault="00243D16">
            <w:pPr>
              <w:jc w:val="right"/>
            </w:pPr>
            <w:r>
              <w:rPr>
                <w:color w:val="000000"/>
                <w:sz w:val="24"/>
                <w:szCs w:val="24"/>
              </w:rPr>
              <w:t>12,285,353.69</w:t>
            </w:r>
          </w:p>
        </w:tc>
        <w:tc>
          <w:tcPr>
            <w:tcW w:w="1644" w:type="dxa"/>
            <w:vAlign w:val="center"/>
          </w:tcPr>
          <w:p w:rsidR="00BE2EAD" w:rsidRDefault="00243D16">
            <w:pPr>
              <w:jc w:val="right"/>
            </w:pPr>
            <w:r>
              <w:rPr>
                <w:color w:val="000000"/>
                <w:sz w:val="24"/>
                <w:szCs w:val="24"/>
              </w:rPr>
              <w:t>2.53</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25,020,500.00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5.16</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25,020,500.00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5.16</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proofErr w:type="gramStart"/>
            <w:r w:rsidR="00963F40" w:rsidRPr="00414345">
              <w:rPr>
                <w:color w:val="000000"/>
                <w:sz w:val="24"/>
                <w:szCs w:val="24"/>
              </w:rPr>
              <w:t>券</w:t>
            </w:r>
            <w:proofErr w:type="gramEnd"/>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23,986,368.27</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4.95</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lastRenderedPageBreak/>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49,006,868.27</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10.11</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BE2EAD">
        <w:trPr>
          <w:jc w:val="center"/>
        </w:trPr>
        <w:tc>
          <w:tcPr>
            <w:tcW w:w="850" w:type="dxa"/>
            <w:vAlign w:val="center"/>
          </w:tcPr>
          <w:p w:rsidR="00BE2EAD" w:rsidRDefault="00243D16">
            <w:pPr>
              <w:jc w:val="center"/>
            </w:pPr>
            <w:r>
              <w:rPr>
                <w:color w:val="000000"/>
                <w:sz w:val="24"/>
                <w:szCs w:val="24"/>
              </w:rPr>
              <w:t>1</w:t>
            </w:r>
          </w:p>
        </w:tc>
        <w:tc>
          <w:tcPr>
            <w:tcW w:w="1475" w:type="dxa"/>
            <w:vAlign w:val="center"/>
          </w:tcPr>
          <w:p w:rsidR="00BE2EAD" w:rsidRDefault="00243D16">
            <w:pPr>
              <w:jc w:val="center"/>
            </w:pPr>
            <w:r>
              <w:rPr>
                <w:color w:val="000000"/>
                <w:sz w:val="24"/>
                <w:szCs w:val="24"/>
              </w:rPr>
              <w:t>170308</w:t>
            </w:r>
          </w:p>
        </w:tc>
        <w:tc>
          <w:tcPr>
            <w:tcW w:w="1769" w:type="dxa"/>
            <w:vAlign w:val="center"/>
          </w:tcPr>
          <w:p w:rsidR="00BE2EAD" w:rsidRDefault="00243D16">
            <w:pPr>
              <w:jc w:val="center"/>
            </w:pPr>
            <w:r>
              <w:rPr>
                <w:color w:val="000000"/>
                <w:sz w:val="24"/>
                <w:szCs w:val="24"/>
              </w:rPr>
              <w:t>17</w:t>
            </w:r>
            <w:r>
              <w:rPr>
                <w:color w:val="000000"/>
                <w:sz w:val="24"/>
                <w:szCs w:val="24"/>
              </w:rPr>
              <w:t>进出</w:t>
            </w:r>
            <w:r>
              <w:rPr>
                <w:color w:val="000000"/>
                <w:sz w:val="24"/>
                <w:szCs w:val="24"/>
              </w:rPr>
              <w:t>08</w:t>
            </w:r>
          </w:p>
        </w:tc>
        <w:tc>
          <w:tcPr>
            <w:tcW w:w="1387" w:type="dxa"/>
            <w:vAlign w:val="center"/>
          </w:tcPr>
          <w:p w:rsidR="00BE2EAD" w:rsidRDefault="00243D16">
            <w:pPr>
              <w:jc w:val="right"/>
            </w:pPr>
            <w:r>
              <w:rPr>
                <w:color w:val="000000"/>
                <w:sz w:val="24"/>
                <w:szCs w:val="24"/>
              </w:rPr>
              <w:t>200,000</w:t>
            </w:r>
          </w:p>
        </w:tc>
        <w:tc>
          <w:tcPr>
            <w:tcW w:w="2150" w:type="dxa"/>
            <w:vAlign w:val="center"/>
          </w:tcPr>
          <w:p w:rsidR="00BE2EAD" w:rsidRDefault="00243D16">
            <w:pPr>
              <w:jc w:val="right"/>
            </w:pPr>
            <w:r>
              <w:rPr>
                <w:color w:val="000000"/>
                <w:sz w:val="24"/>
                <w:szCs w:val="24"/>
              </w:rPr>
              <w:t>20,022,000.00</w:t>
            </w:r>
          </w:p>
        </w:tc>
        <w:tc>
          <w:tcPr>
            <w:tcW w:w="1237" w:type="dxa"/>
            <w:vAlign w:val="center"/>
          </w:tcPr>
          <w:p w:rsidR="00BE2EAD" w:rsidRDefault="00243D16">
            <w:pPr>
              <w:jc w:val="right"/>
            </w:pPr>
            <w:r>
              <w:rPr>
                <w:color w:val="000000"/>
                <w:sz w:val="24"/>
                <w:szCs w:val="24"/>
              </w:rPr>
              <w:t>4.13</w:t>
            </w:r>
          </w:p>
        </w:tc>
      </w:tr>
      <w:tr w:rsidR="00BE2EAD">
        <w:trPr>
          <w:jc w:val="center"/>
        </w:trPr>
        <w:tc>
          <w:tcPr>
            <w:tcW w:w="850" w:type="dxa"/>
            <w:vAlign w:val="center"/>
          </w:tcPr>
          <w:p w:rsidR="00BE2EAD" w:rsidRDefault="00243D16">
            <w:pPr>
              <w:jc w:val="center"/>
            </w:pPr>
            <w:r>
              <w:rPr>
                <w:color w:val="000000"/>
                <w:sz w:val="24"/>
                <w:szCs w:val="24"/>
              </w:rPr>
              <w:t>2</w:t>
            </w:r>
          </w:p>
        </w:tc>
        <w:tc>
          <w:tcPr>
            <w:tcW w:w="1475" w:type="dxa"/>
            <w:vAlign w:val="center"/>
          </w:tcPr>
          <w:p w:rsidR="00BE2EAD" w:rsidRDefault="00243D16">
            <w:pPr>
              <w:jc w:val="center"/>
            </w:pPr>
            <w:r>
              <w:rPr>
                <w:color w:val="000000"/>
                <w:sz w:val="24"/>
                <w:szCs w:val="24"/>
              </w:rPr>
              <w:t>128016</w:t>
            </w:r>
          </w:p>
        </w:tc>
        <w:tc>
          <w:tcPr>
            <w:tcW w:w="1769" w:type="dxa"/>
            <w:vAlign w:val="center"/>
          </w:tcPr>
          <w:p w:rsidR="00BE2EAD" w:rsidRDefault="00243D16">
            <w:pPr>
              <w:jc w:val="center"/>
            </w:pPr>
            <w:r>
              <w:rPr>
                <w:color w:val="000000"/>
                <w:sz w:val="24"/>
                <w:szCs w:val="24"/>
              </w:rPr>
              <w:t>雨虹转债</w:t>
            </w:r>
          </w:p>
        </w:tc>
        <w:tc>
          <w:tcPr>
            <w:tcW w:w="1387" w:type="dxa"/>
            <w:vAlign w:val="center"/>
          </w:tcPr>
          <w:p w:rsidR="00BE2EAD" w:rsidRDefault="00243D16">
            <w:pPr>
              <w:jc w:val="right"/>
            </w:pPr>
            <w:r>
              <w:rPr>
                <w:color w:val="000000"/>
                <w:sz w:val="24"/>
                <w:szCs w:val="24"/>
              </w:rPr>
              <w:t>50,000</w:t>
            </w:r>
          </w:p>
        </w:tc>
        <w:tc>
          <w:tcPr>
            <w:tcW w:w="2150" w:type="dxa"/>
            <w:vAlign w:val="center"/>
          </w:tcPr>
          <w:p w:rsidR="00BE2EAD" w:rsidRDefault="00243D16">
            <w:pPr>
              <w:jc w:val="right"/>
            </w:pPr>
            <w:r>
              <w:rPr>
                <w:color w:val="000000"/>
                <w:sz w:val="24"/>
                <w:szCs w:val="24"/>
              </w:rPr>
              <w:t>5,848,500.00</w:t>
            </w:r>
          </w:p>
        </w:tc>
        <w:tc>
          <w:tcPr>
            <w:tcW w:w="1237" w:type="dxa"/>
            <w:vAlign w:val="center"/>
          </w:tcPr>
          <w:p w:rsidR="00BE2EAD" w:rsidRDefault="00243D16">
            <w:pPr>
              <w:jc w:val="right"/>
            </w:pPr>
            <w:r>
              <w:rPr>
                <w:color w:val="000000"/>
                <w:sz w:val="24"/>
                <w:szCs w:val="24"/>
              </w:rPr>
              <w:t>1.21</w:t>
            </w:r>
          </w:p>
        </w:tc>
      </w:tr>
      <w:tr w:rsidR="00BE2EAD">
        <w:trPr>
          <w:jc w:val="center"/>
        </w:trPr>
        <w:tc>
          <w:tcPr>
            <w:tcW w:w="850" w:type="dxa"/>
            <w:vAlign w:val="center"/>
          </w:tcPr>
          <w:p w:rsidR="00BE2EAD" w:rsidRDefault="00243D16">
            <w:pPr>
              <w:jc w:val="center"/>
            </w:pPr>
            <w:r>
              <w:rPr>
                <w:color w:val="000000"/>
                <w:sz w:val="24"/>
                <w:szCs w:val="24"/>
              </w:rPr>
              <w:t>3</w:t>
            </w:r>
          </w:p>
        </w:tc>
        <w:tc>
          <w:tcPr>
            <w:tcW w:w="1475" w:type="dxa"/>
            <w:vAlign w:val="center"/>
          </w:tcPr>
          <w:p w:rsidR="00BE2EAD" w:rsidRDefault="00243D16">
            <w:pPr>
              <w:jc w:val="center"/>
            </w:pPr>
            <w:r>
              <w:rPr>
                <w:color w:val="000000"/>
                <w:sz w:val="24"/>
                <w:szCs w:val="24"/>
              </w:rPr>
              <w:t>113015</w:t>
            </w:r>
          </w:p>
        </w:tc>
        <w:tc>
          <w:tcPr>
            <w:tcW w:w="1769" w:type="dxa"/>
            <w:vAlign w:val="center"/>
          </w:tcPr>
          <w:p w:rsidR="00BE2EAD" w:rsidRDefault="00243D16">
            <w:pPr>
              <w:jc w:val="center"/>
            </w:pPr>
            <w:proofErr w:type="gramStart"/>
            <w:r>
              <w:rPr>
                <w:color w:val="000000"/>
                <w:sz w:val="24"/>
                <w:szCs w:val="24"/>
              </w:rPr>
              <w:t>隆基转债</w:t>
            </w:r>
            <w:proofErr w:type="gramEnd"/>
          </w:p>
        </w:tc>
        <w:tc>
          <w:tcPr>
            <w:tcW w:w="1387" w:type="dxa"/>
            <w:vAlign w:val="center"/>
          </w:tcPr>
          <w:p w:rsidR="00BE2EAD" w:rsidRDefault="00243D16">
            <w:pPr>
              <w:jc w:val="right"/>
            </w:pPr>
            <w:r>
              <w:rPr>
                <w:color w:val="000000"/>
                <w:sz w:val="24"/>
                <w:szCs w:val="24"/>
              </w:rPr>
              <w:t>45,000</w:t>
            </w:r>
          </w:p>
        </w:tc>
        <w:tc>
          <w:tcPr>
            <w:tcW w:w="2150" w:type="dxa"/>
            <w:vAlign w:val="center"/>
          </w:tcPr>
          <w:p w:rsidR="00BE2EAD" w:rsidRDefault="00243D16">
            <w:pPr>
              <w:jc w:val="right"/>
            </w:pPr>
            <w:r>
              <w:rPr>
                <w:color w:val="000000"/>
                <w:sz w:val="24"/>
                <w:szCs w:val="24"/>
              </w:rPr>
              <w:t>5,206,500.00</w:t>
            </w:r>
          </w:p>
        </w:tc>
        <w:tc>
          <w:tcPr>
            <w:tcW w:w="1237" w:type="dxa"/>
            <w:vAlign w:val="center"/>
          </w:tcPr>
          <w:p w:rsidR="00BE2EAD" w:rsidRDefault="00243D16">
            <w:pPr>
              <w:jc w:val="right"/>
            </w:pPr>
            <w:r>
              <w:rPr>
                <w:color w:val="000000"/>
                <w:sz w:val="24"/>
                <w:szCs w:val="24"/>
              </w:rPr>
              <w:t>1.07</w:t>
            </w:r>
          </w:p>
        </w:tc>
      </w:tr>
      <w:tr w:rsidR="00BE2EAD">
        <w:trPr>
          <w:jc w:val="center"/>
        </w:trPr>
        <w:tc>
          <w:tcPr>
            <w:tcW w:w="850" w:type="dxa"/>
            <w:vAlign w:val="center"/>
          </w:tcPr>
          <w:p w:rsidR="00BE2EAD" w:rsidRDefault="00243D16">
            <w:pPr>
              <w:jc w:val="center"/>
            </w:pPr>
            <w:r>
              <w:rPr>
                <w:color w:val="000000"/>
                <w:sz w:val="24"/>
                <w:szCs w:val="24"/>
              </w:rPr>
              <w:t>4</w:t>
            </w:r>
          </w:p>
        </w:tc>
        <w:tc>
          <w:tcPr>
            <w:tcW w:w="1475" w:type="dxa"/>
            <w:vAlign w:val="center"/>
          </w:tcPr>
          <w:p w:rsidR="00BE2EAD" w:rsidRDefault="00243D16">
            <w:pPr>
              <w:jc w:val="center"/>
            </w:pPr>
            <w:r>
              <w:rPr>
                <w:color w:val="000000"/>
                <w:sz w:val="24"/>
                <w:szCs w:val="24"/>
              </w:rPr>
              <w:t>108601</w:t>
            </w:r>
          </w:p>
        </w:tc>
        <w:tc>
          <w:tcPr>
            <w:tcW w:w="1769" w:type="dxa"/>
            <w:vAlign w:val="center"/>
          </w:tcPr>
          <w:p w:rsidR="00BE2EAD" w:rsidRDefault="00243D16">
            <w:pPr>
              <w:jc w:val="center"/>
            </w:pPr>
            <w:r>
              <w:rPr>
                <w:color w:val="000000"/>
                <w:sz w:val="24"/>
                <w:szCs w:val="24"/>
              </w:rPr>
              <w:t>国开</w:t>
            </w:r>
            <w:r>
              <w:rPr>
                <w:color w:val="000000"/>
                <w:sz w:val="24"/>
                <w:szCs w:val="24"/>
              </w:rPr>
              <w:t>1703</w:t>
            </w:r>
          </w:p>
        </w:tc>
        <w:tc>
          <w:tcPr>
            <w:tcW w:w="1387" w:type="dxa"/>
            <w:vAlign w:val="center"/>
          </w:tcPr>
          <w:p w:rsidR="00BE2EAD" w:rsidRDefault="00243D16">
            <w:pPr>
              <w:jc w:val="right"/>
            </w:pPr>
            <w:r>
              <w:rPr>
                <w:color w:val="000000"/>
                <w:sz w:val="24"/>
                <w:szCs w:val="24"/>
              </w:rPr>
              <w:t>50,000</w:t>
            </w:r>
          </w:p>
        </w:tc>
        <w:tc>
          <w:tcPr>
            <w:tcW w:w="2150" w:type="dxa"/>
            <w:vAlign w:val="center"/>
          </w:tcPr>
          <w:p w:rsidR="00BE2EAD" w:rsidRDefault="00243D16">
            <w:pPr>
              <w:jc w:val="right"/>
            </w:pPr>
            <w:r>
              <w:rPr>
                <w:color w:val="000000"/>
                <w:sz w:val="24"/>
                <w:szCs w:val="24"/>
              </w:rPr>
              <w:t>4,998,500.00</w:t>
            </w:r>
          </w:p>
        </w:tc>
        <w:tc>
          <w:tcPr>
            <w:tcW w:w="1237" w:type="dxa"/>
            <w:vAlign w:val="center"/>
          </w:tcPr>
          <w:p w:rsidR="00BE2EAD" w:rsidRDefault="00243D16">
            <w:pPr>
              <w:jc w:val="right"/>
            </w:pPr>
            <w:r>
              <w:rPr>
                <w:color w:val="000000"/>
                <w:sz w:val="24"/>
                <w:szCs w:val="24"/>
              </w:rPr>
              <w:t>1.03</w:t>
            </w:r>
          </w:p>
        </w:tc>
      </w:tr>
      <w:tr w:rsidR="00BE2EAD">
        <w:trPr>
          <w:jc w:val="center"/>
        </w:trPr>
        <w:tc>
          <w:tcPr>
            <w:tcW w:w="850" w:type="dxa"/>
            <w:vAlign w:val="center"/>
          </w:tcPr>
          <w:p w:rsidR="00BE2EAD" w:rsidRDefault="00243D16">
            <w:pPr>
              <w:jc w:val="center"/>
            </w:pPr>
            <w:r>
              <w:rPr>
                <w:color w:val="000000"/>
                <w:sz w:val="24"/>
                <w:szCs w:val="24"/>
              </w:rPr>
              <w:t>5</w:t>
            </w:r>
          </w:p>
        </w:tc>
        <w:tc>
          <w:tcPr>
            <w:tcW w:w="1475" w:type="dxa"/>
            <w:vAlign w:val="center"/>
          </w:tcPr>
          <w:p w:rsidR="00BE2EAD" w:rsidRDefault="00243D16">
            <w:pPr>
              <w:jc w:val="center"/>
            </w:pPr>
            <w:r>
              <w:rPr>
                <w:color w:val="000000"/>
                <w:sz w:val="24"/>
                <w:szCs w:val="24"/>
              </w:rPr>
              <w:t>113013</w:t>
            </w:r>
          </w:p>
        </w:tc>
        <w:tc>
          <w:tcPr>
            <w:tcW w:w="1769" w:type="dxa"/>
            <w:vAlign w:val="center"/>
          </w:tcPr>
          <w:p w:rsidR="00BE2EAD" w:rsidRDefault="00243D16">
            <w:pPr>
              <w:jc w:val="center"/>
            </w:pPr>
            <w:r>
              <w:rPr>
                <w:color w:val="000000"/>
                <w:sz w:val="24"/>
                <w:szCs w:val="24"/>
              </w:rPr>
              <w:t>国君转债</w:t>
            </w:r>
          </w:p>
        </w:tc>
        <w:tc>
          <w:tcPr>
            <w:tcW w:w="1387" w:type="dxa"/>
            <w:vAlign w:val="center"/>
          </w:tcPr>
          <w:p w:rsidR="00BE2EAD" w:rsidRDefault="00243D16">
            <w:pPr>
              <w:jc w:val="right"/>
            </w:pPr>
            <w:r>
              <w:rPr>
                <w:color w:val="000000"/>
                <w:sz w:val="24"/>
                <w:szCs w:val="24"/>
              </w:rPr>
              <w:t>30,000</w:t>
            </w:r>
          </w:p>
        </w:tc>
        <w:tc>
          <w:tcPr>
            <w:tcW w:w="2150" w:type="dxa"/>
            <w:vAlign w:val="center"/>
          </w:tcPr>
          <w:p w:rsidR="00BE2EAD" w:rsidRDefault="00243D16">
            <w:pPr>
              <w:jc w:val="right"/>
            </w:pPr>
            <w:r>
              <w:rPr>
                <w:color w:val="000000"/>
                <w:sz w:val="24"/>
                <w:szCs w:val="24"/>
              </w:rPr>
              <w:t>3,246,000.00</w:t>
            </w:r>
          </w:p>
        </w:tc>
        <w:tc>
          <w:tcPr>
            <w:tcW w:w="1237" w:type="dxa"/>
            <w:vAlign w:val="center"/>
          </w:tcPr>
          <w:p w:rsidR="00BE2EAD" w:rsidRDefault="00243D16">
            <w:pPr>
              <w:jc w:val="right"/>
            </w:pPr>
            <w:r>
              <w:rPr>
                <w:color w:val="000000"/>
                <w:sz w:val="24"/>
                <w:szCs w:val="24"/>
              </w:rPr>
              <w:t>0.67</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报告期内本基金投资的前十名证券的发行主体除南京银行（证券代码：</w:t>
      </w:r>
      <w:r w:rsidRPr="00BE5388">
        <w:rPr>
          <w:bCs/>
          <w:color w:val="000000"/>
          <w:kern w:val="0"/>
          <w:sz w:val="24"/>
          <w:szCs w:val="24"/>
        </w:rPr>
        <w:t>601009</w:t>
      </w:r>
      <w:r w:rsidRPr="00BE5388">
        <w:rPr>
          <w:bCs/>
          <w:color w:val="000000"/>
          <w:kern w:val="0"/>
          <w:sz w:val="24"/>
          <w:szCs w:val="24"/>
        </w:rPr>
        <w:t>）外，未出现被监管部门立案调查，或在报告编制日前一年内受到公开谴责、处罚的情形。</w:t>
      </w:r>
    </w:p>
    <w:p w:rsidR="00BE2EAD" w:rsidRDefault="00243D16">
      <w:pPr>
        <w:autoSpaceDE w:val="0"/>
        <w:autoSpaceDN w:val="0"/>
        <w:adjustRightInd w:val="0"/>
        <w:spacing w:before="29" w:line="288" w:lineRule="auto"/>
        <w:jc w:val="left"/>
        <w:rPr>
          <w:bCs/>
          <w:color w:val="000000"/>
          <w:kern w:val="0"/>
          <w:sz w:val="24"/>
          <w:szCs w:val="24"/>
        </w:rPr>
      </w:pPr>
      <w:r>
        <w:rPr>
          <w:bCs/>
          <w:color w:val="000000"/>
          <w:kern w:val="0"/>
          <w:sz w:val="24"/>
          <w:szCs w:val="24"/>
        </w:rPr>
        <w:t>报告期内本基金投资的前十名证券之一南京银行（证券代码：</w:t>
      </w:r>
      <w:r>
        <w:rPr>
          <w:bCs/>
          <w:color w:val="000000"/>
          <w:kern w:val="0"/>
          <w:sz w:val="24"/>
          <w:szCs w:val="24"/>
        </w:rPr>
        <w:t>601009</w:t>
      </w:r>
      <w:r>
        <w:rPr>
          <w:bCs/>
          <w:color w:val="000000"/>
          <w:kern w:val="0"/>
          <w:sz w:val="24"/>
          <w:szCs w:val="24"/>
        </w:rPr>
        <w:t>）收到中国银行业监督管理委员会江苏监管局行政处罚决定书（苏银</w:t>
      </w:r>
      <w:proofErr w:type="gramStart"/>
      <w:r>
        <w:rPr>
          <w:bCs/>
          <w:color w:val="000000"/>
          <w:kern w:val="0"/>
          <w:sz w:val="24"/>
          <w:szCs w:val="24"/>
        </w:rPr>
        <w:t>监罚决</w:t>
      </w:r>
      <w:proofErr w:type="gramEnd"/>
      <w:r>
        <w:rPr>
          <w:bCs/>
          <w:color w:val="000000"/>
          <w:kern w:val="0"/>
          <w:sz w:val="24"/>
          <w:szCs w:val="24"/>
        </w:rPr>
        <w:t>字【</w:t>
      </w:r>
      <w:r>
        <w:rPr>
          <w:bCs/>
          <w:color w:val="000000"/>
          <w:kern w:val="0"/>
          <w:sz w:val="24"/>
          <w:szCs w:val="24"/>
        </w:rPr>
        <w:t>2018</w:t>
      </w:r>
      <w:r>
        <w:rPr>
          <w:bCs/>
          <w:color w:val="000000"/>
          <w:kern w:val="0"/>
          <w:sz w:val="24"/>
          <w:szCs w:val="24"/>
        </w:rPr>
        <w:t>】</w:t>
      </w:r>
      <w:r>
        <w:rPr>
          <w:bCs/>
          <w:color w:val="000000"/>
          <w:kern w:val="0"/>
          <w:sz w:val="24"/>
          <w:szCs w:val="24"/>
        </w:rPr>
        <w:t xml:space="preserve"> 1 </w:t>
      </w:r>
      <w:r>
        <w:rPr>
          <w:bCs/>
          <w:color w:val="000000"/>
          <w:kern w:val="0"/>
          <w:sz w:val="24"/>
          <w:szCs w:val="24"/>
        </w:rPr>
        <w:t>号</w:t>
      </w:r>
      <w:r>
        <w:rPr>
          <w:bCs/>
          <w:color w:val="000000"/>
          <w:kern w:val="0"/>
          <w:sz w:val="24"/>
          <w:szCs w:val="24"/>
        </w:rPr>
        <w:t>,</w:t>
      </w:r>
      <w:r>
        <w:rPr>
          <w:bCs/>
          <w:color w:val="000000"/>
          <w:kern w:val="0"/>
          <w:sz w:val="24"/>
          <w:szCs w:val="24"/>
        </w:rPr>
        <w:t>对镇江分行</w:t>
      </w:r>
      <w:r>
        <w:rPr>
          <w:bCs/>
          <w:color w:val="000000"/>
          <w:kern w:val="0"/>
          <w:sz w:val="24"/>
          <w:szCs w:val="24"/>
        </w:rPr>
        <w:lastRenderedPageBreak/>
        <w:t>违规办理票据业务违反审慎经营原则的行为罚款</w:t>
      </w:r>
      <w:r>
        <w:rPr>
          <w:bCs/>
          <w:color w:val="000000"/>
          <w:kern w:val="0"/>
          <w:sz w:val="24"/>
          <w:szCs w:val="24"/>
        </w:rPr>
        <w:t>3230</w:t>
      </w:r>
      <w:r>
        <w:rPr>
          <w:bCs/>
          <w:color w:val="000000"/>
          <w:kern w:val="0"/>
          <w:sz w:val="24"/>
          <w:szCs w:val="24"/>
        </w:rPr>
        <w:t>万元人民币。</w:t>
      </w:r>
    </w:p>
    <w:p w:rsidR="00BE2EAD" w:rsidRDefault="00243D16">
      <w:pPr>
        <w:autoSpaceDE w:val="0"/>
        <w:autoSpaceDN w:val="0"/>
        <w:adjustRightInd w:val="0"/>
        <w:spacing w:before="29" w:line="288" w:lineRule="auto"/>
        <w:jc w:val="left"/>
        <w:rPr>
          <w:bCs/>
          <w:color w:val="000000"/>
          <w:kern w:val="0"/>
          <w:sz w:val="24"/>
          <w:szCs w:val="24"/>
        </w:rPr>
      </w:pPr>
      <w:r>
        <w:rPr>
          <w:bCs/>
          <w:color w:val="000000"/>
          <w:kern w:val="0"/>
          <w:sz w:val="24"/>
          <w:szCs w:val="24"/>
        </w:rPr>
        <w:t>本基金管理人对该证券投资决策程序的说明如下：本基金管理人对证券投资特别是重仓股的投资有严格的投资决策流程控制。本基金在对该证券的投资也严格执行投资决策流程。在对该证券的选择上，严格执行公司股票池审核流程进入公司股票池。在对该证券的持有过程中公司研究员密切关注上市公司动向。在上述事件发生时及时分析其对投资决策的影响，经过分析认为上述事件对上市公司财务状况、经营成果和现金流量未产生重大的实质性影响，所以不影响对该公司基本面和公司治理的投资判断。</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506,971.03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5,060,772.81</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793,158.31</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259,894.43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6,620,796.58</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883"/>
        <w:gridCol w:w="1801"/>
        <w:gridCol w:w="1727"/>
        <w:gridCol w:w="1768"/>
        <w:gridCol w:w="1689"/>
      </w:tblGrid>
      <w:tr w:rsidR="003E62FB" w:rsidRPr="00414345" w:rsidTr="00A324F4">
        <w:trPr>
          <w:jc w:val="center"/>
        </w:trPr>
        <w:tc>
          <w:tcPr>
            <w:tcW w:w="180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729"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65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69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2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D046DB" w:rsidRPr="00414345">
              <w:rPr>
                <w:color w:val="000000"/>
                <w:sz w:val="24"/>
                <w:szCs w:val="24"/>
              </w:rPr>
              <w:t>(</w:t>
            </w:r>
            <w:r w:rsidR="00D046DB" w:rsidRPr="00414345">
              <w:rPr>
                <w:color w:val="000000"/>
                <w:sz w:val="24"/>
                <w:szCs w:val="24"/>
              </w:rPr>
              <w:t>％</w:t>
            </w:r>
            <w:r w:rsidR="00D046DB" w:rsidRPr="00414345">
              <w:rPr>
                <w:color w:val="000000"/>
                <w:sz w:val="24"/>
                <w:szCs w:val="24"/>
              </w:rPr>
              <w:t>)</w:t>
            </w:r>
          </w:p>
        </w:tc>
      </w:tr>
      <w:tr w:rsidR="00BE2EAD">
        <w:trPr>
          <w:jc w:val="center"/>
        </w:trPr>
        <w:tc>
          <w:tcPr>
            <w:tcW w:w="1883" w:type="dxa"/>
            <w:vAlign w:val="center"/>
          </w:tcPr>
          <w:p w:rsidR="00BE2EAD" w:rsidRDefault="00243D16">
            <w:pPr>
              <w:jc w:val="center"/>
            </w:pPr>
            <w:r>
              <w:rPr>
                <w:color w:val="000000"/>
                <w:sz w:val="24"/>
                <w:szCs w:val="24"/>
              </w:rPr>
              <w:t>1</w:t>
            </w:r>
          </w:p>
        </w:tc>
        <w:tc>
          <w:tcPr>
            <w:tcW w:w="1801" w:type="dxa"/>
            <w:vAlign w:val="center"/>
          </w:tcPr>
          <w:p w:rsidR="00BE2EAD" w:rsidRDefault="00243D16">
            <w:pPr>
              <w:jc w:val="center"/>
            </w:pPr>
            <w:r>
              <w:rPr>
                <w:color w:val="000000"/>
                <w:sz w:val="24"/>
                <w:szCs w:val="24"/>
              </w:rPr>
              <w:t>128016</w:t>
            </w:r>
          </w:p>
        </w:tc>
        <w:tc>
          <w:tcPr>
            <w:tcW w:w="1727" w:type="dxa"/>
            <w:vAlign w:val="center"/>
          </w:tcPr>
          <w:p w:rsidR="00BE2EAD" w:rsidRDefault="00243D16">
            <w:pPr>
              <w:jc w:val="center"/>
            </w:pPr>
            <w:r>
              <w:rPr>
                <w:color w:val="000000"/>
                <w:sz w:val="24"/>
                <w:szCs w:val="24"/>
              </w:rPr>
              <w:t>雨虹转债</w:t>
            </w:r>
          </w:p>
        </w:tc>
        <w:tc>
          <w:tcPr>
            <w:tcW w:w="1768" w:type="dxa"/>
            <w:vAlign w:val="center"/>
          </w:tcPr>
          <w:p w:rsidR="00BE2EAD" w:rsidRDefault="00243D16">
            <w:pPr>
              <w:jc w:val="right"/>
            </w:pPr>
            <w:r>
              <w:rPr>
                <w:color w:val="000000"/>
                <w:sz w:val="24"/>
                <w:szCs w:val="24"/>
              </w:rPr>
              <w:t>5,848,500.00</w:t>
            </w:r>
          </w:p>
        </w:tc>
        <w:tc>
          <w:tcPr>
            <w:tcW w:w="1689" w:type="dxa"/>
            <w:vAlign w:val="center"/>
          </w:tcPr>
          <w:p w:rsidR="00BE2EAD" w:rsidRDefault="00243D16">
            <w:pPr>
              <w:jc w:val="right"/>
            </w:pPr>
            <w:r>
              <w:rPr>
                <w:color w:val="000000"/>
                <w:sz w:val="24"/>
                <w:szCs w:val="24"/>
              </w:rPr>
              <w:t>1.21</w:t>
            </w:r>
          </w:p>
        </w:tc>
      </w:tr>
      <w:tr w:rsidR="00BE2EAD">
        <w:trPr>
          <w:jc w:val="center"/>
        </w:trPr>
        <w:tc>
          <w:tcPr>
            <w:tcW w:w="1883" w:type="dxa"/>
            <w:vAlign w:val="center"/>
          </w:tcPr>
          <w:p w:rsidR="00BE2EAD" w:rsidRDefault="00243D16">
            <w:pPr>
              <w:jc w:val="center"/>
            </w:pPr>
            <w:r>
              <w:rPr>
                <w:color w:val="000000"/>
                <w:sz w:val="24"/>
                <w:szCs w:val="24"/>
              </w:rPr>
              <w:t>2</w:t>
            </w:r>
          </w:p>
        </w:tc>
        <w:tc>
          <w:tcPr>
            <w:tcW w:w="1801" w:type="dxa"/>
            <w:vAlign w:val="center"/>
          </w:tcPr>
          <w:p w:rsidR="00BE2EAD" w:rsidRDefault="00243D16">
            <w:pPr>
              <w:jc w:val="center"/>
            </w:pPr>
            <w:r>
              <w:rPr>
                <w:color w:val="000000"/>
                <w:sz w:val="24"/>
                <w:szCs w:val="24"/>
              </w:rPr>
              <w:t>113013</w:t>
            </w:r>
          </w:p>
        </w:tc>
        <w:tc>
          <w:tcPr>
            <w:tcW w:w="1727" w:type="dxa"/>
            <w:vAlign w:val="center"/>
          </w:tcPr>
          <w:p w:rsidR="00BE2EAD" w:rsidRDefault="00243D16">
            <w:pPr>
              <w:jc w:val="center"/>
            </w:pPr>
            <w:r>
              <w:rPr>
                <w:color w:val="000000"/>
                <w:sz w:val="24"/>
                <w:szCs w:val="24"/>
              </w:rPr>
              <w:t>国君转债</w:t>
            </w:r>
          </w:p>
        </w:tc>
        <w:tc>
          <w:tcPr>
            <w:tcW w:w="1768" w:type="dxa"/>
            <w:vAlign w:val="center"/>
          </w:tcPr>
          <w:p w:rsidR="00BE2EAD" w:rsidRDefault="00243D16">
            <w:pPr>
              <w:jc w:val="right"/>
            </w:pPr>
            <w:r>
              <w:rPr>
                <w:color w:val="000000"/>
                <w:sz w:val="24"/>
                <w:szCs w:val="24"/>
              </w:rPr>
              <w:t>3,246,000.00</w:t>
            </w:r>
          </w:p>
        </w:tc>
        <w:tc>
          <w:tcPr>
            <w:tcW w:w="1689" w:type="dxa"/>
            <w:vAlign w:val="center"/>
          </w:tcPr>
          <w:p w:rsidR="00BE2EAD" w:rsidRDefault="00243D16">
            <w:pPr>
              <w:jc w:val="right"/>
            </w:pPr>
            <w:r>
              <w:rPr>
                <w:color w:val="000000"/>
                <w:sz w:val="24"/>
                <w:szCs w:val="24"/>
              </w:rPr>
              <w:t>0.67</w:t>
            </w:r>
          </w:p>
        </w:tc>
      </w:tr>
      <w:tr w:rsidR="00BE2EAD">
        <w:trPr>
          <w:jc w:val="center"/>
        </w:trPr>
        <w:tc>
          <w:tcPr>
            <w:tcW w:w="1883" w:type="dxa"/>
            <w:vAlign w:val="center"/>
          </w:tcPr>
          <w:p w:rsidR="00BE2EAD" w:rsidRDefault="00243D16">
            <w:pPr>
              <w:jc w:val="center"/>
            </w:pPr>
            <w:r>
              <w:rPr>
                <w:color w:val="000000"/>
                <w:sz w:val="24"/>
                <w:szCs w:val="24"/>
              </w:rPr>
              <w:t>3</w:t>
            </w:r>
          </w:p>
        </w:tc>
        <w:tc>
          <w:tcPr>
            <w:tcW w:w="1801" w:type="dxa"/>
            <w:vAlign w:val="center"/>
          </w:tcPr>
          <w:p w:rsidR="00BE2EAD" w:rsidRDefault="00243D16">
            <w:pPr>
              <w:jc w:val="center"/>
            </w:pPr>
            <w:r>
              <w:rPr>
                <w:color w:val="000000"/>
                <w:sz w:val="24"/>
                <w:szCs w:val="24"/>
              </w:rPr>
              <w:t>128012</w:t>
            </w:r>
          </w:p>
        </w:tc>
        <w:tc>
          <w:tcPr>
            <w:tcW w:w="1727" w:type="dxa"/>
            <w:vAlign w:val="center"/>
          </w:tcPr>
          <w:p w:rsidR="00BE2EAD" w:rsidRDefault="00243D16">
            <w:pPr>
              <w:jc w:val="center"/>
            </w:pPr>
            <w:proofErr w:type="gramStart"/>
            <w:r>
              <w:rPr>
                <w:color w:val="000000"/>
                <w:sz w:val="24"/>
                <w:szCs w:val="24"/>
              </w:rPr>
              <w:t>辉丰转债</w:t>
            </w:r>
            <w:proofErr w:type="gramEnd"/>
          </w:p>
        </w:tc>
        <w:tc>
          <w:tcPr>
            <w:tcW w:w="1768" w:type="dxa"/>
            <w:vAlign w:val="center"/>
          </w:tcPr>
          <w:p w:rsidR="00BE2EAD" w:rsidRDefault="00243D16">
            <w:pPr>
              <w:jc w:val="right"/>
            </w:pPr>
            <w:r>
              <w:rPr>
                <w:color w:val="000000"/>
                <w:sz w:val="24"/>
                <w:szCs w:val="24"/>
              </w:rPr>
              <w:t>2,838,505.38</w:t>
            </w:r>
          </w:p>
        </w:tc>
        <w:tc>
          <w:tcPr>
            <w:tcW w:w="1689" w:type="dxa"/>
            <w:vAlign w:val="center"/>
          </w:tcPr>
          <w:p w:rsidR="00BE2EAD" w:rsidRDefault="00243D16">
            <w:pPr>
              <w:jc w:val="right"/>
            </w:pPr>
            <w:r>
              <w:rPr>
                <w:color w:val="000000"/>
                <w:sz w:val="24"/>
                <w:szCs w:val="24"/>
              </w:rPr>
              <w:t>0.59</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w:t>
      </w:r>
      <w:proofErr w:type="gramStart"/>
      <w:r w:rsidR="004061AC" w:rsidRPr="00414345">
        <w:rPr>
          <w:bCs/>
          <w:color w:val="000000"/>
          <w:kern w:val="0"/>
          <w:sz w:val="24"/>
          <w:szCs w:val="24"/>
        </w:rPr>
        <w:t>期末前</w:t>
      </w:r>
      <w:proofErr w:type="gramEnd"/>
      <w:r w:rsidR="004061AC" w:rsidRPr="00414345">
        <w:rPr>
          <w:bCs/>
          <w:color w:val="000000"/>
          <w:kern w:val="0"/>
          <w:sz w:val="24"/>
          <w:szCs w:val="24"/>
        </w:rPr>
        <w:t>十名股票中存在流通受限情况的说明</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243D16" w:rsidRPr="00414345" w:rsidTr="00A37B3B">
        <w:trPr>
          <w:jc w:val="center"/>
        </w:trPr>
        <w:tc>
          <w:tcPr>
            <w:tcW w:w="1083" w:type="dxa"/>
            <w:vAlign w:val="center"/>
          </w:tcPr>
          <w:p w:rsidR="00243D16" w:rsidRPr="00414345" w:rsidRDefault="00243D16" w:rsidP="00A37B3B">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243D16" w:rsidRPr="00414345" w:rsidRDefault="00243D16" w:rsidP="00A37B3B">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243D16" w:rsidRPr="00414345" w:rsidRDefault="00243D16" w:rsidP="00A37B3B">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243D16" w:rsidRPr="00414345" w:rsidRDefault="00243D16" w:rsidP="00A37B3B">
            <w:pPr>
              <w:spacing w:before="29" w:line="288" w:lineRule="auto"/>
              <w:ind w:left="17"/>
              <w:jc w:val="center"/>
              <w:rPr>
                <w:color w:val="000000"/>
                <w:sz w:val="24"/>
                <w:szCs w:val="24"/>
              </w:rPr>
            </w:pPr>
            <w:r w:rsidRPr="00414345">
              <w:rPr>
                <w:color w:val="000000"/>
                <w:sz w:val="24"/>
                <w:szCs w:val="24"/>
              </w:rPr>
              <w:t>流通受限部分的公允价值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55" w:type="dxa"/>
            <w:vAlign w:val="center"/>
          </w:tcPr>
          <w:p w:rsidR="00243D16" w:rsidRPr="00414345" w:rsidRDefault="00243D16" w:rsidP="00A37B3B">
            <w:pPr>
              <w:spacing w:before="29" w:line="288" w:lineRule="auto"/>
              <w:ind w:left="17"/>
              <w:jc w:val="center"/>
              <w:rPr>
                <w:color w:val="000000"/>
                <w:sz w:val="24"/>
                <w:szCs w:val="24"/>
              </w:rPr>
            </w:pPr>
            <w:r w:rsidRPr="00414345">
              <w:rPr>
                <w:color w:val="000000"/>
                <w:sz w:val="24"/>
                <w:szCs w:val="24"/>
              </w:rPr>
              <w:t>占基金资产净值比例</w:t>
            </w:r>
            <w:r w:rsidRPr="00414345">
              <w:rPr>
                <w:color w:val="000000"/>
                <w:sz w:val="24"/>
                <w:szCs w:val="24"/>
              </w:rPr>
              <w:t>(</w:t>
            </w:r>
            <w:r w:rsidRPr="00414345">
              <w:rPr>
                <w:color w:val="000000"/>
                <w:sz w:val="24"/>
                <w:szCs w:val="24"/>
              </w:rPr>
              <w:t>％</w:t>
            </w:r>
            <w:r w:rsidRPr="00414345">
              <w:rPr>
                <w:color w:val="000000"/>
                <w:sz w:val="24"/>
                <w:szCs w:val="24"/>
              </w:rPr>
              <w:t>)</w:t>
            </w:r>
          </w:p>
        </w:tc>
        <w:tc>
          <w:tcPr>
            <w:tcW w:w="1367" w:type="dxa"/>
            <w:vAlign w:val="center"/>
          </w:tcPr>
          <w:p w:rsidR="00243D16" w:rsidRPr="00414345" w:rsidRDefault="00243D16" w:rsidP="00A37B3B">
            <w:pPr>
              <w:spacing w:before="29" w:line="288" w:lineRule="auto"/>
              <w:ind w:left="17"/>
              <w:jc w:val="center"/>
              <w:rPr>
                <w:color w:val="000000"/>
                <w:sz w:val="24"/>
                <w:szCs w:val="24"/>
              </w:rPr>
            </w:pPr>
            <w:r w:rsidRPr="00414345">
              <w:rPr>
                <w:color w:val="000000"/>
                <w:sz w:val="24"/>
                <w:szCs w:val="24"/>
              </w:rPr>
              <w:t>流通受限情况说明</w:t>
            </w:r>
          </w:p>
        </w:tc>
      </w:tr>
      <w:tr w:rsidR="00243D16" w:rsidTr="00A37B3B">
        <w:trPr>
          <w:jc w:val="center"/>
        </w:trPr>
        <w:tc>
          <w:tcPr>
            <w:tcW w:w="1129" w:type="dxa"/>
            <w:vAlign w:val="center"/>
          </w:tcPr>
          <w:p w:rsidR="00243D16" w:rsidRDefault="00243D16" w:rsidP="00A37B3B">
            <w:pPr>
              <w:jc w:val="center"/>
            </w:pPr>
            <w:r>
              <w:rPr>
                <w:color w:val="000000"/>
                <w:sz w:val="24"/>
                <w:szCs w:val="24"/>
              </w:rPr>
              <w:t>1</w:t>
            </w:r>
          </w:p>
        </w:tc>
        <w:tc>
          <w:tcPr>
            <w:tcW w:w="1356" w:type="dxa"/>
            <w:vAlign w:val="center"/>
          </w:tcPr>
          <w:p w:rsidR="00243D16" w:rsidRDefault="00243D16" w:rsidP="00A37B3B">
            <w:pPr>
              <w:jc w:val="center"/>
            </w:pPr>
            <w:r>
              <w:rPr>
                <w:color w:val="000000"/>
                <w:sz w:val="24"/>
                <w:szCs w:val="24"/>
              </w:rPr>
              <w:t>000031</w:t>
            </w:r>
          </w:p>
        </w:tc>
        <w:tc>
          <w:tcPr>
            <w:tcW w:w="1355" w:type="dxa"/>
            <w:vAlign w:val="center"/>
          </w:tcPr>
          <w:p w:rsidR="00243D16" w:rsidRDefault="00243D16" w:rsidP="00A37B3B">
            <w:pPr>
              <w:jc w:val="center"/>
            </w:pPr>
            <w:r>
              <w:rPr>
                <w:color w:val="000000"/>
                <w:sz w:val="24"/>
                <w:szCs w:val="24"/>
              </w:rPr>
              <w:t>中粮地产</w:t>
            </w:r>
          </w:p>
        </w:tc>
        <w:tc>
          <w:tcPr>
            <w:tcW w:w="1880" w:type="dxa"/>
            <w:vAlign w:val="center"/>
          </w:tcPr>
          <w:p w:rsidR="00243D16" w:rsidRDefault="00243D16" w:rsidP="00A37B3B">
            <w:pPr>
              <w:jc w:val="right"/>
            </w:pPr>
            <w:r>
              <w:rPr>
                <w:color w:val="000000"/>
                <w:sz w:val="24"/>
                <w:szCs w:val="24"/>
              </w:rPr>
              <w:t>12,285,353.69</w:t>
            </w:r>
          </w:p>
        </w:tc>
        <w:tc>
          <w:tcPr>
            <w:tcW w:w="1724" w:type="dxa"/>
            <w:vAlign w:val="center"/>
          </w:tcPr>
          <w:p w:rsidR="00243D16" w:rsidRDefault="00243D16" w:rsidP="00A37B3B">
            <w:pPr>
              <w:jc w:val="right"/>
            </w:pPr>
            <w:r>
              <w:rPr>
                <w:color w:val="000000"/>
                <w:sz w:val="24"/>
                <w:szCs w:val="24"/>
              </w:rPr>
              <w:t>2.53</w:t>
            </w:r>
          </w:p>
        </w:tc>
        <w:tc>
          <w:tcPr>
            <w:tcW w:w="1424" w:type="dxa"/>
            <w:vAlign w:val="center"/>
          </w:tcPr>
          <w:p w:rsidR="00243D16" w:rsidRDefault="00243D16" w:rsidP="00A37B3B">
            <w:pPr>
              <w:jc w:val="right"/>
            </w:pPr>
            <w:r>
              <w:rPr>
                <w:color w:val="000000"/>
                <w:sz w:val="24"/>
                <w:szCs w:val="24"/>
              </w:rPr>
              <w:t>重大事项</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lastRenderedPageBreak/>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575270" w:rsidRDefault="001F3E2A" w:rsidP="001F3E2A">
      <w:pPr>
        <w:pStyle w:val="1"/>
        <w:spacing w:beforeLines="100" w:before="312" w:afterLines="100" w:after="312" w:line="360" w:lineRule="auto"/>
        <w:jc w:val="center"/>
        <w:rPr>
          <w:rFonts w:eastAsiaTheme="minorEastAsia"/>
          <w:color w:val="000000" w:themeColor="text1"/>
          <w:kern w:val="0"/>
          <w:sz w:val="24"/>
          <w:szCs w:val="24"/>
        </w:rPr>
      </w:pPr>
      <w:r w:rsidRPr="00575270">
        <w:rPr>
          <w:rFonts w:eastAsiaTheme="minorEastAsia"/>
          <w:color w:val="000000" w:themeColor="text1"/>
          <w:kern w:val="0"/>
          <w:sz w:val="24"/>
          <w:szCs w:val="24"/>
        </w:rPr>
        <w:t>§6</w:t>
      </w:r>
      <w:r w:rsidRPr="00575270">
        <w:rPr>
          <w:rFonts w:eastAsiaTheme="minorEastAsia" w:hint="eastAsia"/>
          <w:color w:val="000000" w:themeColor="text1"/>
          <w:kern w:val="0"/>
          <w:sz w:val="24"/>
          <w:szCs w:val="24"/>
        </w:rPr>
        <w:t xml:space="preserve">  </w:t>
      </w:r>
      <w:r w:rsidRPr="00575270">
        <w:rPr>
          <w:rFonts w:eastAsiaTheme="minorEastAsia" w:hint="eastAsia"/>
          <w:color w:val="000000" w:themeColor="text1"/>
          <w:kern w:val="0"/>
          <w:sz w:val="24"/>
          <w:szCs w:val="24"/>
        </w:rPr>
        <w:t>基金中基金</w:t>
      </w:r>
    </w:p>
    <w:p w:rsidR="001F3E2A" w:rsidRPr="00575270" w:rsidRDefault="001F3E2A" w:rsidP="001F3E2A">
      <w:pPr>
        <w:adjustRightInd w:val="0"/>
        <w:snapToGrid w:val="0"/>
        <w:spacing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6.1</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报告期末按公允价值占基金资产净值比例大小排序的前十名基金投资明细</w:t>
      </w:r>
    </w:p>
    <w:p w:rsidR="001F3E2A" w:rsidRPr="00575270"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t>本基金本报告期末未持有基金。</w:t>
      </w:r>
    </w:p>
    <w:p w:rsidR="001F3E2A" w:rsidRPr="00575270" w:rsidRDefault="001F3E2A" w:rsidP="001F3E2A">
      <w:pPr>
        <w:adjustRightInd w:val="0"/>
        <w:snapToGrid w:val="0"/>
        <w:spacing w:beforeLines="50" w:before="156"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6.2</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当期交易及持有基金产生的费用</w:t>
      </w:r>
    </w:p>
    <w:p w:rsidR="001F3E2A"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t>本基金本报告期内未交易或持有基金。</w:t>
      </w:r>
    </w:p>
    <w:p w:rsidR="000903EB" w:rsidRPr="000903EB" w:rsidRDefault="000903EB" w:rsidP="000903EB">
      <w:pPr>
        <w:adjustRightInd w:val="0"/>
        <w:snapToGrid w:val="0"/>
        <w:spacing w:beforeLines="50" w:before="156" w:line="360" w:lineRule="auto"/>
        <w:rPr>
          <w:rFonts w:eastAsiaTheme="minorEastAsia"/>
          <w:b/>
          <w:color w:val="000000" w:themeColor="text1"/>
          <w:kern w:val="0"/>
          <w:sz w:val="24"/>
          <w:szCs w:val="24"/>
        </w:rPr>
      </w:pPr>
      <w:r w:rsidRPr="000903EB">
        <w:rPr>
          <w:rFonts w:eastAsiaTheme="minorEastAsia" w:hint="eastAsia"/>
          <w:b/>
          <w:color w:val="000000" w:themeColor="text1"/>
          <w:kern w:val="0"/>
          <w:sz w:val="24"/>
          <w:szCs w:val="24"/>
        </w:rPr>
        <w:t xml:space="preserve">6.3 </w:t>
      </w:r>
      <w:r w:rsidRPr="000903EB">
        <w:rPr>
          <w:rFonts w:eastAsiaTheme="minorEastAsia" w:hint="eastAsia"/>
          <w:b/>
          <w:color w:val="000000" w:themeColor="text1"/>
          <w:kern w:val="0"/>
          <w:sz w:val="24"/>
          <w:szCs w:val="24"/>
        </w:rPr>
        <w:t>本报告期持有的基金发生的重大影响事件</w:t>
      </w:r>
    </w:p>
    <w:p w:rsidR="000903EB" w:rsidRPr="000903EB" w:rsidRDefault="000903EB" w:rsidP="000903EB">
      <w:pPr>
        <w:autoSpaceDE w:val="0"/>
        <w:autoSpaceDN w:val="0"/>
        <w:adjustRightInd w:val="0"/>
        <w:spacing w:line="360" w:lineRule="auto"/>
        <w:ind w:firstLineChars="200" w:firstLine="480"/>
        <w:jc w:val="left"/>
        <w:rPr>
          <w:rFonts w:eastAsiaTheme="minorEastAsia"/>
          <w:color w:val="000000" w:themeColor="text1"/>
          <w:sz w:val="24"/>
          <w:szCs w:val="24"/>
        </w:rPr>
      </w:pPr>
      <w:r w:rsidRPr="000903EB">
        <w:rPr>
          <w:rFonts w:eastAsiaTheme="minorEastAsia" w:hint="eastAsia"/>
          <w:color w:val="000000" w:themeColor="text1"/>
          <w:sz w:val="24"/>
          <w:szCs w:val="24"/>
        </w:rPr>
        <w:t>无。</w:t>
      </w:r>
    </w:p>
    <w:p w:rsidR="000903EB" w:rsidRPr="000903EB" w:rsidRDefault="000903EB" w:rsidP="001F3E2A">
      <w:pPr>
        <w:autoSpaceDE w:val="0"/>
        <w:autoSpaceDN w:val="0"/>
        <w:adjustRightInd w:val="0"/>
        <w:spacing w:line="360" w:lineRule="auto"/>
        <w:ind w:firstLineChars="200" w:firstLine="480"/>
        <w:jc w:val="left"/>
        <w:rPr>
          <w:rFonts w:eastAsiaTheme="minorEastAsia" w:hint="eastAsia"/>
          <w:color w:val="000000" w:themeColor="text1"/>
          <w:sz w:val="24"/>
          <w:szCs w:val="24"/>
        </w:rPr>
      </w:pPr>
    </w:p>
    <w:p w:rsidR="004061AC" w:rsidRPr="005A3D62" w:rsidRDefault="004061AC" w:rsidP="005A3D62">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7</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w:t>
            </w:r>
            <w:proofErr w:type="gramStart"/>
            <w:r w:rsidRPr="00414345">
              <w:rPr>
                <w:color w:val="000000"/>
                <w:kern w:val="0"/>
                <w:sz w:val="24"/>
                <w:szCs w:val="24"/>
              </w:rPr>
              <w:t>初基金</w:t>
            </w:r>
            <w:proofErr w:type="gramEnd"/>
            <w:r w:rsidRPr="00414345">
              <w:rPr>
                <w:color w:val="000000"/>
                <w:kern w:val="0"/>
                <w:sz w:val="24"/>
                <w:szCs w:val="24"/>
              </w:rPr>
              <w:t>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743,206,379.30</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52,564,612.04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391,460,090.94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404,310,900.40</w:t>
            </w:r>
          </w:p>
        </w:tc>
      </w:tr>
    </w:tbl>
    <w:p w:rsidR="00BE2EAD" w:rsidRDefault="00243D16">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7B5F21">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8  </w:t>
      </w:r>
      <w:r w:rsidR="00ED2620" w:rsidRPr="00ED2620">
        <w:rPr>
          <w:sz w:val="24"/>
          <w:szCs w:val="24"/>
        </w:rPr>
        <w:t>基金管理人运用</w:t>
      </w:r>
      <w:proofErr w:type="gramStart"/>
      <w:r w:rsidR="00ED2620" w:rsidRPr="00ED2620">
        <w:rPr>
          <w:sz w:val="24"/>
          <w:szCs w:val="24"/>
        </w:rPr>
        <w:t>固有资金</w:t>
      </w:r>
      <w:proofErr w:type="gramEnd"/>
      <w:r w:rsidR="00ED2620" w:rsidRPr="00ED2620">
        <w:rPr>
          <w:sz w:val="24"/>
          <w:szCs w:val="24"/>
        </w:rPr>
        <w:t>投资本基金情况</w:t>
      </w:r>
    </w:p>
    <w:p w:rsidR="00ED2620" w:rsidRPr="00ED2620" w:rsidRDefault="00ED2620" w:rsidP="00C15CAC">
      <w:pPr>
        <w:spacing w:line="288" w:lineRule="auto"/>
        <w:jc w:val="left"/>
        <w:rPr>
          <w:sz w:val="24"/>
          <w:szCs w:val="24"/>
        </w:rPr>
      </w:pPr>
      <w:r w:rsidRPr="00ED2620">
        <w:rPr>
          <w:b/>
          <w:sz w:val="24"/>
        </w:rPr>
        <w:t xml:space="preserve">8.1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w:t>
      </w:r>
      <w:proofErr w:type="gramStart"/>
      <w:r w:rsidRPr="00ED2620">
        <w:rPr>
          <w:rFonts w:eastAsiaTheme="minorEastAsia"/>
          <w:color w:val="000000"/>
          <w:sz w:val="24"/>
        </w:rPr>
        <w:t>固有资金</w:t>
      </w:r>
      <w:proofErr w:type="gramEnd"/>
      <w:r w:rsidRPr="00ED2620">
        <w:rPr>
          <w:rFonts w:eastAsiaTheme="minorEastAsia"/>
          <w:color w:val="000000"/>
          <w:sz w:val="24"/>
        </w:rPr>
        <w:t>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8.2</w:t>
      </w:r>
      <w:r w:rsidRPr="00410630">
        <w:rPr>
          <w:rFonts w:hint="eastAsia"/>
          <w:b/>
          <w:sz w:val="24"/>
        </w:rPr>
        <w:t>基金管理人运用</w:t>
      </w:r>
      <w:proofErr w:type="gramStart"/>
      <w:r w:rsidRPr="00410630">
        <w:rPr>
          <w:rFonts w:hint="eastAsia"/>
          <w:b/>
          <w:sz w:val="24"/>
        </w:rPr>
        <w:t>固有资金</w:t>
      </w:r>
      <w:proofErr w:type="gramEnd"/>
      <w:r w:rsidRPr="00410630">
        <w:rPr>
          <w:rFonts w:hint="eastAsia"/>
          <w:b/>
          <w:sz w:val="24"/>
        </w:rPr>
        <w:t>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lastRenderedPageBreak/>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7B5F21">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§9</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bCs/>
          <w:color w:val="000000"/>
          <w:kern w:val="0"/>
          <w:sz w:val="24"/>
          <w:szCs w:val="24"/>
        </w:rPr>
        <w:t>9.</w:t>
      </w:r>
      <w:r w:rsidRPr="009A5C99">
        <w:rPr>
          <w:rFonts w:ascii="宋体" w:hAnsi="宋体" w:hint="eastAsia"/>
          <w:b/>
          <w:bCs/>
          <w:color w:val="000000"/>
          <w:kern w:val="0"/>
          <w:sz w:val="24"/>
          <w:szCs w:val="24"/>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3C50AD" w:rsidRPr="004F4D27" w:rsidTr="00424D30">
        <w:tc>
          <w:tcPr>
            <w:tcW w:w="993" w:type="dxa"/>
            <w:vMerge w:val="restart"/>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投资者类别</w:t>
            </w:r>
            <w:r w:rsidRPr="004F4D27">
              <w:rPr>
                <w:rFonts w:ascii="宋体" w:hAnsi="宋体"/>
                <w:color w:val="000000"/>
                <w:kern w:val="0"/>
              </w:rPr>
              <w:t xml:space="preserve">  </w:t>
            </w:r>
          </w:p>
        </w:tc>
        <w:tc>
          <w:tcPr>
            <w:tcW w:w="5670" w:type="dxa"/>
            <w:gridSpan w:val="5"/>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报告期内持有基金份额变化情况</w:t>
            </w:r>
          </w:p>
        </w:tc>
        <w:tc>
          <w:tcPr>
            <w:tcW w:w="2549" w:type="dxa"/>
            <w:gridSpan w:val="2"/>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报告期末持有基金情况</w:t>
            </w:r>
          </w:p>
        </w:tc>
      </w:tr>
      <w:tr w:rsidR="003C50AD" w:rsidRPr="004F4D27" w:rsidTr="00424D30">
        <w:tc>
          <w:tcPr>
            <w:tcW w:w="993" w:type="dxa"/>
            <w:vMerge/>
            <w:vAlign w:val="center"/>
          </w:tcPr>
          <w:p w:rsidR="003C50AD" w:rsidRPr="004F4D27" w:rsidRDefault="003C50AD" w:rsidP="00424D30">
            <w:pPr>
              <w:autoSpaceDE w:val="0"/>
              <w:autoSpaceDN w:val="0"/>
              <w:adjustRightInd w:val="0"/>
              <w:jc w:val="center"/>
              <w:rPr>
                <w:rFonts w:ascii="宋体" w:hAnsi="宋体"/>
                <w:b/>
                <w:bCs/>
                <w:color w:val="000000"/>
                <w:kern w:val="0"/>
              </w:rPr>
            </w:pPr>
          </w:p>
        </w:tc>
        <w:tc>
          <w:tcPr>
            <w:tcW w:w="992"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序号</w:t>
            </w:r>
          </w:p>
        </w:tc>
        <w:tc>
          <w:tcPr>
            <w:tcW w:w="1843"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持有基金份额比例达到或者超过20%的时间区间</w:t>
            </w:r>
          </w:p>
        </w:tc>
        <w:tc>
          <w:tcPr>
            <w:tcW w:w="851"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期初份额</w:t>
            </w:r>
          </w:p>
        </w:tc>
        <w:tc>
          <w:tcPr>
            <w:tcW w:w="850"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申购份额</w:t>
            </w:r>
          </w:p>
        </w:tc>
        <w:tc>
          <w:tcPr>
            <w:tcW w:w="1134"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赎回份额</w:t>
            </w:r>
          </w:p>
        </w:tc>
        <w:tc>
          <w:tcPr>
            <w:tcW w:w="1419"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持有份额</w:t>
            </w:r>
          </w:p>
        </w:tc>
        <w:tc>
          <w:tcPr>
            <w:tcW w:w="1130"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份额占比</w:t>
            </w:r>
          </w:p>
        </w:tc>
      </w:tr>
      <w:tr w:rsidR="00BE2EAD">
        <w:tc>
          <w:tcPr>
            <w:tcW w:w="993" w:type="dxa"/>
            <w:vMerge w:val="restart"/>
          </w:tcPr>
          <w:p w:rsidR="00BE2EAD" w:rsidRDefault="00BE2EAD"/>
          <w:p w:rsidR="00BE2EAD" w:rsidRDefault="00243D16">
            <w:r>
              <w:rPr>
                <w:rFonts w:ascii="宋体" w:hAnsi="宋体" w:hint="eastAsia"/>
                <w:bCs/>
                <w:color w:val="000000"/>
                <w:kern w:val="0"/>
              </w:rPr>
              <w:t>机构</w:t>
            </w:r>
          </w:p>
        </w:tc>
        <w:tc>
          <w:tcPr>
            <w:tcW w:w="992" w:type="dxa"/>
            <w:vAlign w:val="center"/>
          </w:tcPr>
          <w:p w:rsidR="00BE2EAD" w:rsidRDefault="00243D16">
            <w:pPr>
              <w:jc w:val="center"/>
            </w:pPr>
            <w:r>
              <w:rPr>
                <w:rFonts w:ascii="宋体" w:hAnsi="宋体"/>
                <w:color w:val="000000"/>
                <w:kern w:val="0"/>
              </w:rPr>
              <w:t>1</w:t>
            </w:r>
          </w:p>
        </w:tc>
        <w:tc>
          <w:tcPr>
            <w:tcW w:w="1843" w:type="dxa"/>
            <w:vAlign w:val="center"/>
          </w:tcPr>
          <w:p w:rsidR="00BE2EAD" w:rsidRDefault="00243D16">
            <w:pPr>
              <w:jc w:val="center"/>
            </w:pPr>
            <w:r>
              <w:rPr>
                <w:rFonts w:ascii="宋体" w:hAnsi="宋体"/>
                <w:color w:val="000000"/>
                <w:kern w:val="0"/>
              </w:rPr>
              <w:t>2018/1/1-2018/3/31</w:t>
            </w:r>
          </w:p>
        </w:tc>
        <w:tc>
          <w:tcPr>
            <w:tcW w:w="851" w:type="dxa"/>
            <w:vAlign w:val="center"/>
          </w:tcPr>
          <w:p w:rsidR="00BE2EAD" w:rsidRDefault="00243D16">
            <w:pPr>
              <w:jc w:val="center"/>
            </w:pPr>
            <w:r>
              <w:rPr>
                <w:rFonts w:ascii="宋体" w:hAnsi="宋体"/>
                <w:color w:val="000000"/>
                <w:kern w:val="0"/>
              </w:rPr>
              <w:t>318,407,742.31</w:t>
            </w:r>
          </w:p>
        </w:tc>
        <w:tc>
          <w:tcPr>
            <w:tcW w:w="850" w:type="dxa"/>
            <w:vAlign w:val="center"/>
          </w:tcPr>
          <w:p w:rsidR="00BE2EAD" w:rsidRDefault="00243D16">
            <w:pPr>
              <w:jc w:val="center"/>
            </w:pPr>
            <w:r>
              <w:rPr>
                <w:rFonts w:ascii="宋体" w:hAnsi="宋体"/>
                <w:color w:val="000000"/>
                <w:kern w:val="0"/>
              </w:rPr>
              <w:t>-</w:t>
            </w:r>
          </w:p>
        </w:tc>
        <w:tc>
          <w:tcPr>
            <w:tcW w:w="1134" w:type="dxa"/>
            <w:vAlign w:val="center"/>
          </w:tcPr>
          <w:p w:rsidR="00BE2EAD" w:rsidRDefault="00243D16">
            <w:pPr>
              <w:jc w:val="center"/>
            </w:pPr>
            <w:r>
              <w:rPr>
                <w:rFonts w:ascii="宋体" w:hAnsi="宋体"/>
                <w:color w:val="000000"/>
                <w:kern w:val="0"/>
              </w:rPr>
              <w:t>318,407,742.31</w:t>
            </w:r>
          </w:p>
        </w:tc>
        <w:tc>
          <w:tcPr>
            <w:tcW w:w="1419" w:type="dxa"/>
            <w:vAlign w:val="center"/>
          </w:tcPr>
          <w:p w:rsidR="00BE2EAD" w:rsidRDefault="00243D16">
            <w:pPr>
              <w:jc w:val="center"/>
            </w:pPr>
            <w:r>
              <w:rPr>
                <w:rFonts w:ascii="宋体" w:hAnsi="宋体"/>
                <w:color w:val="000000"/>
                <w:kern w:val="0"/>
              </w:rPr>
              <w:t>-</w:t>
            </w:r>
          </w:p>
        </w:tc>
        <w:tc>
          <w:tcPr>
            <w:tcW w:w="1130" w:type="dxa"/>
            <w:vAlign w:val="center"/>
          </w:tcPr>
          <w:p w:rsidR="00BE2EAD" w:rsidRDefault="00243D16">
            <w:pPr>
              <w:jc w:val="center"/>
            </w:pPr>
            <w:r>
              <w:rPr>
                <w:rFonts w:ascii="宋体" w:hAnsi="宋体"/>
                <w:color w:val="000000"/>
                <w:kern w:val="0"/>
              </w:rPr>
              <w:t>-</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center"/>
              <w:rPr>
                <w:rFonts w:ascii="宋体" w:hAnsi="宋体"/>
                <w:kern w:val="0"/>
              </w:rPr>
            </w:pPr>
            <w:r w:rsidRPr="004F4D27">
              <w:rPr>
                <w:rFonts w:ascii="宋体" w:hAnsi="宋体"/>
                <w:color w:val="000000"/>
                <w:kern w:val="0"/>
              </w:rPr>
              <w:t>产品特有风险</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left"/>
              <w:rPr>
                <w:rFonts w:ascii="宋体" w:hAnsi="宋体"/>
                <w:kern w:val="0"/>
              </w:rPr>
            </w:pPr>
            <w:r w:rsidRPr="004F4D27">
              <w:rPr>
                <w:rFonts w:ascii="宋体" w:hAnsi="宋体" w:hint="eastAsia"/>
                <w:kern w:val="0"/>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hint="eastAsia"/>
          <w:b/>
          <w:bCs/>
          <w:color w:val="000000"/>
          <w:kern w:val="0"/>
          <w:sz w:val="24"/>
          <w:szCs w:val="24"/>
        </w:rPr>
        <w:t>9.2 影响投资者决策的其他重要信息</w:t>
      </w:r>
    </w:p>
    <w:p w:rsidR="00BE2EAD" w:rsidRPr="00A73ECE" w:rsidRDefault="00243D16" w:rsidP="00A73ECE">
      <w:pPr>
        <w:spacing w:before="29" w:line="288" w:lineRule="auto"/>
        <w:ind w:firstLineChars="200" w:firstLine="480"/>
        <w:rPr>
          <w:color w:val="000000"/>
          <w:sz w:val="24"/>
          <w:szCs w:val="24"/>
        </w:rPr>
      </w:pPr>
      <w:r w:rsidRPr="00A73ECE">
        <w:rPr>
          <w:color w:val="000000"/>
          <w:sz w:val="24"/>
          <w:szCs w:val="24"/>
        </w:rPr>
        <w:t>1</w:t>
      </w:r>
      <w:r w:rsidRPr="00A73ECE">
        <w:rPr>
          <w:color w:val="000000"/>
          <w:sz w:val="24"/>
          <w:szCs w:val="24"/>
        </w:rPr>
        <w:t>、根据财政部和国家税务总局于</w:t>
      </w:r>
      <w:r w:rsidRPr="00A73ECE">
        <w:rPr>
          <w:color w:val="000000"/>
          <w:sz w:val="24"/>
          <w:szCs w:val="24"/>
        </w:rPr>
        <w:t>2016</w:t>
      </w:r>
      <w:r w:rsidRPr="00A73ECE">
        <w:rPr>
          <w:color w:val="000000"/>
          <w:sz w:val="24"/>
          <w:szCs w:val="24"/>
        </w:rPr>
        <w:t>年</w:t>
      </w:r>
      <w:r w:rsidRPr="00A73ECE">
        <w:rPr>
          <w:color w:val="000000"/>
          <w:sz w:val="24"/>
          <w:szCs w:val="24"/>
        </w:rPr>
        <w:t>12</w:t>
      </w:r>
      <w:r w:rsidRPr="00A73ECE">
        <w:rPr>
          <w:color w:val="000000"/>
          <w:sz w:val="24"/>
          <w:szCs w:val="24"/>
        </w:rPr>
        <w:t>月</w:t>
      </w:r>
      <w:r w:rsidRPr="00A73ECE">
        <w:rPr>
          <w:color w:val="000000"/>
          <w:sz w:val="24"/>
          <w:szCs w:val="24"/>
        </w:rPr>
        <w:t>21</w:t>
      </w:r>
      <w:r w:rsidRPr="00A73ECE">
        <w:rPr>
          <w:color w:val="000000"/>
          <w:sz w:val="24"/>
          <w:szCs w:val="24"/>
        </w:rPr>
        <w:t>日联合发布的《关于明确金融、房地产开发、教育辅助服务等增值税政策的通知》（财税</w:t>
      </w:r>
      <w:r w:rsidRPr="00A73ECE">
        <w:rPr>
          <w:color w:val="000000"/>
          <w:sz w:val="24"/>
          <w:szCs w:val="24"/>
        </w:rPr>
        <w:t>[2016]140</w:t>
      </w:r>
      <w:r w:rsidRPr="00A73ECE">
        <w:rPr>
          <w:color w:val="000000"/>
          <w:sz w:val="24"/>
          <w:szCs w:val="24"/>
        </w:rPr>
        <w:t>号）以及于</w:t>
      </w:r>
      <w:r w:rsidRPr="00A73ECE">
        <w:rPr>
          <w:color w:val="000000"/>
          <w:sz w:val="24"/>
          <w:szCs w:val="24"/>
        </w:rPr>
        <w:t>2017</w:t>
      </w:r>
      <w:r w:rsidRPr="00A73ECE">
        <w:rPr>
          <w:color w:val="000000"/>
          <w:sz w:val="24"/>
          <w:szCs w:val="24"/>
        </w:rPr>
        <w:t>年</w:t>
      </w:r>
      <w:r w:rsidRPr="00A73ECE">
        <w:rPr>
          <w:color w:val="000000"/>
          <w:sz w:val="24"/>
          <w:szCs w:val="24"/>
        </w:rPr>
        <w:t>6</w:t>
      </w:r>
      <w:r w:rsidRPr="00A73ECE">
        <w:rPr>
          <w:color w:val="000000"/>
          <w:sz w:val="24"/>
          <w:szCs w:val="24"/>
        </w:rPr>
        <w:t>月</w:t>
      </w:r>
      <w:r w:rsidRPr="00A73ECE">
        <w:rPr>
          <w:color w:val="000000"/>
          <w:sz w:val="24"/>
          <w:szCs w:val="24"/>
        </w:rPr>
        <w:t>30</w:t>
      </w:r>
      <w:r w:rsidRPr="00A73ECE">
        <w:rPr>
          <w:color w:val="000000"/>
          <w:sz w:val="24"/>
          <w:szCs w:val="24"/>
        </w:rPr>
        <w:t>日联合发布的《财政部、税务总局关于资管产品增值税有关问题的通知》（财税</w:t>
      </w:r>
      <w:r w:rsidRPr="00A73ECE">
        <w:rPr>
          <w:color w:val="000000"/>
          <w:sz w:val="24"/>
          <w:szCs w:val="24"/>
        </w:rPr>
        <w:t>[2017]56</w:t>
      </w:r>
      <w:r w:rsidRPr="00A73ECE">
        <w:rPr>
          <w:color w:val="000000"/>
          <w:sz w:val="24"/>
          <w:szCs w:val="24"/>
        </w:rPr>
        <w:t>号</w:t>
      </w:r>
      <w:bookmarkStart w:id="0" w:name="_GoBack"/>
      <w:bookmarkEnd w:id="0"/>
      <w:r w:rsidRPr="00A73ECE">
        <w:rPr>
          <w:color w:val="000000"/>
          <w:sz w:val="24"/>
          <w:szCs w:val="24"/>
        </w:rPr>
        <w:t>）等规定，自</w:t>
      </w:r>
      <w:r w:rsidRPr="00A73ECE">
        <w:rPr>
          <w:color w:val="000000"/>
          <w:sz w:val="24"/>
          <w:szCs w:val="24"/>
        </w:rPr>
        <w:t>2018</w:t>
      </w:r>
      <w:r w:rsidRPr="00A73ECE">
        <w:rPr>
          <w:color w:val="000000"/>
          <w:sz w:val="24"/>
          <w:szCs w:val="24"/>
        </w:rPr>
        <w:t>年</w:t>
      </w:r>
      <w:r w:rsidRPr="00A73ECE">
        <w:rPr>
          <w:color w:val="000000"/>
          <w:sz w:val="24"/>
          <w:szCs w:val="24"/>
        </w:rPr>
        <w:t>1</w:t>
      </w:r>
      <w:r w:rsidRPr="00A73ECE">
        <w:rPr>
          <w:color w:val="000000"/>
          <w:sz w:val="24"/>
          <w:szCs w:val="24"/>
        </w:rPr>
        <w:t>月</w:t>
      </w:r>
      <w:r w:rsidRPr="00A73ECE">
        <w:rPr>
          <w:color w:val="000000"/>
          <w:sz w:val="24"/>
          <w:szCs w:val="24"/>
        </w:rPr>
        <w:t>1</w:t>
      </w:r>
      <w:r w:rsidRPr="00A73ECE">
        <w:rPr>
          <w:color w:val="000000"/>
          <w:sz w:val="24"/>
          <w:szCs w:val="24"/>
        </w:rPr>
        <w:t>日（含）起，基金管理人运营公开募集证券投资基金（以下简称</w:t>
      </w:r>
      <w:r w:rsidRPr="00A73ECE">
        <w:rPr>
          <w:color w:val="000000"/>
          <w:sz w:val="24"/>
          <w:szCs w:val="24"/>
        </w:rPr>
        <w:t>“</w:t>
      </w:r>
      <w:r w:rsidRPr="00A73ECE">
        <w:rPr>
          <w:color w:val="000000"/>
          <w:sz w:val="24"/>
          <w:szCs w:val="24"/>
        </w:rPr>
        <w:t>基金</w:t>
      </w:r>
      <w:r w:rsidRPr="00A73ECE">
        <w:rPr>
          <w:color w:val="000000"/>
          <w:sz w:val="24"/>
          <w:szCs w:val="24"/>
        </w:rPr>
        <w:t>”</w:t>
      </w:r>
      <w:r w:rsidRPr="00A73ECE">
        <w:rPr>
          <w:color w:val="000000"/>
          <w:sz w:val="24"/>
          <w:szCs w:val="24"/>
        </w:rPr>
        <w:t>）过程中发生的增值税应税行为，应按照现行规定缴纳增值税。本基金管理人将依据国家税收法律、法规、规章及税收规范性文件的规定，对管理的基金产品运营过程中产生的应税收入，计提及缴纳增值税及附加税费，该部分税费由基金资产承担。如后续国家法律法规、税收政策进行调整的，或者对基金产品的税收政策</w:t>
      </w:r>
      <w:proofErr w:type="gramStart"/>
      <w:r w:rsidRPr="00A73ECE">
        <w:rPr>
          <w:color w:val="000000"/>
          <w:sz w:val="24"/>
          <w:szCs w:val="24"/>
        </w:rPr>
        <w:t>作出</w:t>
      </w:r>
      <w:proofErr w:type="gramEnd"/>
      <w:r w:rsidRPr="00A73ECE">
        <w:rPr>
          <w:color w:val="000000"/>
          <w:sz w:val="24"/>
          <w:szCs w:val="24"/>
        </w:rPr>
        <w:t>补充规定的，基金管理人将及时根据所涉及的税收政策</w:t>
      </w:r>
      <w:proofErr w:type="gramStart"/>
      <w:r w:rsidRPr="00A73ECE">
        <w:rPr>
          <w:color w:val="000000"/>
          <w:sz w:val="24"/>
          <w:szCs w:val="24"/>
        </w:rPr>
        <w:t>作出</w:t>
      </w:r>
      <w:proofErr w:type="gramEnd"/>
      <w:r w:rsidRPr="00A73ECE">
        <w:rPr>
          <w:color w:val="000000"/>
          <w:sz w:val="24"/>
          <w:szCs w:val="24"/>
        </w:rPr>
        <w:t>相应调整，切实履行基金管理人的职责。</w:t>
      </w:r>
    </w:p>
    <w:p w:rsidR="003C50AD" w:rsidRPr="00A73ECE" w:rsidRDefault="003C50AD" w:rsidP="00A73ECE">
      <w:pPr>
        <w:spacing w:before="29" w:line="288" w:lineRule="auto"/>
        <w:ind w:firstLineChars="200" w:firstLine="480"/>
        <w:rPr>
          <w:color w:val="000000"/>
          <w:sz w:val="24"/>
          <w:szCs w:val="24"/>
        </w:rPr>
      </w:pPr>
      <w:r w:rsidRPr="00A73ECE">
        <w:rPr>
          <w:color w:val="000000"/>
          <w:sz w:val="24"/>
          <w:szCs w:val="24"/>
        </w:rPr>
        <w:t>2</w:t>
      </w:r>
      <w:r w:rsidRPr="00A73ECE">
        <w:rPr>
          <w:color w:val="000000"/>
          <w:sz w:val="24"/>
          <w:szCs w:val="24"/>
        </w:rPr>
        <w:t>、根据《公开募集开放式证券投资基金流动性风险管理规定》的有关规定及相关监管要求，经与基金托管人协商一致并报监管机构备案，基金管理人对本</w:t>
      </w:r>
      <w:proofErr w:type="gramStart"/>
      <w:r w:rsidRPr="00A73ECE">
        <w:rPr>
          <w:color w:val="000000"/>
          <w:sz w:val="24"/>
          <w:szCs w:val="24"/>
        </w:rPr>
        <w:t>基金基金</w:t>
      </w:r>
      <w:proofErr w:type="gramEnd"/>
      <w:r w:rsidRPr="00A73ECE">
        <w:rPr>
          <w:color w:val="000000"/>
          <w:sz w:val="24"/>
          <w:szCs w:val="24"/>
        </w:rPr>
        <w:t>合同等法律文件作相应修改。请投资者关注基金合同中</w:t>
      </w:r>
      <w:r w:rsidRPr="00A73ECE">
        <w:rPr>
          <w:color w:val="000000"/>
          <w:sz w:val="24"/>
          <w:szCs w:val="24"/>
        </w:rPr>
        <w:t>“</w:t>
      </w:r>
      <w:r w:rsidRPr="00A73ECE">
        <w:rPr>
          <w:color w:val="000000"/>
          <w:sz w:val="24"/>
          <w:szCs w:val="24"/>
        </w:rPr>
        <w:t>对持续持有期少于</w:t>
      </w:r>
      <w:r w:rsidRPr="00A73ECE">
        <w:rPr>
          <w:color w:val="000000"/>
          <w:sz w:val="24"/>
          <w:szCs w:val="24"/>
        </w:rPr>
        <w:t>7</w:t>
      </w:r>
      <w:r w:rsidRPr="00A73ECE">
        <w:rPr>
          <w:color w:val="000000"/>
          <w:sz w:val="24"/>
          <w:szCs w:val="24"/>
        </w:rPr>
        <w:t>日的基金份额持有人收取不低于</w:t>
      </w:r>
      <w:r w:rsidRPr="00A73ECE">
        <w:rPr>
          <w:color w:val="000000"/>
          <w:sz w:val="24"/>
          <w:szCs w:val="24"/>
        </w:rPr>
        <w:t>1.5%</w:t>
      </w:r>
      <w:r w:rsidRPr="00A73ECE">
        <w:rPr>
          <w:color w:val="000000"/>
          <w:sz w:val="24"/>
          <w:szCs w:val="24"/>
        </w:rPr>
        <w:t>的赎回费并全额计入基金财产</w:t>
      </w:r>
      <w:r w:rsidRPr="00A73ECE">
        <w:rPr>
          <w:color w:val="000000"/>
          <w:sz w:val="24"/>
          <w:szCs w:val="24"/>
        </w:rPr>
        <w:t>”</w:t>
      </w:r>
      <w:r w:rsidRPr="00A73ECE">
        <w:rPr>
          <w:color w:val="000000"/>
          <w:sz w:val="24"/>
          <w:szCs w:val="24"/>
        </w:rPr>
        <w:t>的条款已于</w:t>
      </w:r>
      <w:r w:rsidRPr="00A73ECE">
        <w:rPr>
          <w:color w:val="000000"/>
          <w:sz w:val="24"/>
          <w:szCs w:val="24"/>
        </w:rPr>
        <w:t>2018</w:t>
      </w:r>
      <w:r w:rsidRPr="00A73ECE">
        <w:rPr>
          <w:color w:val="000000"/>
          <w:sz w:val="24"/>
          <w:szCs w:val="24"/>
        </w:rPr>
        <w:t>年</w:t>
      </w:r>
      <w:r w:rsidRPr="00A73ECE">
        <w:rPr>
          <w:color w:val="000000"/>
          <w:sz w:val="24"/>
          <w:szCs w:val="24"/>
        </w:rPr>
        <w:t>3</w:t>
      </w:r>
      <w:r w:rsidRPr="00A73ECE">
        <w:rPr>
          <w:color w:val="000000"/>
          <w:sz w:val="24"/>
          <w:szCs w:val="24"/>
        </w:rPr>
        <w:t>月</w:t>
      </w:r>
      <w:r w:rsidRPr="00A73ECE">
        <w:rPr>
          <w:color w:val="000000"/>
          <w:sz w:val="24"/>
          <w:szCs w:val="24"/>
        </w:rPr>
        <w:t>31</w:t>
      </w:r>
      <w:r w:rsidRPr="00A73ECE">
        <w:rPr>
          <w:color w:val="000000"/>
          <w:sz w:val="24"/>
          <w:szCs w:val="24"/>
        </w:rPr>
        <w:t>日起正式实施。欲知详情请查阅本基金管理人于</w:t>
      </w:r>
      <w:r w:rsidRPr="00A73ECE">
        <w:rPr>
          <w:color w:val="000000"/>
          <w:sz w:val="24"/>
          <w:szCs w:val="24"/>
        </w:rPr>
        <w:t>2018</w:t>
      </w:r>
      <w:r w:rsidRPr="00A73ECE">
        <w:rPr>
          <w:color w:val="000000"/>
          <w:sz w:val="24"/>
          <w:szCs w:val="24"/>
        </w:rPr>
        <w:t>年</w:t>
      </w:r>
      <w:r w:rsidRPr="00A73ECE">
        <w:rPr>
          <w:color w:val="000000"/>
          <w:sz w:val="24"/>
          <w:szCs w:val="24"/>
        </w:rPr>
        <w:t>3</w:t>
      </w:r>
      <w:r w:rsidRPr="00A73ECE">
        <w:rPr>
          <w:color w:val="000000"/>
          <w:sz w:val="24"/>
          <w:szCs w:val="24"/>
        </w:rPr>
        <w:t>月</w:t>
      </w:r>
      <w:r w:rsidRPr="00A73ECE">
        <w:rPr>
          <w:color w:val="000000"/>
          <w:sz w:val="24"/>
          <w:szCs w:val="24"/>
        </w:rPr>
        <w:t>22</w:t>
      </w:r>
      <w:r w:rsidRPr="00A73ECE">
        <w:rPr>
          <w:color w:val="000000"/>
          <w:sz w:val="24"/>
          <w:szCs w:val="24"/>
        </w:rPr>
        <w:t>日发布的有关公告及法律文件。</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lastRenderedPageBreak/>
        <w:t>§</w:t>
      </w:r>
      <w:r w:rsidR="00D02347" w:rsidRPr="00414345">
        <w:rPr>
          <w:color w:val="000000"/>
          <w:kern w:val="0"/>
          <w:sz w:val="24"/>
          <w:szCs w:val="24"/>
        </w:rPr>
        <w:t>10</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BE2EAD" w:rsidRDefault="00243D16">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、中国证监会批准交银施罗德主题优选灵活配置混合型证券投资基金募集的文件；</w:t>
      </w:r>
      <w:r>
        <w:rPr>
          <w:color w:val="000000"/>
          <w:sz w:val="24"/>
          <w:szCs w:val="24"/>
        </w:rPr>
        <w:t xml:space="preserve"> </w:t>
      </w:r>
    </w:p>
    <w:p w:rsidR="00BE2EAD" w:rsidRDefault="00243D16">
      <w:pPr>
        <w:spacing w:before="29" w:line="288" w:lineRule="auto"/>
        <w:ind w:firstLineChars="200" w:firstLine="480"/>
        <w:rPr>
          <w:color w:val="000000"/>
          <w:sz w:val="24"/>
          <w:szCs w:val="24"/>
        </w:rPr>
      </w:pPr>
      <w:r>
        <w:rPr>
          <w:color w:val="000000"/>
          <w:sz w:val="24"/>
          <w:szCs w:val="24"/>
        </w:rPr>
        <w:t>2</w:t>
      </w:r>
      <w:r>
        <w:rPr>
          <w:color w:val="000000"/>
          <w:sz w:val="24"/>
          <w:szCs w:val="24"/>
        </w:rPr>
        <w:t>、《交银施罗德主题优选灵活配置混合型证券投资基金基金合同》；</w:t>
      </w:r>
      <w:r>
        <w:rPr>
          <w:color w:val="000000"/>
          <w:sz w:val="24"/>
          <w:szCs w:val="24"/>
        </w:rPr>
        <w:t xml:space="preserve"> </w:t>
      </w:r>
    </w:p>
    <w:p w:rsidR="00BE2EAD" w:rsidRDefault="00243D16">
      <w:pPr>
        <w:spacing w:before="29" w:line="288" w:lineRule="auto"/>
        <w:ind w:firstLineChars="200" w:firstLine="480"/>
        <w:rPr>
          <w:color w:val="000000"/>
          <w:sz w:val="24"/>
          <w:szCs w:val="24"/>
        </w:rPr>
      </w:pPr>
      <w:r>
        <w:rPr>
          <w:color w:val="000000"/>
          <w:sz w:val="24"/>
          <w:szCs w:val="24"/>
        </w:rPr>
        <w:t>3</w:t>
      </w:r>
      <w:r>
        <w:rPr>
          <w:color w:val="000000"/>
          <w:sz w:val="24"/>
          <w:szCs w:val="24"/>
        </w:rPr>
        <w:t>、《交银施罗德主题优选灵活配置混合型证券投资基金招募说明书》；</w:t>
      </w:r>
    </w:p>
    <w:p w:rsidR="00BE2EAD" w:rsidRDefault="00243D16">
      <w:pPr>
        <w:spacing w:before="29" w:line="288" w:lineRule="auto"/>
        <w:ind w:firstLineChars="200" w:firstLine="480"/>
        <w:rPr>
          <w:color w:val="000000"/>
          <w:sz w:val="24"/>
          <w:szCs w:val="24"/>
        </w:rPr>
      </w:pPr>
      <w:r>
        <w:rPr>
          <w:color w:val="000000"/>
          <w:sz w:val="24"/>
          <w:szCs w:val="24"/>
        </w:rPr>
        <w:t>4</w:t>
      </w:r>
      <w:r>
        <w:rPr>
          <w:color w:val="000000"/>
          <w:sz w:val="24"/>
          <w:szCs w:val="24"/>
        </w:rPr>
        <w:t>、《交银施罗德主题优选灵活配置混合型证券投资基金托管协议》；</w:t>
      </w:r>
      <w:r>
        <w:rPr>
          <w:color w:val="000000"/>
          <w:sz w:val="24"/>
          <w:szCs w:val="24"/>
        </w:rPr>
        <w:t xml:space="preserve"> </w:t>
      </w:r>
    </w:p>
    <w:p w:rsidR="00BE2EAD" w:rsidRDefault="00243D16">
      <w:pPr>
        <w:spacing w:before="29" w:line="288" w:lineRule="auto"/>
        <w:ind w:firstLineChars="200" w:firstLine="480"/>
        <w:rPr>
          <w:color w:val="000000"/>
          <w:sz w:val="24"/>
          <w:szCs w:val="24"/>
        </w:rPr>
      </w:pPr>
      <w:r>
        <w:rPr>
          <w:color w:val="000000"/>
          <w:sz w:val="24"/>
          <w:szCs w:val="24"/>
        </w:rPr>
        <w:t>5</w:t>
      </w:r>
      <w:r>
        <w:rPr>
          <w:color w:val="000000"/>
          <w:sz w:val="24"/>
          <w:szCs w:val="24"/>
        </w:rPr>
        <w:t>、关于募集交银施罗德主题优选灵活配置混合型证券投资基金之法律意见书；</w:t>
      </w:r>
      <w:r>
        <w:rPr>
          <w:color w:val="000000"/>
          <w:sz w:val="24"/>
          <w:szCs w:val="24"/>
        </w:rPr>
        <w:t xml:space="preserve"> </w:t>
      </w:r>
    </w:p>
    <w:p w:rsidR="00BE2EAD" w:rsidRDefault="00243D16">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BE2EAD" w:rsidRDefault="00243D16">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、报告期内交银施罗德主题优选灵活配置混合型证券投资基金在指定报刊上各项公告的原稿。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BE2EAD" w:rsidRDefault="00243D16">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290" w:rsidRDefault="003C0290" w:rsidP="00876D65">
      <w:r>
        <w:separator/>
      </w:r>
    </w:p>
  </w:endnote>
  <w:endnote w:type="continuationSeparator" w:id="0">
    <w:p w:rsidR="003C0290" w:rsidRDefault="003C0290"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006A28">
      <w:rPr>
        <w:kern w:val="0"/>
        <w:szCs w:val="21"/>
      </w:rPr>
      <w:fldChar w:fldCharType="begin"/>
    </w:r>
    <w:r>
      <w:rPr>
        <w:kern w:val="0"/>
        <w:szCs w:val="21"/>
      </w:rPr>
      <w:instrText xml:space="preserve"> PAGE </w:instrText>
    </w:r>
    <w:r w:rsidR="00006A28">
      <w:rPr>
        <w:kern w:val="0"/>
        <w:szCs w:val="21"/>
      </w:rPr>
      <w:fldChar w:fldCharType="separate"/>
    </w:r>
    <w:r w:rsidR="00A73ECE">
      <w:rPr>
        <w:noProof/>
        <w:kern w:val="0"/>
        <w:szCs w:val="21"/>
      </w:rPr>
      <w:t>13</w:t>
    </w:r>
    <w:r w:rsidR="00006A28">
      <w:rPr>
        <w:kern w:val="0"/>
        <w:szCs w:val="21"/>
      </w:rPr>
      <w:fldChar w:fldCharType="end"/>
    </w:r>
    <w:proofErr w:type="gramStart"/>
    <w:r>
      <w:rPr>
        <w:rFonts w:hint="eastAsia"/>
        <w:kern w:val="0"/>
        <w:szCs w:val="21"/>
      </w:rPr>
      <w:t>页共</w:t>
    </w:r>
    <w:proofErr w:type="gramEnd"/>
    <w:r w:rsidR="00006A28">
      <w:rPr>
        <w:kern w:val="0"/>
        <w:szCs w:val="21"/>
      </w:rPr>
      <w:fldChar w:fldCharType="begin"/>
    </w:r>
    <w:r>
      <w:rPr>
        <w:kern w:val="0"/>
        <w:szCs w:val="21"/>
      </w:rPr>
      <w:instrText xml:space="preserve"> NUMPAGES </w:instrText>
    </w:r>
    <w:r w:rsidR="00006A28">
      <w:rPr>
        <w:kern w:val="0"/>
        <w:szCs w:val="21"/>
      </w:rPr>
      <w:fldChar w:fldCharType="separate"/>
    </w:r>
    <w:r w:rsidR="00A73ECE">
      <w:rPr>
        <w:noProof/>
        <w:kern w:val="0"/>
        <w:szCs w:val="21"/>
      </w:rPr>
      <w:t>13</w:t>
    </w:r>
    <w:r w:rsidR="00006A28">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290" w:rsidRDefault="003C0290" w:rsidP="00876D65">
      <w:r>
        <w:separator/>
      </w:r>
    </w:p>
  </w:footnote>
  <w:footnote w:type="continuationSeparator" w:id="0">
    <w:p w:rsidR="003C0290" w:rsidRDefault="003C0290"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交银施罗德主题优选灵活配置混合型证券投资基金</w:t>
    </w:r>
    <w:r w:rsidRPr="003E676C">
      <w:rPr>
        <w:sz w:val="24"/>
        <w:szCs w:val="24"/>
      </w:rPr>
      <w:t>2018</w:t>
    </w:r>
    <w:r w:rsidRPr="003E676C">
      <w:rPr>
        <w:sz w:val="24"/>
        <w:szCs w:val="24"/>
      </w:rPr>
      <w:t>年第</w:t>
    </w:r>
    <w:r w:rsidRPr="003E676C">
      <w:rPr>
        <w:sz w:val="24"/>
        <w:szCs w:val="24"/>
      </w:rPr>
      <w:t>1</w:t>
    </w:r>
    <w:r w:rsidRPr="003E676C">
      <w:rPr>
        <w:sz w:val="24"/>
        <w:szCs w:val="24"/>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3EB"/>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3D16"/>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58DC"/>
    <w:rsid w:val="003A6061"/>
    <w:rsid w:val="003B3494"/>
    <w:rsid w:val="003B5E08"/>
    <w:rsid w:val="003B6FBC"/>
    <w:rsid w:val="003C0290"/>
    <w:rsid w:val="003C32C0"/>
    <w:rsid w:val="003C50AD"/>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15C0"/>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B5F21"/>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3ECE"/>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B11A78"/>
    <w:rsid w:val="00B11BE5"/>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8F1"/>
    <w:rsid w:val="00BD70E0"/>
    <w:rsid w:val="00BD7473"/>
    <w:rsid w:val="00BD7703"/>
    <w:rsid w:val="00BE14ED"/>
    <w:rsid w:val="00BE2EA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456F"/>
    <w:rsid w:val="00DC6B55"/>
    <w:rsid w:val="00DE27F7"/>
    <w:rsid w:val="00DE4B43"/>
    <w:rsid w:val="00E02660"/>
    <w:rsid w:val="00E04BE1"/>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814DB8-F36B-4E44-AAAD-8618D7D1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705CF-615D-4082-8D86-5F56BF97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13</Pages>
  <Words>1278</Words>
  <Characters>7287</Characters>
  <Application>Microsoft Office Word</Application>
  <DocSecurity>0</DocSecurity>
  <Lines>60</Lines>
  <Paragraphs>17</Paragraphs>
  <ScaleCrop>false</ScaleCrop>
  <Company/>
  <LinksUpToDate>false</LinksUpToDate>
  <CharactersWithSpaces>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郝婷婷</cp:lastModifiedBy>
  <cp:revision>585</cp:revision>
  <dcterms:created xsi:type="dcterms:W3CDTF">2012-10-16T06:07:00Z</dcterms:created>
  <dcterms:modified xsi:type="dcterms:W3CDTF">2018-04-18T09:58:00Z</dcterms:modified>
</cp:coreProperties>
</file>