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二〇一八年四月二十一日</w:t>
      </w:r>
    </w:p>
    <w:p w:rsidR="00220542" w:rsidRPr="0036023B" w:rsidRDefault="00220542" w:rsidP="006D2F4A">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036347" w:rsidRDefault="00F96313">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36347" w:rsidRDefault="00F9631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36347" w:rsidRDefault="00F9631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36347" w:rsidRDefault="00F9631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36347" w:rsidRDefault="00F96313">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377,524,362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96313" w:rsidRPr="0036023B" w:rsidTr="00F96313">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F96313" w:rsidRPr="0036023B" w:rsidTr="00F9631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6,900,709.21</w:t>
            </w:r>
          </w:p>
        </w:tc>
      </w:tr>
      <w:tr w:rsidR="00F96313" w:rsidRPr="0036023B" w:rsidTr="00F9631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-22,812,580.41</w:t>
            </w:r>
          </w:p>
        </w:tc>
      </w:tr>
      <w:tr w:rsidR="00F96313" w:rsidRPr="0036023B" w:rsidTr="00F9631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-0.0590</w:t>
            </w:r>
          </w:p>
        </w:tc>
      </w:tr>
      <w:tr w:rsidR="00F96313" w:rsidRPr="0036023B" w:rsidTr="00F96313">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425,578,627.06</w:t>
            </w:r>
          </w:p>
        </w:tc>
      </w:tr>
      <w:tr w:rsidR="00F96313" w:rsidRPr="0036023B" w:rsidTr="00F96313">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1.127</w:t>
            </w:r>
          </w:p>
        </w:tc>
      </w:tr>
    </w:tbl>
    <w:p w:rsidR="00036347" w:rsidRDefault="00F9631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036347">
        <w:trPr>
          <w:jc w:val="center"/>
        </w:trPr>
        <w:tc>
          <w:tcPr>
            <w:tcW w:w="1469" w:type="dxa"/>
            <w:vAlign w:val="center"/>
          </w:tcPr>
          <w:p w:rsidR="00036347" w:rsidRDefault="00F96313">
            <w:pPr>
              <w:jc w:val="left"/>
            </w:pPr>
            <w:r>
              <w:rPr>
                <w:color w:val="000000"/>
                <w:sz w:val="24"/>
              </w:rPr>
              <w:t>过去三个月</w:t>
            </w:r>
          </w:p>
        </w:tc>
        <w:tc>
          <w:tcPr>
            <w:tcW w:w="1150" w:type="dxa"/>
            <w:vAlign w:val="center"/>
          </w:tcPr>
          <w:p w:rsidR="00036347" w:rsidRDefault="00F96313">
            <w:pPr>
              <w:jc w:val="center"/>
            </w:pPr>
            <w:r>
              <w:rPr>
                <w:color w:val="000000"/>
                <w:sz w:val="24"/>
              </w:rPr>
              <w:t>-5.21%</w:t>
            </w:r>
          </w:p>
        </w:tc>
        <w:tc>
          <w:tcPr>
            <w:tcW w:w="1223" w:type="dxa"/>
            <w:vAlign w:val="center"/>
          </w:tcPr>
          <w:p w:rsidR="00036347" w:rsidRDefault="00F96313">
            <w:pPr>
              <w:jc w:val="center"/>
            </w:pPr>
            <w:r>
              <w:rPr>
                <w:color w:val="000000"/>
                <w:sz w:val="24"/>
              </w:rPr>
              <w:t>1.22%</w:t>
            </w:r>
          </w:p>
        </w:tc>
        <w:tc>
          <w:tcPr>
            <w:tcW w:w="1244" w:type="dxa"/>
            <w:vAlign w:val="center"/>
          </w:tcPr>
          <w:p w:rsidR="00036347" w:rsidRDefault="00F96313">
            <w:pPr>
              <w:jc w:val="center"/>
            </w:pPr>
            <w:r>
              <w:rPr>
                <w:color w:val="000000"/>
                <w:sz w:val="24"/>
              </w:rPr>
              <w:t>-4.94%</w:t>
            </w:r>
          </w:p>
        </w:tc>
        <w:tc>
          <w:tcPr>
            <w:tcW w:w="1251" w:type="dxa"/>
            <w:vAlign w:val="center"/>
          </w:tcPr>
          <w:p w:rsidR="00036347" w:rsidRDefault="00F96313">
            <w:pPr>
              <w:jc w:val="center"/>
            </w:pPr>
            <w:r>
              <w:rPr>
                <w:color w:val="000000"/>
                <w:sz w:val="24"/>
              </w:rPr>
              <w:t>1.21%</w:t>
            </w:r>
          </w:p>
        </w:tc>
        <w:tc>
          <w:tcPr>
            <w:tcW w:w="1263" w:type="dxa"/>
            <w:vAlign w:val="center"/>
          </w:tcPr>
          <w:p w:rsidR="00036347" w:rsidRDefault="00F96313">
            <w:pPr>
              <w:jc w:val="center"/>
            </w:pPr>
            <w:r>
              <w:rPr>
                <w:color w:val="000000"/>
                <w:sz w:val="24"/>
              </w:rPr>
              <w:t>-0.27%</w:t>
            </w:r>
          </w:p>
        </w:tc>
        <w:tc>
          <w:tcPr>
            <w:tcW w:w="1268" w:type="dxa"/>
            <w:vAlign w:val="center"/>
          </w:tcPr>
          <w:p w:rsidR="00036347" w:rsidRDefault="00F96313">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F96313" w:rsidP="0099526C">
      <w:pPr>
        <w:tabs>
          <w:tab w:val="left" w:pos="1800"/>
        </w:tabs>
        <w:spacing w:before="29" w:line="288" w:lineRule="auto"/>
        <w:jc w:val="center"/>
        <w:rPr>
          <w:color w:val="000000"/>
          <w:sz w:val="24"/>
        </w:rPr>
      </w:pPr>
      <w:r w:rsidRPr="0036023B">
        <w:rPr>
          <w:noProof/>
          <w:color w:val="000000"/>
          <w:sz w:val="24"/>
        </w:rPr>
        <w:drawing>
          <wp:inline distT="0" distB="0" distL="0" distR="0" wp14:anchorId="3F0CC6D2" wp14:editId="68344E83">
            <wp:extent cx="5731510" cy="3356610"/>
            <wp:effectExtent l="0" t="0" r="0" b="0"/>
            <wp:docPr id="1"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036347">
        <w:trPr>
          <w:jc w:val="center"/>
        </w:trPr>
        <w:tc>
          <w:tcPr>
            <w:tcW w:w="846" w:type="dxa"/>
            <w:vAlign w:val="center"/>
          </w:tcPr>
          <w:p w:rsidR="00036347" w:rsidRDefault="00F96313">
            <w:pPr>
              <w:jc w:val="center"/>
            </w:pPr>
            <w:r>
              <w:rPr>
                <w:color w:val="000000"/>
                <w:sz w:val="24"/>
              </w:rPr>
              <w:t>蔡铮</w:t>
            </w:r>
          </w:p>
        </w:tc>
        <w:tc>
          <w:tcPr>
            <w:tcW w:w="845" w:type="dxa"/>
            <w:vAlign w:val="center"/>
          </w:tcPr>
          <w:p w:rsidR="00036347" w:rsidRDefault="00F9631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r>
              <w:rPr>
                <w:color w:val="000000"/>
                <w:sz w:val="24"/>
              </w:rPr>
              <w:lastRenderedPageBreak/>
              <w:t>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w:t>
            </w:r>
            <w:r>
              <w:rPr>
                <w:color w:val="000000"/>
                <w:sz w:val="24"/>
              </w:rPr>
              <w:lastRenderedPageBreak/>
              <w:t>管理副总监</w:t>
            </w:r>
          </w:p>
        </w:tc>
        <w:tc>
          <w:tcPr>
            <w:tcW w:w="1549" w:type="dxa"/>
            <w:vAlign w:val="center"/>
          </w:tcPr>
          <w:p w:rsidR="00036347" w:rsidRDefault="00F96313">
            <w:pPr>
              <w:jc w:val="center"/>
            </w:pPr>
            <w:r>
              <w:rPr>
                <w:color w:val="000000"/>
                <w:sz w:val="24"/>
              </w:rPr>
              <w:lastRenderedPageBreak/>
              <w:t>2012-12-27</w:t>
            </w:r>
          </w:p>
        </w:tc>
        <w:tc>
          <w:tcPr>
            <w:tcW w:w="1548" w:type="dxa"/>
            <w:vAlign w:val="center"/>
          </w:tcPr>
          <w:p w:rsidR="00036347" w:rsidRDefault="00F96313">
            <w:pPr>
              <w:jc w:val="center"/>
            </w:pPr>
            <w:r>
              <w:rPr>
                <w:color w:val="000000"/>
                <w:sz w:val="24"/>
              </w:rPr>
              <w:t>-</w:t>
            </w:r>
          </w:p>
        </w:tc>
        <w:tc>
          <w:tcPr>
            <w:tcW w:w="1407" w:type="dxa"/>
            <w:vAlign w:val="center"/>
          </w:tcPr>
          <w:p w:rsidR="00036347" w:rsidRDefault="00F96313">
            <w:pPr>
              <w:jc w:val="center"/>
            </w:pPr>
            <w:r>
              <w:rPr>
                <w:color w:val="000000"/>
                <w:sz w:val="24"/>
              </w:rPr>
              <w:t>9</w:t>
            </w:r>
            <w:r>
              <w:rPr>
                <w:color w:val="000000"/>
                <w:sz w:val="24"/>
              </w:rPr>
              <w:t>年</w:t>
            </w:r>
          </w:p>
        </w:tc>
        <w:tc>
          <w:tcPr>
            <w:tcW w:w="2673" w:type="dxa"/>
            <w:vAlign w:val="center"/>
          </w:tcPr>
          <w:p w:rsidR="00036347" w:rsidRDefault="00F9631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w:t>
            </w:r>
            <w:r>
              <w:rPr>
                <w:color w:val="000000"/>
                <w:sz w:val="24"/>
              </w:rPr>
              <w:lastRenderedPageBreak/>
              <w:t>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036347" w:rsidRDefault="00F9631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36347" w:rsidRDefault="00F9631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6347" w:rsidRDefault="00F9631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036347" w:rsidRDefault="00F96313">
      <w:pPr>
        <w:spacing w:before="29" w:line="288" w:lineRule="auto"/>
        <w:ind w:firstLineChars="200" w:firstLine="480"/>
        <w:rPr>
          <w:color w:val="000000"/>
          <w:sz w:val="24"/>
        </w:rPr>
      </w:pPr>
      <w:r>
        <w:rPr>
          <w:color w:val="000000"/>
          <w:sz w:val="24"/>
        </w:rPr>
        <w:t>2018</w:t>
      </w:r>
      <w:r>
        <w:rPr>
          <w:color w:val="000000"/>
          <w:sz w:val="24"/>
        </w:rPr>
        <w:t>年一季度国内经济整体延续稳定状态，投资增速缓中趋稳，结构持续优化</w:t>
      </w:r>
      <w:r>
        <w:rPr>
          <w:color w:val="000000"/>
          <w:sz w:val="24"/>
        </w:rPr>
        <w:t>,</w:t>
      </w:r>
      <w:r>
        <w:rPr>
          <w:color w:val="000000"/>
          <w:sz w:val="24"/>
        </w:rPr>
        <w:t>消</w:t>
      </w:r>
      <w:r>
        <w:rPr>
          <w:color w:val="000000"/>
          <w:sz w:val="24"/>
        </w:rPr>
        <w:lastRenderedPageBreak/>
        <w:t>费增速小幅回落，对经济的贡献有所减弱。新旧动能转换、工业产能持续出清</w:t>
      </w:r>
      <w:r>
        <w:rPr>
          <w:color w:val="000000"/>
          <w:sz w:val="24"/>
        </w:rPr>
        <w:t>,</w:t>
      </w:r>
      <w:r>
        <w:rPr>
          <w:color w:val="000000"/>
          <w:sz w:val="24"/>
        </w:rPr>
        <w:t>同时产能利用率回升，行业集中度上升，经济整体效率提升，继而推动经济增长进入高质量发展阶段的新时代。在此经济背景下，一季度</w:t>
      </w:r>
      <w:r>
        <w:rPr>
          <w:color w:val="000000"/>
          <w:sz w:val="24"/>
        </w:rPr>
        <w:t>A</w:t>
      </w:r>
      <w:r>
        <w:rPr>
          <w:color w:val="000000"/>
          <w:sz w:val="24"/>
        </w:rPr>
        <w:t>股市场宽幅震荡，作为跟踪基准指数的指数基金，一季度基金总体呈现出区间震荡的走势。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下一季度，我们认为通胀仍将维持温和，货币中性稳健，财政政策持续发力。受中美贸易战影响，短期内外需对经济的拉动作用或将面临一定冲击，但从中长期来看有利于加快培育壮大我国经济新动能。总体而言，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2018</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w:t>
      </w:r>
      <w:r w:rsidRPr="0036023B">
        <w:rPr>
          <w:color w:val="000000"/>
          <w:sz w:val="24"/>
        </w:rPr>
        <w:t>1.127</w:t>
      </w:r>
      <w:r w:rsidRPr="0036023B">
        <w:rPr>
          <w:color w:val="000000"/>
          <w:sz w:val="24"/>
        </w:rPr>
        <w:t>元，本报告期份额净值增长率为</w:t>
      </w:r>
      <w:r w:rsidRPr="0036023B">
        <w:rPr>
          <w:color w:val="000000"/>
          <w:sz w:val="24"/>
        </w:rPr>
        <w:t>-5.21%</w:t>
      </w:r>
      <w:r w:rsidRPr="0036023B">
        <w:rPr>
          <w:color w:val="000000"/>
          <w:sz w:val="24"/>
        </w:rPr>
        <w:t>，同期业绩比较基准增长率为</w:t>
      </w:r>
      <w:r w:rsidRPr="0036023B">
        <w:rPr>
          <w:color w:val="000000"/>
          <w:sz w:val="24"/>
        </w:rPr>
        <w:t>-4.94%</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423,842,445.59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99.45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423,842,445.59</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99.45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lastRenderedPageBreak/>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2,347,832.78</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0.55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3,428.01</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426,193,706.38</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888,943.74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0.21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22,596,956.44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5.31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93,972,605.83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22.08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20,691,803.40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27,860,424.23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6.55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9,600,810.34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16,553,601.60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8,136,396.80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204,580,568.39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48.07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18,017,434.82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4.23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942,900.00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423,842,445.59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99.59</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036347">
        <w:trPr>
          <w:jc w:val="center"/>
        </w:trPr>
        <w:tc>
          <w:tcPr>
            <w:tcW w:w="850" w:type="dxa"/>
            <w:vAlign w:val="center"/>
          </w:tcPr>
          <w:p w:rsidR="00036347" w:rsidRDefault="00F96313">
            <w:pPr>
              <w:jc w:val="center"/>
            </w:pPr>
            <w:r>
              <w:rPr>
                <w:color w:val="000000"/>
                <w:sz w:val="24"/>
              </w:rPr>
              <w:t>1</w:t>
            </w:r>
          </w:p>
        </w:tc>
        <w:tc>
          <w:tcPr>
            <w:tcW w:w="1327" w:type="dxa"/>
            <w:vAlign w:val="center"/>
          </w:tcPr>
          <w:p w:rsidR="00036347" w:rsidRDefault="00F96313">
            <w:pPr>
              <w:jc w:val="center"/>
            </w:pPr>
            <w:r>
              <w:rPr>
                <w:color w:val="000000"/>
                <w:sz w:val="24"/>
              </w:rPr>
              <w:t>601318</w:t>
            </w:r>
          </w:p>
        </w:tc>
        <w:tc>
          <w:tcPr>
            <w:tcW w:w="1769" w:type="dxa"/>
            <w:vAlign w:val="center"/>
          </w:tcPr>
          <w:p w:rsidR="00036347" w:rsidRDefault="00F96313">
            <w:pPr>
              <w:jc w:val="center"/>
            </w:pPr>
            <w:r>
              <w:rPr>
                <w:color w:val="000000"/>
                <w:sz w:val="24"/>
              </w:rPr>
              <w:t>中国平安</w:t>
            </w:r>
          </w:p>
        </w:tc>
        <w:tc>
          <w:tcPr>
            <w:tcW w:w="1327" w:type="dxa"/>
            <w:vAlign w:val="center"/>
          </w:tcPr>
          <w:p w:rsidR="00036347" w:rsidRDefault="00F96313">
            <w:pPr>
              <w:jc w:val="right"/>
            </w:pPr>
            <w:r>
              <w:rPr>
                <w:color w:val="000000"/>
                <w:sz w:val="24"/>
              </w:rPr>
              <w:t>989,135</w:t>
            </w:r>
          </w:p>
        </w:tc>
        <w:tc>
          <w:tcPr>
            <w:tcW w:w="1915" w:type="dxa"/>
            <w:vAlign w:val="center"/>
          </w:tcPr>
          <w:p w:rsidR="00036347" w:rsidRDefault="00F96313">
            <w:pPr>
              <w:jc w:val="right"/>
            </w:pPr>
            <w:r>
              <w:rPr>
                <w:color w:val="000000"/>
                <w:sz w:val="24"/>
              </w:rPr>
              <w:t>64,600,406.85</w:t>
            </w:r>
          </w:p>
        </w:tc>
        <w:tc>
          <w:tcPr>
            <w:tcW w:w="1680" w:type="dxa"/>
            <w:vAlign w:val="center"/>
          </w:tcPr>
          <w:p w:rsidR="00036347" w:rsidRDefault="00F96313">
            <w:pPr>
              <w:jc w:val="right"/>
            </w:pPr>
            <w:r>
              <w:rPr>
                <w:color w:val="000000"/>
                <w:sz w:val="24"/>
              </w:rPr>
              <w:t>15.18</w:t>
            </w:r>
          </w:p>
        </w:tc>
      </w:tr>
      <w:tr w:rsidR="00036347">
        <w:trPr>
          <w:jc w:val="center"/>
        </w:trPr>
        <w:tc>
          <w:tcPr>
            <w:tcW w:w="850" w:type="dxa"/>
            <w:vAlign w:val="center"/>
          </w:tcPr>
          <w:p w:rsidR="00036347" w:rsidRDefault="00F96313">
            <w:pPr>
              <w:jc w:val="center"/>
            </w:pPr>
            <w:r>
              <w:rPr>
                <w:color w:val="000000"/>
                <w:sz w:val="24"/>
              </w:rPr>
              <w:t>2</w:t>
            </w:r>
          </w:p>
        </w:tc>
        <w:tc>
          <w:tcPr>
            <w:tcW w:w="1327" w:type="dxa"/>
            <w:vAlign w:val="center"/>
          </w:tcPr>
          <w:p w:rsidR="00036347" w:rsidRDefault="00F96313">
            <w:pPr>
              <w:jc w:val="center"/>
            </w:pPr>
            <w:r>
              <w:rPr>
                <w:color w:val="000000"/>
                <w:sz w:val="24"/>
              </w:rPr>
              <w:t>600036</w:t>
            </w:r>
          </w:p>
        </w:tc>
        <w:tc>
          <w:tcPr>
            <w:tcW w:w="1769" w:type="dxa"/>
            <w:vAlign w:val="center"/>
          </w:tcPr>
          <w:p w:rsidR="00036347" w:rsidRDefault="00F96313">
            <w:pPr>
              <w:jc w:val="center"/>
            </w:pPr>
            <w:r>
              <w:rPr>
                <w:color w:val="000000"/>
                <w:sz w:val="24"/>
              </w:rPr>
              <w:t>招商银行</w:t>
            </w:r>
          </w:p>
        </w:tc>
        <w:tc>
          <w:tcPr>
            <w:tcW w:w="1327" w:type="dxa"/>
            <w:vAlign w:val="center"/>
          </w:tcPr>
          <w:p w:rsidR="00036347" w:rsidRDefault="00F96313">
            <w:pPr>
              <w:jc w:val="right"/>
            </w:pPr>
            <w:r>
              <w:rPr>
                <w:color w:val="000000"/>
                <w:sz w:val="24"/>
              </w:rPr>
              <w:t>942,282</w:t>
            </w:r>
          </w:p>
        </w:tc>
        <w:tc>
          <w:tcPr>
            <w:tcW w:w="1915" w:type="dxa"/>
            <w:vAlign w:val="center"/>
          </w:tcPr>
          <w:p w:rsidR="00036347" w:rsidRDefault="00F96313">
            <w:pPr>
              <w:jc w:val="right"/>
            </w:pPr>
            <w:r>
              <w:rPr>
                <w:color w:val="000000"/>
                <w:sz w:val="24"/>
              </w:rPr>
              <w:t>27,410,983.38</w:t>
            </w:r>
          </w:p>
        </w:tc>
        <w:tc>
          <w:tcPr>
            <w:tcW w:w="1680" w:type="dxa"/>
            <w:vAlign w:val="center"/>
          </w:tcPr>
          <w:p w:rsidR="00036347" w:rsidRDefault="00F96313">
            <w:pPr>
              <w:jc w:val="right"/>
            </w:pPr>
            <w:r>
              <w:rPr>
                <w:color w:val="000000"/>
                <w:sz w:val="24"/>
              </w:rPr>
              <w:t>6.44</w:t>
            </w:r>
          </w:p>
        </w:tc>
      </w:tr>
      <w:tr w:rsidR="00036347">
        <w:trPr>
          <w:jc w:val="center"/>
        </w:trPr>
        <w:tc>
          <w:tcPr>
            <w:tcW w:w="850" w:type="dxa"/>
            <w:vAlign w:val="center"/>
          </w:tcPr>
          <w:p w:rsidR="00036347" w:rsidRDefault="00F96313">
            <w:pPr>
              <w:jc w:val="center"/>
            </w:pPr>
            <w:r>
              <w:rPr>
                <w:color w:val="000000"/>
                <w:sz w:val="24"/>
              </w:rPr>
              <w:t>3</w:t>
            </w:r>
          </w:p>
        </w:tc>
        <w:tc>
          <w:tcPr>
            <w:tcW w:w="1327" w:type="dxa"/>
            <w:vAlign w:val="center"/>
          </w:tcPr>
          <w:p w:rsidR="00036347" w:rsidRDefault="00F96313">
            <w:pPr>
              <w:jc w:val="center"/>
            </w:pPr>
            <w:r>
              <w:rPr>
                <w:color w:val="000000"/>
                <w:sz w:val="24"/>
              </w:rPr>
              <w:t>601166</w:t>
            </w:r>
          </w:p>
        </w:tc>
        <w:tc>
          <w:tcPr>
            <w:tcW w:w="1769" w:type="dxa"/>
            <w:vAlign w:val="center"/>
          </w:tcPr>
          <w:p w:rsidR="00036347" w:rsidRDefault="00F96313">
            <w:pPr>
              <w:jc w:val="center"/>
            </w:pPr>
            <w:r>
              <w:rPr>
                <w:color w:val="000000"/>
                <w:sz w:val="24"/>
              </w:rPr>
              <w:t>兴业银行</w:t>
            </w:r>
          </w:p>
        </w:tc>
        <w:tc>
          <w:tcPr>
            <w:tcW w:w="1327" w:type="dxa"/>
            <w:vAlign w:val="center"/>
          </w:tcPr>
          <w:p w:rsidR="00036347" w:rsidRDefault="00F96313">
            <w:pPr>
              <w:jc w:val="right"/>
            </w:pPr>
            <w:r>
              <w:rPr>
                <w:color w:val="000000"/>
                <w:sz w:val="24"/>
              </w:rPr>
              <w:t>1,139,462</w:t>
            </w:r>
          </w:p>
        </w:tc>
        <w:tc>
          <w:tcPr>
            <w:tcW w:w="1915" w:type="dxa"/>
            <w:vAlign w:val="center"/>
          </w:tcPr>
          <w:p w:rsidR="00036347" w:rsidRDefault="00F96313">
            <w:pPr>
              <w:jc w:val="right"/>
            </w:pPr>
            <w:r>
              <w:rPr>
                <w:color w:val="000000"/>
                <w:sz w:val="24"/>
              </w:rPr>
              <w:t>19,017,620.78</w:t>
            </w:r>
          </w:p>
        </w:tc>
        <w:tc>
          <w:tcPr>
            <w:tcW w:w="1680" w:type="dxa"/>
            <w:vAlign w:val="center"/>
          </w:tcPr>
          <w:p w:rsidR="00036347" w:rsidRDefault="00F96313">
            <w:pPr>
              <w:jc w:val="right"/>
            </w:pPr>
            <w:r>
              <w:rPr>
                <w:color w:val="000000"/>
                <w:sz w:val="24"/>
              </w:rPr>
              <w:t>4.47</w:t>
            </w:r>
          </w:p>
        </w:tc>
      </w:tr>
      <w:tr w:rsidR="00036347">
        <w:trPr>
          <w:jc w:val="center"/>
        </w:trPr>
        <w:tc>
          <w:tcPr>
            <w:tcW w:w="850" w:type="dxa"/>
            <w:vAlign w:val="center"/>
          </w:tcPr>
          <w:p w:rsidR="00036347" w:rsidRDefault="00F96313">
            <w:pPr>
              <w:jc w:val="center"/>
            </w:pPr>
            <w:r>
              <w:rPr>
                <w:color w:val="000000"/>
                <w:sz w:val="24"/>
              </w:rPr>
              <w:t>4</w:t>
            </w:r>
          </w:p>
        </w:tc>
        <w:tc>
          <w:tcPr>
            <w:tcW w:w="1327" w:type="dxa"/>
            <w:vAlign w:val="center"/>
          </w:tcPr>
          <w:p w:rsidR="00036347" w:rsidRDefault="00F96313">
            <w:pPr>
              <w:jc w:val="center"/>
            </w:pPr>
            <w:r>
              <w:rPr>
                <w:color w:val="000000"/>
                <w:sz w:val="24"/>
              </w:rPr>
              <w:t>600016</w:t>
            </w:r>
          </w:p>
        </w:tc>
        <w:tc>
          <w:tcPr>
            <w:tcW w:w="1769" w:type="dxa"/>
            <w:vAlign w:val="center"/>
          </w:tcPr>
          <w:p w:rsidR="00036347" w:rsidRDefault="00F96313">
            <w:pPr>
              <w:jc w:val="center"/>
            </w:pPr>
            <w:r>
              <w:rPr>
                <w:color w:val="000000"/>
                <w:sz w:val="24"/>
              </w:rPr>
              <w:t>民生银行</w:t>
            </w:r>
          </w:p>
        </w:tc>
        <w:tc>
          <w:tcPr>
            <w:tcW w:w="1327" w:type="dxa"/>
            <w:vAlign w:val="center"/>
          </w:tcPr>
          <w:p w:rsidR="00036347" w:rsidRDefault="00F96313">
            <w:pPr>
              <w:jc w:val="right"/>
            </w:pPr>
            <w:r>
              <w:rPr>
                <w:color w:val="000000"/>
                <w:sz w:val="24"/>
              </w:rPr>
              <w:t>2,160,819</w:t>
            </w:r>
          </w:p>
        </w:tc>
        <w:tc>
          <w:tcPr>
            <w:tcW w:w="1915" w:type="dxa"/>
            <w:vAlign w:val="center"/>
          </w:tcPr>
          <w:p w:rsidR="00036347" w:rsidRDefault="00F96313">
            <w:pPr>
              <w:jc w:val="right"/>
            </w:pPr>
            <w:r>
              <w:rPr>
                <w:color w:val="000000"/>
                <w:sz w:val="24"/>
              </w:rPr>
              <w:t>17,264,943.81</w:t>
            </w:r>
          </w:p>
        </w:tc>
        <w:tc>
          <w:tcPr>
            <w:tcW w:w="1680" w:type="dxa"/>
            <w:vAlign w:val="center"/>
          </w:tcPr>
          <w:p w:rsidR="00036347" w:rsidRDefault="00F96313">
            <w:pPr>
              <w:jc w:val="right"/>
            </w:pPr>
            <w:r>
              <w:rPr>
                <w:color w:val="000000"/>
                <w:sz w:val="24"/>
              </w:rPr>
              <w:t>4.06</w:t>
            </w:r>
          </w:p>
        </w:tc>
      </w:tr>
      <w:tr w:rsidR="00036347">
        <w:trPr>
          <w:jc w:val="center"/>
        </w:trPr>
        <w:tc>
          <w:tcPr>
            <w:tcW w:w="850" w:type="dxa"/>
            <w:vAlign w:val="center"/>
          </w:tcPr>
          <w:p w:rsidR="00036347" w:rsidRDefault="00F96313">
            <w:pPr>
              <w:jc w:val="center"/>
            </w:pPr>
            <w:r>
              <w:rPr>
                <w:color w:val="000000"/>
                <w:sz w:val="24"/>
              </w:rPr>
              <w:t>5</w:t>
            </w:r>
          </w:p>
        </w:tc>
        <w:tc>
          <w:tcPr>
            <w:tcW w:w="1327" w:type="dxa"/>
            <w:vAlign w:val="center"/>
          </w:tcPr>
          <w:p w:rsidR="00036347" w:rsidRDefault="00F96313">
            <w:pPr>
              <w:jc w:val="center"/>
            </w:pPr>
            <w:r>
              <w:rPr>
                <w:color w:val="000000"/>
                <w:sz w:val="24"/>
              </w:rPr>
              <w:t>600000</w:t>
            </w:r>
          </w:p>
        </w:tc>
        <w:tc>
          <w:tcPr>
            <w:tcW w:w="1769" w:type="dxa"/>
            <w:vAlign w:val="center"/>
          </w:tcPr>
          <w:p w:rsidR="00036347" w:rsidRDefault="00F96313">
            <w:pPr>
              <w:jc w:val="center"/>
            </w:pPr>
            <w:r>
              <w:rPr>
                <w:color w:val="000000"/>
                <w:sz w:val="24"/>
              </w:rPr>
              <w:t>浦发银行</w:t>
            </w:r>
          </w:p>
        </w:tc>
        <w:tc>
          <w:tcPr>
            <w:tcW w:w="1327" w:type="dxa"/>
            <w:vAlign w:val="center"/>
          </w:tcPr>
          <w:p w:rsidR="00036347" w:rsidRDefault="00F96313">
            <w:pPr>
              <w:jc w:val="right"/>
            </w:pPr>
            <w:r>
              <w:rPr>
                <w:color w:val="000000"/>
                <w:sz w:val="24"/>
              </w:rPr>
              <w:t>1,071,445</w:t>
            </w:r>
          </w:p>
        </w:tc>
        <w:tc>
          <w:tcPr>
            <w:tcW w:w="1915" w:type="dxa"/>
            <w:vAlign w:val="center"/>
          </w:tcPr>
          <w:p w:rsidR="00036347" w:rsidRDefault="00F96313">
            <w:pPr>
              <w:jc w:val="right"/>
            </w:pPr>
            <w:r>
              <w:rPr>
                <w:color w:val="000000"/>
                <w:sz w:val="24"/>
              </w:rPr>
              <w:t>12,482,334.25</w:t>
            </w:r>
          </w:p>
        </w:tc>
        <w:tc>
          <w:tcPr>
            <w:tcW w:w="1680" w:type="dxa"/>
            <w:vAlign w:val="center"/>
          </w:tcPr>
          <w:p w:rsidR="00036347" w:rsidRDefault="00F96313">
            <w:pPr>
              <w:jc w:val="right"/>
            </w:pPr>
            <w:r>
              <w:rPr>
                <w:color w:val="000000"/>
                <w:sz w:val="24"/>
              </w:rPr>
              <w:t>2.93</w:t>
            </w:r>
          </w:p>
        </w:tc>
      </w:tr>
      <w:tr w:rsidR="00036347">
        <w:trPr>
          <w:jc w:val="center"/>
        </w:trPr>
        <w:tc>
          <w:tcPr>
            <w:tcW w:w="850" w:type="dxa"/>
            <w:vAlign w:val="center"/>
          </w:tcPr>
          <w:p w:rsidR="00036347" w:rsidRDefault="00F96313">
            <w:pPr>
              <w:jc w:val="center"/>
            </w:pPr>
            <w:r>
              <w:rPr>
                <w:color w:val="000000"/>
                <w:sz w:val="24"/>
              </w:rPr>
              <w:t>6</w:t>
            </w:r>
          </w:p>
        </w:tc>
        <w:tc>
          <w:tcPr>
            <w:tcW w:w="1327" w:type="dxa"/>
            <w:vAlign w:val="center"/>
          </w:tcPr>
          <w:p w:rsidR="00036347" w:rsidRDefault="00F96313">
            <w:pPr>
              <w:jc w:val="center"/>
            </w:pPr>
            <w:r>
              <w:rPr>
                <w:color w:val="000000"/>
                <w:sz w:val="24"/>
              </w:rPr>
              <w:t>601398</w:t>
            </w:r>
          </w:p>
        </w:tc>
        <w:tc>
          <w:tcPr>
            <w:tcW w:w="1769" w:type="dxa"/>
            <w:vAlign w:val="center"/>
          </w:tcPr>
          <w:p w:rsidR="00036347" w:rsidRDefault="00F96313">
            <w:pPr>
              <w:jc w:val="center"/>
            </w:pPr>
            <w:r>
              <w:rPr>
                <w:color w:val="000000"/>
                <w:sz w:val="24"/>
              </w:rPr>
              <w:t>工商银行</w:t>
            </w:r>
          </w:p>
        </w:tc>
        <w:tc>
          <w:tcPr>
            <w:tcW w:w="1327" w:type="dxa"/>
            <w:vAlign w:val="center"/>
          </w:tcPr>
          <w:p w:rsidR="00036347" w:rsidRDefault="00F96313">
            <w:pPr>
              <w:jc w:val="right"/>
            </w:pPr>
            <w:r>
              <w:rPr>
                <w:color w:val="000000"/>
                <w:sz w:val="24"/>
              </w:rPr>
              <w:t>1,971,451</w:t>
            </w:r>
          </w:p>
        </w:tc>
        <w:tc>
          <w:tcPr>
            <w:tcW w:w="1915" w:type="dxa"/>
            <w:vAlign w:val="center"/>
          </w:tcPr>
          <w:p w:rsidR="00036347" w:rsidRDefault="00F96313">
            <w:pPr>
              <w:jc w:val="right"/>
            </w:pPr>
            <w:r>
              <w:rPr>
                <w:color w:val="000000"/>
                <w:sz w:val="24"/>
              </w:rPr>
              <w:t>12,006,136.59</w:t>
            </w:r>
          </w:p>
        </w:tc>
        <w:tc>
          <w:tcPr>
            <w:tcW w:w="1680" w:type="dxa"/>
            <w:vAlign w:val="center"/>
          </w:tcPr>
          <w:p w:rsidR="00036347" w:rsidRDefault="00F96313">
            <w:pPr>
              <w:jc w:val="right"/>
            </w:pPr>
            <w:r>
              <w:rPr>
                <w:color w:val="000000"/>
                <w:sz w:val="24"/>
              </w:rPr>
              <w:t>2.82</w:t>
            </w:r>
          </w:p>
        </w:tc>
      </w:tr>
      <w:tr w:rsidR="00036347">
        <w:trPr>
          <w:jc w:val="center"/>
        </w:trPr>
        <w:tc>
          <w:tcPr>
            <w:tcW w:w="850" w:type="dxa"/>
            <w:vAlign w:val="center"/>
          </w:tcPr>
          <w:p w:rsidR="00036347" w:rsidRDefault="00F96313">
            <w:pPr>
              <w:jc w:val="center"/>
            </w:pPr>
            <w:r>
              <w:rPr>
                <w:color w:val="000000"/>
                <w:sz w:val="24"/>
              </w:rPr>
              <w:t>7</w:t>
            </w:r>
          </w:p>
        </w:tc>
        <w:tc>
          <w:tcPr>
            <w:tcW w:w="1327" w:type="dxa"/>
            <w:vAlign w:val="center"/>
          </w:tcPr>
          <w:p w:rsidR="00036347" w:rsidRDefault="00F96313">
            <w:pPr>
              <w:jc w:val="center"/>
            </w:pPr>
            <w:r>
              <w:rPr>
                <w:color w:val="000000"/>
                <w:sz w:val="24"/>
              </w:rPr>
              <w:t>601668</w:t>
            </w:r>
          </w:p>
        </w:tc>
        <w:tc>
          <w:tcPr>
            <w:tcW w:w="1769" w:type="dxa"/>
            <w:vAlign w:val="center"/>
          </w:tcPr>
          <w:p w:rsidR="00036347" w:rsidRDefault="00F96313">
            <w:pPr>
              <w:jc w:val="center"/>
            </w:pPr>
            <w:r>
              <w:rPr>
                <w:color w:val="000000"/>
                <w:sz w:val="24"/>
              </w:rPr>
              <w:t>中国建筑</w:t>
            </w:r>
          </w:p>
        </w:tc>
        <w:tc>
          <w:tcPr>
            <w:tcW w:w="1327" w:type="dxa"/>
            <w:vAlign w:val="center"/>
          </w:tcPr>
          <w:p w:rsidR="00036347" w:rsidRDefault="00F96313">
            <w:pPr>
              <w:jc w:val="right"/>
            </w:pPr>
            <w:r>
              <w:rPr>
                <w:color w:val="000000"/>
                <w:sz w:val="24"/>
              </w:rPr>
              <w:t>1,371,546</w:t>
            </w:r>
          </w:p>
        </w:tc>
        <w:tc>
          <w:tcPr>
            <w:tcW w:w="1915" w:type="dxa"/>
            <w:vAlign w:val="center"/>
          </w:tcPr>
          <w:p w:rsidR="00036347" w:rsidRDefault="00F96313">
            <w:pPr>
              <w:jc w:val="right"/>
            </w:pPr>
            <w:r>
              <w:rPr>
                <w:color w:val="000000"/>
                <w:sz w:val="24"/>
              </w:rPr>
              <w:t>11,877,588.36</w:t>
            </w:r>
          </w:p>
        </w:tc>
        <w:tc>
          <w:tcPr>
            <w:tcW w:w="1680" w:type="dxa"/>
            <w:vAlign w:val="center"/>
          </w:tcPr>
          <w:p w:rsidR="00036347" w:rsidRDefault="00F96313">
            <w:pPr>
              <w:jc w:val="right"/>
            </w:pPr>
            <w:r>
              <w:rPr>
                <w:color w:val="000000"/>
                <w:sz w:val="24"/>
              </w:rPr>
              <w:t>2.79</w:t>
            </w:r>
          </w:p>
        </w:tc>
      </w:tr>
      <w:tr w:rsidR="00036347">
        <w:trPr>
          <w:jc w:val="center"/>
        </w:trPr>
        <w:tc>
          <w:tcPr>
            <w:tcW w:w="850" w:type="dxa"/>
            <w:vAlign w:val="center"/>
          </w:tcPr>
          <w:p w:rsidR="00036347" w:rsidRDefault="00F96313">
            <w:pPr>
              <w:jc w:val="center"/>
            </w:pPr>
            <w:r>
              <w:rPr>
                <w:color w:val="000000"/>
                <w:sz w:val="24"/>
              </w:rPr>
              <w:t>8</w:t>
            </w:r>
          </w:p>
        </w:tc>
        <w:tc>
          <w:tcPr>
            <w:tcW w:w="1327" w:type="dxa"/>
            <w:vAlign w:val="center"/>
          </w:tcPr>
          <w:p w:rsidR="00036347" w:rsidRDefault="00F96313">
            <w:pPr>
              <w:jc w:val="center"/>
            </w:pPr>
            <w:r>
              <w:rPr>
                <w:color w:val="000000"/>
                <w:sz w:val="24"/>
              </w:rPr>
              <w:t>600104</w:t>
            </w:r>
          </w:p>
        </w:tc>
        <w:tc>
          <w:tcPr>
            <w:tcW w:w="1769" w:type="dxa"/>
            <w:vAlign w:val="center"/>
          </w:tcPr>
          <w:p w:rsidR="00036347" w:rsidRDefault="00F96313">
            <w:pPr>
              <w:jc w:val="center"/>
            </w:pPr>
            <w:r>
              <w:rPr>
                <w:color w:val="000000"/>
                <w:sz w:val="24"/>
              </w:rPr>
              <w:t>上汽集团</w:t>
            </w:r>
          </w:p>
        </w:tc>
        <w:tc>
          <w:tcPr>
            <w:tcW w:w="1327" w:type="dxa"/>
            <w:vAlign w:val="center"/>
          </w:tcPr>
          <w:p w:rsidR="00036347" w:rsidRDefault="00F96313">
            <w:pPr>
              <w:jc w:val="right"/>
            </w:pPr>
            <w:r>
              <w:rPr>
                <w:color w:val="000000"/>
                <w:sz w:val="24"/>
              </w:rPr>
              <w:t>317,716</w:t>
            </w:r>
          </w:p>
        </w:tc>
        <w:tc>
          <w:tcPr>
            <w:tcW w:w="1915" w:type="dxa"/>
            <w:vAlign w:val="center"/>
          </w:tcPr>
          <w:p w:rsidR="00036347" w:rsidRDefault="00F96313">
            <w:pPr>
              <w:jc w:val="right"/>
            </w:pPr>
            <w:r>
              <w:rPr>
                <w:color w:val="000000"/>
                <w:sz w:val="24"/>
              </w:rPr>
              <w:t>10,805,521.16</w:t>
            </w:r>
          </w:p>
        </w:tc>
        <w:tc>
          <w:tcPr>
            <w:tcW w:w="1680" w:type="dxa"/>
            <w:vAlign w:val="center"/>
          </w:tcPr>
          <w:p w:rsidR="00036347" w:rsidRDefault="00F96313">
            <w:pPr>
              <w:jc w:val="right"/>
            </w:pPr>
            <w:r>
              <w:rPr>
                <w:color w:val="000000"/>
                <w:sz w:val="24"/>
              </w:rPr>
              <w:t>2.54</w:t>
            </w:r>
          </w:p>
        </w:tc>
      </w:tr>
      <w:tr w:rsidR="00036347">
        <w:trPr>
          <w:jc w:val="center"/>
        </w:trPr>
        <w:tc>
          <w:tcPr>
            <w:tcW w:w="850" w:type="dxa"/>
            <w:vAlign w:val="center"/>
          </w:tcPr>
          <w:p w:rsidR="00036347" w:rsidRDefault="00F96313">
            <w:pPr>
              <w:jc w:val="center"/>
            </w:pPr>
            <w:r>
              <w:rPr>
                <w:color w:val="000000"/>
                <w:sz w:val="24"/>
              </w:rPr>
              <w:t>9</w:t>
            </w:r>
          </w:p>
        </w:tc>
        <w:tc>
          <w:tcPr>
            <w:tcW w:w="1327" w:type="dxa"/>
            <w:vAlign w:val="center"/>
          </w:tcPr>
          <w:p w:rsidR="00036347" w:rsidRDefault="00F96313">
            <w:pPr>
              <w:jc w:val="center"/>
            </w:pPr>
            <w:r>
              <w:rPr>
                <w:color w:val="000000"/>
                <w:sz w:val="24"/>
              </w:rPr>
              <w:t>600900</w:t>
            </w:r>
          </w:p>
        </w:tc>
        <w:tc>
          <w:tcPr>
            <w:tcW w:w="1769" w:type="dxa"/>
            <w:vAlign w:val="center"/>
          </w:tcPr>
          <w:p w:rsidR="00036347" w:rsidRDefault="00F96313">
            <w:pPr>
              <w:jc w:val="center"/>
            </w:pPr>
            <w:r>
              <w:rPr>
                <w:color w:val="000000"/>
                <w:sz w:val="24"/>
              </w:rPr>
              <w:t>长江电力</w:t>
            </w:r>
          </w:p>
        </w:tc>
        <w:tc>
          <w:tcPr>
            <w:tcW w:w="1327" w:type="dxa"/>
            <w:vAlign w:val="center"/>
          </w:tcPr>
          <w:p w:rsidR="00036347" w:rsidRDefault="00F96313">
            <w:pPr>
              <w:jc w:val="right"/>
            </w:pPr>
            <w:r>
              <w:rPr>
                <w:color w:val="000000"/>
                <w:sz w:val="24"/>
              </w:rPr>
              <w:t>602,940</w:t>
            </w:r>
          </w:p>
        </w:tc>
        <w:tc>
          <w:tcPr>
            <w:tcW w:w="1915" w:type="dxa"/>
            <w:vAlign w:val="center"/>
          </w:tcPr>
          <w:p w:rsidR="00036347" w:rsidRDefault="00F96313">
            <w:pPr>
              <w:jc w:val="right"/>
            </w:pPr>
            <w:r>
              <w:rPr>
                <w:color w:val="000000"/>
                <w:sz w:val="24"/>
              </w:rPr>
              <w:t>9,659,098.80</w:t>
            </w:r>
          </w:p>
        </w:tc>
        <w:tc>
          <w:tcPr>
            <w:tcW w:w="1680" w:type="dxa"/>
            <w:vAlign w:val="center"/>
          </w:tcPr>
          <w:p w:rsidR="00036347" w:rsidRDefault="00F96313">
            <w:pPr>
              <w:jc w:val="right"/>
            </w:pPr>
            <w:r>
              <w:rPr>
                <w:color w:val="000000"/>
                <w:sz w:val="24"/>
              </w:rPr>
              <w:t>2.27</w:t>
            </w:r>
          </w:p>
        </w:tc>
      </w:tr>
      <w:tr w:rsidR="00036347">
        <w:trPr>
          <w:jc w:val="center"/>
        </w:trPr>
        <w:tc>
          <w:tcPr>
            <w:tcW w:w="850" w:type="dxa"/>
            <w:vAlign w:val="center"/>
          </w:tcPr>
          <w:p w:rsidR="00036347" w:rsidRDefault="00F96313">
            <w:pPr>
              <w:jc w:val="center"/>
            </w:pPr>
            <w:r>
              <w:rPr>
                <w:color w:val="000000"/>
                <w:sz w:val="24"/>
              </w:rPr>
              <w:t>10</w:t>
            </w:r>
          </w:p>
        </w:tc>
        <w:tc>
          <w:tcPr>
            <w:tcW w:w="1327" w:type="dxa"/>
            <w:vAlign w:val="center"/>
          </w:tcPr>
          <w:p w:rsidR="00036347" w:rsidRDefault="00F96313">
            <w:pPr>
              <w:jc w:val="center"/>
            </w:pPr>
            <w:r>
              <w:rPr>
                <w:color w:val="000000"/>
                <w:sz w:val="24"/>
              </w:rPr>
              <w:t>601601</w:t>
            </w:r>
          </w:p>
        </w:tc>
        <w:tc>
          <w:tcPr>
            <w:tcW w:w="1769" w:type="dxa"/>
            <w:vAlign w:val="center"/>
          </w:tcPr>
          <w:p w:rsidR="00036347" w:rsidRDefault="00F96313">
            <w:pPr>
              <w:jc w:val="center"/>
            </w:pPr>
            <w:r>
              <w:rPr>
                <w:color w:val="000000"/>
                <w:sz w:val="24"/>
              </w:rPr>
              <w:t>中国太保</w:t>
            </w:r>
          </w:p>
        </w:tc>
        <w:tc>
          <w:tcPr>
            <w:tcW w:w="1327" w:type="dxa"/>
            <w:vAlign w:val="center"/>
          </w:tcPr>
          <w:p w:rsidR="00036347" w:rsidRDefault="00F96313">
            <w:pPr>
              <w:jc w:val="right"/>
            </w:pPr>
            <w:r>
              <w:rPr>
                <w:color w:val="000000"/>
                <w:sz w:val="24"/>
              </w:rPr>
              <w:t>281,099</w:t>
            </w:r>
          </w:p>
        </w:tc>
        <w:tc>
          <w:tcPr>
            <w:tcW w:w="1915" w:type="dxa"/>
            <w:vAlign w:val="center"/>
          </w:tcPr>
          <w:p w:rsidR="00036347" w:rsidRDefault="00F96313">
            <w:pPr>
              <w:jc w:val="right"/>
            </w:pPr>
            <w:r>
              <w:rPr>
                <w:color w:val="000000"/>
                <w:sz w:val="24"/>
              </w:rPr>
              <w:t>9,537,689.07</w:t>
            </w:r>
          </w:p>
        </w:tc>
        <w:tc>
          <w:tcPr>
            <w:tcW w:w="1680" w:type="dxa"/>
            <w:vAlign w:val="center"/>
          </w:tcPr>
          <w:p w:rsidR="00036347" w:rsidRDefault="00F96313">
            <w:pPr>
              <w:jc w:val="right"/>
            </w:pPr>
            <w:r>
              <w:rPr>
                <w:color w:val="000000"/>
                <w:sz w:val="24"/>
              </w:rPr>
              <w:t>2.24</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F16A16" w:rsidRDefault="00F16A16" w:rsidP="0099526C">
      <w:pPr>
        <w:spacing w:before="29" w:line="288" w:lineRule="auto"/>
        <w:rPr>
          <w:sz w:val="24"/>
        </w:rPr>
      </w:pPr>
      <w:r w:rsidRPr="00F16A16">
        <w:rPr>
          <w:rFonts w:hint="eastAsia"/>
          <w:sz w:val="24"/>
        </w:rPr>
        <w:t>本基金本报告期末未持有积极投资的股票。</w:t>
      </w:r>
    </w:p>
    <w:p w:rsidR="00F16A16" w:rsidRPr="00F16A16" w:rsidRDefault="00F16A16" w:rsidP="0099526C">
      <w:pPr>
        <w:spacing w:before="29" w:line="288" w:lineRule="auto"/>
        <w:rPr>
          <w:rFonts w:hint="eastAsia"/>
          <w:sz w:val="24"/>
        </w:rPr>
      </w:pPr>
      <w:bookmarkStart w:id="0" w:name="_GoBack"/>
      <w:bookmarkEnd w:id="0"/>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155E5F" w:rsidRPr="00155E5F" w:rsidRDefault="008119CB" w:rsidP="00155E5F">
      <w:pPr>
        <w:autoSpaceDE w:val="0"/>
        <w:autoSpaceDN w:val="0"/>
        <w:adjustRightInd w:val="0"/>
        <w:spacing w:before="29" w:line="288" w:lineRule="auto"/>
        <w:jc w:val="left"/>
        <w:rPr>
          <w:color w:val="000000"/>
          <w:kern w:val="0"/>
          <w:sz w:val="24"/>
        </w:rPr>
      </w:pPr>
      <w:r w:rsidRPr="008119CB">
        <w:rPr>
          <w:color w:val="000000"/>
          <w:kern w:val="0"/>
          <w:sz w:val="24"/>
        </w:rPr>
        <w:t>5.11.1</w:t>
      </w:r>
      <w:r w:rsidR="00155E5F" w:rsidRPr="00155E5F">
        <w:rPr>
          <w:rFonts w:hint="eastAsia"/>
          <w:color w:val="000000"/>
          <w:kern w:val="0"/>
          <w:sz w:val="24"/>
        </w:rPr>
        <w:t>报告期内本基金投资的前十名证券的发行主体除浦发银行（证券代码：</w:t>
      </w:r>
      <w:r w:rsidR="00155E5F" w:rsidRPr="00155E5F">
        <w:rPr>
          <w:rFonts w:hint="eastAsia"/>
          <w:color w:val="000000"/>
          <w:kern w:val="0"/>
          <w:sz w:val="24"/>
        </w:rPr>
        <w:t>600000</w:t>
      </w:r>
      <w:r w:rsidR="00155E5F" w:rsidRPr="00155E5F">
        <w:rPr>
          <w:rFonts w:hint="eastAsia"/>
          <w:color w:val="000000"/>
          <w:kern w:val="0"/>
          <w:sz w:val="24"/>
        </w:rPr>
        <w:t>）外，未出现被监管部门立案调查，或在报告编制日前一年内受到公开谴责、处罚的情形。</w:t>
      </w:r>
    </w:p>
    <w:p w:rsidR="00155E5F" w:rsidRPr="00155E5F" w:rsidRDefault="00155E5F" w:rsidP="00155E5F">
      <w:pPr>
        <w:autoSpaceDE w:val="0"/>
        <w:autoSpaceDN w:val="0"/>
        <w:adjustRightInd w:val="0"/>
        <w:spacing w:before="29" w:line="288" w:lineRule="auto"/>
        <w:jc w:val="left"/>
        <w:rPr>
          <w:color w:val="000000"/>
          <w:kern w:val="0"/>
          <w:sz w:val="24"/>
        </w:rPr>
      </w:pPr>
      <w:r w:rsidRPr="00155E5F">
        <w:rPr>
          <w:rFonts w:hint="eastAsia"/>
          <w:color w:val="000000"/>
          <w:kern w:val="0"/>
          <w:sz w:val="24"/>
        </w:rPr>
        <w:t>报告期内本基金投资的前十名证券之一浦发银行（证券代码：</w:t>
      </w:r>
      <w:r w:rsidRPr="00155E5F">
        <w:rPr>
          <w:rFonts w:hint="eastAsia"/>
          <w:color w:val="000000"/>
          <w:kern w:val="0"/>
          <w:sz w:val="24"/>
        </w:rPr>
        <w:t>600000</w:t>
      </w:r>
      <w:r w:rsidRPr="00155E5F">
        <w:rPr>
          <w:rFonts w:hint="eastAsia"/>
          <w:color w:val="000000"/>
          <w:kern w:val="0"/>
          <w:sz w:val="24"/>
        </w:rPr>
        <w:t>）收到中国银行业监督管理委员会四川监管局（以下简称“银监会四川监管局”）行政处罚决定书（川银监罚字【</w:t>
      </w:r>
      <w:r w:rsidRPr="00155E5F">
        <w:rPr>
          <w:rFonts w:hint="eastAsia"/>
          <w:color w:val="000000"/>
          <w:kern w:val="0"/>
          <w:sz w:val="24"/>
        </w:rPr>
        <w:t>2018</w:t>
      </w:r>
      <w:r w:rsidRPr="00155E5F">
        <w:rPr>
          <w:rFonts w:hint="eastAsia"/>
          <w:color w:val="000000"/>
          <w:kern w:val="0"/>
          <w:sz w:val="24"/>
        </w:rPr>
        <w:t>】</w:t>
      </w:r>
      <w:r w:rsidRPr="00155E5F">
        <w:rPr>
          <w:rFonts w:hint="eastAsia"/>
          <w:color w:val="000000"/>
          <w:kern w:val="0"/>
          <w:sz w:val="24"/>
        </w:rPr>
        <w:t>2</w:t>
      </w:r>
      <w:r w:rsidRPr="00155E5F">
        <w:rPr>
          <w:rFonts w:hint="eastAsia"/>
          <w:color w:val="000000"/>
          <w:kern w:val="0"/>
          <w:sz w:val="24"/>
        </w:rPr>
        <w:t>号）</w:t>
      </w:r>
      <w:r w:rsidRPr="00155E5F">
        <w:rPr>
          <w:rFonts w:hint="eastAsia"/>
          <w:color w:val="000000"/>
          <w:kern w:val="0"/>
          <w:sz w:val="24"/>
        </w:rPr>
        <w:t>,</w:t>
      </w:r>
      <w:r w:rsidRPr="00155E5F">
        <w:rPr>
          <w:rFonts w:hint="eastAsia"/>
          <w:color w:val="000000"/>
          <w:kern w:val="0"/>
          <w:sz w:val="24"/>
        </w:rPr>
        <w:t>对成都分行内控管理严重失效</w:t>
      </w:r>
      <w:r w:rsidRPr="00155E5F">
        <w:rPr>
          <w:rFonts w:hint="eastAsia"/>
          <w:color w:val="000000"/>
          <w:kern w:val="0"/>
          <w:sz w:val="24"/>
        </w:rPr>
        <w:t>,</w:t>
      </w:r>
      <w:r w:rsidRPr="00155E5F">
        <w:rPr>
          <w:rFonts w:hint="eastAsia"/>
          <w:color w:val="000000"/>
          <w:kern w:val="0"/>
          <w:sz w:val="24"/>
        </w:rPr>
        <w:t>授信管理违规，违规办理信贷业务等严重违反审慎经营规则的违规行为依法查处，执行罚款</w:t>
      </w:r>
      <w:r w:rsidRPr="00155E5F">
        <w:rPr>
          <w:rFonts w:hint="eastAsia"/>
          <w:color w:val="000000"/>
          <w:kern w:val="0"/>
          <w:sz w:val="24"/>
        </w:rPr>
        <w:t>46,175</w:t>
      </w:r>
      <w:r w:rsidRPr="00155E5F">
        <w:rPr>
          <w:rFonts w:hint="eastAsia"/>
          <w:color w:val="000000"/>
          <w:kern w:val="0"/>
          <w:sz w:val="24"/>
        </w:rPr>
        <w:t>万元人民币。</w:t>
      </w:r>
    </w:p>
    <w:p w:rsidR="008119CB" w:rsidRPr="008119CB" w:rsidRDefault="00155E5F" w:rsidP="00155E5F">
      <w:pPr>
        <w:autoSpaceDE w:val="0"/>
        <w:autoSpaceDN w:val="0"/>
        <w:adjustRightInd w:val="0"/>
        <w:spacing w:before="29" w:line="288" w:lineRule="auto"/>
        <w:jc w:val="left"/>
        <w:rPr>
          <w:color w:val="000000"/>
          <w:kern w:val="0"/>
          <w:sz w:val="24"/>
        </w:rPr>
      </w:pPr>
      <w:r w:rsidRPr="00155E5F">
        <w:rPr>
          <w:rFonts w:hint="eastAsia"/>
          <w:color w:val="000000"/>
          <w:kern w:val="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2,907.82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520.19</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lastRenderedPageBreak/>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3,428.01</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6D2F4A">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391091" w:rsidRDefault="00742ADC" w:rsidP="00742ADC">
      <w:pPr>
        <w:adjustRightInd w:val="0"/>
        <w:snapToGrid w:val="0"/>
        <w:spacing w:line="360" w:lineRule="auto"/>
        <w:rPr>
          <w:rFonts w:eastAsiaTheme="minorEastAsia"/>
          <w:b/>
          <w:color w:val="000000" w:themeColor="text1"/>
          <w:kern w:val="0"/>
          <w:sz w:val="24"/>
        </w:rPr>
      </w:pPr>
      <w:r w:rsidRPr="00391091">
        <w:rPr>
          <w:rFonts w:eastAsiaTheme="minorEastAsia"/>
          <w:b/>
          <w:color w:val="000000" w:themeColor="text1"/>
          <w:kern w:val="0"/>
          <w:sz w:val="24"/>
        </w:rPr>
        <w:t>6.1</w:t>
      </w:r>
      <w:r w:rsidRPr="00391091">
        <w:rPr>
          <w:rFonts w:eastAsiaTheme="minorEastAsia" w:hint="eastAsia"/>
          <w:b/>
          <w:color w:val="000000" w:themeColor="text1"/>
          <w:kern w:val="0"/>
          <w:sz w:val="24"/>
        </w:rPr>
        <w:t xml:space="preserve"> </w:t>
      </w:r>
      <w:r w:rsidRPr="00391091">
        <w:rPr>
          <w:rFonts w:eastAsiaTheme="minorEastAsia" w:hint="eastAsia"/>
          <w:b/>
          <w:color w:val="000000" w:themeColor="text1"/>
          <w:kern w:val="0"/>
          <w:sz w:val="24"/>
        </w:rPr>
        <w:t>报告期末按公允价值占基金资产净值比例大小排序的前十名基金投资明细</w:t>
      </w:r>
    </w:p>
    <w:p w:rsidR="00742ADC" w:rsidRPr="00391091"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391091">
        <w:rPr>
          <w:rFonts w:eastAsiaTheme="minorEastAsia"/>
          <w:color w:val="000000" w:themeColor="text1"/>
          <w:sz w:val="24"/>
        </w:rPr>
        <w:t>本基金本报告期末未持有基金。</w:t>
      </w:r>
    </w:p>
    <w:p w:rsidR="00742ADC" w:rsidRPr="00391091" w:rsidRDefault="00742ADC" w:rsidP="006D2F4A">
      <w:pPr>
        <w:adjustRightInd w:val="0"/>
        <w:snapToGrid w:val="0"/>
        <w:spacing w:beforeLines="50" w:before="156" w:line="360" w:lineRule="auto"/>
        <w:rPr>
          <w:rFonts w:eastAsiaTheme="minorEastAsia"/>
          <w:b/>
          <w:color w:val="000000" w:themeColor="text1"/>
          <w:kern w:val="0"/>
          <w:sz w:val="24"/>
        </w:rPr>
      </w:pPr>
      <w:r w:rsidRPr="00391091">
        <w:rPr>
          <w:rFonts w:eastAsiaTheme="minorEastAsia"/>
          <w:b/>
          <w:color w:val="000000" w:themeColor="text1"/>
          <w:kern w:val="0"/>
          <w:sz w:val="24"/>
        </w:rPr>
        <w:t>6.2</w:t>
      </w:r>
      <w:r w:rsidRPr="00391091">
        <w:rPr>
          <w:rFonts w:eastAsiaTheme="minorEastAsia" w:hint="eastAsia"/>
          <w:b/>
          <w:color w:val="000000" w:themeColor="text1"/>
          <w:kern w:val="0"/>
          <w:sz w:val="24"/>
        </w:rPr>
        <w:t xml:space="preserve"> </w:t>
      </w:r>
      <w:r w:rsidRPr="00391091">
        <w:rPr>
          <w:rFonts w:eastAsiaTheme="minorEastAsia" w:hint="eastAsia"/>
          <w:b/>
          <w:color w:val="000000" w:themeColor="text1"/>
          <w:kern w:val="0"/>
          <w:sz w:val="24"/>
        </w:rPr>
        <w:t>当期交易及持有基金产生的费用</w:t>
      </w:r>
    </w:p>
    <w:p w:rsidR="00742ADC" w:rsidRPr="00391091" w:rsidRDefault="00742ADC" w:rsidP="00742ADC">
      <w:pPr>
        <w:autoSpaceDE w:val="0"/>
        <w:autoSpaceDN w:val="0"/>
        <w:adjustRightInd w:val="0"/>
        <w:spacing w:line="360" w:lineRule="auto"/>
        <w:ind w:firstLineChars="200" w:firstLine="480"/>
        <w:jc w:val="left"/>
        <w:rPr>
          <w:rFonts w:eastAsiaTheme="minorEastAsia"/>
          <w:color w:val="000000" w:themeColor="text1"/>
          <w:sz w:val="24"/>
        </w:rPr>
      </w:pPr>
      <w:r w:rsidRPr="00391091">
        <w:rPr>
          <w:rFonts w:eastAsiaTheme="minorEastAsia"/>
          <w:color w:val="000000" w:themeColor="text1"/>
          <w:sz w:val="24"/>
        </w:rPr>
        <w:t>本基金本报告期内未交易或持有基金。</w:t>
      </w:r>
    </w:p>
    <w:p w:rsidR="00391091" w:rsidRPr="00391091" w:rsidRDefault="00391091" w:rsidP="00391091">
      <w:pPr>
        <w:adjustRightInd w:val="0"/>
        <w:snapToGrid w:val="0"/>
        <w:spacing w:beforeLines="50" w:before="156" w:line="360" w:lineRule="auto"/>
        <w:rPr>
          <w:rFonts w:eastAsiaTheme="minorEastAsia"/>
          <w:b/>
          <w:color w:val="000000" w:themeColor="text1"/>
          <w:kern w:val="0"/>
          <w:sz w:val="24"/>
        </w:rPr>
      </w:pPr>
      <w:r w:rsidRPr="00391091">
        <w:rPr>
          <w:rFonts w:eastAsiaTheme="minorEastAsia" w:hint="eastAsia"/>
          <w:b/>
          <w:color w:val="000000" w:themeColor="text1"/>
          <w:kern w:val="0"/>
          <w:sz w:val="24"/>
        </w:rPr>
        <w:t xml:space="preserve">6.3 </w:t>
      </w:r>
      <w:r w:rsidRPr="00391091">
        <w:rPr>
          <w:rFonts w:eastAsiaTheme="minorEastAsia" w:hint="eastAsia"/>
          <w:b/>
          <w:color w:val="000000" w:themeColor="text1"/>
          <w:kern w:val="0"/>
          <w:sz w:val="24"/>
        </w:rPr>
        <w:t>本报告期持有的基金发生的重大影响事件</w:t>
      </w:r>
    </w:p>
    <w:p w:rsidR="00391091" w:rsidRPr="00391091" w:rsidRDefault="00391091" w:rsidP="00391091">
      <w:pPr>
        <w:autoSpaceDE w:val="0"/>
        <w:autoSpaceDN w:val="0"/>
        <w:adjustRightInd w:val="0"/>
        <w:spacing w:line="360" w:lineRule="auto"/>
        <w:ind w:firstLineChars="200" w:firstLine="480"/>
        <w:jc w:val="left"/>
        <w:rPr>
          <w:rFonts w:eastAsiaTheme="minorEastAsia"/>
          <w:color w:val="000000" w:themeColor="text1"/>
          <w:sz w:val="24"/>
        </w:rPr>
      </w:pPr>
      <w:r w:rsidRPr="00391091">
        <w:rPr>
          <w:rFonts w:eastAsiaTheme="minorEastAsia" w:hint="eastAsia"/>
          <w:color w:val="000000" w:themeColor="text1"/>
          <w:sz w:val="24"/>
        </w:rPr>
        <w:t>无。</w:t>
      </w:r>
    </w:p>
    <w:p w:rsidR="00391091" w:rsidRPr="00C51B4E" w:rsidRDefault="00391091" w:rsidP="00742ADC">
      <w:pPr>
        <w:autoSpaceDE w:val="0"/>
        <w:autoSpaceDN w:val="0"/>
        <w:adjustRightInd w:val="0"/>
        <w:spacing w:line="360" w:lineRule="auto"/>
        <w:ind w:firstLineChars="200" w:firstLine="420"/>
        <w:jc w:val="left"/>
        <w:rPr>
          <w:rFonts w:eastAsiaTheme="minorEastAsia"/>
          <w:color w:val="000000" w:themeColor="text1"/>
          <w:szCs w:val="21"/>
        </w:rPr>
      </w:pPr>
    </w:p>
    <w:p w:rsidR="00220542" w:rsidRPr="0036023B" w:rsidRDefault="0055680B" w:rsidP="006D2F4A">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402,524,362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8,000,000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w:t>
            </w:r>
            <w:r w:rsidR="00321C2C" w:rsidRPr="006664D2">
              <w:rPr>
                <w:rFonts w:hint="eastAsia"/>
                <w:color w:val="000000"/>
                <w:kern w:val="0"/>
                <w:sz w:val="24"/>
              </w:rPr>
              <w:lastRenderedPageBreak/>
              <w:t>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lastRenderedPageBreak/>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377,524,362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6D2F4A">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8.2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6D2F4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36347">
        <w:tc>
          <w:tcPr>
            <w:tcW w:w="992" w:type="dxa"/>
            <w:vMerge w:val="restart"/>
          </w:tcPr>
          <w:p w:rsidR="00036347" w:rsidRDefault="00036347"/>
          <w:p w:rsidR="00036347" w:rsidRDefault="00F96313">
            <w:r>
              <w:rPr>
                <w:rFonts w:ascii="宋体" w:hAnsi="宋体" w:hint="eastAsia"/>
                <w:kern w:val="0"/>
                <w:szCs w:val="21"/>
              </w:rPr>
              <w:t>交银施罗德上证180公司治理交易型开放式指数证券投资基金联接基金</w:t>
            </w:r>
          </w:p>
        </w:tc>
        <w:tc>
          <w:tcPr>
            <w:tcW w:w="991" w:type="dxa"/>
            <w:vAlign w:val="center"/>
          </w:tcPr>
          <w:p w:rsidR="00036347" w:rsidRDefault="00F96313">
            <w:pPr>
              <w:jc w:val="center"/>
            </w:pPr>
            <w:r>
              <w:rPr>
                <w:rFonts w:ascii="宋体" w:hAnsi="宋体" w:hint="eastAsia"/>
                <w:bCs/>
                <w:color w:val="000000"/>
                <w:kern w:val="0"/>
                <w:szCs w:val="21"/>
              </w:rPr>
              <w:t>1</w:t>
            </w:r>
          </w:p>
        </w:tc>
        <w:tc>
          <w:tcPr>
            <w:tcW w:w="1843" w:type="dxa"/>
            <w:vAlign w:val="center"/>
          </w:tcPr>
          <w:p w:rsidR="00036347" w:rsidRDefault="00F96313">
            <w:pPr>
              <w:jc w:val="center"/>
            </w:pPr>
            <w:r>
              <w:rPr>
                <w:rFonts w:ascii="宋体" w:hAnsi="宋体" w:hint="eastAsia"/>
                <w:bCs/>
                <w:color w:val="000000"/>
                <w:kern w:val="0"/>
                <w:szCs w:val="21"/>
              </w:rPr>
              <w:t>2018/1/1-2018/3/31</w:t>
            </w:r>
          </w:p>
        </w:tc>
        <w:tc>
          <w:tcPr>
            <w:tcW w:w="851" w:type="dxa"/>
            <w:vAlign w:val="center"/>
          </w:tcPr>
          <w:p w:rsidR="00036347" w:rsidRDefault="00F96313">
            <w:pPr>
              <w:jc w:val="center"/>
            </w:pPr>
            <w:r>
              <w:rPr>
                <w:rFonts w:ascii="宋体" w:hAnsi="宋体" w:hint="eastAsia"/>
                <w:bCs/>
                <w:color w:val="000000"/>
                <w:kern w:val="0"/>
                <w:szCs w:val="21"/>
              </w:rPr>
              <w:t>376,424,699.00</w:t>
            </w:r>
          </w:p>
        </w:tc>
        <w:tc>
          <w:tcPr>
            <w:tcW w:w="850" w:type="dxa"/>
            <w:vAlign w:val="center"/>
          </w:tcPr>
          <w:p w:rsidR="00036347" w:rsidRDefault="00F96313">
            <w:pPr>
              <w:jc w:val="center"/>
            </w:pPr>
            <w:r>
              <w:rPr>
                <w:rFonts w:ascii="宋体" w:hAnsi="宋体" w:hint="eastAsia"/>
                <w:bCs/>
                <w:color w:val="000000"/>
                <w:kern w:val="0"/>
                <w:szCs w:val="21"/>
              </w:rPr>
              <w:t>25,000,000.00</w:t>
            </w:r>
          </w:p>
        </w:tc>
        <w:tc>
          <w:tcPr>
            <w:tcW w:w="1134" w:type="dxa"/>
            <w:vAlign w:val="center"/>
          </w:tcPr>
          <w:p w:rsidR="00036347" w:rsidRDefault="00F96313">
            <w:pPr>
              <w:jc w:val="center"/>
            </w:pPr>
            <w:r>
              <w:rPr>
                <w:rFonts w:ascii="宋体" w:hAnsi="宋体" w:hint="eastAsia"/>
                <w:bCs/>
                <w:color w:val="000000"/>
                <w:kern w:val="0"/>
                <w:szCs w:val="21"/>
              </w:rPr>
              <w:t>50,000,000.00</w:t>
            </w:r>
          </w:p>
        </w:tc>
        <w:tc>
          <w:tcPr>
            <w:tcW w:w="1419" w:type="dxa"/>
            <w:vAlign w:val="center"/>
          </w:tcPr>
          <w:p w:rsidR="00036347" w:rsidRDefault="00F96313">
            <w:pPr>
              <w:jc w:val="center"/>
            </w:pPr>
            <w:r>
              <w:rPr>
                <w:rFonts w:ascii="宋体" w:hAnsi="宋体" w:hint="eastAsia"/>
                <w:bCs/>
                <w:color w:val="000000"/>
                <w:kern w:val="0"/>
                <w:szCs w:val="21"/>
              </w:rPr>
              <w:t>351,424,699.00</w:t>
            </w:r>
          </w:p>
        </w:tc>
        <w:tc>
          <w:tcPr>
            <w:tcW w:w="1130" w:type="dxa"/>
            <w:vAlign w:val="center"/>
          </w:tcPr>
          <w:p w:rsidR="00036347" w:rsidRDefault="00F96313">
            <w:pPr>
              <w:jc w:val="center"/>
            </w:pPr>
            <w:r>
              <w:rPr>
                <w:rFonts w:ascii="宋体" w:hAnsi="宋体" w:hint="eastAsia"/>
                <w:bCs/>
                <w:color w:val="000000"/>
                <w:kern w:val="0"/>
                <w:szCs w:val="21"/>
              </w:rPr>
              <w:t>93.09%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9.2 影响投资者决策的其他重要信息</w:t>
      </w:r>
    </w:p>
    <w:p w:rsidR="00036347" w:rsidRPr="00A2115F" w:rsidRDefault="00F96313" w:rsidP="00A2115F">
      <w:pPr>
        <w:spacing w:before="29" w:line="288" w:lineRule="auto"/>
        <w:ind w:firstLineChars="200" w:firstLine="480"/>
        <w:rPr>
          <w:color w:val="000000"/>
          <w:sz w:val="24"/>
        </w:rPr>
      </w:pPr>
      <w:r w:rsidRPr="00A2115F">
        <w:rPr>
          <w:rFonts w:hint="eastAsia"/>
          <w:color w:val="000000"/>
          <w:sz w:val="24"/>
        </w:rPr>
        <w:t>1</w:t>
      </w:r>
      <w:r w:rsidRPr="00A2115F">
        <w:rPr>
          <w:rFonts w:hint="eastAsia"/>
          <w:color w:val="000000"/>
          <w:sz w:val="24"/>
        </w:rPr>
        <w:t>、根据财政部和国家税务总局于</w:t>
      </w:r>
      <w:r w:rsidRPr="00A2115F">
        <w:rPr>
          <w:rFonts w:hint="eastAsia"/>
          <w:color w:val="000000"/>
          <w:sz w:val="24"/>
        </w:rPr>
        <w:t>2016</w:t>
      </w:r>
      <w:r w:rsidRPr="00A2115F">
        <w:rPr>
          <w:rFonts w:hint="eastAsia"/>
          <w:color w:val="000000"/>
          <w:sz w:val="24"/>
        </w:rPr>
        <w:t>年</w:t>
      </w:r>
      <w:r w:rsidRPr="00A2115F">
        <w:rPr>
          <w:rFonts w:hint="eastAsia"/>
          <w:color w:val="000000"/>
          <w:sz w:val="24"/>
        </w:rPr>
        <w:t>12</w:t>
      </w:r>
      <w:r w:rsidRPr="00A2115F">
        <w:rPr>
          <w:rFonts w:hint="eastAsia"/>
          <w:color w:val="000000"/>
          <w:sz w:val="24"/>
        </w:rPr>
        <w:t>月</w:t>
      </w:r>
      <w:r w:rsidRPr="00A2115F">
        <w:rPr>
          <w:rFonts w:hint="eastAsia"/>
          <w:color w:val="000000"/>
          <w:sz w:val="24"/>
        </w:rPr>
        <w:t>21</w:t>
      </w:r>
      <w:r w:rsidRPr="00A2115F">
        <w:rPr>
          <w:rFonts w:hint="eastAsia"/>
          <w:color w:val="000000"/>
          <w:sz w:val="24"/>
        </w:rPr>
        <w:t>日联合发布的《关于明确金融、</w:t>
      </w:r>
      <w:r w:rsidRPr="00A2115F">
        <w:rPr>
          <w:rFonts w:hint="eastAsia"/>
          <w:color w:val="000000"/>
          <w:sz w:val="24"/>
        </w:rPr>
        <w:lastRenderedPageBreak/>
        <w:t>房地产开发、教育辅助服务等增值税政策的通知》（财税</w:t>
      </w:r>
      <w:r w:rsidRPr="00A2115F">
        <w:rPr>
          <w:rFonts w:hint="eastAsia"/>
          <w:color w:val="000000"/>
          <w:sz w:val="24"/>
        </w:rPr>
        <w:t>[2016]140</w:t>
      </w:r>
      <w:r w:rsidRPr="00A2115F">
        <w:rPr>
          <w:rFonts w:hint="eastAsia"/>
          <w:color w:val="000000"/>
          <w:sz w:val="24"/>
        </w:rPr>
        <w:t>号）以及于</w:t>
      </w:r>
      <w:r w:rsidRPr="00A2115F">
        <w:rPr>
          <w:rFonts w:hint="eastAsia"/>
          <w:color w:val="000000"/>
          <w:sz w:val="24"/>
        </w:rPr>
        <w:t>2017</w:t>
      </w:r>
      <w:r w:rsidRPr="00A2115F">
        <w:rPr>
          <w:rFonts w:hint="eastAsia"/>
          <w:color w:val="000000"/>
          <w:sz w:val="24"/>
        </w:rPr>
        <w:t>年</w:t>
      </w:r>
      <w:r w:rsidRPr="00A2115F">
        <w:rPr>
          <w:rFonts w:hint="eastAsia"/>
          <w:color w:val="000000"/>
          <w:sz w:val="24"/>
        </w:rPr>
        <w:t>6</w:t>
      </w:r>
      <w:r w:rsidRPr="00A2115F">
        <w:rPr>
          <w:rFonts w:hint="eastAsia"/>
          <w:color w:val="000000"/>
          <w:sz w:val="24"/>
        </w:rPr>
        <w:t>月</w:t>
      </w:r>
      <w:r w:rsidRPr="00A2115F">
        <w:rPr>
          <w:rFonts w:hint="eastAsia"/>
          <w:color w:val="000000"/>
          <w:sz w:val="24"/>
        </w:rPr>
        <w:t>30</w:t>
      </w:r>
      <w:r w:rsidRPr="00A2115F">
        <w:rPr>
          <w:rFonts w:hint="eastAsia"/>
          <w:color w:val="000000"/>
          <w:sz w:val="24"/>
        </w:rPr>
        <w:t>日联合发布的《财政部、税务总局关于资管产品增值税有关问题的通知》（财税</w:t>
      </w:r>
      <w:r w:rsidRPr="00A2115F">
        <w:rPr>
          <w:rFonts w:hint="eastAsia"/>
          <w:color w:val="000000"/>
          <w:sz w:val="24"/>
        </w:rPr>
        <w:t>[2017]56</w:t>
      </w:r>
      <w:r w:rsidRPr="00A2115F">
        <w:rPr>
          <w:rFonts w:hint="eastAsia"/>
          <w:color w:val="000000"/>
          <w:sz w:val="24"/>
        </w:rPr>
        <w:t>号）等规定，自</w:t>
      </w:r>
      <w:r w:rsidRPr="00A2115F">
        <w:rPr>
          <w:rFonts w:hint="eastAsia"/>
          <w:color w:val="000000"/>
          <w:sz w:val="24"/>
        </w:rPr>
        <w:t>2018</w:t>
      </w:r>
      <w:r w:rsidRPr="00A2115F">
        <w:rPr>
          <w:rFonts w:hint="eastAsia"/>
          <w:color w:val="000000"/>
          <w:sz w:val="24"/>
        </w:rPr>
        <w:t>年</w:t>
      </w:r>
      <w:r w:rsidRPr="00A2115F">
        <w:rPr>
          <w:rFonts w:hint="eastAsia"/>
          <w:color w:val="000000"/>
          <w:sz w:val="24"/>
        </w:rPr>
        <w:t>1</w:t>
      </w:r>
      <w:r w:rsidRPr="00A2115F">
        <w:rPr>
          <w:rFonts w:hint="eastAsia"/>
          <w:color w:val="000000"/>
          <w:sz w:val="24"/>
        </w:rPr>
        <w:t>月</w:t>
      </w:r>
      <w:r w:rsidRPr="00A2115F">
        <w:rPr>
          <w:rFonts w:hint="eastAsia"/>
          <w:color w:val="000000"/>
          <w:sz w:val="24"/>
        </w:rPr>
        <w:t>1</w:t>
      </w:r>
      <w:r w:rsidRPr="00A2115F">
        <w:rPr>
          <w:rFonts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BF00F0" w:rsidRPr="00A2115F" w:rsidRDefault="00BF00F0" w:rsidP="00A2115F">
      <w:pPr>
        <w:spacing w:before="29" w:line="288" w:lineRule="auto"/>
        <w:ind w:firstLineChars="200" w:firstLine="480"/>
        <w:rPr>
          <w:color w:val="000000"/>
          <w:sz w:val="24"/>
        </w:rPr>
      </w:pPr>
      <w:r w:rsidRPr="00A2115F">
        <w:rPr>
          <w:rFonts w:hint="eastAsia"/>
          <w:color w:val="000000"/>
          <w:sz w:val="24"/>
        </w:rPr>
        <w:t>2</w:t>
      </w:r>
      <w:r w:rsidRPr="00A2115F">
        <w:rPr>
          <w:rFonts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欲知详情请查阅本基金管理人于</w:t>
      </w:r>
      <w:r w:rsidRPr="00A2115F">
        <w:rPr>
          <w:rFonts w:hint="eastAsia"/>
          <w:color w:val="000000"/>
          <w:sz w:val="24"/>
        </w:rPr>
        <w:t>2018</w:t>
      </w:r>
      <w:r w:rsidRPr="00A2115F">
        <w:rPr>
          <w:rFonts w:hint="eastAsia"/>
          <w:color w:val="000000"/>
          <w:sz w:val="24"/>
        </w:rPr>
        <w:t>年</w:t>
      </w:r>
      <w:r w:rsidRPr="00A2115F">
        <w:rPr>
          <w:rFonts w:hint="eastAsia"/>
          <w:color w:val="000000"/>
          <w:sz w:val="24"/>
        </w:rPr>
        <w:t>3</w:t>
      </w:r>
      <w:r w:rsidRPr="00A2115F">
        <w:rPr>
          <w:rFonts w:hint="eastAsia"/>
          <w:color w:val="000000"/>
          <w:sz w:val="24"/>
        </w:rPr>
        <w:t>月</w:t>
      </w:r>
      <w:r w:rsidRPr="00A2115F">
        <w:rPr>
          <w:rFonts w:hint="eastAsia"/>
          <w:color w:val="000000"/>
          <w:sz w:val="24"/>
        </w:rPr>
        <w:t>22</w:t>
      </w:r>
      <w:r w:rsidRPr="00A2115F">
        <w:rPr>
          <w:rFonts w:hint="eastAsia"/>
          <w:color w:val="000000"/>
          <w:sz w:val="24"/>
        </w:rPr>
        <w:t>日发布的有关公告及法律文件。</w:t>
      </w:r>
    </w:p>
    <w:p w:rsidR="00BF5A17" w:rsidRPr="0036023B" w:rsidRDefault="00BF5A17" w:rsidP="0099526C">
      <w:pPr>
        <w:spacing w:before="29" w:line="288" w:lineRule="auto"/>
        <w:ind w:firstLineChars="200" w:firstLine="480"/>
        <w:rPr>
          <w:color w:val="000000"/>
          <w:sz w:val="24"/>
        </w:rPr>
      </w:pPr>
    </w:p>
    <w:p w:rsidR="00981CE6" w:rsidRPr="00405A85" w:rsidRDefault="00220542" w:rsidP="006D2F4A">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036347" w:rsidRDefault="00F96313">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036347" w:rsidRDefault="00F96313">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036347" w:rsidRDefault="00F96313">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036347" w:rsidRDefault="00F96313">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036347" w:rsidRDefault="00F96313">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036347" w:rsidRDefault="00F9631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36347" w:rsidRDefault="00F9631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036347" w:rsidRDefault="00F9631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w:t>
      </w:r>
      <w:r w:rsidRPr="0036023B">
        <w:rPr>
          <w:color w:val="000000"/>
          <w:sz w:val="24"/>
        </w:rPr>
        <w:lastRenderedPageBreak/>
        <w:t>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293" w:rsidRDefault="00415293">
      <w:r>
        <w:separator/>
      </w:r>
    </w:p>
  </w:endnote>
  <w:endnote w:type="continuationSeparator" w:id="0">
    <w:p w:rsidR="00415293" w:rsidRDefault="00415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A76DFA">
      <w:rPr>
        <w:kern w:val="0"/>
        <w:szCs w:val="21"/>
      </w:rPr>
      <w:fldChar w:fldCharType="begin"/>
    </w:r>
    <w:r>
      <w:rPr>
        <w:kern w:val="0"/>
        <w:szCs w:val="21"/>
      </w:rPr>
      <w:instrText xml:space="preserve"> PAGE </w:instrText>
    </w:r>
    <w:r w:rsidR="00A76DFA">
      <w:rPr>
        <w:kern w:val="0"/>
        <w:szCs w:val="21"/>
      </w:rPr>
      <w:fldChar w:fldCharType="separate"/>
    </w:r>
    <w:r w:rsidR="00F16A16">
      <w:rPr>
        <w:noProof/>
        <w:kern w:val="0"/>
        <w:szCs w:val="21"/>
      </w:rPr>
      <w:t>9</w:t>
    </w:r>
    <w:r w:rsidR="00A76DFA">
      <w:rPr>
        <w:kern w:val="0"/>
        <w:szCs w:val="21"/>
      </w:rPr>
      <w:fldChar w:fldCharType="end"/>
    </w:r>
    <w:r>
      <w:rPr>
        <w:rFonts w:hint="eastAsia"/>
        <w:kern w:val="0"/>
        <w:szCs w:val="21"/>
      </w:rPr>
      <w:t>页共</w:t>
    </w:r>
    <w:r w:rsidR="00A76DFA">
      <w:rPr>
        <w:kern w:val="0"/>
        <w:szCs w:val="21"/>
      </w:rPr>
      <w:fldChar w:fldCharType="begin"/>
    </w:r>
    <w:r>
      <w:rPr>
        <w:kern w:val="0"/>
        <w:szCs w:val="21"/>
      </w:rPr>
      <w:instrText xml:space="preserve"> NUMPAGES </w:instrText>
    </w:r>
    <w:r w:rsidR="00A76DFA">
      <w:rPr>
        <w:kern w:val="0"/>
        <w:szCs w:val="21"/>
      </w:rPr>
      <w:fldChar w:fldCharType="separate"/>
    </w:r>
    <w:r w:rsidR="00F16A16">
      <w:rPr>
        <w:noProof/>
        <w:kern w:val="0"/>
        <w:szCs w:val="21"/>
      </w:rPr>
      <w:t>14</w:t>
    </w:r>
    <w:r w:rsidR="00A76DF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A76DFA">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293" w:rsidRDefault="00415293">
      <w:r>
        <w:separator/>
      </w:r>
    </w:p>
  </w:footnote>
  <w:footnote w:type="continuationSeparator" w:id="0">
    <w:p w:rsidR="00415293" w:rsidRDefault="00415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34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1914"/>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5E5F"/>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08BE"/>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1091"/>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5293"/>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115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4C4D"/>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16A16"/>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6313"/>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5E84AD2-25F0-49F4-B825-028D40F64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14</Pages>
  <Words>1203</Words>
  <Characters>6860</Characters>
  <Application>Microsoft Office Word</Application>
  <DocSecurity>0</DocSecurity>
  <Lines>57</Lines>
  <Paragraphs>16</Paragraphs>
  <ScaleCrop>false</ScaleCrop>
  <Company>TRT. Ltd. Co.</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397</cp:revision>
  <cp:lastPrinted>2007-07-19T00:46:00Z</cp:lastPrinted>
  <dcterms:created xsi:type="dcterms:W3CDTF">2012-11-21T04:46:00Z</dcterms:created>
  <dcterms:modified xsi:type="dcterms:W3CDTF">2018-04-18T10:38:00Z</dcterms:modified>
</cp:coreProperties>
</file>