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339,440,432.70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260,708,733.94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78,731,698.76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1,235,716.61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291,985.69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5,402,387.26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1,566,154.55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257,086,407.53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77,065,495.35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0.9861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0.9788</w:t>
            </w:r>
          </w:p>
        </w:tc>
      </w:tr>
    </w:tbl>
    <w:p w:rsidR="00036302" w:rsidRDefault="0041553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36302">
        <w:trPr>
          <w:jc w:val="center"/>
        </w:trPr>
        <w:tc>
          <w:tcPr>
            <w:tcW w:w="1266" w:type="dxa"/>
            <w:vAlign w:val="center"/>
          </w:tcPr>
          <w:p w:rsidR="00036302" w:rsidRDefault="00415537">
            <w:pPr>
              <w:jc w:val="left"/>
            </w:pPr>
            <w:r>
              <w:rPr>
                <w:color w:val="000000"/>
                <w:sz w:val="24"/>
              </w:rPr>
              <w:t>过去三个月</w:t>
            </w:r>
          </w:p>
        </w:tc>
        <w:tc>
          <w:tcPr>
            <w:tcW w:w="1267" w:type="dxa"/>
            <w:vAlign w:val="center"/>
          </w:tcPr>
          <w:p w:rsidR="00036302" w:rsidRDefault="00415537">
            <w:pPr>
              <w:jc w:val="center"/>
            </w:pPr>
            <w:r>
              <w:rPr>
                <w:color w:val="000000"/>
                <w:sz w:val="24"/>
              </w:rPr>
              <w:t>2.14%</w:t>
            </w:r>
          </w:p>
        </w:tc>
        <w:tc>
          <w:tcPr>
            <w:tcW w:w="1267" w:type="dxa"/>
            <w:vAlign w:val="center"/>
          </w:tcPr>
          <w:p w:rsidR="00036302" w:rsidRDefault="00415537">
            <w:pPr>
              <w:jc w:val="center"/>
            </w:pPr>
            <w:r>
              <w:rPr>
                <w:color w:val="000000"/>
                <w:sz w:val="24"/>
              </w:rPr>
              <w:t>0.10%</w:t>
            </w:r>
          </w:p>
        </w:tc>
        <w:tc>
          <w:tcPr>
            <w:tcW w:w="1267" w:type="dxa"/>
            <w:vAlign w:val="center"/>
          </w:tcPr>
          <w:p w:rsidR="00036302" w:rsidRDefault="00415537">
            <w:pPr>
              <w:jc w:val="center"/>
            </w:pPr>
            <w:r>
              <w:rPr>
                <w:color w:val="000000"/>
                <w:sz w:val="24"/>
              </w:rPr>
              <w:t>0.42%</w:t>
            </w:r>
          </w:p>
        </w:tc>
        <w:tc>
          <w:tcPr>
            <w:tcW w:w="1267" w:type="dxa"/>
            <w:vAlign w:val="center"/>
          </w:tcPr>
          <w:p w:rsidR="00036302" w:rsidRDefault="00415537">
            <w:pPr>
              <w:jc w:val="center"/>
            </w:pPr>
            <w:r>
              <w:rPr>
                <w:color w:val="000000"/>
                <w:sz w:val="24"/>
              </w:rPr>
              <w:t>0.03%</w:t>
            </w:r>
          </w:p>
        </w:tc>
        <w:tc>
          <w:tcPr>
            <w:tcW w:w="1267" w:type="dxa"/>
            <w:vAlign w:val="center"/>
          </w:tcPr>
          <w:p w:rsidR="00036302" w:rsidRDefault="00415537">
            <w:pPr>
              <w:jc w:val="center"/>
            </w:pPr>
            <w:r>
              <w:rPr>
                <w:color w:val="000000"/>
                <w:sz w:val="24"/>
              </w:rPr>
              <w:t>1.72%</w:t>
            </w:r>
          </w:p>
        </w:tc>
        <w:tc>
          <w:tcPr>
            <w:tcW w:w="1267" w:type="dxa"/>
            <w:vAlign w:val="center"/>
          </w:tcPr>
          <w:p w:rsidR="00036302" w:rsidRDefault="00415537">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36302">
        <w:trPr>
          <w:jc w:val="center"/>
        </w:trPr>
        <w:tc>
          <w:tcPr>
            <w:tcW w:w="1266" w:type="dxa"/>
            <w:vAlign w:val="center"/>
          </w:tcPr>
          <w:p w:rsidR="00036302" w:rsidRDefault="00415537">
            <w:pPr>
              <w:jc w:val="left"/>
            </w:pPr>
            <w:r>
              <w:rPr>
                <w:color w:val="000000"/>
                <w:sz w:val="24"/>
              </w:rPr>
              <w:t>过去三个月</w:t>
            </w:r>
          </w:p>
        </w:tc>
        <w:tc>
          <w:tcPr>
            <w:tcW w:w="1267" w:type="dxa"/>
            <w:vAlign w:val="center"/>
          </w:tcPr>
          <w:p w:rsidR="00036302" w:rsidRDefault="00415537">
            <w:pPr>
              <w:jc w:val="center"/>
            </w:pPr>
            <w:r>
              <w:rPr>
                <w:color w:val="000000"/>
                <w:sz w:val="24"/>
              </w:rPr>
              <w:t>2.03%</w:t>
            </w:r>
          </w:p>
        </w:tc>
        <w:tc>
          <w:tcPr>
            <w:tcW w:w="1267" w:type="dxa"/>
            <w:vAlign w:val="center"/>
          </w:tcPr>
          <w:p w:rsidR="00036302" w:rsidRDefault="00415537">
            <w:pPr>
              <w:jc w:val="center"/>
            </w:pPr>
            <w:r>
              <w:rPr>
                <w:color w:val="000000"/>
                <w:sz w:val="24"/>
              </w:rPr>
              <w:t>0.10%</w:t>
            </w:r>
          </w:p>
        </w:tc>
        <w:tc>
          <w:tcPr>
            <w:tcW w:w="1267" w:type="dxa"/>
            <w:vAlign w:val="center"/>
          </w:tcPr>
          <w:p w:rsidR="00036302" w:rsidRDefault="00415537">
            <w:pPr>
              <w:jc w:val="center"/>
            </w:pPr>
            <w:r>
              <w:rPr>
                <w:color w:val="000000"/>
                <w:sz w:val="24"/>
              </w:rPr>
              <w:t>0.42%</w:t>
            </w:r>
          </w:p>
        </w:tc>
        <w:tc>
          <w:tcPr>
            <w:tcW w:w="1267" w:type="dxa"/>
            <w:vAlign w:val="center"/>
          </w:tcPr>
          <w:p w:rsidR="00036302" w:rsidRDefault="00415537">
            <w:pPr>
              <w:jc w:val="center"/>
            </w:pPr>
            <w:r>
              <w:rPr>
                <w:color w:val="000000"/>
                <w:sz w:val="24"/>
              </w:rPr>
              <w:t>0.03%</w:t>
            </w:r>
          </w:p>
        </w:tc>
        <w:tc>
          <w:tcPr>
            <w:tcW w:w="1267" w:type="dxa"/>
            <w:vAlign w:val="center"/>
          </w:tcPr>
          <w:p w:rsidR="00036302" w:rsidRDefault="00415537">
            <w:pPr>
              <w:jc w:val="center"/>
            </w:pPr>
            <w:r>
              <w:rPr>
                <w:color w:val="000000"/>
                <w:sz w:val="24"/>
              </w:rPr>
              <w:t>1.61%</w:t>
            </w:r>
          </w:p>
        </w:tc>
        <w:tc>
          <w:tcPr>
            <w:tcW w:w="1267" w:type="dxa"/>
            <w:vAlign w:val="center"/>
          </w:tcPr>
          <w:p w:rsidR="00036302" w:rsidRDefault="00415537">
            <w:pPr>
              <w:jc w:val="center"/>
            </w:pPr>
            <w:r>
              <w:rPr>
                <w:color w:val="000000"/>
                <w:sz w:val="24"/>
              </w:rPr>
              <w:t>0.07%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36302">
        <w:trPr>
          <w:jc w:val="center"/>
        </w:trPr>
        <w:tc>
          <w:tcPr>
            <w:tcW w:w="946" w:type="dxa"/>
            <w:vAlign w:val="center"/>
          </w:tcPr>
          <w:p w:rsidR="00036302" w:rsidRDefault="00415537">
            <w:pPr>
              <w:jc w:val="center"/>
            </w:pPr>
            <w:r>
              <w:rPr>
                <w:color w:val="000000"/>
                <w:sz w:val="24"/>
              </w:rPr>
              <w:t>于海颖</w:t>
            </w:r>
          </w:p>
        </w:tc>
        <w:tc>
          <w:tcPr>
            <w:tcW w:w="924" w:type="dxa"/>
            <w:vAlign w:val="center"/>
          </w:tcPr>
          <w:p w:rsidR="00036302" w:rsidRDefault="00415537">
            <w:pPr>
              <w:jc w:val="center"/>
            </w:pPr>
            <w:r>
              <w:rPr>
                <w:color w:val="000000"/>
                <w:sz w:val="24"/>
              </w:rPr>
              <w:t>交银增利债券、交银纯债债券发起、交银荣祥保本</w:t>
            </w:r>
            <w:r>
              <w:rPr>
                <w:color w:val="000000"/>
                <w:sz w:val="24"/>
              </w:rPr>
              <w:lastRenderedPageBreak/>
              <w:t>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036302" w:rsidRDefault="00415537">
            <w:pPr>
              <w:jc w:val="center"/>
            </w:pPr>
            <w:r>
              <w:rPr>
                <w:color w:val="000000"/>
                <w:sz w:val="24"/>
              </w:rPr>
              <w:lastRenderedPageBreak/>
              <w:t>2017-06-10</w:t>
            </w:r>
          </w:p>
        </w:tc>
        <w:tc>
          <w:tcPr>
            <w:tcW w:w="1300" w:type="dxa"/>
            <w:vAlign w:val="center"/>
          </w:tcPr>
          <w:p w:rsidR="00036302" w:rsidRDefault="00415537">
            <w:pPr>
              <w:jc w:val="center"/>
            </w:pPr>
            <w:r>
              <w:rPr>
                <w:color w:val="000000"/>
                <w:sz w:val="24"/>
              </w:rPr>
              <w:t>-</w:t>
            </w:r>
          </w:p>
        </w:tc>
        <w:tc>
          <w:tcPr>
            <w:tcW w:w="1245" w:type="dxa"/>
            <w:vAlign w:val="center"/>
          </w:tcPr>
          <w:p w:rsidR="00036302" w:rsidRDefault="00415537">
            <w:pPr>
              <w:jc w:val="center"/>
            </w:pPr>
            <w:r>
              <w:rPr>
                <w:color w:val="000000"/>
                <w:sz w:val="24"/>
              </w:rPr>
              <w:t>12</w:t>
            </w:r>
            <w:r>
              <w:rPr>
                <w:color w:val="000000"/>
                <w:sz w:val="24"/>
              </w:rPr>
              <w:t>年</w:t>
            </w:r>
          </w:p>
        </w:tc>
        <w:tc>
          <w:tcPr>
            <w:tcW w:w="3251" w:type="dxa"/>
            <w:vAlign w:val="center"/>
          </w:tcPr>
          <w:p w:rsidR="00036302" w:rsidRDefault="0041553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lastRenderedPageBreak/>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36302" w:rsidRDefault="0041553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36302" w:rsidRDefault="0041553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6302" w:rsidRDefault="0041553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36302" w:rsidRDefault="00415537">
      <w:pPr>
        <w:spacing w:before="29" w:line="288" w:lineRule="auto"/>
        <w:ind w:firstLineChars="200" w:firstLine="480"/>
        <w:rPr>
          <w:color w:val="000000"/>
          <w:sz w:val="24"/>
        </w:rPr>
      </w:pPr>
      <w:r>
        <w:rPr>
          <w:color w:val="000000"/>
          <w:sz w:val="24"/>
        </w:rPr>
        <w:t>今年以来，债券市场经历了一波收益率先上后下的行情。年初在流动性紧张等因素的综合影响下，关键年期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5.12%</w:t>
      </w:r>
      <w:r>
        <w:rPr>
          <w:color w:val="000000"/>
          <w:sz w:val="24"/>
        </w:rPr>
        <w:t>的高点，随着基本面和资金面预期的修复，收益率出现较大幅度的下行，截至一季末，</w:t>
      </w:r>
      <w:r>
        <w:rPr>
          <w:color w:val="000000"/>
          <w:sz w:val="24"/>
        </w:rPr>
        <w:t>10</w:t>
      </w:r>
      <w:r>
        <w:rPr>
          <w:color w:val="000000"/>
          <w:sz w:val="24"/>
        </w:rPr>
        <w:t>年期国开债的收益率下行至</w:t>
      </w:r>
      <w:r>
        <w:rPr>
          <w:color w:val="000000"/>
          <w:sz w:val="24"/>
        </w:rPr>
        <w:t>4.7%</w:t>
      </w:r>
      <w:r>
        <w:rPr>
          <w:color w:val="000000"/>
          <w:sz w:val="24"/>
        </w:rPr>
        <w:t>左右，较</w:t>
      </w:r>
      <w:r>
        <w:rPr>
          <w:color w:val="000000"/>
          <w:sz w:val="24"/>
        </w:rPr>
        <w:t>2017</w:t>
      </w:r>
      <w:r>
        <w:rPr>
          <w:color w:val="000000"/>
          <w:sz w:val="24"/>
        </w:rPr>
        <w:t>年年末下行了约</w:t>
      </w:r>
      <w:r>
        <w:rPr>
          <w:color w:val="000000"/>
          <w:sz w:val="24"/>
        </w:rPr>
        <w:t>18BP</w:t>
      </w:r>
      <w:r>
        <w:rPr>
          <w:color w:val="000000"/>
          <w:sz w:val="24"/>
        </w:rPr>
        <w:t>。多方面因素共同推动了债券收益率明显下行。经济增长方面，春节之后复工弱于往年，大宗商品库存高企，大宗商品价格回落，经济增长预期出现分歧</w:t>
      </w:r>
      <w:r>
        <w:rPr>
          <w:color w:val="000000"/>
          <w:sz w:val="24"/>
        </w:rPr>
        <w:t>,</w:t>
      </w:r>
      <w:r>
        <w:rPr>
          <w:color w:val="000000"/>
          <w:sz w:val="24"/>
        </w:rPr>
        <w:t>物价虽然在二月由于春节错位因素抬升，但猪肉价格大幅下挫，生产资料价格下行明显，整体通胀环境不构成担忧。资金面方面，</w:t>
      </w:r>
      <w:r>
        <w:rPr>
          <w:color w:val="000000"/>
          <w:sz w:val="24"/>
        </w:rPr>
        <w:lastRenderedPageBreak/>
        <w:t>年初以来流动性超预期宽松，货币政策没有边际上收紧，三月份美联储加息，中国央行跟随上调公开市场</w:t>
      </w:r>
      <w:r>
        <w:rPr>
          <w:color w:val="000000"/>
          <w:sz w:val="24"/>
        </w:rPr>
        <w:t>5BP</w:t>
      </w:r>
      <w:r>
        <w:rPr>
          <w:color w:val="000000"/>
          <w:sz w:val="24"/>
        </w:rPr>
        <w:t>，上调幅度符合市场预期。在以上因素的综合影响下，整体债券市场情绪明显恢复。</w:t>
      </w:r>
    </w:p>
    <w:p w:rsidR="00036302" w:rsidRDefault="00415537">
      <w:pPr>
        <w:spacing w:before="29" w:line="288" w:lineRule="auto"/>
        <w:ind w:firstLineChars="200" w:firstLine="480"/>
        <w:rPr>
          <w:color w:val="000000"/>
          <w:sz w:val="24"/>
        </w:rPr>
      </w:pPr>
      <w:r>
        <w:rPr>
          <w:color w:val="000000"/>
          <w:sz w:val="24"/>
        </w:rPr>
        <w:t>报告期内，管理人基于对宏观经济走势的考虑，适当提高债券久期，择机进行了长久期债券的波段操作，增强组合收益，同时增配了一定的转债仓位，优选个券，波段操作，为组合增强收益。</w:t>
      </w:r>
    </w:p>
    <w:p w:rsidR="00036302" w:rsidRDefault="00415537">
      <w:pPr>
        <w:spacing w:before="29" w:line="288" w:lineRule="auto"/>
        <w:ind w:firstLineChars="200" w:firstLine="480"/>
        <w:rPr>
          <w:color w:val="000000"/>
          <w:sz w:val="24"/>
        </w:rPr>
      </w:pPr>
      <w:r>
        <w:rPr>
          <w:color w:val="000000"/>
          <w:sz w:val="24"/>
        </w:rPr>
        <w:t>展望二季度，我们判断债市可能在波折中缓慢下行。首先，随着金融去杠杆的推进，去杠杆任务更加侧重于实体层面，我们认为后期债市关注焦点将回归经济基本面。其次，经济基本面方面，我们关注随着实体去杠杆和表外融资压缩，更多的融资转向表内，而表内信贷额度有限制，整体融资结构将会呈现出</w:t>
      </w:r>
      <w:r>
        <w:rPr>
          <w:color w:val="000000"/>
          <w:sz w:val="24"/>
        </w:rPr>
        <w:t>“</w:t>
      </w:r>
      <w:r>
        <w:rPr>
          <w:color w:val="000000"/>
          <w:sz w:val="24"/>
        </w:rPr>
        <w:t>宽货币</w:t>
      </w:r>
      <w:r>
        <w:rPr>
          <w:color w:val="000000"/>
          <w:sz w:val="24"/>
        </w:rPr>
        <w:t>”</w:t>
      </w:r>
      <w:r>
        <w:rPr>
          <w:color w:val="000000"/>
          <w:sz w:val="24"/>
        </w:rPr>
        <w:t>和</w:t>
      </w:r>
      <w:r>
        <w:rPr>
          <w:color w:val="000000"/>
          <w:sz w:val="24"/>
        </w:rPr>
        <w:t>“</w:t>
      </w:r>
      <w:r>
        <w:rPr>
          <w:color w:val="000000"/>
          <w:sz w:val="24"/>
        </w:rPr>
        <w:t>紧信用</w:t>
      </w:r>
      <w:r>
        <w:rPr>
          <w:color w:val="000000"/>
          <w:sz w:val="24"/>
        </w:rPr>
        <w:t>”</w:t>
      </w:r>
      <w:r>
        <w:rPr>
          <w:color w:val="000000"/>
          <w:sz w:val="24"/>
        </w:rPr>
        <w:t>的组合，对债市形成支撑。再次，在海外经济环境方面，我们也关注到随着人民币汇率的升值和贸易战局势的推进，</w:t>
      </w:r>
      <w:r>
        <w:rPr>
          <w:color w:val="000000"/>
          <w:sz w:val="24"/>
        </w:rPr>
        <w:t>2017</w:t>
      </w:r>
      <w:r>
        <w:rPr>
          <w:color w:val="000000"/>
          <w:sz w:val="24"/>
        </w:rPr>
        <w:t>年拉动经济增长的重要推动力出口将明显弱化。最后，在通胀方面，虽然今年</w:t>
      </w:r>
      <w:r>
        <w:rPr>
          <w:color w:val="000000"/>
          <w:sz w:val="24"/>
        </w:rPr>
        <w:t>CPI</w:t>
      </w:r>
      <w:r>
        <w:rPr>
          <w:color w:val="000000"/>
          <w:sz w:val="24"/>
        </w:rPr>
        <w:t>由于基数较低，整体的中枢较</w:t>
      </w:r>
      <w:r>
        <w:rPr>
          <w:color w:val="000000"/>
          <w:sz w:val="24"/>
        </w:rPr>
        <w:t>2017</w:t>
      </w:r>
      <w:r>
        <w:rPr>
          <w:color w:val="000000"/>
          <w:sz w:val="24"/>
        </w:rPr>
        <w:t>年有所提高，但</w:t>
      </w:r>
      <w:r>
        <w:rPr>
          <w:color w:val="000000"/>
          <w:sz w:val="24"/>
        </w:rPr>
        <w:t>PPI</w:t>
      </w:r>
      <w:r>
        <w:rPr>
          <w:color w:val="000000"/>
          <w:sz w:val="24"/>
        </w:rPr>
        <w:t>随着商品价格的回落，同时受到高基数影响，将明显回落。</w:t>
      </w:r>
    </w:p>
    <w:p w:rsidR="00036302" w:rsidRDefault="00415537">
      <w:pPr>
        <w:spacing w:before="29" w:line="288" w:lineRule="auto"/>
        <w:ind w:firstLineChars="200" w:firstLine="480"/>
        <w:rPr>
          <w:color w:val="000000"/>
          <w:sz w:val="24"/>
        </w:rPr>
      </w:pPr>
      <w:r>
        <w:rPr>
          <w:color w:val="000000"/>
          <w:sz w:val="24"/>
        </w:rPr>
        <w:t>综合考虑以上因素，我们预计市场整体将会相对保持平稳态势，债券收益率具有一定的投资机会。我们将适当提高组合久期。同时，我们认为低等级信用债利差未能充分</w:t>
      </w:r>
      <w:r w:rsidR="0091111F">
        <w:rPr>
          <w:rFonts w:hint="eastAsia"/>
          <w:color w:val="000000"/>
          <w:sz w:val="24"/>
        </w:rPr>
        <w:t>反映</w:t>
      </w:r>
      <w:r>
        <w:rPr>
          <w:color w:val="000000"/>
          <w:sz w:val="24"/>
        </w:rPr>
        <w:t>未来的信用风险，因此在信用债的操作中，主要以中高等级的信用债为底仓，择机进行长久期利率债的波段操作，以期增强组合收益。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可转债方面，转债市场扩容后行业分布更加均衡，标的选择空间加大，二季度我们认为转债缺乏系统性的机会，但不乏行业和个券机会，因此在操作方面，我们将更加均衡的配置，关注新兴行业转债，灵活操作努力为组合增强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0.9861</w:t>
      </w:r>
      <w:r w:rsidRPr="007F52FA">
        <w:rPr>
          <w:color w:val="000000"/>
          <w:sz w:val="24"/>
        </w:rPr>
        <w:t>元，本报告期份额净值增长率为</w:t>
      </w:r>
      <w:r w:rsidRPr="007F52FA">
        <w:rPr>
          <w:color w:val="000000"/>
          <w:sz w:val="24"/>
        </w:rPr>
        <w:t>2.14%</w:t>
      </w:r>
      <w:r w:rsidRPr="007F52FA">
        <w:rPr>
          <w:color w:val="000000"/>
          <w:sz w:val="24"/>
        </w:rPr>
        <w:t>，同期业绩比较基准增长率为</w:t>
      </w:r>
      <w:r w:rsidRPr="007F52FA">
        <w:rPr>
          <w:color w:val="000000"/>
          <w:sz w:val="24"/>
        </w:rPr>
        <w:t>0.42%</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0.9788</w:t>
      </w:r>
      <w:r w:rsidRPr="007F52FA">
        <w:rPr>
          <w:color w:val="000000"/>
          <w:sz w:val="24"/>
        </w:rPr>
        <w:t>元，本报告期份额净值增长率为</w:t>
      </w:r>
      <w:r w:rsidRPr="007F52FA">
        <w:rPr>
          <w:color w:val="000000"/>
          <w:sz w:val="24"/>
        </w:rPr>
        <w:t>2.03%</w:t>
      </w:r>
      <w:r w:rsidRPr="007F52FA">
        <w:rPr>
          <w:color w:val="000000"/>
          <w:sz w:val="24"/>
        </w:rPr>
        <w:t>，同期业绩比较基准增长率为</w:t>
      </w:r>
      <w:r w:rsidRPr="007F52FA">
        <w:rPr>
          <w:color w:val="000000"/>
          <w:sz w:val="24"/>
        </w:rPr>
        <w:t>0.42%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394,030,904.70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90.58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387,030,904.70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16,361,807.25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20,121,847.41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435,014,559.36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59,617,350.00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59,617,350.00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164,012,500.00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128,287,000.00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38.39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35,114,054.70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387,030,904.70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115.82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36302">
        <w:trPr>
          <w:jc w:val="center"/>
        </w:trPr>
        <w:tc>
          <w:tcPr>
            <w:tcW w:w="1075" w:type="dxa"/>
            <w:vAlign w:val="center"/>
          </w:tcPr>
          <w:p w:rsidR="00036302" w:rsidRDefault="00415537">
            <w:pPr>
              <w:jc w:val="center"/>
            </w:pPr>
            <w:r>
              <w:rPr>
                <w:color w:val="000000"/>
                <w:sz w:val="24"/>
              </w:rPr>
              <w:t>1</w:t>
            </w:r>
          </w:p>
        </w:tc>
        <w:tc>
          <w:tcPr>
            <w:tcW w:w="1533" w:type="dxa"/>
            <w:vAlign w:val="center"/>
          </w:tcPr>
          <w:p w:rsidR="00036302" w:rsidRDefault="00415537">
            <w:pPr>
              <w:jc w:val="center"/>
            </w:pPr>
            <w:r>
              <w:rPr>
                <w:color w:val="000000"/>
                <w:sz w:val="24"/>
              </w:rPr>
              <w:t>101754060</w:t>
            </w:r>
          </w:p>
        </w:tc>
        <w:tc>
          <w:tcPr>
            <w:tcW w:w="1533" w:type="dxa"/>
            <w:vAlign w:val="center"/>
          </w:tcPr>
          <w:p w:rsidR="00036302" w:rsidRDefault="00415537">
            <w:pPr>
              <w:jc w:val="center"/>
            </w:pPr>
            <w:r>
              <w:rPr>
                <w:color w:val="000000"/>
                <w:sz w:val="24"/>
              </w:rPr>
              <w:t>17</w:t>
            </w:r>
            <w:r>
              <w:rPr>
                <w:color w:val="000000"/>
                <w:sz w:val="24"/>
              </w:rPr>
              <w:t>丰台国资</w:t>
            </w:r>
            <w:r>
              <w:rPr>
                <w:color w:val="000000"/>
                <w:sz w:val="24"/>
              </w:rPr>
              <w:t>MTN001</w:t>
            </w:r>
          </w:p>
        </w:tc>
        <w:tc>
          <w:tcPr>
            <w:tcW w:w="1394" w:type="dxa"/>
            <w:vAlign w:val="center"/>
          </w:tcPr>
          <w:p w:rsidR="00036302" w:rsidRDefault="00415537">
            <w:pPr>
              <w:jc w:val="right"/>
            </w:pPr>
            <w:r>
              <w:rPr>
                <w:color w:val="000000"/>
                <w:sz w:val="24"/>
              </w:rPr>
              <w:t>300,000</w:t>
            </w:r>
          </w:p>
        </w:tc>
        <w:tc>
          <w:tcPr>
            <w:tcW w:w="1944" w:type="dxa"/>
            <w:vAlign w:val="center"/>
          </w:tcPr>
          <w:p w:rsidR="00036302" w:rsidRDefault="00415537">
            <w:pPr>
              <w:jc w:val="right"/>
            </w:pPr>
            <w:r>
              <w:rPr>
                <w:color w:val="000000"/>
                <w:sz w:val="24"/>
              </w:rPr>
              <w:t>30,105,000.00</w:t>
            </w:r>
          </w:p>
        </w:tc>
        <w:tc>
          <w:tcPr>
            <w:tcW w:w="1389" w:type="dxa"/>
            <w:vAlign w:val="center"/>
          </w:tcPr>
          <w:p w:rsidR="00036302" w:rsidRDefault="00415537">
            <w:pPr>
              <w:jc w:val="right"/>
            </w:pPr>
            <w:r>
              <w:rPr>
                <w:color w:val="000000"/>
                <w:sz w:val="24"/>
              </w:rPr>
              <w:t>9.01</w:t>
            </w:r>
          </w:p>
        </w:tc>
      </w:tr>
      <w:tr w:rsidR="00036302">
        <w:trPr>
          <w:jc w:val="center"/>
        </w:trPr>
        <w:tc>
          <w:tcPr>
            <w:tcW w:w="1075" w:type="dxa"/>
            <w:vAlign w:val="center"/>
          </w:tcPr>
          <w:p w:rsidR="00036302" w:rsidRDefault="00415537">
            <w:pPr>
              <w:jc w:val="center"/>
            </w:pPr>
            <w:r>
              <w:rPr>
                <w:color w:val="000000"/>
                <w:sz w:val="24"/>
              </w:rPr>
              <w:t>2</w:t>
            </w:r>
          </w:p>
        </w:tc>
        <w:tc>
          <w:tcPr>
            <w:tcW w:w="1533" w:type="dxa"/>
            <w:vAlign w:val="center"/>
          </w:tcPr>
          <w:p w:rsidR="00036302" w:rsidRDefault="00415537">
            <w:pPr>
              <w:jc w:val="center"/>
            </w:pPr>
            <w:r>
              <w:rPr>
                <w:color w:val="000000"/>
                <w:sz w:val="24"/>
              </w:rPr>
              <w:t>101761021</w:t>
            </w:r>
          </w:p>
        </w:tc>
        <w:tc>
          <w:tcPr>
            <w:tcW w:w="1533" w:type="dxa"/>
            <w:vAlign w:val="center"/>
          </w:tcPr>
          <w:p w:rsidR="00036302" w:rsidRDefault="00415537">
            <w:pPr>
              <w:jc w:val="center"/>
            </w:pPr>
            <w:r>
              <w:rPr>
                <w:color w:val="000000"/>
                <w:sz w:val="24"/>
              </w:rPr>
              <w:t>17</w:t>
            </w:r>
            <w:r>
              <w:rPr>
                <w:color w:val="000000"/>
                <w:sz w:val="24"/>
              </w:rPr>
              <w:t>拱墅经投</w:t>
            </w:r>
            <w:r>
              <w:rPr>
                <w:color w:val="000000"/>
                <w:sz w:val="24"/>
              </w:rPr>
              <w:t>MTN001</w:t>
            </w:r>
          </w:p>
        </w:tc>
        <w:tc>
          <w:tcPr>
            <w:tcW w:w="1394" w:type="dxa"/>
            <w:vAlign w:val="center"/>
          </w:tcPr>
          <w:p w:rsidR="00036302" w:rsidRDefault="00415537">
            <w:pPr>
              <w:jc w:val="right"/>
            </w:pPr>
            <w:r>
              <w:rPr>
                <w:color w:val="000000"/>
                <w:sz w:val="24"/>
              </w:rPr>
              <w:t>300,000</w:t>
            </w:r>
          </w:p>
        </w:tc>
        <w:tc>
          <w:tcPr>
            <w:tcW w:w="1944" w:type="dxa"/>
            <w:vAlign w:val="center"/>
          </w:tcPr>
          <w:p w:rsidR="00036302" w:rsidRDefault="00415537">
            <w:pPr>
              <w:jc w:val="right"/>
            </w:pPr>
            <w:r>
              <w:rPr>
                <w:color w:val="000000"/>
                <w:sz w:val="24"/>
              </w:rPr>
              <w:t>29,952,000.00</w:t>
            </w:r>
          </w:p>
        </w:tc>
        <w:tc>
          <w:tcPr>
            <w:tcW w:w="1389" w:type="dxa"/>
            <w:vAlign w:val="center"/>
          </w:tcPr>
          <w:p w:rsidR="00036302" w:rsidRDefault="00415537">
            <w:pPr>
              <w:jc w:val="right"/>
            </w:pPr>
            <w:r>
              <w:rPr>
                <w:color w:val="000000"/>
                <w:sz w:val="24"/>
              </w:rPr>
              <w:t>8.96</w:t>
            </w:r>
          </w:p>
        </w:tc>
      </w:tr>
      <w:tr w:rsidR="00036302">
        <w:trPr>
          <w:jc w:val="center"/>
        </w:trPr>
        <w:tc>
          <w:tcPr>
            <w:tcW w:w="1075" w:type="dxa"/>
            <w:vAlign w:val="center"/>
          </w:tcPr>
          <w:p w:rsidR="00036302" w:rsidRDefault="00415537">
            <w:pPr>
              <w:jc w:val="center"/>
            </w:pPr>
            <w:r>
              <w:rPr>
                <w:color w:val="000000"/>
                <w:sz w:val="24"/>
              </w:rPr>
              <w:t>3</w:t>
            </w:r>
          </w:p>
        </w:tc>
        <w:tc>
          <w:tcPr>
            <w:tcW w:w="1533" w:type="dxa"/>
            <w:vAlign w:val="center"/>
          </w:tcPr>
          <w:p w:rsidR="00036302" w:rsidRDefault="00415537">
            <w:pPr>
              <w:jc w:val="center"/>
            </w:pPr>
            <w:r>
              <w:rPr>
                <w:color w:val="000000"/>
                <w:sz w:val="24"/>
              </w:rPr>
              <w:t>143179</w:t>
            </w:r>
          </w:p>
        </w:tc>
        <w:tc>
          <w:tcPr>
            <w:tcW w:w="1533" w:type="dxa"/>
            <w:vAlign w:val="center"/>
          </w:tcPr>
          <w:p w:rsidR="00036302" w:rsidRDefault="00415537">
            <w:pPr>
              <w:jc w:val="center"/>
            </w:pPr>
            <w:r>
              <w:rPr>
                <w:color w:val="000000"/>
                <w:sz w:val="24"/>
              </w:rPr>
              <w:t>17</w:t>
            </w:r>
            <w:r>
              <w:rPr>
                <w:color w:val="000000"/>
                <w:sz w:val="24"/>
              </w:rPr>
              <w:t>杭金</w:t>
            </w:r>
            <w:r>
              <w:rPr>
                <w:color w:val="000000"/>
                <w:sz w:val="24"/>
              </w:rPr>
              <w:t>02</w:t>
            </w:r>
          </w:p>
        </w:tc>
        <w:tc>
          <w:tcPr>
            <w:tcW w:w="1394" w:type="dxa"/>
            <w:vAlign w:val="center"/>
          </w:tcPr>
          <w:p w:rsidR="00036302" w:rsidRDefault="00415537">
            <w:pPr>
              <w:jc w:val="right"/>
            </w:pPr>
            <w:r>
              <w:rPr>
                <w:color w:val="000000"/>
                <w:sz w:val="24"/>
              </w:rPr>
              <w:t>300,000</w:t>
            </w:r>
          </w:p>
        </w:tc>
        <w:tc>
          <w:tcPr>
            <w:tcW w:w="1944" w:type="dxa"/>
            <w:vAlign w:val="center"/>
          </w:tcPr>
          <w:p w:rsidR="00036302" w:rsidRDefault="00415537">
            <w:pPr>
              <w:jc w:val="right"/>
            </w:pPr>
            <w:r>
              <w:rPr>
                <w:color w:val="000000"/>
                <w:sz w:val="24"/>
              </w:rPr>
              <w:t>29,649,000.00</w:t>
            </w:r>
          </w:p>
        </w:tc>
        <w:tc>
          <w:tcPr>
            <w:tcW w:w="1389" w:type="dxa"/>
            <w:vAlign w:val="center"/>
          </w:tcPr>
          <w:p w:rsidR="00036302" w:rsidRDefault="00415537">
            <w:pPr>
              <w:jc w:val="right"/>
            </w:pPr>
            <w:r>
              <w:rPr>
                <w:color w:val="000000"/>
                <w:sz w:val="24"/>
              </w:rPr>
              <w:t>8.87</w:t>
            </w:r>
          </w:p>
        </w:tc>
      </w:tr>
      <w:tr w:rsidR="00036302">
        <w:trPr>
          <w:jc w:val="center"/>
        </w:trPr>
        <w:tc>
          <w:tcPr>
            <w:tcW w:w="1075" w:type="dxa"/>
            <w:vAlign w:val="center"/>
          </w:tcPr>
          <w:p w:rsidR="00036302" w:rsidRDefault="00415537">
            <w:pPr>
              <w:jc w:val="center"/>
            </w:pPr>
            <w:r>
              <w:rPr>
                <w:color w:val="000000"/>
                <w:sz w:val="24"/>
              </w:rPr>
              <w:t>4</w:t>
            </w:r>
          </w:p>
        </w:tc>
        <w:tc>
          <w:tcPr>
            <w:tcW w:w="1533" w:type="dxa"/>
            <w:vAlign w:val="center"/>
          </w:tcPr>
          <w:p w:rsidR="00036302" w:rsidRDefault="00415537">
            <w:pPr>
              <w:jc w:val="center"/>
            </w:pPr>
            <w:r>
              <w:rPr>
                <w:color w:val="000000"/>
                <w:sz w:val="24"/>
              </w:rPr>
              <w:t>101580018</w:t>
            </w:r>
          </w:p>
        </w:tc>
        <w:tc>
          <w:tcPr>
            <w:tcW w:w="1533" w:type="dxa"/>
            <w:vAlign w:val="center"/>
          </w:tcPr>
          <w:p w:rsidR="00036302" w:rsidRDefault="00415537">
            <w:pPr>
              <w:jc w:val="center"/>
            </w:pPr>
            <w:r>
              <w:rPr>
                <w:color w:val="000000"/>
                <w:sz w:val="24"/>
              </w:rPr>
              <w:t>15</w:t>
            </w:r>
            <w:r>
              <w:rPr>
                <w:color w:val="000000"/>
                <w:sz w:val="24"/>
              </w:rPr>
              <w:t>泰山投资</w:t>
            </w:r>
            <w:r>
              <w:rPr>
                <w:color w:val="000000"/>
                <w:sz w:val="24"/>
              </w:rPr>
              <w:t>MTN001</w:t>
            </w:r>
          </w:p>
        </w:tc>
        <w:tc>
          <w:tcPr>
            <w:tcW w:w="1394" w:type="dxa"/>
            <w:vAlign w:val="center"/>
          </w:tcPr>
          <w:p w:rsidR="00036302" w:rsidRDefault="00415537">
            <w:pPr>
              <w:jc w:val="right"/>
            </w:pPr>
            <w:r>
              <w:rPr>
                <w:color w:val="000000"/>
                <w:sz w:val="24"/>
              </w:rPr>
              <w:t>300,000</w:t>
            </w:r>
          </w:p>
        </w:tc>
        <w:tc>
          <w:tcPr>
            <w:tcW w:w="1944" w:type="dxa"/>
            <w:vAlign w:val="center"/>
          </w:tcPr>
          <w:p w:rsidR="00036302" w:rsidRDefault="00415537">
            <w:pPr>
              <w:jc w:val="right"/>
            </w:pPr>
            <w:r>
              <w:rPr>
                <w:color w:val="000000"/>
                <w:sz w:val="24"/>
              </w:rPr>
              <w:t>29,112,000.00</w:t>
            </w:r>
          </w:p>
        </w:tc>
        <w:tc>
          <w:tcPr>
            <w:tcW w:w="1389" w:type="dxa"/>
            <w:vAlign w:val="center"/>
          </w:tcPr>
          <w:p w:rsidR="00036302" w:rsidRDefault="00415537">
            <w:pPr>
              <w:jc w:val="right"/>
            </w:pPr>
            <w:r>
              <w:rPr>
                <w:color w:val="000000"/>
                <w:sz w:val="24"/>
              </w:rPr>
              <w:t>8.71</w:t>
            </w:r>
          </w:p>
        </w:tc>
      </w:tr>
      <w:tr w:rsidR="00036302">
        <w:trPr>
          <w:jc w:val="center"/>
        </w:trPr>
        <w:tc>
          <w:tcPr>
            <w:tcW w:w="1075" w:type="dxa"/>
            <w:vAlign w:val="center"/>
          </w:tcPr>
          <w:p w:rsidR="00036302" w:rsidRDefault="00415537">
            <w:pPr>
              <w:jc w:val="center"/>
            </w:pPr>
            <w:r>
              <w:rPr>
                <w:color w:val="000000"/>
                <w:sz w:val="24"/>
              </w:rPr>
              <w:t>5</w:t>
            </w:r>
          </w:p>
        </w:tc>
        <w:tc>
          <w:tcPr>
            <w:tcW w:w="1533" w:type="dxa"/>
            <w:vAlign w:val="center"/>
          </w:tcPr>
          <w:p w:rsidR="00036302" w:rsidRDefault="00415537">
            <w:pPr>
              <w:jc w:val="center"/>
            </w:pPr>
            <w:r>
              <w:rPr>
                <w:color w:val="000000"/>
                <w:sz w:val="24"/>
              </w:rPr>
              <w:t>170215</w:t>
            </w:r>
          </w:p>
        </w:tc>
        <w:tc>
          <w:tcPr>
            <w:tcW w:w="1533" w:type="dxa"/>
            <w:vAlign w:val="center"/>
          </w:tcPr>
          <w:p w:rsidR="00036302" w:rsidRDefault="00415537">
            <w:pPr>
              <w:jc w:val="center"/>
            </w:pPr>
            <w:r>
              <w:rPr>
                <w:color w:val="000000"/>
                <w:sz w:val="24"/>
              </w:rPr>
              <w:t>17</w:t>
            </w:r>
            <w:r>
              <w:rPr>
                <w:color w:val="000000"/>
                <w:sz w:val="24"/>
              </w:rPr>
              <w:t>国开</w:t>
            </w:r>
            <w:r>
              <w:rPr>
                <w:color w:val="000000"/>
                <w:sz w:val="24"/>
              </w:rPr>
              <w:t>15</w:t>
            </w:r>
          </w:p>
        </w:tc>
        <w:tc>
          <w:tcPr>
            <w:tcW w:w="1394" w:type="dxa"/>
            <w:vAlign w:val="center"/>
          </w:tcPr>
          <w:p w:rsidR="00036302" w:rsidRDefault="00415537">
            <w:pPr>
              <w:jc w:val="right"/>
            </w:pPr>
            <w:r>
              <w:rPr>
                <w:color w:val="000000"/>
                <w:sz w:val="24"/>
              </w:rPr>
              <w:t>300,000</w:t>
            </w:r>
          </w:p>
        </w:tc>
        <w:tc>
          <w:tcPr>
            <w:tcW w:w="1944" w:type="dxa"/>
            <w:vAlign w:val="center"/>
          </w:tcPr>
          <w:p w:rsidR="00036302" w:rsidRDefault="00415537">
            <w:pPr>
              <w:jc w:val="right"/>
            </w:pPr>
            <w:r>
              <w:rPr>
                <w:color w:val="000000"/>
                <w:sz w:val="24"/>
              </w:rPr>
              <w:t>28,947,000.00</w:t>
            </w:r>
          </w:p>
        </w:tc>
        <w:tc>
          <w:tcPr>
            <w:tcW w:w="1389" w:type="dxa"/>
            <w:vAlign w:val="center"/>
          </w:tcPr>
          <w:p w:rsidR="00036302" w:rsidRDefault="00415537">
            <w:pPr>
              <w:jc w:val="right"/>
            </w:pPr>
            <w:r>
              <w:rPr>
                <w:color w:val="000000"/>
                <w:sz w:val="24"/>
              </w:rPr>
              <w:t>8.66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036302">
        <w:trPr>
          <w:jc w:val="center"/>
        </w:trPr>
        <w:tc>
          <w:tcPr>
            <w:tcW w:w="0" w:type="auto"/>
            <w:vAlign w:val="center"/>
          </w:tcPr>
          <w:p w:rsidR="00036302" w:rsidRDefault="00415537">
            <w:pPr>
              <w:jc w:val="center"/>
            </w:pPr>
            <w:r>
              <w:rPr>
                <w:color w:val="000000"/>
                <w:sz w:val="24"/>
              </w:rPr>
              <w:t>1</w:t>
            </w:r>
          </w:p>
        </w:tc>
        <w:tc>
          <w:tcPr>
            <w:tcW w:w="0" w:type="auto"/>
            <w:vAlign w:val="center"/>
          </w:tcPr>
          <w:p w:rsidR="00036302" w:rsidRDefault="00415537">
            <w:pPr>
              <w:jc w:val="center"/>
            </w:pPr>
            <w:r>
              <w:rPr>
                <w:color w:val="000000"/>
                <w:sz w:val="24"/>
              </w:rPr>
              <w:t>123935</w:t>
            </w:r>
          </w:p>
        </w:tc>
        <w:tc>
          <w:tcPr>
            <w:tcW w:w="0" w:type="auto"/>
            <w:vAlign w:val="center"/>
          </w:tcPr>
          <w:p w:rsidR="00036302" w:rsidRDefault="00415537">
            <w:pPr>
              <w:jc w:val="center"/>
            </w:pPr>
            <w:r>
              <w:rPr>
                <w:color w:val="000000"/>
                <w:sz w:val="24"/>
              </w:rPr>
              <w:t>15</w:t>
            </w:r>
            <w:r>
              <w:rPr>
                <w:color w:val="000000"/>
                <w:sz w:val="24"/>
              </w:rPr>
              <w:t>濮热</w:t>
            </w:r>
            <w:r>
              <w:rPr>
                <w:color w:val="000000"/>
                <w:sz w:val="24"/>
              </w:rPr>
              <w:t>03</w:t>
            </w:r>
          </w:p>
        </w:tc>
        <w:tc>
          <w:tcPr>
            <w:tcW w:w="0" w:type="auto"/>
            <w:vAlign w:val="center"/>
          </w:tcPr>
          <w:p w:rsidR="00036302" w:rsidRDefault="00415537">
            <w:pPr>
              <w:jc w:val="right"/>
            </w:pPr>
            <w:r>
              <w:rPr>
                <w:color w:val="000000"/>
                <w:sz w:val="24"/>
              </w:rPr>
              <w:t>40,000</w:t>
            </w:r>
          </w:p>
        </w:tc>
        <w:tc>
          <w:tcPr>
            <w:tcW w:w="0" w:type="auto"/>
            <w:vAlign w:val="center"/>
          </w:tcPr>
          <w:p w:rsidR="00036302" w:rsidRDefault="00415537">
            <w:pPr>
              <w:jc w:val="right"/>
            </w:pPr>
            <w:r>
              <w:rPr>
                <w:color w:val="000000"/>
                <w:sz w:val="24"/>
              </w:rPr>
              <w:t>4,000,000.00</w:t>
            </w:r>
          </w:p>
        </w:tc>
        <w:tc>
          <w:tcPr>
            <w:tcW w:w="0" w:type="auto"/>
            <w:vAlign w:val="center"/>
          </w:tcPr>
          <w:p w:rsidR="00036302" w:rsidRDefault="00415537">
            <w:pPr>
              <w:jc w:val="right"/>
            </w:pPr>
            <w:r>
              <w:rPr>
                <w:color w:val="000000"/>
                <w:sz w:val="24"/>
              </w:rPr>
              <w:t>1.20</w:t>
            </w:r>
          </w:p>
        </w:tc>
      </w:tr>
      <w:tr w:rsidR="00036302">
        <w:trPr>
          <w:jc w:val="center"/>
        </w:trPr>
        <w:tc>
          <w:tcPr>
            <w:tcW w:w="0" w:type="auto"/>
            <w:vAlign w:val="center"/>
          </w:tcPr>
          <w:p w:rsidR="00036302" w:rsidRDefault="00415537">
            <w:pPr>
              <w:jc w:val="center"/>
            </w:pPr>
            <w:r>
              <w:rPr>
                <w:color w:val="000000"/>
                <w:sz w:val="24"/>
              </w:rPr>
              <w:t>2</w:t>
            </w:r>
          </w:p>
        </w:tc>
        <w:tc>
          <w:tcPr>
            <w:tcW w:w="0" w:type="auto"/>
            <w:vAlign w:val="center"/>
          </w:tcPr>
          <w:p w:rsidR="00036302" w:rsidRDefault="00415537">
            <w:pPr>
              <w:jc w:val="center"/>
            </w:pPr>
            <w:r>
              <w:rPr>
                <w:color w:val="000000"/>
                <w:sz w:val="24"/>
              </w:rPr>
              <w:t>116239</w:t>
            </w:r>
          </w:p>
        </w:tc>
        <w:tc>
          <w:tcPr>
            <w:tcW w:w="0" w:type="auto"/>
            <w:vAlign w:val="center"/>
          </w:tcPr>
          <w:p w:rsidR="00036302" w:rsidRDefault="00415537">
            <w:pPr>
              <w:jc w:val="center"/>
            </w:pPr>
            <w:r>
              <w:rPr>
                <w:color w:val="000000"/>
                <w:sz w:val="24"/>
              </w:rPr>
              <w:t>16</w:t>
            </w:r>
            <w:r>
              <w:rPr>
                <w:color w:val="000000"/>
                <w:sz w:val="24"/>
              </w:rPr>
              <w:t>惠通</w:t>
            </w:r>
            <w:r>
              <w:rPr>
                <w:color w:val="000000"/>
                <w:sz w:val="24"/>
              </w:rPr>
              <w:t>A3</w:t>
            </w:r>
          </w:p>
        </w:tc>
        <w:tc>
          <w:tcPr>
            <w:tcW w:w="0" w:type="auto"/>
            <w:vAlign w:val="center"/>
          </w:tcPr>
          <w:p w:rsidR="00036302" w:rsidRDefault="00415537">
            <w:pPr>
              <w:jc w:val="right"/>
            </w:pPr>
            <w:r>
              <w:rPr>
                <w:color w:val="000000"/>
                <w:sz w:val="24"/>
              </w:rPr>
              <w:t>30,000</w:t>
            </w:r>
          </w:p>
        </w:tc>
        <w:tc>
          <w:tcPr>
            <w:tcW w:w="0" w:type="auto"/>
            <w:vAlign w:val="center"/>
          </w:tcPr>
          <w:p w:rsidR="00036302" w:rsidRDefault="00415537">
            <w:pPr>
              <w:jc w:val="right"/>
            </w:pPr>
            <w:r>
              <w:rPr>
                <w:color w:val="000000"/>
                <w:sz w:val="24"/>
              </w:rPr>
              <w:t>3,000,000.00</w:t>
            </w:r>
          </w:p>
        </w:tc>
        <w:tc>
          <w:tcPr>
            <w:tcW w:w="0" w:type="auto"/>
            <w:vAlign w:val="center"/>
          </w:tcPr>
          <w:p w:rsidR="00036302" w:rsidRDefault="00415537">
            <w:pPr>
              <w:jc w:val="right"/>
            </w:pPr>
            <w:r>
              <w:rPr>
                <w:color w:val="000000"/>
                <w:sz w:val="24"/>
              </w:rPr>
              <w:t>0.90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16,972.74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10,458,158.88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7,530,256.30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2,116,459.49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20,121,847.41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036302">
        <w:trPr>
          <w:jc w:val="center"/>
        </w:trPr>
        <w:tc>
          <w:tcPr>
            <w:tcW w:w="0" w:type="auto"/>
            <w:vAlign w:val="center"/>
          </w:tcPr>
          <w:p w:rsidR="00036302" w:rsidRDefault="00415537">
            <w:pPr>
              <w:jc w:val="center"/>
            </w:pPr>
            <w:r>
              <w:rPr>
                <w:rFonts w:eastAsiaTheme="minorEastAsia"/>
                <w:color w:val="000000"/>
                <w:sz w:val="24"/>
              </w:rPr>
              <w:t>1</w:t>
            </w:r>
          </w:p>
        </w:tc>
        <w:tc>
          <w:tcPr>
            <w:tcW w:w="0" w:type="auto"/>
            <w:vAlign w:val="center"/>
          </w:tcPr>
          <w:p w:rsidR="00036302" w:rsidRDefault="00415537">
            <w:pPr>
              <w:jc w:val="center"/>
            </w:pPr>
            <w:r>
              <w:rPr>
                <w:rFonts w:eastAsiaTheme="minorEastAsia"/>
                <w:color w:val="000000"/>
                <w:sz w:val="24"/>
              </w:rPr>
              <w:t>128015</w:t>
            </w:r>
          </w:p>
        </w:tc>
        <w:tc>
          <w:tcPr>
            <w:tcW w:w="0" w:type="auto"/>
            <w:vAlign w:val="center"/>
          </w:tcPr>
          <w:p w:rsidR="00036302" w:rsidRDefault="00415537">
            <w:pPr>
              <w:jc w:val="center"/>
            </w:pPr>
            <w:r>
              <w:rPr>
                <w:rFonts w:eastAsiaTheme="minorEastAsia"/>
                <w:color w:val="000000"/>
                <w:sz w:val="24"/>
              </w:rPr>
              <w:t>久其转债</w:t>
            </w:r>
          </w:p>
        </w:tc>
        <w:tc>
          <w:tcPr>
            <w:tcW w:w="0" w:type="auto"/>
            <w:vAlign w:val="center"/>
          </w:tcPr>
          <w:p w:rsidR="00036302" w:rsidRDefault="00415537">
            <w:pPr>
              <w:jc w:val="right"/>
            </w:pPr>
            <w:r>
              <w:rPr>
                <w:rFonts w:eastAsiaTheme="minorEastAsia"/>
                <w:color w:val="000000"/>
                <w:sz w:val="24"/>
              </w:rPr>
              <w:t>3,823,772.22</w:t>
            </w:r>
          </w:p>
        </w:tc>
        <w:tc>
          <w:tcPr>
            <w:tcW w:w="0" w:type="auto"/>
            <w:vAlign w:val="center"/>
          </w:tcPr>
          <w:p w:rsidR="00036302" w:rsidRDefault="00415537">
            <w:pPr>
              <w:jc w:val="right"/>
            </w:pPr>
            <w:r>
              <w:rPr>
                <w:rFonts w:eastAsiaTheme="minorEastAsia"/>
                <w:color w:val="000000"/>
                <w:sz w:val="24"/>
              </w:rPr>
              <w:t>1.14</w:t>
            </w:r>
          </w:p>
        </w:tc>
      </w:tr>
      <w:tr w:rsidR="00036302">
        <w:trPr>
          <w:jc w:val="center"/>
        </w:trPr>
        <w:tc>
          <w:tcPr>
            <w:tcW w:w="0" w:type="auto"/>
            <w:vAlign w:val="center"/>
          </w:tcPr>
          <w:p w:rsidR="00036302" w:rsidRDefault="00415537">
            <w:pPr>
              <w:jc w:val="center"/>
            </w:pPr>
            <w:r>
              <w:rPr>
                <w:rFonts w:eastAsiaTheme="minorEastAsia"/>
                <w:color w:val="000000"/>
                <w:sz w:val="24"/>
              </w:rPr>
              <w:t>2</w:t>
            </w:r>
          </w:p>
        </w:tc>
        <w:tc>
          <w:tcPr>
            <w:tcW w:w="0" w:type="auto"/>
            <w:vAlign w:val="center"/>
          </w:tcPr>
          <w:p w:rsidR="00036302" w:rsidRDefault="00415537">
            <w:pPr>
              <w:jc w:val="center"/>
            </w:pPr>
            <w:r>
              <w:rPr>
                <w:rFonts w:eastAsiaTheme="minorEastAsia"/>
                <w:color w:val="000000"/>
                <w:sz w:val="24"/>
              </w:rPr>
              <w:t>123001</w:t>
            </w:r>
          </w:p>
        </w:tc>
        <w:tc>
          <w:tcPr>
            <w:tcW w:w="0" w:type="auto"/>
            <w:vAlign w:val="center"/>
          </w:tcPr>
          <w:p w:rsidR="00036302" w:rsidRDefault="00415537">
            <w:pPr>
              <w:jc w:val="center"/>
            </w:pPr>
            <w:r>
              <w:rPr>
                <w:rFonts w:eastAsiaTheme="minorEastAsia"/>
                <w:color w:val="000000"/>
                <w:sz w:val="24"/>
              </w:rPr>
              <w:t>蓝标转债</w:t>
            </w:r>
          </w:p>
        </w:tc>
        <w:tc>
          <w:tcPr>
            <w:tcW w:w="0" w:type="auto"/>
            <w:vAlign w:val="center"/>
          </w:tcPr>
          <w:p w:rsidR="00036302" w:rsidRDefault="00415537">
            <w:pPr>
              <w:jc w:val="right"/>
            </w:pPr>
            <w:r>
              <w:rPr>
                <w:rFonts w:eastAsiaTheme="minorEastAsia"/>
                <w:color w:val="000000"/>
                <w:sz w:val="24"/>
              </w:rPr>
              <w:t>3,008,100.00</w:t>
            </w:r>
          </w:p>
        </w:tc>
        <w:tc>
          <w:tcPr>
            <w:tcW w:w="0" w:type="auto"/>
            <w:vAlign w:val="center"/>
          </w:tcPr>
          <w:p w:rsidR="00036302" w:rsidRDefault="00415537">
            <w:pPr>
              <w:jc w:val="right"/>
            </w:pPr>
            <w:r>
              <w:rPr>
                <w:rFonts w:eastAsiaTheme="minorEastAsia"/>
                <w:color w:val="000000"/>
                <w:sz w:val="24"/>
              </w:rPr>
              <w:t>0.90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R="001D5CD0" w:rsidRPr="007F52FA" w:rsidRDefault="001D5CD0" w:rsidP="007C14DF">
      <w:pPr>
        <w:spacing w:before="29" w:line="288" w:lineRule="auto"/>
        <w:rPr>
          <w:rFonts w:eastAsiaTheme="minorEastAsia"/>
          <w:sz w:val="24"/>
        </w:rPr>
      </w:pPr>
    </w:p>
    <w:p w:rsidR="001D5CD0"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415537" w:rsidRDefault="00415537" w:rsidP="00A0678E">
      <w:pPr>
        <w:spacing w:before="29" w:line="288" w:lineRule="auto"/>
        <w:rPr>
          <w:color w:val="000000"/>
          <w:kern w:val="0"/>
          <w:sz w:val="24"/>
        </w:rPr>
      </w:pPr>
      <w:r w:rsidRPr="00634EB4">
        <w:rPr>
          <w:rFonts w:hint="eastAsia"/>
          <w:color w:val="000000"/>
          <w:kern w:val="0"/>
          <w:sz w:val="24"/>
        </w:rPr>
        <w:t>1</w:t>
      </w:r>
      <w:r w:rsidRPr="00634EB4">
        <w:rPr>
          <w:rFonts w:hint="eastAsia"/>
          <w:color w:val="000000"/>
          <w:kern w:val="0"/>
          <w:sz w:val="24"/>
        </w:rPr>
        <w:t>、本基金本报告期末未持有处于交换期的可交换债券。</w:t>
      </w:r>
    </w:p>
    <w:p w:rsidR="001D5CD0" w:rsidRPr="007F52FA" w:rsidRDefault="00415537" w:rsidP="00A0678E">
      <w:pPr>
        <w:spacing w:before="29" w:line="288" w:lineRule="auto"/>
        <w:rPr>
          <w:rFonts w:eastAsiaTheme="minorEastAsia"/>
          <w:color w:val="000000"/>
          <w:sz w:val="24"/>
        </w:rPr>
      </w:pPr>
      <w:r>
        <w:rPr>
          <w:rFonts w:eastAsiaTheme="minorEastAsia" w:hint="eastAsia"/>
          <w:color w:val="000000"/>
          <w:sz w:val="24"/>
        </w:rPr>
        <w:t>2</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A97C3B"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A97C3B">
        <w:rPr>
          <w:rFonts w:eastAsiaTheme="minorEastAsia"/>
          <w:color w:val="000000" w:themeColor="text1"/>
          <w:kern w:val="0"/>
          <w:sz w:val="24"/>
          <w:szCs w:val="24"/>
        </w:rPr>
        <w:t xml:space="preserve">§6  </w:t>
      </w:r>
      <w:r w:rsidRPr="00A97C3B">
        <w:rPr>
          <w:rFonts w:eastAsiaTheme="minorEastAsia" w:hint="eastAsia"/>
          <w:color w:val="000000" w:themeColor="text1"/>
          <w:kern w:val="0"/>
          <w:sz w:val="24"/>
          <w:szCs w:val="24"/>
        </w:rPr>
        <w:t>基金中基金</w:t>
      </w:r>
    </w:p>
    <w:p w:rsidR="00C51B4E" w:rsidRPr="00A97C3B" w:rsidRDefault="00C51B4E" w:rsidP="00C51B4E">
      <w:pPr>
        <w:adjustRightInd w:val="0"/>
        <w:snapToGrid w:val="0"/>
        <w:spacing w:line="360" w:lineRule="auto"/>
        <w:rPr>
          <w:rFonts w:eastAsiaTheme="minorEastAsia"/>
          <w:b/>
          <w:color w:val="000000" w:themeColor="text1"/>
          <w:kern w:val="0"/>
          <w:sz w:val="24"/>
        </w:rPr>
      </w:pPr>
      <w:r w:rsidRPr="00A97C3B">
        <w:rPr>
          <w:rFonts w:eastAsiaTheme="minorEastAsia"/>
          <w:b/>
          <w:color w:val="000000" w:themeColor="text1"/>
          <w:kern w:val="0"/>
          <w:sz w:val="24"/>
        </w:rPr>
        <w:t xml:space="preserve">6.1 </w:t>
      </w:r>
      <w:r w:rsidRPr="00A97C3B">
        <w:rPr>
          <w:rFonts w:eastAsiaTheme="minorEastAsia" w:hint="eastAsia"/>
          <w:b/>
          <w:color w:val="000000" w:themeColor="text1"/>
          <w:kern w:val="0"/>
          <w:sz w:val="24"/>
        </w:rPr>
        <w:t>报告期末按公允价值占基金资产净值比例大小排序的前十名基金投资明细</w:t>
      </w:r>
    </w:p>
    <w:p w:rsidR="00C51B4E" w:rsidRPr="00A97C3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A97C3B">
        <w:rPr>
          <w:rFonts w:eastAsiaTheme="minorEastAsia" w:hint="eastAsia"/>
          <w:color w:val="000000" w:themeColor="text1"/>
          <w:sz w:val="24"/>
        </w:rPr>
        <w:t>本基金本报告期末未持有基金。</w:t>
      </w:r>
    </w:p>
    <w:p w:rsidR="00C51B4E" w:rsidRPr="00A97C3B" w:rsidRDefault="00C51B4E" w:rsidP="0028293E">
      <w:pPr>
        <w:adjustRightInd w:val="0"/>
        <w:snapToGrid w:val="0"/>
        <w:spacing w:beforeLines="50" w:before="156" w:line="360" w:lineRule="auto"/>
        <w:rPr>
          <w:rFonts w:eastAsiaTheme="minorEastAsia"/>
          <w:b/>
          <w:color w:val="000000" w:themeColor="text1"/>
          <w:kern w:val="0"/>
          <w:sz w:val="24"/>
        </w:rPr>
      </w:pPr>
      <w:r w:rsidRPr="00A97C3B">
        <w:rPr>
          <w:rFonts w:eastAsiaTheme="minorEastAsia"/>
          <w:b/>
          <w:color w:val="000000" w:themeColor="text1"/>
          <w:kern w:val="0"/>
          <w:sz w:val="24"/>
        </w:rPr>
        <w:t xml:space="preserve">6.2 </w:t>
      </w:r>
      <w:r w:rsidRPr="00A97C3B">
        <w:rPr>
          <w:rFonts w:eastAsiaTheme="minorEastAsia" w:hint="eastAsia"/>
          <w:b/>
          <w:color w:val="000000" w:themeColor="text1"/>
          <w:kern w:val="0"/>
          <w:sz w:val="24"/>
        </w:rPr>
        <w:t>当期交易及持有基金产生的费用</w:t>
      </w:r>
    </w:p>
    <w:p w:rsidR="00C51B4E" w:rsidRPr="00A97C3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A97C3B">
        <w:rPr>
          <w:rFonts w:eastAsiaTheme="minorEastAsia" w:hint="eastAsia"/>
          <w:color w:val="000000" w:themeColor="text1"/>
          <w:sz w:val="24"/>
        </w:rPr>
        <w:t>本基金本报告期内未交易或持有基金。</w:t>
      </w:r>
    </w:p>
    <w:p w:rsidR="0011640A" w:rsidRPr="00A97C3B" w:rsidRDefault="0011640A" w:rsidP="00A97C3B">
      <w:pPr>
        <w:autoSpaceDE w:val="0"/>
        <w:autoSpaceDN w:val="0"/>
        <w:adjustRightInd w:val="0"/>
        <w:spacing w:line="360" w:lineRule="auto"/>
        <w:jc w:val="left"/>
        <w:rPr>
          <w:rFonts w:eastAsiaTheme="minorEastAsia"/>
          <w:b/>
          <w:color w:val="000000" w:themeColor="text1"/>
          <w:sz w:val="24"/>
        </w:rPr>
      </w:pPr>
      <w:r w:rsidRPr="00A97C3B">
        <w:rPr>
          <w:rFonts w:eastAsiaTheme="minorEastAsia"/>
          <w:b/>
          <w:color w:val="000000" w:themeColor="text1"/>
          <w:sz w:val="24"/>
        </w:rPr>
        <w:t xml:space="preserve">6.3 </w:t>
      </w:r>
      <w:r w:rsidRPr="00A97C3B">
        <w:rPr>
          <w:rFonts w:eastAsiaTheme="minorEastAsia" w:hint="eastAsia"/>
          <w:b/>
          <w:color w:val="000000" w:themeColor="text1"/>
          <w:sz w:val="24"/>
        </w:rPr>
        <w:t>本报告期持有的基金发生的重大影响事件</w:t>
      </w:r>
    </w:p>
    <w:p w:rsidR="0011640A" w:rsidRPr="00A97C3B" w:rsidRDefault="0011640A" w:rsidP="0011640A">
      <w:pPr>
        <w:autoSpaceDE w:val="0"/>
        <w:autoSpaceDN w:val="0"/>
        <w:adjustRightInd w:val="0"/>
        <w:spacing w:line="360" w:lineRule="auto"/>
        <w:ind w:firstLineChars="200" w:firstLine="480"/>
        <w:jc w:val="left"/>
        <w:rPr>
          <w:rFonts w:eastAsiaTheme="minorEastAsia"/>
          <w:color w:val="000000" w:themeColor="text1"/>
          <w:sz w:val="24"/>
        </w:rPr>
      </w:pPr>
      <w:r w:rsidRPr="00A97C3B">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271,193,278.42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84,312,461.04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129,385,940.78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6,291,700.52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139,870,485.26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11,872,462.80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260,708,733.94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78,731,698.76</w:t>
            </w:r>
          </w:p>
        </w:tc>
      </w:tr>
    </w:tbl>
    <w:p w:rsidR="00036302" w:rsidRDefault="0041553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36302">
        <w:tc>
          <w:tcPr>
            <w:tcW w:w="992" w:type="dxa"/>
            <w:vMerge w:val="restart"/>
          </w:tcPr>
          <w:p w:rsidR="00036302" w:rsidRDefault="00036302"/>
          <w:p w:rsidR="00036302" w:rsidRDefault="00415537">
            <w:r>
              <w:rPr>
                <w:rFonts w:ascii="宋体" w:hAnsi="宋体" w:hint="eastAsia"/>
                <w:bCs/>
                <w:color w:val="000000"/>
                <w:kern w:val="0"/>
                <w:szCs w:val="21"/>
              </w:rPr>
              <w:t>机构</w:t>
            </w:r>
          </w:p>
        </w:tc>
        <w:tc>
          <w:tcPr>
            <w:tcW w:w="991" w:type="dxa"/>
            <w:vAlign w:val="center"/>
          </w:tcPr>
          <w:p w:rsidR="00036302" w:rsidRDefault="00415537">
            <w:pPr>
              <w:jc w:val="center"/>
            </w:pPr>
            <w:r>
              <w:rPr>
                <w:rFonts w:ascii="宋体" w:hAnsi="宋体" w:hint="eastAsia"/>
                <w:color w:val="000000"/>
                <w:kern w:val="0"/>
                <w:szCs w:val="21"/>
              </w:rPr>
              <w:t>1</w:t>
            </w:r>
          </w:p>
        </w:tc>
        <w:tc>
          <w:tcPr>
            <w:tcW w:w="1843" w:type="dxa"/>
            <w:vAlign w:val="center"/>
          </w:tcPr>
          <w:p w:rsidR="00036302" w:rsidRDefault="00415537">
            <w:pPr>
              <w:jc w:val="center"/>
            </w:pPr>
            <w:r>
              <w:rPr>
                <w:rFonts w:ascii="宋体" w:hAnsi="宋体" w:hint="eastAsia"/>
                <w:color w:val="000000"/>
                <w:kern w:val="0"/>
                <w:szCs w:val="21"/>
              </w:rPr>
              <w:t>2018/1/1-2018/3/31</w:t>
            </w:r>
          </w:p>
        </w:tc>
        <w:tc>
          <w:tcPr>
            <w:tcW w:w="851" w:type="dxa"/>
            <w:vAlign w:val="center"/>
          </w:tcPr>
          <w:p w:rsidR="00036302" w:rsidRDefault="00415537">
            <w:pPr>
              <w:jc w:val="center"/>
            </w:pPr>
            <w:r>
              <w:rPr>
                <w:rFonts w:ascii="宋体" w:hAnsi="宋体" w:hint="eastAsia"/>
                <w:color w:val="000000"/>
                <w:kern w:val="0"/>
                <w:szCs w:val="21"/>
              </w:rPr>
              <w:t>66,245,817.42</w:t>
            </w:r>
          </w:p>
        </w:tc>
        <w:tc>
          <w:tcPr>
            <w:tcW w:w="850" w:type="dxa"/>
            <w:vAlign w:val="center"/>
          </w:tcPr>
          <w:p w:rsidR="00036302" w:rsidRDefault="00415537">
            <w:pPr>
              <w:jc w:val="center"/>
            </w:pPr>
            <w:r>
              <w:rPr>
                <w:rFonts w:ascii="宋体" w:hAnsi="宋体" w:hint="eastAsia"/>
                <w:color w:val="000000"/>
                <w:kern w:val="0"/>
                <w:szCs w:val="21"/>
              </w:rPr>
              <w:t>-</w:t>
            </w:r>
          </w:p>
        </w:tc>
        <w:tc>
          <w:tcPr>
            <w:tcW w:w="1134" w:type="dxa"/>
            <w:vAlign w:val="center"/>
          </w:tcPr>
          <w:p w:rsidR="00036302" w:rsidRDefault="00415537">
            <w:pPr>
              <w:jc w:val="center"/>
            </w:pPr>
            <w:r>
              <w:rPr>
                <w:rFonts w:ascii="宋体" w:hAnsi="宋体" w:hint="eastAsia"/>
                <w:color w:val="000000"/>
                <w:kern w:val="0"/>
                <w:szCs w:val="21"/>
              </w:rPr>
              <w:t>-</w:t>
            </w:r>
          </w:p>
        </w:tc>
        <w:tc>
          <w:tcPr>
            <w:tcW w:w="1419" w:type="dxa"/>
            <w:vAlign w:val="center"/>
          </w:tcPr>
          <w:p w:rsidR="00036302" w:rsidRDefault="00415537">
            <w:pPr>
              <w:jc w:val="center"/>
            </w:pPr>
            <w:r>
              <w:rPr>
                <w:rFonts w:ascii="宋体" w:hAnsi="宋体" w:hint="eastAsia"/>
                <w:color w:val="000000"/>
                <w:kern w:val="0"/>
                <w:szCs w:val="21"/>
              </w:rPr>
              <w:t>66,245,817.42</w:t>
            </w:r>
          </w:p>
        </w:tc>
        <w:tc>
          <w:tcPr>
            <w:tcW w:w="1130" w:type="dxa"/>
            <w:vAlign w:val="center"/>
          </w:tcPr>
          <w:p w:rsidR="00036302" w:rsidRDefault="00415537">
            <w:pPr>
              <w:jc w:val="center"/>
            </w:pPr>
            <w:r>
              <w:rPr>
                <w:rFonts w:ascii="宋体" w:hAnsi="宋体" w:hint="eastAsia"/>
                <w:color w:val="000000"/>
                <w:kern w:val="0"/>
                <w:szCs w:val="21"/>
              </w:rPr>
              <w:t>19.52%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036302" w:rsidRDefault="00415537">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036302" w:rsidRDefault="0041553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1D" w:rsidRDefault="0094581D">
      <w:r>
        <w:separator/>
      </w:r>
    </w:p>
  </w:endnote>
  <w:endnote w:type="continuationSeparator" w:id="0">
    <w:p w:rsidR="0094581D" w:rsidRDefault="0094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A97C3B">
      <w:rPr>
        <w:noProof/>
        <w:kern w:val="0"/>
        <w:szCs w:val="21"/>
      </w:rPr>
      <w:t>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A97C3B">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1D" w:rsidRDefault="0094581D">
      <w:r>
        <w:separator/>
      </w:r>
    </w:p>
  </w:footnote>
  <w:footnote w:type="continuationSeparator" w:id="0">
    <w:p w:rsidR="0094581D" w:rsidRDefault="00945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6302"/>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640A"/>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537"/>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902"/>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11F"/>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581D"/>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97C3B"/>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3333"/>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4EBA"/>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BD8"/>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A97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13F2A-3825-4D17-82D9-DB414465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Pages>
  <Words>1309</Words>
  <Characters>7462</Characters>
  <Application>Microsoft Office Word</Application>
  <DocSecurity>0</DocSecurity>
  <Lines>62</Lines>
  <Paragraphs>17</Paragraphs>
  <ScaleCrop>false</ScaleCrop>
  <Company>TRT. Ltd. Co.</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382</cp:revision>
  <cp:lastPrinted>2007-07-19T00:46:00Z</cp:lastPrinted>
  <dcterms:created xsi:type="dcterms:W3CDTF">2014-01-17T06:19:00Z</dcterms:created>
  <dcterms:modified xsi:type="dcterms:W3CDTF">2018-04-19T02:27:00Z</dcterms:modified>
</cp:coreProperties>
</file>