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t xml:space="preserve">§1  </w:t>
      </w:r>
      <w:r w:rsidRPr="00414345">
        <w:rPr>
          <w:color w:val="000000"/>
          <w:kern w:val="0"/>
          <w:sz w:val="24"/>
          <w:szCs w:val="24"/>
        </w:rPr>
        <w:t>重要提示</w:t>
      </w:r>
    </w:p>
    <w:p w:rsidR="00746522" w:rsidRDefault="00AE6CA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2,407,737,083.63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653A7" w:rsidRPr="00414345" w:rsidTr="00F653A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653A7" w:rsidRPr="00414345" w:rsidTr="00F65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116,015,510.54</w:t>
            </w:r>
          </w:p>
        </w:tc>
      </w:tr>
      <w:tr w:rsidR="00F653A7" w:rsidRPr="00414345" w:rsidTr="00F65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85,016,426.65</w:t>
            </w:r>
          </w:p>
        </w:tc>
      </w:tr>
      <w:tr w:rsidR="00F653A7" w:rsidRPr="00414345" w:rsidTr="00F65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0.0344</w:t>
            </w:r>
          </w:p>
        </w:tc>
      </w:tr>
      <w:tr w:rsidR="00F653A7" w:rsidRPr="00414345" w:rsidTr="00F653A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2,423,479,055.81</w:t>
            </w:r>
          </w:p>
        </w:tc>
      </w:tr>
      <w:tr w:rsidR="00F653A7" w:rsidRPr="00414345" w:rsidTr="00F653A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1.0065</w:t>
            </w:r>
          </w:p>
        </w:tc>
      </w:tr>
    </w:tbl>
    <w:p w:rsidR="00746522" w:rsidRDefault="00AE6C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46522">
        <w:trPr>
          <w:jc w:val="center"/>
        </w:trPr>
        <w:tc>
          <w:tcPr>
            <w:tcW w:w="1701" w:type="dxa"/>
            <w:vAlign w:val="center"/>
          </w:tcPr>
          <w:p w:rsidR="00746522" w:rsidRDefault="00AE6CA3">
            <w:pPr>
              <w:jc w:val="left"/>
            </w:pPr>
            <w:r>
              <w:rPr>
                <w:color w:val="000000"/>
                <w:sz w:val="24"/>
                <w:szCs w:val="24"/>
              </w:rPr>
              <w:t>过去三个月</w:t>
            </w:r>
          </w:p>
        </w:tc>
        <w:tc>
          <w:tcPr>
            <w:tcW w:w="1045" w:type="dxa"/>
            <w:vAlign w:val="center"/>
          </w:tcPr>
          <w:p w:rsidR="00746522" w:rsidRDefault="00AE6CA3">
            <w:pPr>
              <w:jc w:val="center"/>
            </w:pPr>
            <w:r>
              <w:rPr>
                <w:color w:val="000000"/>
                <w:sz w:val="24"/>
                <w:szCs w:val="24"/>
              </w:rPr>
              <w:t>3.44%</w:t>
            </w:r>
          </w:p>
        </w:tc>
        <w:tc>
          <w:tcPr>
            <w:tcW w:w="1344" w:type="dxa"/>
            <w:vAlign w:val="center"/>
          </w:tcPr>
          <w:p w:rsidR="00746522" w:rsidRDefault="00AE6CA3">
            <w:pPr>
              <w:jc w:val="center"/>
            </w:pPr>
            <w:r>
              <w:rPr>
                <w:color w:val="000000"/>
                <w:sz w:val="24"/>
                <w:szCs w:val="24"/>
              </w:rPr>
              <w:t>1.19%</w:t>
            </w:r>
          </w:p>
        </w:tc>
        <w:tc>
          <w:tcPr>
            <w:tcW w:w="1194" w:type="dxa"/>
            <w:vAlign w:val="center"/>
          </w:tcPr>
          <w:p w:rsidR="00746522" w:rsidRDefault="00AE6CA3">
            <w:pPr>
              <w:jc w:val="center"/>
            </w:pPr>
            <w:r>
              <w:rPr>
                <w:color w:val="000000"/>
                <w:sz w:val="24"/>
                <w:szCs w:val="24"/>
              </w:rPr>
              <w:t>-1.99%</w:t>
            </w:r>
          </w:p>
        </w:tc>
        <w:tc>
          <w:tcPr>
            <w:tcW w:w="1492" w:type="dxa"/>
            <w:vAlign w:val="center"/>
          </w:tcPr>
          <w:p w:rsidR="00746522" w:rsidRDefault="00AE6CA3">
            <w:pPr>
              <w:jc w:val="center"/>
            </w:pPr>
            <w:r>
              <w:rPr>
                <w:color w:val="000000"/>
                <w:sz w:val="24"/>
                <w:szCs w:val="24"/>
              </w:rPr>
              <w:t>0.94%</w:t>
            </w:r>
          </w:p>
        </w:tc>
        <w:tc>
          <w:tcPr>
            <w:tcW w:w="1194" w:type="dxa"/>
            <w:vAlign w:val="center"/>
          </w:tcPr>
          <w:p w:rsidR="00746522" w:rsidRDefault="00AE6CA3">
            <w:pPr>
              <w:jc w:val="center"/>
            </w:pPr>
            <w:r>
              <w:rPr>
                <w:color w:val="000000"/>
                <w:sz w:val="24"/>
                <w:szCs w:val="24"/>
              </w:rPr>
              <w:t>5.43%</w:t>
            </w:r>
          </w:p>
        </w:tc>
        <w:tc>
          <w:tcPr>
            <w:tcW w:w="898" w:type="dxa"/>
            <w:vAlign w:val="center"/>
          </w:tcPr>
          <w:p w:rsidR="00746522" w:rsidRDefault="00AE6CA3">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46522">
        <w:trPr>
          <w:jc w:val="center"/>
        </w:trPr>
        <w:tc>
          <w:tcPr>
            <w:tcW w:w="846" w:type="dxa"/>
            <w:vAlign w:val="center"/>
          </w:tcPr>
          <w:p w:rsidR="00746522" w:rsidRDefault="00AE6CA3">
            <w:pPr>
              <w:jc w:val="center"/>
            </w:pPr>
            <w:r>
              <w:rPr>
                <w:color w:val="000000"/>
                <w:sz w:val="24"/>
                <w:szCs w:val="24"/>
              </w:rPr>
              <w:t>陈孜铎</w:t>
            </w:r>
          </w:p>
        </w:tc>
        <w:tc>
          <w:tcPr>
            <w:tcW w:w="845" w:type="dxa"/>
            <w:vAlign w:val="center"/>
          </w:tcPr>
          <w:p w:rsidR="00746522" w:rsidRDefault="00AE6CA3">
            <w:pPr>
              <w:jc w:val="center"/>
            </w:pPr>
            <w:r>
              <w:rPr>
                <w:color w:val="000000"/>
                <w:sz w:val="24"/>
                <w:szCs w:val="24"/>
              </w:rPr>
              <w:t>交银蓝筹混合的基金经理，公司研究部助理总经理</w:t>
            </w:r>
          </w:p>
        </w:tc>
        <w:tc>
          <w:tcPr>
            <w:tcW w:w="1549" w:type="dxa"/>
            <w:vAlign w:val="center"/>
          </w:tcPr>
          <w:p w:rsidR="00746522" w:rsidRDefault="00AE6CA3">
            <w:pPr>
              <w:jc w:val="center"/>
            </w:pPr>
            <w:r>
              <w:rPr>
                <w:color w:val="000000"/>
                <w:sz w:val="24"/>
                <w:szCs w:val="24"/>
              </w:rPr>
              <w:t>2014-10-22</w:t>
            </w:r>
          </w:p>
        </w:tc>
        <w:tc>
          <w:tcPr>
            <w:tcW w:w="1548" w:type="dxa"/>
            <w:vAlign w:val="center"/>
          </w:tcPr>
          <w:p w:rsidR="00746522" w:rsidRDefault="00AE6CA3">
            <w:pPr>
              <w:jc w:val="center"/>
            </w:pPr>
            <w:r>
              <w:rPr>
                <w:color w:val="000000"/>
                <w:sz w:val="24"/>
                <w:szCs w:val="24"/>
              </w:rPr>
              <w:t>-</w:t>
            </w:r>
          </w:p>
        </w:tc>
        <w:tc>
          <w:tcPr>
            <w:tcW w:w="1407" w:type="dxa"/>
            <w:vAlign w:val="center"/>
          </w:tcPr>
          <w:p w:rsidR="00746522" w:rsidRDefault="00AE6CA3">
            <w:pPr>
              <w:jc w:val="center"/>
            </w:pPr>
            <w:r>
              <w:rPr>
                <w:color w:val="000000"/>
                <w:sz w:val="24"/>
                <w:szCs w:val="24"/>
              </w:rPr>
              <w:t>10</w:t>
            </w:r>
            <w:r>
              <w:rPr>
                <w:color w:val="000000"/>
                <w:sz w:val="24"/>
                <w:szCs w:val="24"/>
              </w:rPr>
              <w:t>年</w:t>
            </w:r>
          </w:p>
        </w:tc>
        <w:tc>
          <w:tcPr>
            <w:tcW w:w="2673" w:type="dxa"/>
            <w:vAlign w:val="center"/>
          </w:tcPr>
          <w:p w:rsidR="00746522" w:rsidRDefault="00AE6CA3">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46522" w:rsidRDefault="00AE6CA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46522" w:rsidRDefault="00AE6CA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46522" w:rsidRDefault="00AE6CA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46522" w:rsidRDefault="00AE6CA3">
      <w:pPr>
        <w:spacing w:before="29" w:line="288" w:lineRule="auto"/>
        <w:ind w:firstLineChars="200" w:firstLine="480"/>
        <w:rPr>
          <w:color w:val="000000"/>
          <w:sz w:val="24"/>
          <w:szCs w:val="24"/>
        </w:rPr>
      </w:pPr>
      <w:r>
        <w:rPr>
          <w:color w:val="000000"/>
          <w:sz w:val="24"/>
          <w:szCs w:val="24"/>
        </w:rPr>
        <w:t>2018</w:t>
      </w:r>
      <w:r>
        <w:rPr>
          <w:color w:val="000000"/>
          <w:sz w:val="24"/>
          <w:szCs w:val="24"/>
        </w:rPr>
        <w:t>年一季度整个</w:t>
      </w:r>
      <w:r>
        <w:rPr>
          <w:color w:val="000000"/>
          <w:sz w:val="24"/>
          <w:szCs w:val="24"/>
        </w:rPr>
        <w:t>A</w:t>
      </w:r>
      <w:r>
        <w:rPr>
          <w:color w:val="000000"/>
          <w:sz w:val="24"/>
          <w:szCs w:val="24"/>
        </w:rPr>
        <w:t>股市场呈现震荡调整走势，风格博弈加大，白马价值与创新成长风格呈现明显此消彼长的跷跷板表现，相对波动率较大。截止一季度末，除创业</w:t>
      </w:r>
      <w:r w:rsidR="00F653A7">
        <w:rPr>
          <w:rFonts w:hint="eastAsia"/>
          <w:color w:val="000000"/>
          <w:sz w:val="24"/>
          <w:szCs w:val="24"/>
        </w:rPr>
        <w:t>板</w:t>
      </w:r>
      <w:r>
        <w:rPr>
          <w:color w:val="000000"/>
          <w:sz w:val="24"/>
          <w:szCs w:val="24"/>
        </w:rPr>
        <w:t>指等少数代表中小创新成长类股票的指数外，大多数主要市场指数呈现下跌走势。市场极端的反应主要反映了两个分歧，一方面是中期对国内外宏观基本面和流动性的分歧，另一方面是对于中长期成长与短期基本面景气以及资产价值在现阶段风险收益优劣比较的分歧。我们认为，在目前整体市场依然是存量博弈的格局下，市场走势最终取决于宏观背景传导到中微观层面的基本面变化。</w:t>
      </w:r>
    </w:p>
    <w:p w:rsidR="00746522" w:rsidRDefault="00AE6CA3">
      <w:pPr>
        <w:spacing w:before="29" w:line="288" w:lineRule="auto"/>
        <w:ind w:firstLineChars="200" w:firstLine="480"/>
        <w:rPr>
          <w:color w:val="000000"/>
          <w:sz w:val="24"/>
          <w:szCs w:val="24"/>
        </w:rPr>
      </w:pPr>
      <w:r>
        <w:rPr>
          <w:color w:val="000000"/>
          <w:sz w:val="24"/>
          <w:szCs w:val="24"/>
        </w:rPr>
        <w:t>在上述市场环境中，本基金在一季度依然坚持相对稳健均衡的配置，不参与由市场风格预期主导的博弈，控制偏离度，更关注各类资产中自下而上的变化和资产价值基础，取得一定效果，整体录得小幅正收益。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十九大召开之后未来五年的发展方向得以奠定，中长期的市场发展方向将逐渐清晰。金融去杠杆进程进入下半场，未来一年资金面的趋势仍不明朗，但整体政治周期开启后市场逐步回归正常化，经济复苏的结构性转变螺旋向上。本基金会密切关注十九大之后中期方向性的指引以及产业的变化，为后续中长期投资奠定较好的基础。在上述的基本判断下，我们对中期市场更为乐观，配置上将更加稳健均衡，计划依然以增速与估值相对匹配、资产价值相对坚实的子行业与标的作为基础资产，在此基础上积极寻找向上的机会，在新兴产业、消费升级、价值股、优质成长股领域做一定布局。</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1.0065</w:t>
      </w:r>
      <w:r w:rsidRPr="00414345">
        <w:rPr>
          <w:color w:val="000000"/>
          <w:sz w:val="24"/>
          <w:szCs w:val="24"/>
        </w:rPr>
        <w:t>元，本报告期份额净值增长率为</w:t>
      </w:r>
      <w:r w:rsidRPr="00414345">
        <w:rPr>
          <w:color w:val="000000"/>
          <w:sz w:val="24"/>
          <w:szCs w:val="24"/>
        </w:rPr>
        <w:t>3.44%</w:t>
      </w:r>
      <w:r w:rsidRPr="00414345">
        <w:rPr>
          <w:color w:val="000000"/>
          <w:sz w:val="24"/>
          <w:szCs w:val="24"/>
        </w:rPr>
        <w:t>，同期业绩比较基准增长率为</w:t>
      </w:r>
      <w:r w:rsidRPr="00414345">
        <w:rPr>
          <w:color w:val="000000"/>
          <w:sz w:val="24"/>
          <w:szCs w:val="24"/>
        </w:rPr>
        <w:t>-1.99%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1,861,676,315.57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1,861,676,315.57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76.51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54,607,196.99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54,607,196.99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380,619,670.31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100,193,454.89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36,150,057.26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2,433,246,695.02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66,492.80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992,353,464.27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67,915,838.75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183,219,402.87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71,660,720.14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163,420,119.64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223,689,058.54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44,365,920.84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81,721,073.16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33,227,564.94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1,861,676,315.57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46522">
        <w:trPr>
          <w:jc w:val="center"/>
        </w:trPr>
        <w:tc>
          <w:tcPr>
            <w:tcW w:w="855" w:type="dxa"/>
            <w:vAlign w:val="center"/>
          </w:tcPr>
          <w:p w:rsidR="00746522" w:rsidRDefault="00AE6CA3">
            <w:pPr>
              <w:jc w:val="center"/>
            </w:pPr>
            <w:r>
              <w:rPr>
                <w:color w:val="000000"/>
                <w:sz w:val="24"/>
                <w:szCs w:val="24"/>
              </w:rPr>
              <w:t>1</w:t>
            </w:r>
          </w:p>
        </w:tc>
        <w:tc>
          <w:tcPr>
            <w:tcW w:w="1334" w:type="dxa"/>
            <w:vAlign w:val="center"/>
          </w:tcPr>
          <w:p w:rsidR="00746522" w:rsidRDefault="00AE6CA3">
            <w:pPr>
              <w:jc w:val="center"/>
            </w:pPr>
            <w:r>
              <w:rPr>
                <w:color w:val="000000"/>
                <w:sz w:val="24"/>
                <w:szCs w:val="24"/>
              </w:rPr>
              <w:t>300413</w:t>
            </w:r>
          </w:p>
        </w:tc>
        <w:tc>
          <w:tcPr>
            <w:tcW w:w="1777" w:type="dxa"/>
            <w:vAlign w:val="center"/>
          </w:tcPr>
          <w:p w:rsidR="00746522" w:rsidRDefault="00AE6CA3">
            <w:pPr>
              <w:jc w:val="center"/>
            </w:pPr>
            <w:r>
              <w:rPr>
                <w:color w:val="000000"/>
                <w:sz w:val="24"/>
                <w:szCs w:val="24"/>
              </w:rPr>
              <w:t>快乐购</w:t>
            </w:r>
          </w:p>
        </w:tc>
        <w:tc>
          <w:tcPr>
            <w:tcW w:w="1334" w:type="dxa"/>
            <w:vAlign w:val="center"/>
          </w:tcPr>
          <w:p w:rsidR="00746522" w:rsidRDefault="00AE6CA3">
            <w:pPr>
              <w:jc w:val="right"/>
            </w:pPr>
            <w:r>
              <w:rPr>
                <w:color w:val="000000"/>
                <w:sz w:val="24"/>
                <w:szCs w:val="24"/>
              </w:rPr>
              <w:t>3,500,000</w:t>
            </w:r>
          </w:p>
        </w:tc>
        <w:tc>
          <w:tcPr>
            <w:tcW w:w="1924" w:type="dxa"/>
            <w:vAlign w:val="center"/>
          </w:tcPr>
          <w:p w:rsidR="00746522" w:rsidRDefault="00AE6CA3">
            <w:pPr>
              <w:jc w:val="right"/>
            </w:pPr>
            <w:r>
              <w:rPr>
                <w:color w:val="000000"/>
                <w:sz w:val="24"/>
                <w:szCs w:val="24"/>
              </w:rPr>
              <w:t>141,295,000.00</w:t>
            </w:r>
          </w:p>
        </w:tc>
        <w:tc>
          <w:tcPr>
            <w:tcW w:w="1644" w:type="dxa"/>
            <w:vAlign w:val="center"/>
          </w:tcPr>
          <w:p w:rsidR="00746522" w:rsidRDefault="00AE6CA3">
            <w:pPr>
              <w:jc w:val="right"/>
            </w:pPr>
            <w:r>
              <w:rPr>
                <w:color w:val="000000"/>
                <w:sz w:val="24"/>
                <w:szCs w:val="24"/>
              </w:rPr>
              <w:t>5.83</w:t>
            </w:r>
          </w:p>
        </w:tc>
      </w:tr>
      <w:tr w:rsidR="00746522">
        <w:trPr>
          <w:jc w:val="center"/>
        </w:trPr>
        <w:tc>
          <w:tcPr>
            <w:tcW w:w="855" w:type="dxa"/>
            <w:vAlign w:val="center"/>
          </w:tcPr>
          <w:p w:rsidR="00746522" w:rsidRDefault="00AE6CA3">
            <w:pPr>
              <w:jc w:val="center"/>
            </w:pPr>
            <w:r>
              <w:rPr>
                <w:color w:val="000000"/>
                <w:sz w:val="24"/>
                <w:szCs w:val="24"/>
              </w:rPr>
              <w:t>2</w:t>
            </w:r>
          </w:p>
        </w:tc>
        <w:tc>
          <w:tcPr>
            <w:tcW w:w="1334" w:type="dxa"/>
            <w:vAlign w:val="center"/>
          </w:tcPr>
          <w:p w:rsidR="00746522" w:rsidRDefault="00AE6CA3">
            <w:pPr>
              <w:jc w:val="center"/>
            </w:pPr>
            <w:r>
              <w:rPr>
                <w:color w:val="000000"/>
                <w:sz w:val="24"/>
                <w:szCs w:val="24"/>
              </w:rPr>
              <w:t>600487</w:t>
            </w:r>
          </w:p>
        </w:tc>
        <w:tc>
          <w:tcPr>
            <w:tcW w:w="1777" w:type="dxa"/>
            <w:vAlign w:val="center"/>
          </w:tcPr>
          <w:p w:rsidR="00746522" w:rsidRDefault="00AE6CA3">
            <w:pPr>
              <w:jc w:val="center"/>
            </w:pPr>
            <w:r>
              <w:rPr>
                <w:color w:val="000000"/>
                <w:sz w:val="24"/>
                <w:szCs w:val="24"/>
              </w:rPr>
              <w:t>亨通光电</w:t>
            </w:r>
          </w:p>
        </w:tc>
        <w:tc>
          <w:tcPr>
            <w:tcW w:w="1334" w:type="dxa"/>
            <w:vAlign w:val="center"/>
          </w:tcPr>
          <w:p w:rsidR="00746522" w:rsidRDefault="00AE6CA3">
            <w:pPr>
              <w:jc w:val="right"/>
            </w:pPr>
            <w:r>
              <w:rPr>
                <w:color w:val="000000"/>
                <w:sz w:val="24"/>
                <w:szCs w:val="24"/>
              </w:rPr>
              <w:t>2,709,940</w:t>
            </w:r>
          </w:p>
        </w:tc>
        <w:tc>
          <w:tcPr>
            <w:tcW w:w="1924" w:type="dxa"/>
            <w:vAlign w:val="center"/>
          </w:tcPr>
          <w:p w:rsidR="00746522" w:rsidRDefault="00AE6CA3">
            <w:pPr>
              <w:jc w:val="right"/>
            </w:pPr>
            <w:r>
              <w:rPr>
                <w:color w:val="000000"/>
                <w:sz w:val="24"/>
                <w:szCs w:val="24"/>
              </w:rPr>
              <w:t>102,246,036.20</w:t>
            </w:r>
          </w:p>
        </w:tc>
        <w:tc>
          <w:tcPr>
            <w:tcW w:w="1644" w:type="dxa"/>
            <w:vAlign w:val="center"/>
          </w:tcPr>
          <w:p w:rsidR="00746522" w:rsidRDefault="00AE6CA3">
            <w:pPr>
              <w:jc w:val="right"/>
            </w:pPr>
            <w:r>
              <w:rPr>
                <w:color w:val="000000"/>
                <w:sz w:val="24"/>
                <w:szCs w:val="24"/>
              </w:rPr>
              <w:t>4.22</w:t>
            </w:r>
          </w:p>
        </w:tc>
      </w:tr>
      <w:tr w:rsidR="00746522">
        <w:trPr>
          <w:jc w:val="center"/>
        </w:trPr>
        <w:tc>
          <w:tcPr>
            <w:tcW w:w="855" w:type="dxa"/>
            <w:vAlign w:val="center"/>
          </w:tcPr>
          <w:p w:rsidR="00746522" w:rsidRDefault="00AE6CA3">
            <w:pPr>
              <w:jc w:val="center"/>
            </w:pPr>
            <w:r>
              <w:rPr>
                <w:color w:val="000000"/>
                <w:sz w:val="24"/>
                <w:szCs w:val="24"/>
              </w:rPr>
              <w:t>3</w:t>
            </w:r>
          </w:p>
        </w:tc>
        <w:tc>
          <w:tcPr>
            <w:tcW w:w="1334" w:type="dxa"/>
            <w:vAlign w:val="center"/>
          </w:tcPr>
          <w:p w:rsidR="00746522" w:rsidRDefault="00AE6CA3">
            <w:pPr>
              <w:jc w:val="center"/>
            </w:pPr>
            <w:r>
              <w:rPr>
                <w:color w:val="000000"/>
                <w:sz w:val="24"/>
                <w:szCs w:val="24"/>
              </w:rPr>
              <w:t>600048</w:t>
            </w:r>
          </w:p>
        </w:tc>
        <w:tc>
          <w:tcPr>
            <w:tcW w:w="1777" w:type="dxa"/>
            <w:vAlign w:val="center"/>
          </w:tcPr>
          <w:p w:rsidR="00746522" w:rsidRDefault="00AE6CA3">
            <w:pPr>
              <w:jc w:val="center"/>
            </w:pPr>
            <w:r>
              <w:rPr>
                <w:color w:val="000000"/>
                <w:sz w:val="24"/>
                <w:szCs w:val="24"/>
              </w:rPr>
              <w:t>保利地产</w:t>
            </w:r>
          </w:p>
        </w:tc>
        <w:tc>
          <w:tcPr>
            <w:tcW w:w="1334" w:type="dxa"/>
            <w:vAlign w:val="center"/>
          </w:tcPr>
          <w:p w:rsidR="00746522" w:rsidRDefault="00AE6CA3">
            <w:pPr>
              <w:jc w:val="right"/>
            </w:pPr>
            <w:r>
              <w:rPr>
                <w:color w:val="000000"/>
                <w:sz w:val="24"/>
                <w:szCs w:val="24"/>
              </w:rPr>
              <w:t>7,509,970</w:t>
            </w:r>
          </w:p>
        </w:tc>
        <w:tc>
          <w:tcPr>
            <w:tcW w:w="1924" w:type="dxa"/>
            <w:vAlign w:val="center"/>
          </w:tcPr>
          <w:p w:rsidR="00746522" w:rsidRDefault="00AE6CA3">
            <w:pPr>
              <w:jc w:val="right"/>
            </w:pPr>
            <w:r>
              <w:rPr>
                <w:color w:val="000000"/>
                <w:sz w:val="24"/>
                <w:szCs w:val="24"/>
              </w:rPr>
              <w:t>101,159,295.90</w:t>
            </w:r>
          </w:p>
        </w:tc>
        <w:tc>
          <w:tcPr>
            <w:tcW w:w="1644" w:type="dxa"/>
            <w:vAlign w:val="center"/>
          </w:tcPr>
          <w:p w:rsidR="00746522" w:rsidRDefault="00AE6CA3">
            <w:pPr>
              <w:jc w:val="right"/>
            </w:pPr>
            <w:r>
              <w:rPr>
                <w:color w:val="000000"/>
                <w:sz w:val="24"/>
                <w:szCs w:val="24"/>
              </w:rPr>
              <w:t>4.17</w:t>
            </w:r>
          </w:p>
        </w:tc>
      </w:tr>
      <w:tr w:rsidR="00746522">
        <w:trPr>
          <w:jc w:val="center"/>
        </w:trPr>
        <w:tc>
          <w:tcPr>
            <w:tcW w:w="855" w:type="dxa"/>
            <w:vAlign w:val="center"/>
          </w:tcPr>
          <w:p w:rsidR="00746522" w:rsidRDefault="00AE6CA3">
            <w:pPr>
              <w:jc w:val="center"/>
            </w:pPr>
            <w:r>
              <w:rPr>
                <w:color w:val="000000"/>
                <w:sz w:val="24"/>
                <w:szCs w:val="24"/>
              </w:rPr>
              <w:t>4</w:t>
            </w:r>
          </w:p>
        </w:tc>
        <w:tc>
          <w:tcPr>
            <w:tcW w:w="1334" w:type="dxa"/>
            <w:vAlign w:val="center"/>
          </w:tcPr>
          <w:p w:rsidR="00746522" w:rsidRDefault="00AE6CA3">
            <w:pPr>
              <w:jc w:val="center"/>
            </w:pPr>
            <w:r>
              <w:rPr>
                <w:color w:val="000000"/>
                <w:sz w:val="24"/>
                <w:szCs w:val="24"/>
              </w:rPr>
              <w:t>000538</w:t>
            </w:r>
          </w:p>
        </w:tc>
        <w:tc>
          <w:tcPr>
            <w:tcW w:w="1777" w:type="dxa"/>
            <w:vAlign w:val="center"/>
          </w:tcPr>
          <w:p w:rsidR="00746522" w:rsidRDefault="00AE6CA3">
            <w:pPr>
              <w:jc w:val="center"/>
            </w:pPr>
            <w:r>
              <w:rPr>
                <w:color w:val="000000"/>
                <w:sz w:val="24"/>
                <w:szCs w:val="24"/>
              </w:rPr>
              <w:t>云南白药</w:t>
            </w:r>
          </w:p>
        </w:tc>
        <w:tc>
          <w:tcPr>
            <w:tcW w:w="1334" w:type="dxa"/>
            <w:vAlign w:val="center"/>
          </w:tcPr>
          <w:p w:rsidR="00746522" w:rsidRDefault="00AE6CA3">
            <w:pPr>
              <w:jc w:val="right"/>
            </w:pPr>
            <w:r>
              <w:rPr>
                <w:color w:val="000000"/>
                <w:sz w:val="24"/>
                <w:szCs w:val="24"/>
              </w:rPr>
              <w:t>1,000,963</w:t>
            </w:r>
          </w:p>
        </w:tc>
        <w:tc>
          <w:tcPr>
            <w:tcW w:w="1924" w:type="dxa"/>
            <w:vAlign w:val="center"/>
          </w:tcPr>
          <w:p w:rsidR="00746522" w:rsidRDefault="00AE6CA3">
            <w:pPr>
              <w:jc w:val="right"/>
            </w:pPr>
            <w:r>
              <w:rPr>
                <w:color w:val="000000"/>
                <w:sz w:val="24"/>
                <w:szCs w:val="24"/>
              </w:rPr>
              <w:t>99,095,337.00</w:t>
            </w:r>
          </w:p>
        </w:tc>
        <w:tc>
          <w:tcPr>
            <w:tcW w:w="1644" w:type="dxa"/>
            <w:vAlign w:val="center"/>
          </w:tcPr>
          <w:p w:rsidR="00746522" w:rsidRDefault="00AE6CA3">
            <w:pPr>
              <w:jc w:val="right"/>
            </w:pPr>
            <w:r>
              <w:rPr>
                <w:color w:val="000000"/>
                <w:sz w:val="24"/>
                <w:szCs w:val="24"/>
              </w:rPr>
              <w:t>4.09</w:t>
            </w:r>
          </w:p>
        </w:tc>
      </w:tr>
      <w:tr w:rsidR="00746522">
        <w:trPr>
          <w:jc w:val="center"/>
        </w:trPr>
        <w:tc>
          <w:tcPr>
            <w:tcW w:w="855" w:type="dxa"/>
            <w:vAlign w:val="center"/>
          </w:tcPr>
          <w:p w:rsidR="00746522" w:rsidRDefault="00AE6CA3">
            <w:pPr>
              <w:jc w:val="center"/>
            </w:pPr>
            <w:r>
              <w:rPr>
                <w:color w:val="000000"/>
                <w:sz w:val="24"/>
                <w:szCs w:val="24"/>
              </w:rPr>
              <w:t>5</w:t>
            </w:r>
          </w:p>
        </w:tc>
        <w:tc>
          <w:tcPr>
            <w:tcW w:w="1334" w:type="dxa"/>
            <w:vAlign w:val="center"/>
          </w:tcPr>
          <w:p w:rsidR="00746522" w:rsidRDefault="00AE6CA3">
            <w:pPr>
              <w:jc w:val="center"/>
            </w:pPr>
            <w:r>
              <w:rPr>
                <w:color w:val="000000"/>
                <w:sz w:val="24"/>
                <w:szCs w:val="24"/>
              </w:rPr>
              <w:t>600705</w:t>
            </w:r>
          </w:p>
        </w:tc>
        <w:tc>
          <w:tcPr>
            <w:tcW w:w="1777" w:type="dxa"/>
            <w:vAlign w:val="center"/>
          </w:tcPr>
          <w:p w:rsidR="00746522" w:rsidRDefault="00AE6CA3">
            <w:pPr>
              <w:jc w:val="center"/>
            </w:pPr>
            <w:r>
              <w:rPr>
                <w:color w:val="000000"/>
                <w:sz w:val="24"/>
                <w:szCs w:val="24"/>
              </w:rPr>
              <w:t>中航资本</w:t>
            </w:r>
          </w:p>
        </w:tc>
        <w:tc>
          <w:tcPr>
            <w:tcW w:w="1334" w:type="dxa"/>
            <w:vAlign w:val="center"/>
          </w:tcPr>
          <w:p w:rsidR="00746522" w:rsidRDefault="00AE6CA3">
            <w:pPr>
              <w:jc w:val="right"/>
            </w:pPr>
            <w:r>
              <w:rPr>
                <w:color w:val="000000"/>
                <w:sz w:val="24"/>
                <w:szCs w:val="24"/>
              </w:rPr>
              <w:t>18,000,302</w:t>
            </w:r>
          </w:p>
        </w:tc>
        <w:tc>
          <w:tcPr>
            <w:tcW w:w="1924" w:type="dxa"/>
            <w:vAlign w:val="center"/>
          </w:tcPr>
          <w:p w:rsidR="00746522" w:rsidRDefault="00AE6CA3">
            <w:pPr>
              <w:jc w:val="right"/>
            </w:pPr>
            <w:r>
              <w:rPr>
                <w:color w:val="000000"/>
                <w:sz w:val="24"/>
                <w:szCs w:val="24"/>
              </w:rPr>
              <w:t>96,661,621.74</w:t>
            </w:r>
          </w:p>
        </w:tc>
        <w:tc>
          <w:tcPr>
            <w:tcW w:w="1644" w:type="dxa"/>
            <w:vAlign w:val="center"/>
          </w:tcPr>
          <w:p w:rsidR="00746522" w:rsidRDefault="00AE6CA3">
            <w:pPr>
              <w:jc w:val="right"/>
            </w:pPr>
            <w:r>
              <w:rPr>
                <w:color w:val="000000"/>
                <w:sz w:val="24"/>
                <w:szCs w:val="24"/>
              </w:rPr>
              <w:t>3.99</w:t>
            </w:r>
          </w:p>
        </w:tc>
      </w:tr>
      <w:tr w:rsidR="00746522">
        <w:trPr>
          <w:jc w:val="center"/>
        </w:trPr>
        <w:tc>
          <w:tcPr>
            <w:tcW w:w="855" w:type="dxa"/>
            <w:vAlign w:val="center"/>
          </w:tcPr>
          <w:p w:rsidR="00746522" w:rsidRDefault="00AE6CA3">
            <w:pPr>
              <w:jc w:val="center"/>
            </w:pPr>
            <w:r>
              <w:rPr>
                <w:color w:val="000000"/>
                <w:sz w:val="24"/>
                <w:szCs w:val="24"/>
              </w:rPr>
              <w:t>6</w:t>
            </w:r>
          </w:p>
        </w:tc>
        <w:tc>
          <w:tcPr>
            <w:tcW w:w="1334" w:type="dxa"/>
            <w:vAlign w:val="center"/>
          </w:tcPr>
          <w:p w:rsidR="00746522" w:rsidRDefault="00AE6CA3">
            <w:pPr>
              <w:jc w:val="center"/>
            </w:pPr>
            <w:r>
              <w:rPr>
                <w:color w:val="000000"/>
                <w:sz w:val="24"/>
                <w:szCs w:val="24"/>
              </w:rPr>
              <w:t>002180</w:t>
            </w:r>
          </w:p>
        </w:tc>
        <w:tc>
          <w:tcPr>
            <w:tcW w:w="1777" w:type="dxa"/>
            <w:vAlign w:val="center"/>
          </w:tcPr>
          <w:p w:rsidR="00746522" w:rsidRDefault="00AE6CA3">
            <w:pPr>
              <w:jc w:val="center"/>
            </w:pPr>
            <w:r>
              <w:rPr>
                <w:color w:val="000000"/>
                <w:sz w:val="24"/>
                <w:szCs w:val="24"/>
              </w:rPr>
              <w:t>纳思达</w:t>
            </w:r>
          </w:p>
        </w:tc>
        <w:tc>
          <w:tcPr>
            <w:tcW w:w="1334" w:type="dxa"/>
            <w:vAlign w:val="center"/>
          </w:tcPr>
          <w:p w:rsidR="00746522" w:rsidRDefault="00AE6CA3">
            <w:pPr>
              <w:jc w:val="right"/>
            </w:pPr>
            <w:r>
              <w:rPr>
                <w:color w:val="000000"/>
                <w:sz w:val="24"/>
                <w:szCs w:val="24"/>
              </w:rPr>
              <w:t>3,000,000</w:t>
            </w:r>
          </w:p>
        </w:tc>
        <w:tc>
          <w:tcPr>
            <w:tcW w:w="1924" w:type="dxa"/>
            <w:vAlign w:val="center"/>
          </w:tcPr>
          <w:p w:rsidR="00746522" w:rsidRDefault="00AE6CA3">
            <w:pPr>
              <w:jc w:val="right"/>
            </w:pPr>
            <w:r>
              <w:rPr>
                <w:color w:val="000000"/>
                <w:sz w:val="24"/>
                <w:szCs w:val="24"/>
              </w:rPr>
              <w:t>81,960,000.00</w:t>
            </w:r>
          </w:p>
        </w:tc>
        <w:tc>
          <w:tcPr>
            <w:tcW w:w="1644" w:type="dxa"/>
            <w:vAlign w:val="center"/>
          </w:tcPr>
          <w:p w:rsidR="00746522" w:rsidRDefault="00AE6CA3">
            <w:pPr>
              <w:jc w:val="right"/>
            </w:pPr>
            <w:r>
              <w:rPr>
                <w:color w:val="000000"/>
                <w:sz w:val="24"/>
                <w:szCs w:val="24"/>
              </w:rPr>
              <w:t>3.38</w:t>
            </w:r>
          </w:p>
        </w:tc>
      </w:tr>
      <w:tr w:rsidR="00746522">
        <w:trPr>
          <w:jc w:val="center"/>
        </w:trPr>
        <w:tc>
          <w:tcPr>
            <w:tcW w:w="855" w:type="dxa"/>
            <w:vAlign w:val="center"/>
          </w:tcPr>
          <w:p w:rsidR="00746522" w:rsidRDefault="00AE6CA3">
            <w:pPr>
              <w:jc w:val="center"/>
            </w:pPr>
            <w:r>
              <w:rPr>
                <w:color w:val="000000"/>
                <w:sz w:val="24"/>
                <w:szCs w:val="24"/>
              </w:rPr>
              <w:t>7</w:t>
            </w:r>
          </w:p>
        </w:tc>
        <w:tc>
          <w:tcPr>
            <w:tcW w:w="1334" w:type="dxa"/>
            <w:vAlign w:val="center"/>
          </w:tcPr>
          <w:p w:rsidR="00746522" w:rsidRDefault="00AE6CA3">
            <w:pPr>
              <w:jc w:val="center"/>
            </w:pPr>
            <w:r>
              <w:rPr>
                <w:color w:val="000000"/>
                <w:sz w:val="24"/>
                <w:szCs w:val="24"/>
              </w:rPr>
              <w:t>300070</w:t>
            </w:r>
          </w:p>
        </w:tc>
        <w:tc>
          <w:tcPr>
            <w:tcW w:w="1777" w:type="dxa"/>
            <w:vAlign w:val="center"/>
          </w:tcPr>
          <w:p w:rsidR="00746522" w:rsidRDefault="00AE6CA3">
            <w:pPr>
              <w:jc w:val="center"/>
            </w:pPr>
            <w:r>
              <w:rPr>
                <w:color w:val="000000"/>
                <w:sz w:val="24"/>
                <w:szCs w:val="24"/>
              </w:rPr>
              <w:t>碧水源</w:t>
            </w:r>
          </w:p>
        </w:tc>
        <w:tc>
          <w:tcPr>
            <w:tcW w:w="1334" w:type="dxa"/>
            <w:vAlign w:val="center"/>
          </w:tcPr>
          <w:p w:rsidR="00746522" w:rsidRDefault="00AE6CA3">
            <w:pPr>
              <w:jc w:val="right"/>
            </w:pPr>
            <w:r>
              <w:rPr>
                <w:color w:val="000000"/>
                <w:sz w:val="24"/>
                <w:szCs w:val="24"/>
              </w:rPr>
              <w:t>4,509,993</w:t>
            </w:r>
          </w:p>
        </w:tc>
        <w:tc>
          <w:tcPr>
            <w:tcW w:w="1924" w:type="dxa"/>
            <w:vAlign w:val="center"/>
          </w:tcPr>
          <w:p w:rsidR="00746522" w:rsidRDefault="00AE6CA3">
            <w:pPr>
              <w:jc w:val="right"/>
            </w:pPr>
            <w:r>
              <w:rPr>
                <w:color w:val="000000"/>
                <w:sz w:val="24"/>
                <w:szCs w:val="24"/>
              </w:rPr>
              <w:t>81,721,073.16</w:t>
            </w:r>
          </w:p>
        </w:tc>
        <w:tc>
          <w:tcPr>
            <w:tcW w:w="1644" w:type="dxa"/>
            <w:vAlign w:val="center"/>
          </w:tcPr>
          <w:p w:rsidR="00746522" w:rsidRDefault="00AE6CA3">
            <w:pPr>
              <w:jc w:val="right"/>
            </w:pPr>
            <w:r>
              <w:rPr>
                <w:color w:val="000000"/>
                <w:sz w:val="24"/>
                <w:szCs w:val="24"/>
              </w:rPr>
              <w:t>3.37</w:t>
            </w:r>
          </w:p>
        </w:tc>
      </w:tr>
      <w:tr w:rsidR="00746522">
        <w:trPr>
          <w:jc w:val="center"/>
        </w:trPr>
        <w:tc>
          <w:tcPr>
            <w:tcW w:w="855" w:type="dxa"/>
            <w:vAlign w:val="center"/>
          </w:tcPr>
          <w:p w:rsidR="00746522" w:rsidRDefault="00AE6CA3">
            <w:pPr>
              <w:jc w:val="center"/>
            </w:pPr>
            <w:r>
              <w:rPr>
                <w:color w:val="000000"/>
                <w:sz w:val="24"/>
                <w:szCs w:val="24"/>
              </w:rPr>
              <w:t>8</w:t>
            </w:r>
          </w:p>
        </w:tc>
        <w:tc>
          <w:tcPr>
            <w:tcW w:w="1334" w:type="dxa"/>
            <w:vAlign w:val="center"/>
          </w:tcPr>
          <w:p w:rsidR="00746522" w:rsidRDefault="00AE6CA3">
            <w:pPr>
              <w:jc w:val="center"/>
            </w:pPr>
            <w:r>
              <w:rPr>
                <w:color w:val="000000"/>
                <w:sz w:val="24"/>
                <w:szCs w:val="24"/>
              </w:rPr>
              <w:t>601100</w:t>
            </w:r>
          </w:p>
        </w:tc>
        <w:tc>
          <w:tcPr>
            <w:tcW w:w="1777" w:type="dxa"/>
            <w:vAlign w:val="center"/>
          </w:tcPr>
          <w:p w:rsidR="00746522" w:rsidRDefault="00AE6CA3">
            <w:pPr>
              <w:jc w:val="center"/>
            </w:pPr>
            <w:r>
              <w:rPr>
                <w:color w:val="000000"/>
                <w:sz w:val="24"/>
                <w:szCs w:val="24"/>
              </w:rPr>
              <w:t>恒立液压</w:t>
            </w:r>
          </w:p>
        </w:tc>
        <w:tc>
          <w:tcPr>
            <w:tcW w:w="1334" w:type="dxa"/>
            <w:vAlign w:val="center"/>
          </w:tcPr>
          <w:p w:rsidR="00746522" w:rsidRDefault="00AE6CA3">
            <w:pPr>
              <w:jc w:val="right"/>
            </w:pPr>
            <w:r>
              <w:rPr>
                <w:color w:val="000000"/>
                <w:sz w:val="24"/>
                <w:szCs w:val="24"/>
              </w:rPr>
              <w:t>2,501,919</w:t>
            </w:r>
          </w:p>
        </w:tc>
        <w:tc>
          <w:tcPr>
            <w:tcW w:w="1924" w:type="dxa"/>
            <w:vAlign w:val="center"/>
          </w:tcPr>
          <w:p w:rsidR="00746522" w:rsidRDefault="00AE6CA3">
            <w:pPr>
              <w:jc w:val="right"/>
            </w:pPr>
            <w:r>
              <w:rPr>
                <w:color w:val="000000"/>
                <w:sz w:val="24"/>
                <w:szCs w:val="24"/>
              </w:rPr>
              <w:t>76,233,471.93</w:t>
            </w:r>
          </w:p>
        </w:tc>
        <w:tc>
          <w:tcPr>
            <w:tcW w:w="1644" w:type="dxa"/>
            <w:vAlign w:val="center"/>
          </w:tcPr>
          <w:p w:rsidR="00746522" w:rsidRDefault="00AE6CA3">
            <w:pPr>
              <w:jc w:val="right"/>
            </w:pPr>
            <w:r>
              <w:rPr>
                <w:color w:val="000000"/>
                <w:sz w:val="24"/>
                <w:szCs w:val="24"/>
              </w:rPr>
              <w:t>3.15</w:t>
            </w:r>
          </w:p>
        </w:tc>
      </w:tr>
      <w:tr w:rsidR="00746522">
        <w:trPr>
          <w:jc w:val="center"/>
        </w:trPr>
        <w:tc>
          <w:tcPr>
            <w:tcW w:w="855" w:type="dxa"/>
            <w:vAlign w:val="center"/>
          </w:tcPr>
          <w:p w:rsidR="00746522" w:rsidRDefault="00AE6CA3">
            <w:pPr>
              <w:jc w:val="center"/>
            </w:pPr>
            <w:r>
              <w:rPr>
                <w:color w:val="000000"/>
                <w:sz w:val="24"/>
                <w:szCs w:val="24"/>
              </w:rPr>
              <w:t>9</w:t>
            </w:r>
          </w:p>
        </w:tc>
        <w:tc>
          <w:tcPr>
            <w:tcW w:w="1334" w:type="dxa"/>
            <w:vAlign w:val="center"/>
          </w:tcPr>
          <w:p w:rsidR="00746522" w:rsidRDefault="00AE6CA3">
            <w:pPr>
              <w:jc w:val="center"/>
            </w:pPr>
            <w:r>
              <w:rPr>
                <w:color w:val="000000"/>
                <w:sz w:val="24"/>
                <w:szCs w:val="24"/>
              </w:rPr>
              <w:t>600606</w:t>
            </w:r>
          </w:p>
        </w:tc>
        <w:tc>
          <w:tcPr>
            <w:tcW w:w="1777" w:type="dxa"/>
            <w:vAlign w:val="center"/>
          </w:tcPr>
          <w:p w:rsidR="00746522" w:rsidRDefault="00AE6CA3">
            <w:pPr>
              <w:jc w:val="center"/>
            </w:pPr>
            <w:r>
              <w:rPr>
                <w:color w:val="000000"/>
                <w:sz w:val="24"/>
                <w:szCs w:val="24"/>
              </w:rPr>
              <w:t>绿地控股</w:t>
            </w:r>
          </w:p>
        </w:tc>
        <w:tc>
          <w:tcPr>
            <w:tcW w:w="1334" w:type="dxa"/>
            <w:vAlign w:val="center"/>
          </w:tcPr>
          <w:p w:rsidR="00746522" w:rsidRDefault="00AE6CA3">
            <w:pPr>
              <w:jc w:val="right"/>
            </w:pPr>
            <w:r>
              <w:rPr>
                <w:color w:val="000000"/>
                <w:sz w:val="24"/>
                <w:szCs w:val="24"/>
              </w:rPr>
              <w:t>9,850,000</w:t>
            </w:r>
          </w:p>
        </w:tc>
        <w:tc>
          <w:tcPr>
            <w:tcW w:w="1924" w:type="dxa"/>
            <w:vAlign w:val="center"/>
          </w:tcPr>
          <w:p w:rsidR="00746522" w:rsidRDefault="00AE6CA3">
            <w:pPr>
              <w:jc w:val="right"/>
            </w:pPr>
            <w:r>
              <w:rPr>
                <w:color w:val="000000"/>
                <w:sz w:val="24"/>
                <w:szCs w:val="24"/>
              </w:rPr>
              <w:t>72,988,500.00</w:t>
            </w:r>
          </w:p>
        </w:tc>
        <w:tc>
          <w:tcPr>
            <w:tcW w:w="1644" w:type="dxa"/>
            <w:vAlign w:val="center"/>
          </w:tcPr>
          <w:p w:rsidR="00746522" w:rsidRDefault="00AE6CA3">
            <w:pPr>
              <w:jc w:val="right"/>
            </w:pPr>
            <w:r>
              <w:rPr>
                <w:color w:val="000000"/>
                <w:sz w:val="24"/>
                <w:szCs w:val="24"/>
              </w:rPr>
              <w:t>3.01</w:t>
            </w:r>
          </w:p>
        </w:tc>
      </w:tr>
      <w:tr w:rsidR="00746522">
        <w:trPr>
          <w:jc w:val="center"/>
        </w:trPr>
        <w:tc>
          <w:tcPr>
            <w:tcW w:w="855" w:type="dxa"/>
            <w:vAlign w:val="center"/>
          </w:tcPr>
          <w:p w:rsidR="00746522" w:rsidRDefault="00AE6CA3">
            <w:pPr>
              <w:jc w:val="center"/>
            </w:pPr>
            <w:r>
              <w:rPr>
                <w:color w:val="000000"/>
                <w:sz w:val="24"/>
                <w:szCs w:val="24"/>
              </w:rPr>
              <w:t>10</w:t>
            </w:r>
          </w:p>
        </w:tc>
        <w:tc>
          <w:tcPr>
            <w:tcW w:w="1334" w:type="dxa"/>
            <w:vAlign w:val="center"/>
          </w:tcPr>
          <w:p w:rsidR="00746522" w:rsidRDefault="00AE6CA3">
            <w:pPr>
              <w:jc w:val="center"/>
            </w:pPr>
            <w:r>
              <w:rPr>
                <w:color w:val="000000"/>
                <w:sz w:val="24"/>
                <w:szCs w:val="24"/>
              </w:rPr>
              <w:t>300197</w:t>
            </w:r>
          </w:p>
        </w:tc>
        <w:tc>
          <w:tcPr>
            <w:tcW w:w="1777" w:type="dxa"/>
            <w:vAlign w:val="center"/>
          </w:tcPr>
          <w:p w:rsidR="00746522" w:rsidRDefault="00AE6CA3">
            <w:pPr>
              <w:jc w:val="center"/>
            </w:pPr>
            <w:r>
              <w:rPr>
                <w:color w:val="000000"/>
                <w:sz w:val="24"/>
                <w:szCs w:val="24"/>
              </w:rPr>
              <w:t>铁汉生态</w:t>
            </w:r>
          </w:p>
        </w:tc>
        <w:tc>
          <w:tcPr>
            <w:tcW w:w="1334" w:type="dxa"/>
            <w:vAlign w:val="center"/>
          </w:tcPr>
          <w:p w:rsidR="00746522" w:rsidRDefault="00AE6CA3">
            <w:pPr>
              <w:jc w:val="right"/>
            </w:pPr>
            <w:r>
              <w:rPr>
                <w:color w:val="000000"/>
                <w:sz w:val="24"/>
                <w:szCs w:val="24"/>
              </w:rPr>
              <w:t>6,009,950</w:t>
            </w:r>
          </w:p>
        </w:tc>
        <w:tc>
          <w:tcPr>
            <w:tcW w:w="1924" w:type="dxa"/>
            <w:vAlign w:val="center"/>
          </w:tcPr>
          <w:p w:rsidR="00746522" w:rsidRDefault="00AE6CA3">
            <w:pPr>
              <w:jc w:val="right"/>
            </w:pPr>
            <w:r>
              <w:rPr>
                <w:color w:val="000000"/>
                <w:sz w:val="24"/>
                <w:szCs w:val="24"/>
              </w:rPr>
              <w:t>67,852,335.50</w:t>
            </w:r>
          </w:p>
        </w:tc>
        <w:tc>
          <w:tcPr>
            <w:tcW w:w="1644" w:type="dxa"/>
            <w:vAlign w:val="center"/>
          </w:tcPr>
          <w:p w:rsidR="00746522" w:rsidRDefault="00AE6CA3">
            <w:pPr>
              <w:jc w:val="right"/>
            </w:pPr>
            <w:r>
              <w:rPr>
                <w:color w:val="000000"/>
                <w:sz w:val="24"/>
                <w:szCs w:val="24"/>
              </w:rPr>
              <w:t>2.80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50,033,000.00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4,574,196.99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54,607,196.99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46522">
        <w:trPr>
          <w:jc w:val="center"/>
        </w:trPr>
        <w:tc>
          <w:tcPr>
            <w:tcW w:w="850" w:type="dxa"/>
            <w:vAlign w:val="center"/>
          </w:tcPr>
          <w:p w:rsidR="00746522" w:rsidRDefault="00AE6CA3">
            <w:pPr>
              <w:jc w:val="center"/>
            </w:pPr>
            <w:r>
              <w:rPr>
                <w:color w:val="000000"/>
                <w:sz w:val="24"/>
                <w:szCs w:val="24"/>
              </w:rPr>
              <w:t>1</w:t>
            </w:r>
          </w:p>
        </w:tc>
        <w:tc>
          <w:tcPr>
            <w:tcW w:w="1475" w:type="dxa"/>
            <w:vAlign w:val="center"/>
          </w:tcPr>
          <w:p w:rsidR="00746522" w:rsidRDefault="00AE6CA3">
            <w:pPr>
              <w:jc w:val="center"/>
            </w:pPr>
            <w:r>
              <w:rPr>
                <w:color w:val="000000"/>
                <w:sz w:val="24"/>
                <w:szCs w:val="24"/>
              </w:rPr>
              <w:t>180201</w:t>
            </w:r>
          </w:p>
        </w:tc>
        <w:tc>
          <w:tcPr>
            <w:tcW w:w="1769" w:type="dxa"/>
            <w:vAlign w:val="center"/>
          </w:tcPr>
          <w:p w:rsidR="00746522" w:rsidRDefault="00AE6CA3">
            <w:pPr>
              <w:jc w:val="center"/>
            </w:pPr>
            <w:r>
              <w:rPr>
                <w:color w:val="000000"/>
                <w:sz w:val="24"/>
                <w:szCs w:val="24"/>
              </w:rPr>
              <w:t>18</w:t>
            </w:r>
            <w:r>
              <w:rPr>
                <w:color w:val="000000"/>
                <w:sz w:val="24"/>
                <w:szCs w:val="24"/>
              </w:rPr>
              <w:t>国开</w:t>
            </w:r>
            <w:r>
              <w:rPr>
                <w:color w:val="000000"/>
                <w:sz w:val="24"/>
                <w:szCs w:val="24"/>
              </w:rPr>
              <w:t>01</w:t>
            </w:r>
          </w:p>
        </w:tc>
        <w:tc>
          <w:tcPr>
            <w:tcW w:w="1387" w:type="dxa"/>
            <w:vAlign w:val="center"/>
          </w:tcPr>
          <w:p w:rsidR="00746522" w:rsidRDefault="00AE6CA3">
            <w:pPr>
              <w:jc w:val="right"/>
            </w:pPr>
            <w:r>
              <w:rPr>
                <w:color w:val="000000"/>
                <w:sz w:val="24"/>
                <w:szCs w:val="24"/>
              </w:rPr>
              <w:t>300,000</w:t>
            </w:r>
          </w:p>
        </w:tc>
        <w:tc>
          <w:tcPr>
            <w:tcW w:w="2150" w:type="dxa"/>
            <w:vAlign w:val="center"/>
          </w:tcPr>
          <w:p w:rsidR="00746522" w:rsidRDefault="00AE6CA3">
            <w:pPr>
              <w:jc w:val="right"/>
            </w:pPr>
            <w:r>
              <w:rPr>
                <w:color w:val="000000"/>
                <w:sz w:val="24"/>
                <w:szCs w:val="24"/>
              </w:rPr>
              <w:t>30,039,000.00</w:t>
            </w:r>
          </w:p>
        </w:tc>
        <w:tc>
          <w:tcPr>
            <w:tcW w:w="1237" w:type="dxa"/>
            <w:vAlign w:val="center"/>
          </w:tcPr>
          <w:p w:rsidR="00746522" w:rsidRDefault="00AE6CA3">
            <w:pPr>
              <w:jc w:val="right"/>
            </w:pPr>
            <w:r>
              <w:rPr>
                <w:color w:val="000000"/>
                <w:sz w:val="24"/>
                <w:szCs w:val="24"/>
              </w:rPr>
              <w:t>1.24</w:t>
            </w:r>
          </w:p>
        </w:tc>
      </w:tr>
      <w:tr w:rsidR="00746522">
        <w:trPr>
          <w:jc w:val="center"/>
        </w:trPr>
        <w:tc>
          <w:tcPr>
            <w:tcW w:w="850" w:type="dxa"/>
            <w:vAlign w:val="center"/>
          </w:tcPr>
          <w:p w:rsidR="00746522" w:rsidRDefault="00AE6CA3">
            <w:pPr>
              <w:jc w:val="center"/>
            </w:pPr>
            <w:r>
              <w:rPr>
                <w:color w:val="000000"/>
                <w:sz w:val="24"/>
                <w:szCs w:val="24"/>
              </w:rPr>
              <w:t>2</w:t>
            </w:r>
          </w:p>
        </w:tc>
        <w:tc>
          <w:tcPr>
            <w:tcW w:w="1475" w:type="dxa"/>
            <w:vAlign w:val="center"/>
          </w:tcPr>
          <w:p w:rsidR="00746522" w:rsidRDefault="00AE6CA3">
            <w:pPr>
              <w:jc w:val="center"/>
            </w:pPr>
            <w:r>
              <w:rPr>
                <w:color w:val="000000"/>
                <w:sz w:val="24"/>
                <w:szCs w:val="24"/>
              </w:rPr>
              <w:t>108601</w:t>
            </w:r>
          </w:p>
        </w:tc>
        <w:tc>
          <w:tcPr>
            <w:tcW w:w="1769" w:type="dxa"/>
            <w:vAlign w:val="center"/>
          </w:tcPr>
          <w:p w:rsidR="00746522" w:rsidRDefault="00AE6CA3">
            <w:pPr>
              <w:jc w:val="center"/>
            </w:pPr>
            <w:r>
              <w:rPr>
                <w:color w:val="000000"/>
                <w:sz w:val="24"/>
                <w:szCs w:val="24"/>
              </w:rPr>
              <w:t>国开</w:t>
            </w:r>
            <w:r>
              <w:rPr>
                <w:color w:val="000000"/>
                <w:sz w:val="24"/>
                <w:szCs w:val="24"/>
              </w:rPr>
              <w:t>1703</w:t>
            </w:r>
          </w:p>
        </w:tc>
        <w:tc>
          <w:tcPr>
            <w:tcW w:w="1387" w:type="dxa"/>
            <w:vAlign w:val="center"/>
          </w:tcPr>
          <w:p w:rsidR="00746522" w:rsidRDefault="00AE6CA3">
            <w:pPr>
              <w:jc w:val="right"/>
            </w:pPr>
            <w:r>
              <w:rPr>
                <w:color w:val="000000"/>
                <w:sz w:val="24"/>
                <w:szCs w:val="24"/>
              </w:rPr>
              <w:t>200,000</w:t>
            </w:r>
          </w:p>
        </w:tc>
        <w:tc>
          <w:tcPr>
            <w:tcW w:w="2150" w:type="dxa"/>
            <w:vAlign w:val="center"/>
          </w:tcPr>
          <w:p w:rsidR="00746522" w:rsidRDefault="00AE6CA3">
            <w:pPr>
              <w:jc w:val="right"/>
            </w:pPr>
            <w:r>
              <w:rPr>
                <w:color w:val="000000"/>
                <w:sz w:val="24"/>
                <w:szCs w:val="24"/>
              </w:rPr>
              <w:t>19,994,000.00</w:t>
            </w:r>
          </w:p>
        </w:tc>
        <w:tc>
          <w:tcPr>
            <w:tcW w:w="1237" w:type="dxa"/>
            <w:vAlign w:val="center"/>
          </w:tcPr>
          <w:p w:rsidR="00746522" w:rsidRDefault="00AE6CA3">
            <w:pPr>
              <w:jc w:val="right"/>
            </w:pPr>
            <w:r>
              <w:rPr>
                <w:color w:val="000000"/>
                <w:sz w:val="24"/>
                <w:szCs w:val="24"/>
              </w:rPr>
              <w:t>0.83</w:t>
            </w:r>
          </w:p>
        </w:tc>
      </w:tr>
      <w:tr w:rsidR="00746522">
        <w:trPr>
          <w:jc w:val="center"/>
        </w:trPr>
        <w:tc>
          <w:tcPr>
            <w:tcW w:w="850" w:type="dxa"/>
            <w:vAlign w:val="center"/>
          </w:tcPr>
          <w:p w:rsidR="00746522" w:rsidRDefault="00AE6CA3">
            <w:pPr>
              <w:jc w:val="center"/>
            </w:pPr>
            <w:r>
              <w:rPr>
                <w:color w:val="000000"/>
                <w:sz w:val="24"/>
                <w:szCs w:val="24"/>
              </w:rPr>
              <w:t>3</w:t>
            </w:r>
          </w:p>
        </w:tc>
        <w:tc>
          <w:tcPr>
            <w:tcW w:w="1475" w:type="dxa"/>
            <w:vAlign w:val="center"/>
          </w:tcPr>
          <w:p w:rsidR="00746522" w:rsidRDefault="00AE6CA3">
            <w:pPr>
              <w:jc w:val="center"/>
            </w:pPr>
            <w:r>
              <w:rPr>
                <w:color w:val="000000"/>
                <w:sz w:val="24"/>
                <w:szCs w:val="24"/>
              </w:rPr>
              <w:t>123004</w:t>
            </w:r>
          </w:p>
        </w:tc>
        <w:tc>
          <w:tcPr>
            <w:tcW w:w="1769" w:type="dxa"/>
            <w:vAlign w:val="center"/>
          </w:tcPr>
          <w:p w:rsidR="00746522" w:rsidRDefault="00AE6CA3">
            <w:pPr>
              <w:jc w:val="center"/>
            </w:pPr>
            <w:r>
              <w:rPr>
                <w:color w:val="000000"/>
                <w:sz w:val="24"/>
                <w:szCs w:val="24"/>
              </w:rPr>
              <w:t>铁汉转债</w:t>
            </w:r>
          </w:p>
        </w:tc>
        <w:tc>
          <w:tcPr>
            <w:tcW w:w="1387" w:type="dxa"/>
            <w:vAlign w:val="center"/>
          </w:tcPr>
          <w:p w:rsidR="00746522" w:rsidRDefault="00AE6CA3">
            <w:pPr>
              <w:jc w:val="right"/>
            </w:pPr>
            <w:r>
              <w:rPr>
                <w:color w:val="000000"/>
                <w:sz w:val="24"/>
                <w:szCs w:val="24"/>
              </w:rPr>
              <w:t>43,263</w:t>
            </w:r>
          </w:p>
        </w:tc>
        <w:tc>
          <w:tcPr>
            <w:tcW w:w="2150" w:type="dxa"/>
            <w:vAlign w:val="center"/>
          </w:tcPr>
          <w:p w:rsidR="00746522" w:rsidRDefault="00AE6CA3">
            <w:pPr>
              <w:jc w:val="right"/>
            </w:pPr>
            <w:r>
              <w:rPr>
                <w:color w:val="000000"/>
                <w:sz w:val="24"/>
                <w:szCs w:val="24"/>
              </w:rPr>
              <w:t>4,574,196.99</w:t>
            </w:r>
          </w:p>
        </w:tc>
        <w:tc>
          <w:tcPr>
            <w:tcW w:w="1237" w:type="dxa"/>
            <w:vAlign w:val="center"/>
          </w:tcPr>
          <w:p w:rsidR="00746522" w:rsidRDefault="00AE6CA3">
            <w:pPr>
              <w:jc w:val="right"/>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报告期内本基金投资的前十名证券的发行主体除中航资本（证券代码：</w:t>
      </w:r>
      <w:r w:rsidRPr="00BE5388">
        <w:rPr>
          <w:bCs/>
          <w:color w:val="000000"/>
          <w:kern w:val="0"/>
          <w:sz w:val="24"/>
          <w:szCs w:val="24"/>
        </w:rPr>
        <w:t>600705</w:t>
      </w:r>
      <w:r w:rsidRPr="00BE5388">
        <w:rPr>
          <w:bCs/>
          <w:color w:val="000000"/>
          <w:kern w:val="0"/>
          <w:sz w:val="24"/>
          <w:szCs w:val="24"/>
        </w:rPr>
        <w:t>）外，未出现被监管部门立案调查，或在报告编制日前一年内受到公开谴责、处罚的情形。</w:t>
      </w:r>
    </w:p>
    <w:p w:rsidR="00746522" w:rsidRDefault="00AE6CA3">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报告期内本基金投资的前十名证券之一中航资本（证券代码</w:t>
      </w:r>
      <w:r>
        <w:rPr>
          <w:bCs/>
          <w:color w:val="000000"/>
          <w:kern w:val="0"/>
          <w:sz w:val="24"/>
          <w:szCs w:val="24"/>
        </w:rPr>
        <w:t>:600705</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13</w:t>
      </w:r>
      <w:r>
        <w:rPr>
          <w:bCs/>
          <w:color w:val="000000"/>
          <w:kern w:val="0"/>
          <w:sz w:val="24"/>
          <w:szCs w:val="24"/>
        </w:rPr>
        <w:t>日公告，</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11</w:t>
      </w:r>
      <w:r>
        <w:rPr>
          <w:bCs/>
          <w:color w:val="000000"/>
          <w:kern w:val="0"/>
          <w:sz w:val="24"/>
          <w:szCs w:val="24"/>
        </w:rPr>
        <w:t>日公司子公司中航财务收到北京银监局的行政处罚决定书（京银监罚决字</w:t>
      </w:r>
      <w:r>
        <w:rPr>
          <w:bCs/>
          <w:color w:val="000000"/>
          <w:kern w:val="0"/>
          <w:sz w:val="24"/>
          <w:szCs w:val="24"/>
        </w:rPr>
        <w:t>[2017]27</w:t>
      </w:r>
      <w:r>
        <w:rPr>
          <w:bCs/>
          <w:color w:val="000000"/>
          <w:kern w:val="0"/>
          <w:sz w:val="24"/>
          <w:szCs w:val="24"/>
        </w:rPr>
        <w:t>号），北京银监局决定对中航财务做出如下行政处罚：责令中航财务改正，并给予</w:t>
      </w:r>
      <w:r>
        <w:rPr>
          <w:bCs/>
          <w:color w:val="000000"/>
          <w:kern w:val="0"/>
          <w:sz w:val="24"/>
          <w:szCs w:val="24"/>
        </w:rPr>
        <w:t>50</w:t>
      </w:r>
      <w:r>
        <w:rPr>
          <w:bCs/>
          <w:color w:val="000000"/>
          <w:kern w:val="0"/>
          <w:sz w:val="24"/>
          <w:szCs w:val="24"/>
        </w:rPr>
        <w:t>万元罚款的行政处罚。公司于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13</w:t>
      </w:r>
      <w:r>
        <w:rPr>
          <w:bCs/>
          <w:color w:val="000000"/>
          <w:kern w:val="0"/>
          <w:sz w:val="24"/>
          <w:szCs w:val="24"/>
        </w:rPr>
        <w:t>日公告，近日公司控股子公司中航信托收到江西银监局出具的《行政处罚决定书》（赣银监罚决字</w:t>
      </w:r>
      <w:r>
        <w:rPr>
          <w:bCs/>
          <w:color w:val="000000"/>
          <w:kern w:val="0"/>
          <w:sz w:val="24"/>
          <w:szCs w:val="24"/>
        </w:rPr>
        <w:t>[2017]48</w:t>
      </w:r>
      <w:r>
        <w:rPr>
          <w:bCs/>
          <w:color w:val="000000"/>
          <w:kern w:val="0"/>
          <w:sz w:val="24"/>
          <w:szCs w:val="24"/>
        </w:rPr>
        <w:t>号），江西银监局决定对中航信托处以</w:t>
      </w:r>
      <w:r>
        <w:rPr>
          <w:bCs/>
          <w:color w:val="000000"/>
          <w:kern w:val="0"/>
          <w:sz w:val="24"/>
          <w:szCs w:val="24"/>
        </w:rPr>
        <w:t>20</w:t>
      </w:r>
      <w:r>
        <w:rPr>
          <w:bCs/>
          <w:color w:val="000000"/>
          <w:kern w:val="0"/>
          <w:sz w:val="24"/>
          <w:szCs w:val="24"/>
        </w:rPr>
        <w:t>万元罚款。</w:t>
      </w:r>
    </w:p>
    <w:p w:rsidR="00746522" w:rsidRDefault="00AE6CA3">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77ACB">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77ACB">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1,019,550.69</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33,957,279.39</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1,013,100.51</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160,126.67</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D77ACB">
        <w:trPr>
          <w:jc w:val="center"/>
        </w:trPr>
        <w:tc>
          <w:tcPr>
            <w:tcW w:w="1235" w:type="dxa"/>
            <w:vAlign w:val="center"/>
          </w:tcPr>
          <w:p w:rsidR="004C0914" w:rsidRPr="00414345" w:rsidRDefault="004C0914" w:rsidP="00D77ACB">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77ACB">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77ACB">
            <w:pPr>
              <w:autoSpaceDE w:val="0"/>
              <w:autoSpaceDN w:val="0"/>
              <w:adjustRightInd w:val="0"/>
              <w:spacing w:before="29" w:line="288" w:lineRule="auto"/>
              <w:ind w:left="15"/>
              <w:jc w:val="right"/>
              <w:rPr>
                <w:color w:val="000000"/>
                <w:sz w:val="24"/>
                <w:szCs w:val="24"/>
              </w:rPr>
            </w:pPr>
            <w:r w:rsidRPr="00414345">
              <w:rPr>
                <w:color w:val="000000"/>
                <w:sz w:val="24"/>
                <w:szCs w:val="24"/>
              </w:rPr>
              <w:t>36,150,057.26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bookmarkStart w:id="0" w:name="_GoBack"/>
      <w:bookmarkEnd w:id="0"/>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F653A7" w:rsidRPr="007715FF" w:rsidRDefault="00F653A7" w:rsidP="00F653A7">
      <w:pPr>
        <w:spacing w:before="29" w:line="288" w:lineRule="auto"/>
        <w:rPr>
          <w:rFonts w:eastAsiaTheme="minorEastAsia"/>
          <w:b/>
          <w:color w:val="000000" w:themeColor="text1"/>
          <w:kern w:val="0"/>
          <w:sz w:val="24"/>
          <w:szCs w:val="24"/>
        </w:rPr>
      </w:pPr>
      <w:r w:rsidRPr="007715FF">
        <w:rPr>
          <w:rFonts w:eastAsiaTheme="minorEastAsia" w:hint="eastAsia"/>
          <w:b/>
          <w:color w:val="000000" w:themeColor="text1"/>
          <w:kern w:val="0"/>
          <w:sz w:val="24"/>
          <w:szCs w:val="24"/>
        </w:rPr>
        <w:t xml:space="preserve">6.3 </w:t>
      </w:r>
      <w:r w:rsidRPr="007715FF">
        <w:rPr>
          <w:rFonts w:eastAsiaTheme="minorEastAsia" w:hint="eastAsia"/>
          <w:b/>
          <w:color w:val="000000" w:themeColor="text1"/>
          <w:kern w:val="0"/>
          <w:sz w:val="24"/>
          <w:szCs w:val="24"/>
        </w:rPr>
        <w:t>本报告期持有的基金发生的重大影响事件</w:t>
      </w:r>
    </w:p>
    <w:p w:rsidR="00F653A7" w:rsidRPr="007715FF" w:rsidRDefault="00F653A7" w:rsidP="00F653A7">
      <w:pPr>
        <w:autoSpaceDE w:val="0"/>
        <w:autoSpaceDN w:val="0"/>
        <w:adjustRightInd w:val="0"/>
        <w:spacing w:line="360" w:lineRule="auto"/>
        <w:ind w:firstLineChars="200" w:firstLine="480"/>
        <w:jc w:val="left"/>
        <w:rPr>
          <w:rFonts w:eastAsiaTheme="minorEastAsia"/>
          <w:color w:val="000000" w:themeColor="text1"/>
          <w:sz w:val="24"/>
          <w:szCs w:val="24"/>
        </w:rPr>
      </w:pPr>
      <w:r w:rsidRPr="00A04B8F">
        <w:rPr>
          <w:rFonts w:hint="eastAsia"/>
          <w:sz w:val="24"/>
        </w:rPr>
        <w:t>无。</w:t>
      </w:r>
    </w:p>
    <w:p w:rsidR="00F653A7" w:rsidRPr="00F653A7" w:rsidRDefault="00F653A7"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2,556,147,225.23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42,150,474.71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190,560,616.31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2,407,737,083.63</w:t>
            </w:r>
          </w:p>
        </w:tc>
      </w:tr>
    </w:tbl>
    <w:p w:rsidR="00746522" w:rsidRDefault="00AE6C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746522" w:rsidRDefault="00AE6CA3">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46522" w:rsidRDefault="00AE6CA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46522" w:rsidRDefault="00AE6CA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46522" w:rsidRDefault="00AE6CA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75" w:rsidRDefault="00377C75" w:rsidP="00876D65">
      <w:r>
        <w:separator/>
      </w:r>
    </w:p>
  </w:endnote>
  <w:endnote w:type="continuationSeparator" w:id="0">
    <w:p w:rsidR="00377C75" w:rsidRDefault="00377C7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E80A44">
      <w:rPr>
        <w:noProof/>
        <w:kern w:val="0"/>
        <w:szCs w:val="21"/>
      </w:rPr>
      <w:t>6</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E80A44">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75" w:rsidRDefault="00377C75" w:rsidP="00876D65">
      <w:r>
        <w:separator/>
      </w:r>
    </w:p>
  </w:footnote>
  <w:footnote w:type="continuationSeparator" w:id="0">
    <w:p w:rsidR="00377C75" w:rsidRDefault="00377C7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7C75"/>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46522"/>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6CA3"/>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77ACB"/>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0A44"/>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53A7"/>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CB33-93B4-42DF-8F52-933288C73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汤深</dc:creator>
  <cp:lastModifiedBy>汤深</cp:lastModifiedBy>
  <cp:revision>3</cp:revision>
  <dcterms:created xsi:type="dcterms:W3CDTF">2018-04-19T02:41:00Z</dcterms:created>
  <dcterms:modified xsi:type="dcterms:W3CDTF">2018-04-19T03:05:00Z</dcterms:modified>
</cp:coreProperties>
</file>