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bookmarkStart w:id="0" w:name="_GoBack"/>
      <w:bookmarkEnd w:id="0"/>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交银施罗德成长混合型证券投资基金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2018</w:t>
      </w:r>
      <w:r w:rsidRPr="005858C2">
        <w:rPr>
          <w:rFonts w:eastAsiaTheme="minorEastAsia"/>
          <w:b/>
          <w:sz w:val="36"/>
          <w:szCs w:val="36"/>
        </w:rPr>
        <w:t>年第</w:t>
      </w:r>
      <w:r w:rsidRPr="005858C2">
        <w:rPr>
          <w:rFonts w:eastAsiaTheme="minorEastAsia"/>
          <w:b/>
          <w:sz w:val="36"/>
          <w:szCs w:val="36"/>
        </w:rPr>
        <w:t>1</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2018</w:t>
      </w:r>
      <w:r w:rsidRPr="005858C2">
        <w:rPr>
          <w:b/>
          <w:sz w:val="36"/>
          <w:szCs w:val="36"/>
        </w:rPr>
        <w:t>年</w:t>
      </w:r>
      <w:r w:rsidRPr="005858C2">
        <w:rPr>
          <w:b/>
          <w:sz w:val="36"/>
          <w:szCs w:val="36"/>
        </w:rPr>
        <w:t>3</w:t>
      </w:r>
      <w:r w:rsidRPr="005858C2">
        <w:rPr>
          <w:b/>
          <w:sz w:val="36"/>
          <w:szCs w:val="36"/>
        </w:rPr>
        <w:t>月</w:t>
      </w:r>
      <w:r w:rsidRPr="005858C2">
        <w:rPr>
          <w:b/>
          <w:sz w:val="36"/>
          <w:szCs w:val="36"/>
        </w:rPr>
        <w:t>31</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中国农业银行股份有限公司</w:t>
      </w:r>
    </w:p>
    <w:p w:rsidR="009A2283" w:rsidRPr="005858C2" w:rsidRDefault="009A2283" w:rsidP="007C14DF">
      <w:pPr>
        <w:spacing w:before="29" w:line="288" w:lineRule="auto"/>
        <w:ind w:firstLineChars="900" w:firstLine="2168"/>
        <w:rPr>
          <w:b/>
          <w:sz w:val="24"/>
        </w:rPr>
        <w:sectPr w:rsidR="009A2283" w:rsidRPr="005858C2" w:rsidSect="00D3445F">
          <w:headerReference w:type="default" r:id="rId8"/>
          <w:footerReference w:type="default" r:id="rId9"/>
          <w:pgSz w:w="11926" w:h="15840"/>
          <w:pgMar w:top="1418" w:right="1440" w:bottom="851" w:left="1440" w:header="851" w:footer="992" w:gutter="0"/>
          <w:cols w:space="720"/>
          <w:noEndnote/>
          <w:titlePg/>
          <w:docGrid w:linePitch="286"/>
        </w:sectPr>
      </w:pPr>
      <w:r w:rsidRPr="005858C2">
        <w:rPr>
          <w:b/>
          <w:color w:val="000000"/>
          <w:sz w:val="24"/>
        </w:rPr>
        <w:t>报告送出日期：</w:t>
      </w:r>
      <w:r w:rsidR="00D04410" w:rsidRPr="005858C2">
        <w:rPr>
          <w:b/>
          <w:color w:val="000000"/>
          <w:sz w:val="24"/>
        </w:rPr>
        <w:t>二〇一八年四月二十一日</w:t>
      </w:r>
    </w:p>
    <w:p w:rsidR="009238DB" w:rsidRPr="007F52FA" w:rsidRDefault="009238DB" w:rsidP="0028293E">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2F7315" w:rsidRDefault="003C78F0">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2F7315" w:rsidRDefault="003C78F0">
      <w:pPr>
        <w:spacing w:before="29" w:line="288" w:lineRule="auto"/>
        <w:ind w:firstLineChars="200" w:firstLine="480"/>
        <w:rPr>
          <w:rFonts w:eastAsiaTheme="minorEastAsia"/>
          <w:color w:val="000000"/>
          <w:sz w:val="24"/>
        </w:rPr>
      </w:pPr>
      <w:r>
        <w:rPr>
          <w:rFonts w:eastAsiaTheme="minorEastAsia"/>
          <w:color w:val="000000"/>
          <w:sz w:val="24"/>
        </w:rPr>
        <w:t>基金托管人中国农业银行股份有限公司根据本基金合同规定，于</w:t>
      </w:r>
      <w:r>
        <w:rPr>
          <w:rFonts w:eastAsiaTheme="minorEastAsia"/>
          <w:color w:val="000000"/>
          <w:sz w:val="24"/>
        </w:rPr>
        <w:t>2018</w:t>
      </w:r>
      <w:r>
        <w:rPr>
          <w:rFonts w:eastAsiaTheme="minorEastAsia"/>
          <w:color w:val="000000"/>
          <w:sz w:val="24"/>
        </w:rPr>
        <w:t>年</w:t>
      </w:r>
      <w:r>
        <w:rPr>
          <w:rFonts w:eastAsiaTheme="minorEastAsia"/>
          <w:color w:val="000000"/>
          <w:sz w:val="24"/>
        </w:rPr>
        <w:t>4</w:t>
      </w:r>
      <w:r>
        <w:rPr>
          <w:rFonts w:eastAsiaTheme="minorEastAsia"/>
          <w:color w:val="000000"/>
          <w:sz w:val="24"/>
        </w:rPr>
        <w:t>月</w:t>
      </w:r>
      <w:r>
        <w:rPr>
          <w:rFonts w:eastAsiaTheme="minorEastAsia"/>
          <w:color w:val="000000"/>
          <w:sz w:val="24"/>
        </w:rPr>
        <w:t>20</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2F7315" w:rsidRDefault="003C78F0">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2F7315" w:rsidRDefault="003C78F0">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2F7315" w:rsidRDefault="003C78F0">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2018</w:t>
      </w:r>
      <w:r w:rsidRPr="007F52FA">
        <w:rPr>
          <w:rFonts w:eastAsiaTheme="minorEastAsia"/>
          <w:color w:val="000000"/>
          <w:sz w:val="24"/>
        </w:rPr>
        <w:t>年</w:t>
      </w:r>
      <w:r w:rsidRPr="007F52FA">
        <w:rPr>
          <w:rFonts w:eastAsiaTheme="minorEastAsia"/>
          <w:color w:val="000000"/>
          <w:sz w:val="24"/>
        </w:rPr>
        <w:t>1</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3</w:t>
      </w:r>
      <w:r w:rsidRPr="007F52FA">
        <w:rPr>
          <w:rFonts w:eastAsiaTheme="minorEastAsia"/>
          <w:color w:val="000000"/>
          <w:sz w:val="24"/>
        </w:rPr>
        <w:t>月</w:t>
      </w:r>
      <w:r w:rsidRPr="007F52FA">
        <w:rPr>
          <w:rFonts w:eastAsiaTheme="minorEastAsia"/>
          <w:color w:val="000000"/>
          <w:sz w:val="24"/>
        </w:rPr>
        <w:t>31</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28293E">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交银成长混合</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519692</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2006</w:t>
            </w:r>
            <w:r w:rsidRPr="007F52FA">
              <w:rPr>
                <w:color w:val="000000"/>
                <w:kern w:val="0"/>
                <w:sz w:val="24"/>
              </w:rPr>
              <w:t>年</w:t>
            </w:r>
            <w:r w:rsidRPr="007F52FA">
              <w:rPr>
                <w:color w:val="000000"/>
                <w:kern w:val="0"/>
                <w:sz w:val="24"/>
              </w:rPr>
              <w:t>10</w:t>
            </w:r>
            <w:r w:rsidRPr="007F52FA">
              <w:rPr>
                <w:color w:val="000000"/>
                <w:kern w:val="0"/>
                <w:sz w:val="24"/>
              </w:rPr>
              <w:t>月</w:t>
            </w:r>
            <w:r w:rsidRPr="007F52FA">
              <w:rPr>
                <w:color w:val="000000"/>
                <w:kern w:val="0"/>
                <w:sz w:val="24"/>
              </w:rPr>
              <w:t>23</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685,807,316.17</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本基金属于成长型混合型基金，主要通过投资于经过严格的品质筛选且具有良好成长性的上市公司的股票，在适度控制风险并保持基金资产良好流动性的前提下，为基金份额持有人谋求长期、稳定的资本增值。</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将严谨、规范化的选股方法与积极主动的投资风格相结合，在分析和判断宏观经济运行和行业景气变化、以及上市公司成长潜力的基础上，通过优选成长性好、成长具有可持续性、成长质量优良、定价相对合理的股票进行投资，以谋求超额收益。</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75%×</w:t>
            </w:r>
            <w:r w:rsidRPr="007F52FA">
              <w:rPr>
                <w:color w:val="000000"/>
                <w:kern w:val="0"/>
                <w:sz w:val="24"/>
              </w:rPr>
              <w:t>富时中国</w:t>
            </w:r>
            <w:r w:rsidRPr="007F52FA">
              <w:rPr>
                <w:color w:val="000000"/>
                <w:kern w:val="0"/>
                <w:sz w:val="24"/>
              </w:rPr>
              <w:t>A600</w:t>
            </w:r>
            <w:r w:rsidRPr="007F52FA">
              <w:rPr>
                <w:color w:val="000000"/>
                <w:kern w:val="0"/>
                <w:sz w:val="24"/>
              </w:rPr>
              <w:t>成长指数＋</w:t>
            </w:r>
            <w:r w:rsidRPr="007F52FA">
              <w:rPr>
                <w:color w:val="000000"/>
                <w:kern w:val="0"/>
                <w:sz w:val="24"/>
              </w:rPr>
              <w:t>25%×</w:t>
            </w:r>
            <w:r w:rsidRPr="007F52FA">
              <w:rPr>
                <w:color w:val="000000"/>
                <w:kern w:val="0"/>
                <w:sz w:val="24"/>
              </w:rPr>
              <w:t>富时中国国债指数</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本基金是一只混合型基金，以具有良好成长性的公司为</w:t>
            </w:r>
            <w:r w:rsidRPr="007F52FA">
              <w:rPr>
                <w:color w:val="000000"/>
                <w:kern w:val="0"/>
                <w:sz w:val="24"/>
              </w:rPr>
              <w:lastRenderedPageBreak/>
              <w:t>主要投资对象，追求超额收益，其风险和预期收益高于债券型基金和货币市场基金，低于股票型基金。属于承担较高风险、预期收益较高的证券投资基金品种。</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中国农业银行股份有限公司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交银成长混合</w:t>
            </w:r>
            <w:r w:rsidRPr="007F52FA">
              <w:rPr>
                <w:sz w:val="24"/>
              </w:rPr>
              <w:t>A</w:t>
            </w:r>
          </w:p>
        </w:tc>
        <w:tc>
          <w:tcPr>
            <w:tcW w:w="3048" w:type="dxa"/>
            <w:vAlign w:val="center"/>
          </w:tcPr>
          <w:p w:rsidR="008532F3" w:rsidRPr="007F52FA" w:rsidRDefault="008532F3" w:rsidP="007C14DF">
            <w:pPr>
              <w:spacing w:before="29" w:line="288" w:lineRule="auto"/>
              <w:jc w:val="left"/>
              <w:rPr>
                <w:sz w:val="24"/>
              </w:rPr>
            </w:pPr>
            <w:r w:rsidRPr="007F52FA">
              <w:rPr>
                <w:sz w:val="24"/>
              </w:rPr>
              <w:t>交银成长混合</w:t>
            </w:r>
            <w:r w:rsidRPr="007F52FA">
              <w:rPr>
                <w:sz w:val="24"/>
              </w:rPr>
              <w:t>H</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685,507,632.85</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299,683.32</w:t>
            </w:r>
            <w:r w:rsidRPr="007F52FA">
              <w:rPr>
                <w:color w:val="000000"/>
                <w:kern w:val="0"/>
                <w:sz w:val="24"/>
              </w:rPr>
              <w:t>份</w:t>
            </w:r>
          </w:p>
        </w:tc>
      </w:tr>
    </w:tbl>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28293E">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BF5A58" w:rsidRPr="00414345" w:rsidRDefault="00BF5A58" w:rsidP="00BF5A58">
            <w:pPr>
              <w:adjustRightInd w:val="0"/>
              <w:spacing w:before="29" w:line="288" w:lineRule="auto"/>
              <w:ind w:left="17"/>
              <w:jc w:val="center"/>
              <w:rPr>
                <w:color w:val="000000"/>
                <w:sz w:val="24"/>
              </w:rPr>
            </w:pPr>
            <w:r w:rsidRPr="00414345">
              <w:rPr>
                <w:color w:val="000000"/>
                <w:sz w:val="24"/>
              </w:rPr>
              <w:t>报告期</w:t>
            </w:r>
          </w:p>
          <w:p w:rsidR="009E549D" w:rsidRPr="007F52FA" w:rsidRDefault="00BF5A58" w:rsidP="00BF5A58">
            <w:pPr>
              <w:adjustRightInd w:val="0"/>
              <w:spacing w:before="29" w:line="288" w:lineRule="auto"/>
              <w:ind w:left="17"/>
              <w:jc w:val="center"/>
              <w:rPr>
                <w:color w:val="000000"/>
                <w:sz w:val="24"/>
              </w:rPr>
            </w:pPr>
            <w:r w:rsidRPr="00414345">
              <w:rPr>
                <w:color w:val="000000"/>
                <w:sz w:val="24"/>
              </w:rPr>
              <w:t>(2018</w:t>
            </w:r>
            <w:r w:rsidRPr="00414345">
              <w:rPr>
                <w:color w:val="000000"/>
                <w:sz w:val="24"/>
              </w:rPr>
              <w:t>年</w:t>
            </w:r>
            <w:r w:rsidRPr="00414345">
              <w:rPr>
                <w:color w:val="000000"/>
                <w:sz w:val="24"/>
              </w:rPr>
              <w:t>1</w:t>
            </w:r>
            <w:r w:rsidRPr="00414345">
              <w:rPr>
                <w:color w:val="000000"/>
                <w:sz w:val="24"/>
              </w:rPr>
              <w:t>月</w:t>
            </w:r>
            <w:r w:rsidRPr="00414345">
              <w:rPr>
                <w:color w:val="000000"/>
                <w:sz w:val="24"/>
              </w:rPr>
              <w:t>1</w:t>
            </w:r>
            <w:r w:rsidRPr="00414345">
              <w:rPr>
                <w:color w:val="000000"/>
                <w:sz w:val="24"/>
              </w:rPr>
              <w:t>日</w:t>
            </w:r>
            <w:r w:rsidRPr="00414345">
              <w:rPr>
                <w:color w:val="000000"/>
                <w:sz w:val="24"/>
              </w:rPr>
              <w:t>-2018</w:t>
            </w:r>
            <w:r w:rsidRPr="00414345">
              <w:rPr>
                <w:color w:val="000000"/>
                <w:sz w:val="24"/>
              </w:rPr>
              <w:t>年</w:t>
            </w:r>
            <w:r w:rsidRPr="00414345">
              <w:rPr>
                <w:color w:val="000000"/>
                <w:sz w:val="24"/>
              </w:rPr>
              <w:t>3</w:t>
            </w:r>
            <w:r w:rsidRPr="00414345">
              <w:rPr>
                <w:color w:val="000000"/>
                <w:sz w:val="24"/>
              </w:rPr>
              <w:t>月</w:t>
            </w:r>
            <w:r w:rsidRPr="00414345">
              <w:rPr>
                <w:color w:val="000000"/>
                <w:sz w:val="24"/>
              </w:rPr>
              <w:t>31</w:t>
            </w:r>
            <w:r w:rsidRPr="00414345">
              <w:rPr>
                <w:color w:val="000000"/>
                <w:sz w:val="24"/>
              </w:rPr>
              <w:t>日</w:t>
            </w:r>
            <w:r w:rsidRPr="00414345">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交银成长混合</w:t>
            </w:r>
            <w:r w:rsidRPr="007F52FA">
              <w:rPr>
                <w:sz w:val="24"/>
              </w:rPr>
              <w:t>A</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交银成长混合</w:t>
            </w:r>
            <w:r w:rsidRPr="007F52FA">
              <w:rPr>
                <w:sz w:val="24"/>
              </w:rPr>
              <w:t>H</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-77,193,625.01</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-33,824.09</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-50,360,882.86</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-21,631.83</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-0.0726</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-0.0719</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2,654,882,157.66</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1,167,646.84</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3.8729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3.8963</w:t>
            </w:r>
          </w:p>
        </w:tc>
      </w:tr>
    </w:tbl>
    <w:p w:rsidR="002F7315" w:rsidRDefault="003C78F0">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、上述基金业绩指标不包括持有人认购或交易基金的各项费用，计入费用后的实际收益水平要低于所列数字；</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交银成长混合</w:t>
      </w:r>
      <w:r w:rsidR="00A5643A" w:rsidRPr="007F52FA">
        <w:rPr>
          <w:b/>
          <w:color w:val="000000"/>
          <w:kern w:val="0"/>
          <w:sz w:val="24"/>
        </w:rPr>
        <w:t>A</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2F7315">
        <w:trPr>
          <w:jc w:val="center"/>
        </w:trPr>
        <w:tc>
          <w:tcPr>
            <w:tcW w:w="1266" w:type="dxa"/>
            <w:vAlign w:val="center"/>
          </w:tcPr>
          <w:p w:rsidR="002F7315" w:rsidRDefault="003C78F0">
            <w:pPr>
              <w:jc w:val="left"/>
            </w:pPr>
            <w:r>
              <w:rPr>
                <w:color w:val="000000"/>
                <w:sz w:val="24"/>
              </w:rPr>
              <w:lastRenderedPageBreak/>
              <w:t>过去三个月</w:t>
            </w:r>
          </w:p>
        </w:tc>
        <w:tc>
          <w:tcPr>
            <w:tcW w:w="1267" w:type="dxa"/>
            <w:vAlign w:val="center"/>
          </w:tcPr>
          <w:p w:rsidR="002F7315" w:rsidRDefault="003C78F0">
            <w:pPr>
              <w:jc w:val="center"/>
            </w:pPr>
            <w:r>
              <w:rPr>
                <w:color w:val="000000"/>
                <w:sz w:val="24"/>
              </w:rPr>
              <w:t>-1.90%</w:t>
            </w:r>
          </w:p>
        </w:tc>
        <w:tc>
          <w:tcPr>
            <w:tcW w:w="1267" w:type="dxa"/>
            <w:vAlign w:val="center"/>
          </w:tcPr>
          <w:p w:rsidR="002F7315" w:rsidRDefault="003C78F0">
            <w:pPr>
              <w:jc w:val="center"/>
            </w:pPr>
            <w:r>
              <w:rPr>
                <w:color w:val="000000"/>
                <w:sz w:val="24"/>
              </w:rPr>
              <w:t>1.25%</w:t>
            </w:r>
          </w:p>
        </w:tc>
        <w:tc>
          <w:tcPr>
            <w:tcW w:w="1267" w:type="dxa"/>
            <w:vAlign w:val="center"/>
          </w:tcPr>
          <w:p w:rsidR="002F7315" w:rsidRDefault="003C78F0">
            <w:pPr>
              <w:jc w:val="center"/>
            </w:pPr>
            <w:r>
              <w:rPr>
                <w:color w:val="000000"/>
                <w:sz w:val="24"/>
              </w:rPr>
              <w:t>-2.05%</w:t>
            </w:r>
          </w:p>
        </w:tc>
        <w:tc>
          <w:tcPr>
            <w:tcW w:w="1267" w:type="dxa"/>
            <w:vAlign w:val="center"/>
          </w:tcPr>
          <w:p w:rsidR="002F7315" w:rsidRDefault="003C78F0">
            <w:pPr>
              <w:jc w:val="center"/>
            </w:pPr>
            <w:r>
              <w:rPr>
                <w:color w:val="000000"/>
                <w:sz w:val="24"/>
              </w:rPr>
              <w:t>0.96%</w:t>
            </w:r>
          </w:p>
        </w:tc>
        <w:tc>
          <w:tcPr>
            <w:tcW w:w="1267" w:type="dxa"/>
            <w:vAlign w:val="center"/>
          </w:tcPr>
          <w:p w:rsidR="002F7315" w:rsidRDefault="003C78F0">
            <w:pPr>
              <w:jc w:val="center"/>
            </w:pPr>
            <w:r>
              <w:rPr>
                <w:color w:val="000000"/>
                <w:sz w:val="24"/>
              </w:rPr>
              <w:t>0.15%</w:t>
            </w:r>
          </w:p>
        </w:tc>
        <w:tc>
          <w:tcPr>
            <w:tcW w:w="1267" w:type="dxa"/>
            <w:vAlign w:val="center"/>
          </w:tcPr>
          <w:p w:rsidR="002F7315" w:rsidRDefault="003C78F0">
            <w:pPr>
              <w:jc w:val="center"/>
            </w:pPr>
            <w:r>
              <w:rPr>
                <w:color w:val="000000"/>
                <w:sz w:val="24"/>
              </w:rPr>
              <w:t>0.29%</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交银成长混合</w:t>
      </w:r>
      <w:r w:rsidR="00FE7FBD" w:rsidRPr="007F52FA">
        <w:rPr>
          <w:b/>
          <w:color w:val="000000"/>
          <w:kern w:val="0"/>
          <w:sz w:val="24"/>
        </w:rPr>
        <w:t>H</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2F7315">
        <w:trPr>
          <w:jc w:val="center"/>
        </w:trPr>
        <w:tc>
          <w:tcPr>
            <w:tcW w:w="1266" w:type="dxa"/>
            <w:vAlign w:val="center"/>
          </w:tcPr>
          <w:p w:rsidR="002F7315" w:rsidRDefault="003C78F0">
            <w:pPr>
              <w:jc w:val="left"/>
            </w:pPr>
            <w:r>
              <w:rPr>
                <w:color w:val="000000"/>
                <w:sz w:val="24"/>
              </w:rPr>
              <w:t>过去三个月</w:t>
            </w:r>
          </w:p>
        </w:tc>
        <w:tc>
          <w:tcPr>
            <w:tcW w:w="1267" w:type="dxa"/>
            <w:vAlign w:val="center"/>
          </w:tcPr>
          <w:p w:rsidR="002F7315" w:rsidRDefault="003C78F0">
            <w:pPr>
              <w:jc w:val="center"/>
            </w:pPr>
            <w:r>
              <w:rPr>
                <w:color w:val="000000"/>
                <w:sz w:val="24"/>
              </w:rPr>
              <w:t>-1.89%</w:t>
            </w:r>
          </w:p>
        </w:tc>
        <w:tc>
          <w:tcPr>
            <w:tcW w:w="1267" w:type="dxa"/>
            <w:vAlign w:val="center"/>
          </w:tcPr>
          <w:p w:rsidR="002F7315" w:rsidRDefault="003C78F0">
            <w:pPr>
              <w:jc w:val="center"/>
            </w:pPr>
            <w:r>
              <w:rPr>
                <w:color w:val="000000"/>
                <w:sz w:val="24"/>
              </w:rPr>
              <w:t>1.25%</w:t>
            </w:r>
          </w:p>
        </w:tc>
        <w:tc>
          <w:tcPr>
            <w:tcW w:w="1267" w:type="dxa"/>
            <w:vAlign w:val="center"/>
          </w:tcPr>
          <w:p w:rsidR="002F7315" w:rsidRDefault="003C78F0">
            <w:pPr>
              <w:jc w:val="center"/>
            </w:pPr>
            <w:r>
              <w:rPr>
                <w:color w:val="000000"/>
                <w:sz w:val="24"/>
              </w:rPr>
              <w:t>-2.05%</w:t>
            </w:r>
          </w:p>
        </w:tc>
        <w:tc>
          <w:tcPr>
            <w:tcW w:w="1267" w:type="dxa"/>
            <w:vAlign w:val="center"/>
          </w:tcPr>
          <w:p w:rsidR="002F7315" w:rsidRDefault="003C78F0">
            <w:pPr>
              <w:jc w:val="center"/>
            </w:pPr>
            <w:r>
              <w:rPr>
                <w:color w:val="000000"/>
                <w:sz w:val="24"/>
              </w:rPr>
              <w:t>0.96%</w:t>
            </w:r>
          </w:p>
        </w:tc>
        <w:tc>
          <w:tcPr>
            <w:tcW w:w="1267" w:type="dxa"/>
            <w:vAlign w:val="center"/>
          </w:tcPr>
          <w:p w:rsidR="002F7315" w:rsidRDefault="003C78F0">
            <w:pPr>
              <w:jc w:val="center"/>
            </w:pPr>
            <w:r>
              <w:rPr>
                <w:color w:val="000000"/>
                <w:sz w:val="24"/>
              </w:rPr>
              <w:t>0.16%</w:t>
            </w:r>
          </w:p>
        </w:tc>
        <w:tc>
          <w:tcPr>
            <w:tcW w:w="1267" w:type="dxa"/>
            <w:vAlign w:val="center"/>
          </w:tcPr>
          <w:p w:rsidR="002F7315" w:rsidRDefault="003C78F0">
            <w:pPr>
              <w:jc w:val="center"/>
            </w:pPr>
            <w:r>
              <w:rPr>
                <w:color w:val="000000"/>
                <w:sz w:val="24"/>
              </w:rPr>
              <w:t>0.29%</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交银施罗德成长混合型证券投资基金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2006</w:t>
      </w:r>
      <w:r w:rsidR="00D04410" w:rsidRPr="007F52FA">
        <w:rPr>
          <w:rFonts w:ascii="Times New Roman" w:hAnsi="Times New Roman"/>
          <w:sz w:val="24"/>
          <w:szCs w:val="24"/>
        </w:rPr>
        <w:t>年</w:t>
      </w:r>
      <w:r w:rsidR="00D04410" w:rsidRPr="007F52FA">
        <w:rPr>
          <w:rFonts w:ascii="Times New Roman" w:hAnsi="Times New Roman"/>
          <w:sz w:val="24"/>
          <w:szCs w:val="24"/>
        </w:rPr>
        <w:t>10</w:t>
      </w:r>
      <w:r w:rsidR="00D04410" w:rsidRPr="007F52FA">
        <w:rPr>
          <w:rFonts w:ascii="Times New Roman" w:hAnsi="Times New Roman"/>
          <w:sz w:val="24"/>
          <w:szCs w:val="24"/>
        </w:rPr>
        <w:t>月</w:t>
      </w:r>
      <w:r w:rsidR="00D04410" w:rsidRPr="007F52FA">
        <w:rPr>
          <w:rFonts w:ascii="Times New Roman" w:hAnsi="Times New Roman"/>
          <w:sz w:val="24"/>
          <w:szCs w:val="24"/>
        </w:rPr>
        <w:t>23</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2018</w:t>
      </w:r>
      <w:r w:rsidRPr="007F52FA">
        <w:rPr>
          <w:rFonts w:ascii="Times New Roman" w:hAnsi="Times New Roman"/>
          <w:sz w:val="24"/>
          <w:szCs w:val="24"/>
        </w:rPr>
        <w:t>年</w:t>
      </w:r>
      <w:r w:rsidRPr="007F52FA">
        <w:rPr>
          <w:rFonts w:ascii="Times New Roman" w:hAnsi="Times New Roman"/>
          <w:sz w:val="24"/>
          <w:szCs w:val="24"/>
        </w:rPr>
        <w:t>3</w:t>
      </w:r>
      <w:r w:rsidRPr="007F52FA">
        <w:rPr>
          <w:rFonts w:ascii="Times New Roman" w:hAnsi="Times New Roman"/>
          <w:sz w:val="24"/>
          <w:szCs w:val="24"/>
        </w:rPr>
        <w:t>月</w:t>
      </w:r>
      <w:r w:rsidRPr="007F52FA">
        <w:rPr>
          <w:rFonts w:ascii="Times New Roman" w:hAnsi="Times New Roman"/>
          <w:sz w:val="24"/>
          <w:szCs w:val="24"/>
        </w:rPr>
        <w:t>31</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交银成长混合</w:t>
      </w:r>
      <w:r w:rsidR="0042785F" w:rsidRPr="007F52FA">
        <w:rPr>
          <w:color w:val="000000"/>
          <w:sz w:val="24"/>
        </w:rPr>
        <w:t>A</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注：图示日期为</w:t>
      </w:r>
      <w:r w:rsidRPr="007F52FA">
        <w:rPr>
          <w:color w:val="000000"/>
          <w:sz w:val="24"/>
        </w:rPr>
        <w:t>2006</w:t>
      </w:r>
      <w:r w:rsidRPr="007F52FA">
        <w:rPr>
          <w:color w:val="000000"/>
          <w:sz w:val="24"/>
        </w:rPr>
        <w:t>年</w:t>
      </w:r>
      <w:r w:rsidRPr="007F52FA">
        <w:rPr>
          <w:color w:val="000000"/>
          <w:sz w:val="24"/>
        </w:rPr>
        <w:t>10</w:t>
      </w:r>
      <w:r w:rsidRPr="007F52FA">
        <w:rPr>
          <w:color w:val="000000"/>
          <w:sz w:val="24"/>
        </w:rPr>
        <w:t>月</w:t>
      </w:r>
      <w:r w:rsidRPr="007F52FA">
        <w:rPr>
          <w:color w:val="000000"/>
          <w:sz w:val="24"/>
        </w:rPr>
        <w:t>23</w:t>
      </w:r>
      <w:r w:rsidRPr="007F52FA">
        <w:rPr>
          <w:color w:val="000000"/>
          <w:sz w:val="24"/>
        </w:rPr>
        <w:t>日至</w:t>
      </w:r>
      <w:r w:rsidRPr="007F52FA">
        <w:rPr>
          <w:color w:val="000000"/>
          <w:sz w:val="24"/>
        </w:rPr>
        <w:t>2018</w:t>
      </w:r>
      <w:r w:rsidRPr="007F52FA">
        <w:rPr>
          <w:color w:val="000000"/>
          <w:sz w:val="24"/>
        </w:rPr>
        <w:t>年</w:t>
      </w:r>
      <w:r w:rsidRPr="007F52FA">
        <w:rPr>
          <w:color w:val="000000"/>
          <w:sz w:val="24"/>
        </w:rPr>
        <w:t>3</w:t>
      </w:r>
      <w:r w:rsidRPr="007F52FA">
        <w:rPr>
          <w:color w:val="000000"/>
          <w:sz w:val="24"/>
        </w:rPr>
        <w:t>月</w:t>
      </w:r>
      <w:r w:rsidRPr="007F52FA">
        <w:rPr>
          <w:color w:val="000000"/>
          <w:sz w:val="24"/>
        </w:rPr>
        <w:t>31</w:t>
      </w:r>
      <w:r w:rsidRPr="007F52FA">
        <w:rPr>
          <w:color w:val="000000"/>
          <w:sz w:val="24"/>
        </w:rPr>
        <w:t>日。本基金建仓期为自基金合同生效日起的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lastRenderedPageBreak/>
        <w:t>2</w:t>
      </w:r>
      <w:r w:rsidRPr="007F52FA">
        <w:rPr>
          <w:color w:val="000000"/>
          <w:sz w:val="24"/>
        </w:rPr>
        <w:t>．</w:t>
      </w:r>
      <w:r w:rsidR="00FE7FBD" w:rsidRPr="007F52FA">
        <w:rPr>
          <w:color w:val="000000"/>
          <w:sz w:val="24"/>
        </w:rPr>
        <w:t>交银成长混合</w:t>
      </w:r>
      <w:r w:rsidR="00FE7FBD" w:rsidRPr="007F52FA">
        <w:rPr>
          <w:color w:val="000000"/>
          <w:sz w:val="24"/>
        </w:rPr>
        <w:t>H</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cstate="print"/>
                    <a:stretch>
                      <a:fillRect/>
                    </a:stretch>
                  </pic:blipFill>
                  <pic:spPr>
                    <a:xfrm>
                      <a:off x="0" y="0"/>
                      <a:ext cx="5731510" cy="3356610"/>
                    </a:xfrm>
                    <a:prstGeom prst="rect">
                      <a:avLst/>
                    </a:prstGeom>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注：本基金自</w:t>
      </w:r>
      <w:r w:rsidRPr="007F52FA">
        <w:rPr>
          <w:color w:val="000000"/>
          <w:sz w:val="24"/>
        </w:rPr>
        <w:t>2016</w:t>
      </w:r>
      <w:r w:rsidRPr="007F52FA">
        <w:rPr>
          <w:color w:val="000000"/>
          <w:sz w:val="24"/>
        </w:rPr>
        <w:t>年</w:t>
      </w:r>
      <w:r w:rsidRPr="007F52FA">
        <w:rPr>
          <w:color w:val="000000"/>
          <w:sz w:val="24"/>
        </w:rPr>
        <w:t>3</w:t>
      </w:r>
      <w:r w:rsidRPr="007F52FA">
        <w:rPr>
          <w:color w:val="000000"/>
          <w:sz w:val="24"/>
        </w:rPr>
        <w:t>月</w:t>
      </w:r>
      <w:r w:rsidRPr="007F52FA">
        <w:rPr>
          <w:color w:val="000000"/>
          <w:sz w:val="24"/>
        </w:rPr>
        <w:t>7</w:t>
      </w:r>
      <w:r w:rsidRPr="007F52FA">
        <w:rPr>
          <w:color w:val="000000"/>
          <w:sz w:val="24"/>
        </w:rPr>
        <w:t>日起，开始销售</w:t>
      </w:r>
      <w:r w:rsidRPr="007F52FA">
        <w:rPr>
          <w:color w:val="000000"/>
          <w:sz w:val="24"/>
        </w:rPr>
        <w:t>H</w:t>
      </w:r>
      <w:r w:rsidRPr="007F52FA">
        <w:rPr>
          <w:color w:val="000000"/>
          <w:sz w:val="24"/>
        </w:rPr>
        <w:t>类份额，当日投资者提交的申购申请于</w:t>
      </w:r>
      <w:r w:rsidRPr="007F52FA">
        <w:rPr>
          <w:color w:val="000000"/>
          <w:sz w:val="24"/>
        </w:rPr>
        <w:t>2016</w:t>
      </w:r>
      <w:r w:rsidRPr="007F52FA">
        <w:rPr>
          <w:color w:val="000000"/>
          <w:sz w:val="24"/>
        </w:rPr>
        <w:t>年</w:t>
      </w:r>
      <w:r w:rsidRPr="007F52FA">
        <w:rPr>
          <w:color w:val="000000"/>
          <w:sz w:val="24"/>
        </w:rPr>
        <w:t>3</w:t>
      </w:r>
      <w:r w:rsidRPr="007F52FA">
        <w:rPr>
          <w:color w:val="000000"/>
          <w:sz w:val="24"/>
        </w:rPr>
        <w:t>月</w:t>
      </w:r>
      <w:r w:rsidRPr="007F52FA">
        <w:rPr>
          <w:color w:val="000000"/>
          <w:sz w:val="24"/>
        </w:rPr>
        <w:t>8</w:t>
      </w:r>
      <w:r w:rsidRPr="007F52FA">
        <w:rPr>
          <w:color w:val="000000"/>
          <w:sz w:val="24"/>
        </w:rPr>
        <w:t>日被确认并将有效份额登记在册。图示日期为</w:t>
      </w:r>
      <w:r w:rsidRPr="007F52FA">
        <w:rPr>
          <w:color w:val="000000"/>
          <w:sz w:val="24"/>
        </w:rPr>
        <w:t>2016</w:t>
      </w:r>
      <w:r w:rsidRPr="007F52FA">
        <w:rPr>
          <w:color w:val="000000"/>
          <w:sz w:val="24"/>
        </w:rPr>
        <w:t>年</w:t>
      </w:r>
      <w:r w:rsidRPr="007F52FA">
        <w:rPr>
          <w:color w:val="000000"/>
          <w:sz w:val="24"/>
        </w:rPr>
        <w:t>3</w:t>
      </w:r>
      <w:r w:rsidRPr="007F52FA">
        <w:rPr>
          <w:color w:val="000000"/>
          <w:sz w:val="24"/>
        </w:rPr>
        <w:t>月</w:t>
      </w:r>
      <w:r w:rsidRPr="007F52FA">
        <w:rPr>
          <w:color w:val="000000"/>
          <w:sz w:val="24"/>
        </w:rPr>
        <w:t>8</w:t>
      </w:r>
      <w:r w:rsidRPr="007F52FA">
        <w:rPr>
          <w:color w:val="000000"/>
          <w:sz w:val="24"/>
        </w:rPr>
        <w:t>日至</w:t>
      </w:r>
      <w:r w:rsidRPr="007F52FA">
        <w:rPr>
          <w:color w:val="000000"/>
          <w:sz w:val="24"/>
        </w:rPr>
        <w:t>2018</w:t>
      </w:r>
      <w:r w:rsidRPr="007F52FA">
        <w:rPr>
          <w:color w:val="000000"/>
          <w:sz w:val="24"/>
        </w:rPr>
        <w:t>年</w:t>
      </w:r>
      <w:r w:rsidRPr="007F52FA">
        <w:rPr>
          <w:color w:val="000000"/>
          <w:sz w:val="24"/>
        </w:rPr>
        <w:t>3</w:t>
      </w:r>
      <w:r w:rsidRPr="007F52FA">
        <w:rPr>
          <w:color w:val="000000"/>
          <w:sz w:val="24"/>
        </w:rPr>
        <w:t>月</w:t>
      </w:r>
      <w:r w:rsidRPr="007F52FA">
        <w:rPr>
          <w:color w:val="000000"/>
          <w:sz w:val="24"/>
        </w:rPr>
        <w:t>31</w:t>
      </w:r>
      <w:r w:rsidRPr="007F52FA">
        <w:rPr>
          <w:color w:val="000000"/>
          <w:sz w:val="24"/>
        </w:rPr>
        <w:t>日。</w:t>
      </w:r>
    </w:p>
    <w:p w:rsidR="00757FD7" w:rsidRPr="007F52FA" w:rsidRDefault="00757FD7" w:rsidP="007C14DF">
      <w:pPr>
        <w:spacing w:before="29" w:line="288" w:lineRule="auto"/>
        <w:ind w:firstLineChars="200" w:firstLine="480"/>
        <w:rPr>
          <w:color w:val="000000"/>
          <w:sz w:val="24"/>
        </w:rPr>
      </w:pPr>
    </w:p>
    <w:p w:rsidR="00973B57" w:rsidRPr="007F52FA" w:rsidRDefault="00973B57" w:rsidP="007C14DF">
      <w:pPr>
        <w:pStyle w:val="20"/>
        <w:spacing w:before="29" w:line="288" w:lineRule="auto"/>
        <w:ind w:firstLineChars="0" w:firstLine="0"/>
        <w:jc w:val="left"/>
        <w:rPr>
          <w:rFonts w:ascii="Times New Roman" w:eastAsiaTheme="minorEastAsia" w:hAnsi="Times New Roman"/>
          <w:color w:val="000000"/>
        </w:rPr>
      </w:pP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28293E">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2F7315">
        <w:trPr>
          <w:jc w:val="center"/>
        </w:trPr>
        <w:tc>
          <w:tcPr>
            <w:tcW w:w="946" w:type="dxa"/>
            <w:vAlign w:val="center"/>
          </w:tcPr>
          <w:p w:rsidR="002F7315" w:rsidRDefault="003C78F0">
            <w:pPr>
              <w:jc w:val="center"/>
            </w:pPr>
            <w:r>
              <w:rPr>
                <w:color w:val="000000"/>
                <w:sz w:val="24"/>
              </w:rPr>
              <w:t>王少成</w:t>
            </w:r>
          </w:p>
        </w:tc>
        <w:tc>
          <w:tcPr>
            <w:tcW w:w="924" w:type="dxa"/>
            <w:vAlign w:val="center"/>
          </w:tcPr>
          <w:p w:rsidR="002F7315" w:rsidRDefault="003C78F0">
            <w:pPr>
              <w:jc w:val="center"/>
            </w:pPr>
            <w:r>
              <w:rPr>
                <w:color w:val="000000"/>
                <w:sz w:val="24"/>
              </w:rPr>
              <w:t>交银成长混合、交银策略回报灵活配置混合、</w:t>
            </w:r>
            <w:r>
              <w:rPr>
                <w:color w:val="000000"/>
                <w:sz w:val="24"/>
              </w:rPr>
              <w:lastRenderedPageBreak/>
              <w:t>交银成长</w:t>
            </w:r>
            <w:r>
              <w:rPr>
                <w:color w:val="000000"/>
                <w:sz w:val="24"/>
              </w:rPr>
              <w:t>30</w:t>
            </w:r>
            <w:r>
              <w:rPr>
                <w:color w:val="000000"/>
                <w:sz w:val="24"/>
              </w:rPr>
              <w:t>混合、交银荣和保本混合的基金经理，公司权益投资总监</w:t>
            </w:r>
          </w:p>
        </w:tc>
        <w:tc>
          <w:tcPr>
            <w:tcW w:w="1202" w:type="dxa"/>
            <w:vAlign w:val="center"/>
          </w:tcPr>
          <w:p w:rsidR="002F7315" w:rsidRDefault="003C78F0">
            <w:pPr>
              <w:jc w:val="center"/>
            </w:pPr>
            <w:r>
              <w:rPr>
                <w:color w:val="000000"/>
                <w:sz w:val="24"/>
              </w:rPr>
              <w:lastRenderedPageBreak/>
              <w:t>2015-03-24</w:t>
            </w:r>
          </w:p>
        </w:tc>
        <w:tc>
          <w:tcPr>
            <w:tcW w:w="1300" w:type="dxa"/>
            <w:vAlign w:val="center"/>
          </w:tcPr>
          <w:p w:rsidR="002F7315" w:rsidRDefault="003C78F0">
            <w:pPr>
              <w:jc w:val="center"/>
            </w:pPr>
            <w:r>
              <w:rPr>
                <w:color w:val="000000"/>
                <w:sz w:val="24"/>
              </w:rPr>
              <w:t>-</w:t>
            </w:r>
          </w:p>
        </w:tc>
        <w:tc>
          <w:tcPr>
            <w:tcW w:w="1245" w:type="dxa"/>
            <w:vAlign w:val="center"/>
          </w:tcPr>
          <w:p w:rsidR="002F7315" w:rsidRDefault="003C78F0">
            <w:pPr>
              <w:jc w:val="center"/>
            </w:pPr>
            <w:r>
              <w:rPr>
                <w:color w:val="000000"/>
                <w:sz w:val="24"/>
              </w:rPr>
              <w:t>14</w:t>
            </w:r>
            <w:r>
              <w:rPr>
                <w:color w:val="000000"/>
                <w:sz w:val="24"/>
              </w:rPr>
              <w:t>年</w:t>
            </w:r>
          </w:p>
        </w:tc>
        <w:tc>
          <w:tcPr>
            <w:tcW w:w="3251" w:type="dxa"/>
            <w:vAlign w:val="center"/>
          </w:tcPr>
          <w:p w:rsidR="002F7315" w:rsidRDefault="003C78F0">
            <w:r>
              <w:rPr>
                <w:color w:val="000000"/>
                <w:sz w:val="24"/>
              </w:rPr>
              <w:t>王少成先生，复旦大学硕士学历。历任上海融昌资产管理公司研究员，中原证券投资经理，信诚基金管理有限公司研究总监助理，东吴基金管理有限公司投资经理、基金经理、投资部副总经理。其中</w:t>
            </w:r>
            <w:r>
              <w:rPr>
                <w:color w:val="000000"/>
                <w:sz w:val="24"/>
              </w:rPr>
              <w:t>2010</w:t>
            </w:r>
            <w:r>
              <w:rPr>
                <w:color w:val="000000"/>
                <w:sz w:val="24"/>
              </w:rPr>
              <w:t>年</w:t>
            </w:r>
            <w:r>
              <w:rPr>
                <w:color w:val="000000"/>
                <w:sz w:val="24"/>
              </w:rPr>
              <w:t>9</w:t>
            </w:r>
            <w:r>
              <w:rPr>
                <w:color w:val="000000"/>
                <w:sz w:val="24"/>
              </w:rPr>
              <w:t>月至</w:t>
            </w:r>
            <w:r>
              <w:rPr>
                <w:color w:val="000000"/>
                <w:sz w:val="24"/>
              </w:rPr>
              <w:t>2012</w:t>
            </w:r>
            <w:r>
              <w:rPr>
                <w:color w:val="000000"/>
                <w:sz w:val="24"/>
              </w:rPr>
              <w:t>年</w:t>
            </w:r>
            <w:r>
              <w:rPr>
                <w:color w:val="000000"/>
                <w:sz w:val="24"/>
              </w:rPr>
              <w:t>10</w:t>
            </w:r>
            <w:r>
              <w:rPr>
                <w:color w:val="000000"/>
                <w:sz w:val="24"/>
              </w:rPr>
              <w:t>月担任东吴新创业股票型证券投资基</w:t>
            </w:r>
            <w:r>
              <w:rPr>
                <w:color w:val="000000"/>
                <w:sz w:val="24"/>
              </w:rPr>
              <w:lastRenderedPageBreak/>
              <w:t>金基金经理，</w:t>
            </w:r>
            <w:r>
              <w:rPr>
                <w:color w:val="000000"/>
                <w:sz w:val="24"/>
              </w:rPr>
              <w:t>2011</w:t>
            </w:r>
            <w:r>
              <w:rPr>
                <w:color w:val="000000"/>
                <w:sz w:val="24"/>
              </w:rPr>
              <w:t>年</w:t>
            </w:r>
            <w:r>
              <w:rPr>
                <w:color w:val="000000"/>
                <w:sz w:val="24"/>
              </w:rPr>
              <w:t>2</w:t>
            </w:r>
            <w:r>
              <w:rPr>
                <w:color w:val="000000"/>
                <w:sz w:val="24"/>
              </w:rPr>
              <w:t>月至</w:t>
            </w:r>
            <w:r>
              <w:rPr>
                <w:color w:val="000000"/>
                <w:sz w:val="24"/>
              </w:rPr>
              <w:t>2012</w:t>
            </w:r>
            <w:r>
              <w:rPr>
                <w:color w:val="000000"/>
                <w:sz w:val="24"/>
              </w:rPr>
              <w:t>年</w:t>
            </w:r>
            <w:r>
              <w:rPr>
                <w:color w:val="000000"/>
                <w:sz w:val="24"/>
              </w:rPr>
              <w:t>11</w:t>
            </w:r>
            <w:r>
              <w:rPr>
                <w:color w:val="000000"/>
                <w:sz w:val="24"/>
              </w:rPr>
              <w:t>月担任东吴中证新兴产业指数证券投资基金基金经理，</w:t>
            </w:r>
            <w:r>
              <w:rPr>
                <w:color w:val="000000"/>
                <w:sz w:val="24"/>
              </w:rPr>
              <w:t>2011</w:t>
            </w:r>
            <w:r>
              <w:rPr>
                <w:color w:val="000000"/>
                <w:sz w:val="24"/>
              </w:rPr>
              <w:t>年</w:t>
            </w:r>
            <w:r>
              <w:rPr>
                <w:color w:val="000000"/>
                <w:sz w:val="24"/>
              </w:rPr>
              <w:t>5</w:t>
            </w:r>
            <w:r>
              <w:rPr>
                <w:color w:val="000000"/>
                <w:sz w:val="24"/>
              </w:rPr>
              <w:t>月至</w:t>
            </w:r>
            <w:r>
              <w:rPr>
                <w:color w:val="000000"/>
                <w:sz w:val="24"/>
              </w:rPr>
              <w:t>2012</w:t>
            </w:r>
            <w:r>
              <w:rPr>
                <w:color w:val="000000"/>
                <w:sz w:val="24"/>
              </w:rPr>
              <w:t>年</w:t>
            </w:r>
            <w:r>
              <w:rPr>
                <w:color w:val="000000"/>
                <w:sz w:val="24"/>
              </w:rPr>
              <w:t>11</w:t>
            </w:r>
            <w:r>
              <w:rPr>
                <w:color w:val="000000"/>
                <w:sz w:val="24"/>
              </w:rPr>
              <w:t>月担任东吴价值成长双动力股票型证券投资基金基金经理。</w:t>
            </w:r>
            <w:r>
              <w:rPr>
                <w:color w:val="000000"/>
                <w:sz w:val="24"/>
              </w:rPr>
              <w:t>2012</w:t>
            </w:r>
            <w:r>
              <w:rPr>
                <w:color w:val="000000"/>
                <w:sz w:val="24"/>
              </w:rPr>
              <w:t>年加入交银施罗德基金管理有限公司，历任公司权益部副总经理。</w:t>
            </w:r>
            <w:r>
              <w:rPr>
                <w:color w:val="000000"/>
                <w:sz w:val="24"/>
              </w:rPr>
              <w:t>2013</w:t>
            </w:r>
            <w:r>
              <w:rPr>
                <w:color w:val="000000"/>
                <w:sz w:val="24"/>
              </w:rPr>
              <w:t>年</w:t>
            </w:r>
            <w:r>
              <w:rPr>
                <w:color w:val="000000"/>
                <w:sz w:val="24"/>
              </w:rPr>
              <w:t>3</w:t>
            </w:r>
            <w:r>
              <w:rPr>
                <w:color w:val="000000"/>
                <w:sz w:val="24"/>
              </w:rPr>
              <w:t>月</w:t>
            </w:r>
            <w:r>
              <w:rPr>
                <w:color w:val="000000"/>
                <w:sz w:val="24"/>
              </w:rPr>
              <w:t>21</w:t>
            </w:r>
            <w:r>
              <w:rPr>
                <w:color w:val="000000"/>
                <w:sz w:val="24"/>
              </w:rPr>
              <w:t>日至</w:t>
            </w:r>
            <w:r>
              <w:rPr>
                <w:color w:val="000000"/>
                <w:sz w:val="24"/>
              </w:rPr>
              <w:t>2015</w:t>
            </w:r>
            <w:r>
              <w:rPr>
                <w:color w:val="000000"/>
                <w:sz w:val="24"/>
              </w:rPr>
              <w:t>年</w:t>
            </w:r>
            <w:r>
              <w:rPr>
                <w:color w:val="000000"/>
                <w:sz w:val="24"/>
              </w:rPr>
              <w:t>8</w:t>
            </w:r>
            <w:r>
              <w:rPr>
                <w:color w:val="000000"/>
                <w:sz w:val="24"/>
              </w:rPr>
              <w:t>月</w:t>
            </w:r>
            <w:r>
              <w:rPr>
                <w:color w:val="000000"/>
                <w:sz w:val="24"/>
              </w:rPr>
              <w:t>14</w:t>
            </w:r>
            <w:r>
              <w:rPr>
                <w:color w:val="000000"/>
                <w:sz w:val="24"/>
              </w:rPr>
              <w:t>日担任交银施罗德先进制造混合型证券投资基金（原交银施罗德先进制造股票证券投资基金）基金经理，</w:t>
            </w:r>
            <w:r>
              <w:rPr>
                <w:color w:val="000000"/>
                <w:sz w:val="24"/>
              </w:rPr>
              <w:t>2013</w:t>
            </w:r>
            <w:r>
              <w:rPr>
                <w:color w:val="000000"/>
                <w:sz w:val="24"/>
              </w:rPr>
              <w:t>年</w:t>
            </w:r>
            <w:r>
              <w:rPr>
                <w:color w:val="000000"/>
                <w:sz w:val="24"/>
              </w:rPr>
              <w:t>5</w:t>
            </w:r>
            <w:r>
              <w:rPr>
                <w:color w:val="000000"/>
                <w:sz w:val="24"/>
              </w:rPr>
              <w:t>月</w:t>
            </w:r>
            <w:r>
              <w:rPr>
                <w:color w:val="000000"/>
                <w:sz w:val="24"/>
              </w:rPr>
              <w:t>29</w:t>
            </w:r>
            <w:r>
              <w:rPr>
                <w:color w:val="000000"/>
                <w:sz w:val="24"/>
              </w:rPr>
              <w:t>日至</w:t>
            </w:r>
            <w:r>
              <w:rPr>
                <w:color w:val="000000"/>
                <w:sz w:val="24"/>
              </w:rPr>
              <w:t>2015</w:t>
            </w:r>
            <w:r>
              <w:rPr>
                <w:color w:val="000000"/>
                <w:sz w:val="24"/>
              </w:rPr>
              <w:t>年</w:t>
            </w:r>
            <w:r>
              <w:rPr>
                <w:color w:val="000000"/>
                <w:sz w:val="24"/>
              </w:rPr>
              <w:t>8</w:t>
            </w:r>
            <w:r>
              <w:rPr>
                <w:color w:val="000000"/>
                <w:sz w:val="24"/>
              </w:rPr>
              <w:t>月</w:t>
            </w:r>
            <w:r>
              <w:rPr>
                <w:color w:val="000000"/>
                <w:sz w:val="24"/>
              </w:rPr>
              <w:t>14</w:t>
            </w:r>
            <w:r>
              <w:rPr>
                <w:color w:val="000000"/>
                <w:sz w:val="24"/>
              </w:rPr>
              <w:t>日担任交银施罗德先锋混合型证券投资基金（原交银施罗德先锋股票证券投资基金）基金经理。</w:t>
            </w:r>
          </w:p>
        </w:tc>
      </w:tr>
    </w:tbl>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lastRenderedPageBreak/>
        <w:t>注：基金经理（或基金经理小组）期后变动（如有）敬请关注基金管理人发布的相关公告。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7F52FA">
          <w:rPr>
            <w:sz w:val="24"/>
          </w:rPr>
          <w:t>4.3.1</w:t>
        </w:r>
      </w:smartTag>
      <w:r w:rsidRPr="007F52FA">
        <w:rPr>
          <w:sz w:val="24"/>
        </w:rPr>
        <w:t>公平交易制度的执行情况</w:t>
      </w:r>
    </w:p>
    <w:p w:rsidR="002F7315" w:rsidRDefault="003C78F0">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2F7315" w:rsidRDefault="003C78F0">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2F7315" w:rsidRDefault="003C78F0">
      <w:pPr>
        <w:spacing w:before="29" w:line="288" w:lineRule="auto"/>
        <w:ind w:firstLineChars="200" w:firstLine="480"/>
        <w:rPr>
          <w:color w:val="000000"/>
          <w:sz w:val="24"/>
        </w:rPr>
      </w:pPr>
      <w:r>
        <w:rPr>
          <w:color w:val="000000"/>
          <w:sz w:val="24"/>
        </w:rPr>
        <w:t>公司中央交易室和风险管理部进行日常投资交易行为监控，风险管理部负责对各账</w:t>
      </w:r>
      <w:r>
        <w:rPr>
          <w:color w:val="000000"/>
          <w:sz w:val="24"/>
        </w:rPr>
        <w:lastRenderedPageBreak/>
        <w:t>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rsidR="002F7315" w:rsidRDefault="003C78F0">
      <w:pPr>
        <w:spacing w:before="29" w:line="288" w:lineRule="auto"/>
        <w:ind w:firstLineChars="200" w:firstLine="480"/>
        <w:rPr>
          <w:color w:val="000000"/>
          <w:sz w:val="24"/>
        </w:rPr>
      </w:pPr>
      <w:r>
        <w:rPr>
          <w:color w:val="000000"/>
          <w:sz w:val="24"/>
        </w:rPr>
        <w:t>2018</w:t>
      </w:r>
      <w:r>
        <w:rPr>
          <w:color w:val="000000"/>
          <w:sz w:val="24"/>
        </w:rPr>
        <w:t>年一季度中国经济平稳运行，海外经济复苏迹象明显。尽管二月份</w:t>
      </w:r>
      <w:r>
        <w:rPr>
          <w:color w:val="000000"/>
          <w:sz w:val="24"/>
        </w:rPr>
        <w:t>PMI</w:t>
      </w:r>
      <w:r>
        <w:rPr>
          <w:color w:val="000000"/>
          <w:sz w:val="24"/>
        </w:rPr>
        <w:t>数据低于市场预期，与中国经济相关的大宗商品，钢铁煤炭社会库存持续处于偏高水平，三月复工季节去化速度较慢，市场对周期性行业景气见顶预期越发强烈。贸易战的阴影也使得内外资本市场产生大幅动荡，但美联储依然处于加息进程中，海外经济整体依然处于复苏态势。整体来看，即使考虑到金融去杠杆的持续深化，基建和房地产投资边际动能趋于弱化，贸易战的影响短期难以消除，但国内经济增长韧性依然较强，新经济的投资动能持续回升，从高频数据来观察，国内大宗商品和股市对经济下滑已经过度担忧，整体价格水平依然处于扩张区间，短期难言见顶。</w:t>
      </w:r>
    </w:p>
    <w:p w:rsidR="002F7315" w:rsidRDefault="003C78F0">
      <w:pPr>
        <w:spacing w:before="29" w:line="288" w:lineRule="auto"/>
        <w:ind w:firstLineChars="200" w:firstLine="480"/>
        <w:rPr>
          <w:color w:val="000000"/>
          <w:sz w:val="24"/>
        </w:rPr>
      </w:pPr>
      <w:r>
        <w:rPr>
          <w:color w:val="000000"/>
          <w:sz w:val="24"/>
        </w:rPr>
        <w:t>一季度本基金保持中性偏高的仓位水平。进入</w:t>
      </w:r>
      <w:r>
        <w:rPr>
          <w:color w:val="000000"/>
          <w:sz w:val="24"/>
        </w:rPr>
        <w:t>2018</w:t>
      </w:r>
      <w:r>
        <w:rPr>
          <w:color w:val="000000"/>
          <w:sz w:val="24"/>
        </w:rPr>
        <w:t>年以来，</w:t>
      </w:r>
      <w:r>
        <w:rPr>
          <w:color w:val="000000"/>
          <w:sz w:val="24"/>
        </w:rPr>
        <w:t>A</w:t>
      </w:r>
      <w:r>
        <w:rPr>
          <w:color w:val="000000"/>
          <w:sz w:val="24"/>
        </w:rPr>
        <w:t>股市场的风格大幅波动，从年初的大盘蓝筹的显著收益，到春节后创业板的逆袭，市场依然处于存量资金市场格局中，中小风格的股票经历长期的压制，估值上存在持续修复的可能。</w:t>
      </w:r>
    </w:p>
    <w:p w:rsidR="00952A72" w:rsidRPr="007F52FA" w:rsidRDefault="00323F25" w:rsidP="007C14DF">
      <w:pPr>
        <w:spacing w:before="29" w:line="288" w:lineRule="auto"/>
        <w:ind w:firstLineChars="200" w:firstLine="480"/>
        <w:rPr>
          <w:color w:val="000000"/>
          <w:sz w:val="24"/>
        </w:rPr>
      </w:pPr>
      <w:r w:rsidRPr="007F52FA">
        <w:rPr>
          <w:color w:val="000000"/>
          <w:sz w:val="24"/>
        </w:rPr>
        <w:t>我们预计</w:t>
      </w:r>
      <w:r w:rsidRPr="007F52FA">
        <w:rPr>
          <w:color w:val="000000"/>
          <w:sz w:val="24"/>
        </w:rPr>
        <w:t>2018</w:t>
      </w:r>
      <w:r w:rsidRPr="007F52FA">
        <w:rPr>
          <w:color w:val="000000"/>
          <w:sz w:val="24"/>
        </w:rPr>
        <w:t>年经济降速换挡，新经济的动能持续恢复。我们认为中观行业依然有很多变化值得重视。周期性行业中，上游液压件供给受限的工程机械的增长依然强劲，其增长的持续性超越过往的周期性经验，国内民用航空领域的供给侧改革依旧，驱动行业进入一个较长的景气上行周期。在新经济领域，快递行业进入</w:t>
      </w:r>
      <w:r w:rsidRPr="007F52FA">
        <w:rPr>
          <w:color w:val="000000"/>
          <w:sz w:val="24"/>
        </w:rPr>
        <w:t>2018</w:t>
      </w:r>
      <w:r w:rsidRPr="007F52FA">
        <w:rPr>
          <w:color w:val="000000"/>
          <w:sz w:val="24"/>
        </w:rPr>
        <w:t>年开始加速增长，互联网和云计算相关行业景气高涨。整体来看，</w:t>
      </w:r>
      <w:r w:rsidRPr="007F52FA">
        <w:rPr>
          <w:color w:val="000000"/>
          <w:sz w:val="24"/>
        </w:rPr>
        <w:t>2018</w:t>
      </w:r>
      <w:r w:rsidRPr="007F52FA">
        <w:rPr>
          <w:color w:val="000000"/>
          <w:sz w:val="24"/>
        </w:rPr>
        <w:t>年中观行业热点依然纷呈，预计周期性行业和新经济都会呈现较多投资机会。</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本报告期末，交银成长混合</w:t>
      </w:r>
      <w:r w:rsidRPr="007F52FA">
        <w:rPr>
          <w:color w:val="000000"/>
          <w:sz w:val="24"/>
        </w:rPr>
        <w:t>A</w:t>
      </w:r>
      <w:r w:rsidRPr="007F52FA">
        <w:rPr>
          <w:color w:val="000000"/>
          <w:sz w:val="24"/>
        </w:rPr>
        <w:t>份额净值为</w:t>
      </w:r>
      <w:r w:rsidRPr="007F52FA">
        <w:rPr>
          <w:color w:val="000000"/>
          <w:sz w:val="24"/>
        </w:rPr>
        <w:t>3.8729</w:t>
      </w:r>
      <w:r w:rsidRPr="007F52FA">
        <w:rPr>
          <w:color w:val="000000"/>
          <w:sz w:val="24"/>
        </w:rPr>
        <w:t>元，本报告期份额净值增长率为</w:t>
      </w:r>
      <w:r w:rsidRPr="007F52FA">
        <w:rPr>
          <w:color w:val="000000"/>
          <w:sz w:val="24"/>
        </w:rPr>
        <w:t>-1.90%</w:t>
      </w:r>
      <w:r w:rsidRPr="007F52FA">
        <w:rPr>
          <w:color w:val="000000"/>
          <w:sz w:val="24"/>
        </w:rPr>
        <w:t>，同期业绩比较基准增长率为</w:t>
      </w:r>
      <w:r w:rsidRPr="007F52FA">
        <w:rPr>
          <w:color w:val="000000"/>
          <w:sz w:val="24"/>
        </w:rPr>
        <w:t>-2.05%</w:t>
      </w:r>
      <w:r w:rsidRPr="007F52FA">
        <w:rPr>
          <w:color w:val="000000"/>
          <w:sz w:val="24"/>
        </w:rPr>
        <w:t>；交银成长混合</w:t>
      </w:r>
      <w:r w:rsidRPr="007F52FA">
        <w:rPr>
          <w:color w:val="000000"/>
          <w:sz w:val="24"/>
        </w:rPr>
        <w:t>H</w:t>
      </w:r>
      <w:r w:rsidRPr="007F52FA">
        <w:rPr>
          <w:color w:val="000000"/>
          <w:sz w:val="24"/>
        </w:rPr>
        <w:t>份额净值为</w:t>
      </w:r>
      <w:r w:rsidRPr="007F52FA">
        <w:rPr>
          <w:color w:val="000000"/>
          <w:sz w:val="24"/>
        </w:rPr>
        <w:t>3.8963</w:t>
      </w:r>
      <w:r w:rsidRPr="007F52FA">
        <w:rPr>
          <w:color w:val="000000"/>
          <w:sz w:val="24"/>
        </w:rPr>
        <w:t>元，本报告期份额净值增长率为</w:t>
      </w:r>
      <w:r w:rsidRPr="007F52FA">
        <w:rPr>
          <w:color w:val="000000"/>
          <w:sz w:val="24"/>
        </w:rPr>
        <w:t>-1.89%</w:t>
      </w:r>
      <w:r w:rsidRPr="007F52FA">
        <w:rPr>
          <w:color w:val="000000"/>
          <w:sz w:val="24"/>
        </w:rPr>
        <w:t>，同期业绩比较基准增长率为</w:t>
      </w:r>
      <w:r w:rsidRPr="007F52FA">
        <w:rPr>
          <w:color w:val="000000"/>
          <w:sz w:val="24"/>
        </w:rPr>
        <w:t>-2.05%</w:t>
      </w:r>
      <w:r w:rsidRPr="007F52FA">
        <w:rPr>
          <w:color w:val="000000"/>
          <w:sz w:val="24"/>
        </w:rPr>
        <w:t>。</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lastRenderedPageBreak/>
        <w:t>本基金本报告期内无需预警说明。</w:t>
      </w:r>
      <w:r w:rsidRPr="002070B4">
        <w:rPr>
          <w:color w:val="000000"/>
          <w:sz w:val="24"/>
        </w:rPr>
        <w:t xml:space="preserve"> </w:t>
      </w:r>
    </w:p>
    <w:p w:rsidR="00400FA6" w:rsidRPr="007F52FA" w:rsidRDefault="00400FA6" w:rsidP="007C14DF">
      <w:pPr>
        <w:spacing w:before="29" w:line="288" w:lineRule="auto"/>
        <w:ind w:firstLineChars="200" w:firstLine="480"/>
        <w:rPr>
          <w:color w:val="000000"/>
          <w:sz w:val="24"/>
        </w:rPr>
      </w:pPr>
    </w:p>
    <w:p w:rsidR="009238DB" w:rsidRPr="007C6127" w:rsidRDefault="009238DB" w:rsidP="007C6127">
      <w:pPr>
        <w:pStyle w:val="1"/>
        <w:spacing w:beforeLines="100" w:before="312" w:afterLines="100" w:after="312" w:line="288" w:lineRule="auto"/>
        <w:jc w:val="center"/>
        <w:rPr>
          <w:rFonts w:eastAsiaTheme="minorEastAsia"/>
          <w:color w:val="000000"/>
          <w:kern w:val="0"/>
          <w:sz w:val="24"/>
          <w:szCs w:val="24"/>
        </w:rPr>
      </w:pPr>
      <w:r w:rsidRPr="007C6127">
        <w:rPr>
          <w:rFonts w:eastAsiaTheme="minorEastAsia"/>
          <w:color w:val="000000"/>
          <w:kern w:val="0"/>
          <w:sz w:val="24"/>
          <w:szCs w:val="24"/>
        </w:rPr>
        <w:t xml:space="preserve">§5  </w:t>
      </w:r>
      <w:r w:rsidRPr="007C6127">
        <w:rPr>
          <w:rFonts w:eastAsiaTheme="minorEastAsia"/>
          <w:color w:val="000000"/>
          <w:kern w:val="0"/>
          <w:sz w:val="24"/>
          <w:szCs w:val="24"/>
        </w:rPr>
        <w:t>投资组合报告</w:t>
      </w:r>
    </w:p>
    <w:p w:rsidR="00C51B4E" w:rsidRPr="0028293E" w:rsidRDefault="00C51B4E" w:rsidP="00C51B4E">
      <w:pPr>
        <w:autoSpaceDE w:val="0"/>
        <w:autoSpaceDN w:val="0"/>
        <w:adjustRightInd w:val="0"/>
        <w:spacing w:line="360" w:lineRule="auto"/>
        <w:jc w:val="left"/>
        <w:rPr>
          <w:rFonts w:eastAsiaTheme="minorEastAsia"/>
          <w:b/>
          <w:color w:val="000000" w:themeColor="text1"/>
          <w:kern w:val="0"/>
          <w:sz w:val="24"/>
        </w:rPr>
      </w:pPr>
      <w:r w:rsidRPr="0028293E">
        <w:rPr>
          <w:rFonts w:eastAsiaTheme="minorEastAsia"/>
          <w:b/>
          <w:color w:val="000000" w:themeColor="text1"/>
          <w:kern w:val="0"/>
          <w:sz w:val="24"/>
        </w:rPr>
        <w:t xml:space="preserve">5.1 </w:t>
      </w:r>
      <w:r w:rsidRPr="0028293E">
        <w:rPr>
          <w:rFonts w:eastAsiaTheme="minorEastAsia"/>
          <w:b/>
          <w:color w:val="000000" w:themeColor="text1"/>
          <w:kern w:val="0"/>
          <w:sz w:val="24"/>
        </w:rPr>
        <w:t>报告期末基金资产组合情况</w:t>
      </w:r>
    </w:p>
    <w:tbl>
      <w:tblPr>
        <w:tblStyle w:val="af2"/>
        <w:tblW w:w="8897" w:type="dxa"/>
        <w:tblInd w:w="108" w:type="dxa"/>
        <w:tblLayout w:type="fixed"/>
        <w:tblLook w:val="04A0" w:firstRow="1" w:lastRow="0" w:firstColumn="1" w:lastColumn="0" w:noHBand="0" w:noVBand="1"/>
      </w:tblPr>
      <w:tblGrid>
        <w:gridCol w:w="720"/>
        <w:gridCol w:w="2824"/>
        <w:gridCol w:w="2552"/>
        <w:gridCol w:w="2801"/>
      </w:tblGrid>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序号</w:t>
            </w:r>
          </w:p>
        </w:tc>
        <w:tc>
          <w:tcPr>
            <w:tcW w:w="2824"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项目</w:t>
            </w:r>
          </w:p>
        </w:tc>
        <w:tc>
          <w:tcPr>
            <w:tcW w:w="2552"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金额</w:t>
            </w:r>
            <w:r w:rsidRPr="0028293E">
              <w:rPr>
                <w:rFonts w:eastAsiaTheme="minorEastAsia"/>
                <w:color w:val="000000" w:themeColor="text1"/>
                <w:sz w:val="24"/>
              </w:rPr>
              <w:t>(</w:t>
            </w:r>
            <w:r w:rsidRPr="0028293E">
              <w:rPr>
                <w:rFonts w:eastAsiaTheme="minorEastAsia"/>
                <w:color w:val="000000" w:themeColor="text1"/>
                <w:sz w:val="24"/>
              </w:rPr>
              <w:t>元</w:t>
            </w: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占基金总资产的比例</w:t>
            </w: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1</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权益投资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2,357,279,796.81</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88.03</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其中：股票</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2,357,279,796.81</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88.03</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2</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ascii="宋体" w:hAnsi="宋体" w:hint="eastAsia"/>
                <w:sz w:val="24"/>
              </w:rPr>
              <w:t>基金投资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3</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固定收益投资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53,019,100.00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1.98</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其中：债券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53,019,100.00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1.98</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8293E">
            <w:pPr>
              <w:autoSpaceDE w:val="0"/>
              <w:autoSpaceDN w:val="0"/>
              <w:adjustRightInd w:val="0"/>
              <w:spacing w:before="29" w:line="360" w:lineRule="auto"/>
              <w:ind w:left="17" w:firstLineChars="300" w:firstLine="720"/>
              <w:jc w:val="left"/>
              <w:rPr>
                <w:rFonts w:eastAsiaTheme="minorEastAsia"/>
                <w:color w:val="000000" w:themeColor="text1"/>
                <w:sz w:val="24"/>
              </w:rPr>
            </w:pPr>
            <w:r w:rsidRPr="0028293E">
              <w:rPr>
                <w:rFonts w:eastAsiaTheme="minorEastAsia"/>
                <w:color w:val="000000" w:themeColor="text1"/>
                <w:sz w:val="24"/>
              </w:rPr>
              <w:t>资产支持证券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4</w:t>
            </w:r>
          </w:p>
        </w:tc>
        <w:tc>
          <w:tcPr>
            <w:tcW w:w="2824" w:type="dxa"/>
            <w:vAlign w:val="center"/>
          </w:tcPr>
          <w:p w:rsidR="00C51B4E" w:rsidRPr="0028293E" w:rsidRDefault="00C51B4E" w:rsidP="002D2971">
            <w:pPr>
              <w:spacing w:before="29" w:line="360" w:lineRule="auto"/>
              <w:ind w:leftChars="50" w:left="105"/>
              <w:rPr>
                <w:rFonts w:eastAsiaTheme="minorEastAsia"/>
                <w:color w:val="000000" w:themeColor="text1"/>
                <w:sz w:val="24"/>
              </w:rPr>
            </w:pPr>
            <w:r w:rsidRPr="0028293E">
              <w:rPr>
                <w:rFonts w:eastAsiaTheme="minorEastAsia"/>
                <w:color w:val="000000" w:themeColor="text1"/>
                <w:sz w:val="24"/>
              </w:rPr>
              <w:t>贵金属投资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5</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金融衍生品投资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6</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其中：买断式回购的买入返售金融资产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7</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银行存款和结算备付金合计</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249,187,897.03</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9.31</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8</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其他各项资产</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18,337,553.35</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0.68</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9</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合计</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2,677,824,347.19</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1A5D39" w:rsidRPr="001A5D39" w:rsidRDefault="001A5D39" w:rsidP="001A5D39">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000" w:firstRow="0" w:lastRow="0" w:firstColumn="0" w:lastColumn="0" w:noHBand="0" w:noVBand="0"/>
      </w:tblPr>
      <w:tblGrid>
        <w:gridCol w:w="772"/>
        <w:gridCol w:w="3525"/>
        <w:gridCol w:w="2897"/>
        <w:gridCol w:w="1674"/>
      </w:tblGrid>
      <w:tr w:rsidR="005F458B" w:rsidRPr="007F52FA" w:rsidTr="004D7E11">
        <w:trPr>
          <w:trHeight w:val="390"/>
          <w:jc w:val="center"/>
        </w:trPr>
        <w:tc>
          <w:tcPr>
            <w:tcW w:w="772" w:type="dxa"/>
            <w:tcBorders>
              <w:top w:val="single" w:sz="4" w:space="0" w:color="000000"/>
              <w:left w:val="single" w:sz="4" w:space="0" w:color="000000"/>
              <w:bottom w:val="single" w:sz="4" w:space="0" w:color="000000"/>
              <w:right w:val="single" w:sz="4" w:space="0" w:color="000000"/>
            </w:tcBorders>
            <w:vAlign w:val="center"/>
          </w:tcPr>
          <w:p w:rsidR="005F458B" w:rsidRPr="007F52FA" w:rsidRDefault="005F458B" w:rsidP="007C14DF">
            <w:pPr>
              <w:adjustRightInd w:val="0"/>
              <w:snapToGrid w:val="0"/>
              <w:spacing w:before="29" w:line="288" w:lineRule="auto"/>
              <w:jc w:val="center"/>
              <w:rPr>
                <w:sz w:val="24"/>
              </w:rPr>
            </w:pPr>
            <w:r w:rsidRPr="007F52FA">
              <w:rPr>
                <w:sz w:val="24"/>
              </w:rPr>
              <w:t>代码</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adjustRightInd w:val="0"/>
              <w:snapToGrid w:val="0"/>
              <w:spacing w:before="29" w:line="288" w:lineRule="auto"/>
              <w:jc w:val="center"/>
              <w:rPr>
                <w:sz w:val="24"/>
              </w:rPr>
            </w:pPr>
            <w:r w:rsidRPr="007F52FA">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占基金资产净值比例（％）</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A</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B</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DF744A">
            <w:pPr>
              <w:spacing w:before="29" w:line="288" w:lineRule="auto"/>
              <w:jc w:val="right"/>
              <w:rPr>
                <w:sz w:val="24"/>
              </w:rPr>
            </w:pPr>
            <w:r w:rsidRPr="007F52FA">
              <w:rPr>
                <w:sz w:val="24"/>
              </w:rPr>
              <w:t>21,499,848.37</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DF744A">
            <w:pPr>
              <w:spacing w:before="29" w:line="288" w:lineRule="auto"/>
              <w:jc w:val="right"/>
              <w:rPr>
                <w:sz w:val="24"/>
              </w:rPr>
            </w:pPr>
            <w:r w:rsidRPr="007F52FA">
              <w:rPr>
                <w:sz w:val="24"/>
              </w:rPr>
              <w:t>0.81</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C</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1,547,911,433.14</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58.28</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D</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电力、热力、燃气及水生产和供</w:t>
            </w:r>
            <w:r w:rsidRPr="007F52FA">
              <w:rPr>
                <w:sz w:val="24"/>
              </w:rPr>
              <w:lastRenderedPageBreak/>
              <w:t>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lastRenderedPageBreak/>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E</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F</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59,775,818.77</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2.25</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G</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458,265,362.36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17.25</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H</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240CA0">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I</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240CA0">
            <w:pPr>
              <w:adjustRightInd w:val="0"/>
              <w:snapToGrid w:val="0"/>
              <w:spacing w:before="29" w:line="288" w:lineRule="auto"/>
              <w:rPr>
                <w:sz w:val="24"/>
              </w:rPr>
            </w:pPr>
            <w:r w:rsidRPr="007F52FA">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192,905,113.42</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7.26</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J</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K</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20,920,324.35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0.79</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L</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M</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56,001,896.40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2.11</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N</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O</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P</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Q</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R</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S</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2,357,279,796.81</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88.75</w:t>
            </w:r>
          </w:p>
        </w:tc>
      </w:tr>
    </w:tbl>
    <w:p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BE251D">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1A5D39" w:rsidRDefault="001A5D39" w:rsidP="001A5D39">
      <w:pPr>
        <w:spacing w:before="29" w:line="360" w:lineRule="auto"/>
        <w:ind w:left="17"/>
        <w:rPr>
          <w:color w:val="000000"/>
          <w:sz w:val="24"/>
        </w:rPr>
      </w:pPr>
      <w:r w:rsidRPr="00FF0BBF">
        <w:rPr>
          <w:color w:val="000000"/>
          <w:sz w:val="24"/>
        </w:rPr>
        <w:t>本基金本报告期末未持有通过港股通投资的股票。</w:t>
      </w:r>
    </w:p>
    <w:p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71DB" w:rsidRPr="007F52FA" w:rsidTr="00481DB2">
        <w:trPr>
          <w:jc w:val="center"/>
        </w:trPr>
        <w:tc>
          <w:tcPr>
            <w:tcW w:w="817"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序号</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股票代码</w:t>
            </w:r>
          </w:p>
        </w:tc>
        <w:tc>
          <w:tcPr>
            <w:tcW w:w="1701"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股票名称</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数量</w:t>
            </w:r>
            <w:r w:rsidR="00C44F1F" w:rsidRPr="007F52FA">
              <w:rPr>
                <w:sz w:val="24"/>
              </w:rPr>
              <w:t>（</w:t>
            </w:r>
            <w:r w:rsidRPr="007F52FA">
              <w:rPr>
                <w:color w:val="000000"/>
                <w:sz w:val="24"/>
              </w:rPr>
              <w:t>股</w:t>
            </w:r>
            <w:r w:rsidR="00C44F1F" w:rsidRPr="007F52FA">
              <w:rPr>
                <w:sz w:val="24"/>
              </w:rPr>
              <w:t>）</w:t>
            </w:r>
          </w:p>
        </w:tc>
        <w:tc>
          <w:tcPr>
            <w:tcW w:w="1842" w:type="dxa"/>
            <w:vAlign w:val="center"/>
          </w:tcPr>
          <w:p w:rsidR="000871DB" w:rsidRPr="007F52FA" w:rsidRDefault="000871DB" w:rsidP="007C14DF">
            <w:pPr>
              <w:autoSpaceDE w:val="0"/>
              <w:autoSpaceDN w:val="0"/>
              <w:adjustRightInd w:val="0"/>
              <w:spacing w:before="29" w:line="288" w:lineRule="auto"/>
              <w:ind w:left="17"/>
              <w:jc w:val="center"/>
              <w:rPr>
                <w:color w:val="000000"/>
                <w:sz w:val="24"/>
              </w:rPr>
            </w:pPr>
            <w:r w:rsidRPr="007F52FA">
              <w:rPr>
                <w:color w:val="000000"/>
                <w:sz w:val="24"/>
              </w:rPr>
              <w:t>公允价值</w:t>
            </w:r>
            <w:r w:rsidR="002D3BDD" w:rsidRPr="007F52FA">
              <w:rPr>
                <w:color w:val="000000"/>
                <w:kern w:val="0"/>
                <w:sz w:val="24"/>
              </w:rPr>
              <w:t>(</w:t>
            </w:r>
            <w:r w:rsidR="00C44F1F" w:rsidRPr="007F52FA">
              <w:rPr>
                <w:sz w:val="24"/>
              </w:rPr>
              <w:t>元</w:t>
            </w:r>
            <w:r w:rsidR="002D3BDD" w:rsidRPr="007F52FA">
              <w:rPr>
                <w:color w:val="000000"/>
                <w:kern w:val="0"/>
                <w:sz w:val="24"/>
              </w:rPr>
              <w:t>)</w:t>
            </w:r>
          </w:p>
        </w:tc>
        <w:tc>
          <w:tcPr>
            <w:tcW w:w="161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占基金资产净值比例</w:t>
            </w:r>
            <w:r w:rsidR="00C44F1F" w:rsidRPr="007F52FA">
              <w:rPr>
                <w:sz w:val="24"/>
              </w:rPr>
              <w:t>（</w:t>
            </w:r>
            <w:r w:rsidRPr="007F52FA">
              <w:rPr>
                <w:color w:val="000000"/>
                <w:sz w:val="24"/>
              </w:rPr>
              <w:t>％</w:t>
            </w:r>
            <w:r w:rsidR="00C44F1F" w:rsidRPr="007F52FA">
              <w:rPr>
                <w:sz w:val="24"/>
              </w:rPr>
              <w:t>）</w:t>
            </w:r>
          </w:p>
        </w:tc>
      </w:tr>
      <w:tr w:rsidR="002F7315">
        <w:trPr>
          <w:jc w:val="center"/>
        </w:trPr>
        <w:tc>
          <w:tcPr>
            <w:tcW w:w="850" w:type="dxa"/>
            <w:vAlign w:val="center"/>
          </w:tcPr>
          <w:p w:rsidR="002F7315" w:rsidRDefault="003C78F0">
            <w:pPr>
              <w:jc w:val="center"/>
            </w:pPr>
            <w:r>
              <w:rPr>
                <w:color w:val="000000"/>
                <w:sz w:val="24"/>
              </w:rPr>
              <w:t>1</w:t>
            </w:r>
          </w:p>
        </w:tc>
        <w:tc>
          <w:tcPr>
            <w:tcW w:w="1327" w:type="dxa"/>
            <w:vAlign w:val="center"/>
          </w:tcPr>
          <w:p w:rsidR="002F7315" w:rsidRDefault="003C78F0">
            <w:pPr>
              <w:jc w:val="center"/>
            </w:pPr>
            <w:r>
              <w:rPr>
                <w:color w:val="000000"/>
                <w:sz w:val="24"/>
              </w:rPr>
              <w:t>601100</w:t>
            </w:r>
          </w:p>
        </w:tc>
        <w:tc>
          <w:tcPr>
            <w:tcW w:w="1769" w:type="dxa"/>
            <w:vAlign w:val="center"/>
          </w:tcPr>
          <w:p w:rsidR="002F7315" w:rsidRDefault="003C78F0">
            <w:pPr>
              <w:jc w:val="center"/>
            </w:pPr>
            <w:r>
              <w:rPr>
                <w:color w:val="000000"/>
                <w:sz w:val="24"/>
              </w:rPr>
              <w:t>恒立液压</w:t>
            </w:r>
          </w:p>
        </w:tc>
        <w:tc>
          <w:tcPr>
            <w:tcW w:w="1327" w:type="dxa"/>
            <w:vAlign w:val="center"/>
          </w:tcPr>
          <w:p w:rsidR="002F7315" w:rsidRDefault="003C78F0">
            <w:pPr>
              <w:jc w:val="right"/>
            </w:pPr>
            <w:r>
              <w:rPr>
                <w:color w:val="000000"/>
                <w:sz w:val="24"/>
              </w:rPr>
              <w:t>7,911,222</w:t>
            </w:r>
          </w:p>
        </w:tc>
        <w:tc>
          <w:tcPr>
            <w:tcW w:w="1915" w:type="dxa"/>
            <w:vAlign w:val="center"/>
          </w:tcPr>
          <w:p w:rsidR="002F7315" w:rsidRDefault="003C78F0">
            <w:pPr>
              <w:jc w:val="right"/>
            </w:pPr>
            <w:r>
              <w:rPr>
                <w:color w:val="000000"/>
                <w:sz w:val="24"/>
              </w:rPr>
              <w:t>241,054,934.34</w:t>
            </w:r>
          </w:p>
        </w:tc>
        <w:tc>
          <w:tcPr>
            <w:tcW w:w="1680" w:type="dxa"/>
            <w:vAlign w:val="center"/>
          </w:tcPr>
          <w:p w:rsidR="002F7315" w:rsidRDefault="003C78F0">
            <w:pPr>
              <w:jc w:val="right"/>
            </w:pPr>
            <w:r>
              <w:rPr>
                <w:color w:val="000000"/>
                <w:sz w:val="24"/>
              </w:rPr>
              <w:t>9.08</w:t>
            </w:r>
          </w:p>
        </w:tc>
      </w:tr>
      <w:tr w:rsidR="002F7315">
        <w:trPr>
          <w:jc w:val="center"/>
        </w:trPr>
        <w:tc>
          <w:tcPr>
            <w:tcW w:w="850" w:type="dxa"/>
            <w:vAlign w:val="center"/>
          </w:tcPr>
          <w:p w:rsidR="002F7315" w:rsidRDefault="003C78F0">
            <w:pPr>
              <w:jc w:val="center"/>
            </w:pPr>
            <w:r>
              <w:rPr>
                <w:color w:val="000000"/>
                <w:sz w:val="24"/>
              </w:rPr>
              <w:t>2</w:t>
            </w:r>
          </w:p>
        </w:tc>
        <w:tc>
          <w:tcPr>
            <w:tcW w:w="1327" w:type="dxa"/>
            <w:vAlign w:val="center"/>
          </w:tcPr>
          <w:p w:rsidR="002F7315" w:rsidRDefault="003C78F0">
            <w:pPr>
              <w:jc w:val="center"/>
            </w:pPr>
            <w:r>
              <w:rPr>
                <w:color w:val="000000"/>
                <w:sz w:val="24"/>
              </w:rPr>
              <w:t>000538</w:t>
            </w:r>
          </w:p>
        </w:tc>
        <w:tc>
          <w:tcPr>
            <w:tcW w:w="1769" w:type="dxa"/>
            <w:vAlign w:val="center"/>
          </w:tcPr>
          <w:p w:rsidR="002F7315" w:rsidRDefault="003C78F0">
            <w:pPr>
              <w:jc w:val="center"/>
            </w:pPr>
            <w:r>
              <w:rPr>
                <w:color w:val="000000"/>
                <w:sz w:val="24"/>
              </w:rPr>
              <w:t>云南白药</w:t>
            </w:r>
          </w:p>
        </w:tc>
        <w:tc>
          <w:tcPr>
            <w:tcW w:w="1327" w:type="dxa"/>
            <w:vAlign w:val="center"/>
          </w:tcPr>
          <w:p w:rsidR="002F7315" w:rsidRDefault="003C78F0">
            <w:pPr>
              <w:jc w:val="right"/>
            </w:pPr>
            <w:r>
              <w:rPr>
                <w:color w:val="000000"/>
                <w:sz w:val="24"/>
              </w:rPr>
              <w:t>2,086,856</w:t>
            </w:r>
          </w:p>
        </w:tc>
        <w:tc>
          <w:tcPr>
            <w:tcW w:w="1915" w:type="dxa"/>
            <w:vAlign w:val="center"/>
          </w:tcPr>
          <w:p w:rsidR="002F7315" w:rsidRDefault="003C78F0">
            <w:pPr>
              <w:jc w:val="right"/>
            </w:pPr>
            <w:r>
              <w:rPr>
                <w:color w:val="000000"/>
                <w:sz w:val="24"/>
              </w:rPr>
              <w:t>206,598,744.00</w:t>
            </w:r>
          </w:p>
        </w:tc>
        <w:tc>
          <w:tcPr>
            <w:tcW w:w="1680" w:type="dxa"/>
            <w:vAlign w:val="center"/>
          </w:tcPr>
          <w:p w:rsidR="002F7315" w:rsidRDefault="003C78F0">
            <w:pPr>
              <w:jc w:val="right"/>
            </w:pPr>
            <w:r>
              <w:rPr>
                <w:color w:val="000000"/>
                <w:sz w:val="24"/>
              </w:rPr>
              <w:t>7.78</w:t>
            </w:r>
          </w:p>
        </w:tc>
      </w:tr>
      <w:tr w:rsidR="002F7315">
        <w:trPr>
          <w:jc w:val="center"/>
        </w:trPr>
        <w:tc>
          <w:tcPr>
            <w:tcW w:w="850" w:type="dxa"/>
            <w:vAlign w:val="center"/>
          </w:tcPr>
          <w:p w:rsidR="002F7315" w:rsidRDefault="003C78F0">
            <w:pPr>
              <w:jc w:val="center"/>
            </w:pPr>
            <w:r>
              <w:rPr>
                <w:color w:val="000000"/>
                <w:sz w:val="24"/>
              </w:rPr>
              <w:t>3</w:t>
            </w:r>
          </w:p>
        </w:tc>
        <w:tc>
          <w:tcPr>
            <w:tcW w:w="1327" w:type="dxa"/>
            <w:vAlign w:val="center"/>
          </w:tcPr>
          <w:p w:rsidR="002F7315" w:rsidRDefault="003C78F0">
            <w:pPr>
              <w:jc w:val="center"/>
            </w:pPr>
            <w:r>
              <w:rPr>
                <w:color w:val="000000"/>
                <w:sz w:val="24"/>
              </w:rPr>
              <w:t>002180</w:t>
            </w:r>
          </w:p>
        </w:tc>
        <w:tc>
          <w:tcPr>
            <w:tcW w:w="1769" w:type="dxa"/>
            <w:vAlign w:val="center"/>
          </w:tcPr>
          <w:p w:rsidR="002F7315" w:rsidRDefault="003C78F0">
            <w:pPr>
              <w:jc w:val="center"/>
            </w:pPr>
            <w:r>
              <w:rPr>
                <w:color w:val="000000"/>
                <w:sz w:val="24"/>
              </w:rPr>
              <w:t>纳思达</w:t>
            </w:r>
          </w:p>
        </w:tc>
        <w:tc>
          <w:tcPr>
            <w:tcW w:w="1327" w:type="dxa"/>
            <w:vAlign w:val="center"/>
          </w:tcPr>
          <w:p w:rsidR="002F7315" w:rsidRDefault="003C78F0">
            <w:pPr>
              <w:jc w:val="right"/>
            </w:pPr>
            <w:r>
              <w:rPr>
                <w:color w:val="000000"/>
                <w:sz w:val="24"/>
              </w:rPr>
              <w:t>6,923,385</w:t>
            </w:r>
          </w:p>
        </w:tc>
        <w:tc>
          <w:tcPr>
            <w:tcW w:w="1915" w:type="dxa"/>
            <w:vAlign w:val="center"/>
          </w:tcPr>
          <w:p w:rsidR="002F7315" w:rsidRDefault="003C78F0">
            <w:pPr>
              <w:jc w:val="right"/>
            </w:pPr>
            <w:r>
              <w:rPr>
                <w:color w:val="000000"/>
                <w:sz w:val="24"/>
              </w:rPr>
              <w:t>189,146,878.20</w:t>
            </w:r>
          </w:p>
        </w:tc>
        <w:tc>
          <w:tcPr>
            <w:tcW w:w="1680" w:type="dxa"/>
            <w:vAlign w:val="center"/>
          </w:tcPr>
          <w:p w:rsidR="002F7315" w:rsidRDefault="003C78F0">
            <w:pPr>
              <w:jc w:val="right"/>
            </w:pPr>
            <w:r>
              <w:rPr>
                <w:color w:val="000000"/>
                <w:sz w:val="24"/>
              </w:rPr>
              <w:t>7.12</w:t>
            </w:r>
          </w:p>
        </w:tc>
      </w:tr>
      <w:tr w:rsidR="002F7315">
        <w:trPr>
          <w:jc w:val="center"/>
        </w:trPr>
        <w:tc>
          <w:tcPr>
            <w:tcW w:w="850" w:type="dxa"/>
            <w:vAlign w:val="center"/>
          </w:tcPr>
          <w:p w:rsidR="002F7315" w:rsidRDefault="003C78F0">
            <w:pPr>
              <w:jc w:val="center"/>
            </w:pPr>
            <w:r>
              <w:rPr>
                <w:color w:val="000000"/>
                <w:sz w:val="24"/>
              </w:rPr>
              <w:t>4</w:t>
            </w:r>
          </w:p>
        </w:tc>
        <w:tc>
          <w:tcPr>
            <w:tcW w:w="1327" w:type="dxa"/>
            <w:vAlign w:val="center"/>
          </w:tcPr>
          <w:p w:rsidR="002F7315" w:rsidRDefault="003C78F0">
            <w:pPr>
              <w:jc w:val="center"/>
            </w:pPr>
            <w:r>
              <w:rPr>
                <w:color w:val="000000"/>
                <w:sz w:val="24"/>
              </w:rPr>
              <w:t>600066</w:t>
            </w:r>
          </w:p>
        </w:tc>
        <w:tc>
          <w:tcPr>
            <w:tcW w:w="1769" w:type="dxa"/>
            <w:vAlign w:val="center"/>
          </w:tcPr>
          <w:p w:rsidR="002F7315" w:rsidRDefault="003C78F0">
            <w:pPr>
              <w:jc w:val="center"/>
            </w:pPr>
            <w:r>
              <w:rPr>
                <w:color w:val="000000"/>
                <w:sz w:val="24"/>
              </w:rPr>
              <w:t>宇通客车</w:t>
            </w:r>
          </w:p>
        </w:tc>
        <w:tc>
          <w:tcPr>
            <w:tcW w:w="1327" w:type="dxa"/>
            <w:vAlign w:val="center"/>
          </w:tcPr>
          <w:p w:rsidR="002F7315" w:rsidRDefault="003C78F0">
            <w:pPr>
              <w:jc w:val="right"/>
            </w:pPr>
            <w:r>
              <w:rPr>
                <w:color w:val="000000"/>
                <w:sz w:val="24"/>
              </w:rPr>
              <w:t>7,711,309</w:t>
            </w:r>
          </w:p>
        </w:tc>
        <w:tc>
          <w:tcPr>
            <w:tcW w:w="1915" w:type="dxa"/>
            <w:vAlign w:val="center"/>
          </w:tcPr>
          <w:p w:rsidR="002F7315" w:rsidRDefault="003C78F0">
            <w:pPr>
              <w:jc w:val="right"/>
            </w:pPr>
            <w:r>
              <w:rPr>
                <w:color w:val="000000"/>
                <w:sz w:val="24"/>
              </w:rPr>
              <w:t>172,424,869.24</w:t>
            </w:r>
          </w:p>
        </w:tc>
        <w:tc>
          <w:tcPr>
            <w:tcW w:w="1680" w:type="dxa"/>
            <w:vAlign w:val="center"/>
          </w:tcPr>
          <w:p w:rsidR="002F7315" w:rsidRDefault="003C78F0">
            <w:pPr>
              <w:jc w:val="right"/>
            </w:pPr>
            <w:r>
              <w:rPr>
                <w:color w:val="000000"/>
                <w:sz w:val="24"/>
              </w:rPr>
              <w:t>6.49</w:t>
            </w:r>
          </w:p>
        </w:tc>
      </w:tr>
      <w:tr w:rsidR="002F7315">
        <w:trPr>
          <w:jc w:val="center"/>
        </w:trPr>
        <w:tc>
          <w:tcPr>
            <w:tcW w:w="850" w:type="dxa"/>
            <w:vAlign w:val="center"/>
          </w:tcPr>
          <w:p w:rsidR="002F7315" w:rsidRDefault="003C78F0">
            <w:pPr>
              <w:jc w:val="center"/>
            </w:pPr>
            <w:r>
              <w:rPr>
                <w:color w:val="000000"/>
                <w:sz w:val="24"/>
              </w:rPr>
              <w:t>5</w:t>
            </w:r>
          </w:p>
        </w:tc>
        <w:tc>
          <w:tcPr>
            <w:tcW w:w="1327" w:type="dxa"/>
            <w:vAlign w:val="center"/>
          </w:tcPr>
          <w:p w:rsidR="002F7315" w:rsidRDefault="003C78F0">
            <w:pPr>
              <w:jc w:val="center"/>
            </w:pPr>
            <w:r>
              <w:rPr>
                <w:color w:val="000000"/>
                <w:sz w:val="24"/>
              </w:rPr>
              <w:t>002120</w:t>
            </w:r>
          </w:p>
        </w:tc>
        <w:tc>
          <w:tcPr>
            <w:tcW w:w="1769" w:type="dxa"/>
            <w:vAlign w:val="center"/>
          </w:tcPr>
          <w:p w:rsidR="002F7315" w:rsidRDefault="003C78F0">
            <w:pPr>
              <w:jc w:val="center"/>
            </w:pPr>
            <w:r>
              <w:rPr>
                <w:color w:val="000000"/>
                <w:sz w:val="24"/>
              </w:rPr>
              <w:t>韵达股份</w:t>
            </w:r>
          </w:p>
        </w:tc>
        <w:tc>
          <w:tcPr>
            <w:tcW w:w="1327" w:type="dxa"/>
            <w:vAlign w:val="center"/>
          </w:tcPr>
          <w:p w:rsidR="002F7315" w:rsidRDefault="003C78F0">
            <w:pPr>
              <w:jc w:val="right"/>
            </w:pPr>
            <w:r>
              <w:rPr>
                <w:color w:val="000000"/>
                <w:sz w:val="24"/>
              </w:rPr>
              <w:t>3,359,886</w:t>
            </w:r>
          </w:p>
        </w:tc>
        <w:tc>
          <w:tcPr>
            <w:tcW w:w="1915" w:type="dxa"/>
            <w:vAlign w:val="center"/>
          </w:tcPr>
          <w:p w:rsidR="002F7315" w:rsidRDefault="003C78F0">
            <w:pPr>
              <w:jc w:val="right"/>
            </w:pPr>
            <w:r>
              <w:rPr>
                <w:color w:val="000000"/>
                <w:sz w:val="24"/>
              </w:rPr>
              <w:t>167,994,300.00</w:t>
            </w:r>
          </w:p>
        </w:tc>
        <w:tc>
          <w:tcPr>
            <w:tcW w:w="1680" w:type="dxa"/>
            <w:vAlign w:val="center"/>
          </w:tcPr>
          <w:p w:rsidR="002F7315" w:rsidRDefault="003C78F0" w:rsidP="001E665F">
            <w:pPr>
              <w:jc w:val="right"/>
            </w:pPr>
            <w:r>
              <w:rPr>
                <w:color w:val="000000"/>
                <w:sz w:val="24"/>
              </w:rPr>
              <w:t>6.3</w:t>
            </w:r>
            <w:r w:rsidR="001E665F">
              <w:rPr>
                <w:color w:val="000000"/>
                <w:sz w:val="24"/>
              </w:rPr>
              <w:t>2</w:t>
            </w:r>
          </w:p>
        </w:tc>
      </w:tr>
      <w:tr w:rsidR="002F7315">
        <w:trPr>
          <w:jc w:val="center"/>
        </w:trPr>
        <w:tc>
          <w:tcPr>
            <w:tcW w:w="850" w:type="dxa"/>
            <w:vAlign w:val="center"/>
          </w:tcPr>
          <w:p w:rsidR="002F7315" w:rsidRDefault="003C78F0">
            <w:pPr>
              <w:jc w:val="center"/>
            </w:pPr>
            <w:r>
              <w:rPr>
                <w:color w:val="000000"/>
                <w:sz w:val="24"/>
              </w:rPr>
              <w:t>6</w:t>
            </w:r>
          </w:p>
        </w:tc>
        <w:tc>
          <w:tcPr>
            <w:tcW w:w="1327" w:type="dxa"/>
            <w:vAlign w:val="center"/>
          </w:tcPr>
          <w:p w:rsidR="002F7315" w:rsidRDefault="003C78F0">
            <w:pPr>
              <w:jc w:val="center"/>
            </w:pPr>
            <w:r>
              <w:rPr>
                <w:color w:val="000000"/>
                <w:sz w:val="24"/>
              </w:rPr>
              <w:t>600389</w:t>
            </w:r>
          </w:p>
        </w:tc>
        <w:tc>
          <w:tcPr>
            <w:tcW w:w="1769" w:type="dxa"/>
            <w:vAlign w:val="center"/>
          </w:tcPr>
          <w:p w:rsidR="002F7315" w:rsidRDefault="003C78F0">
            <w:pPr>
              <w:jc w:val="center"/>
            </w:pPr>
            <w:r>
              <w:rPr>
                <w:color w:val="000000"/>
                <w:sz w:val="24"/>
              </w:rPr>
              <w:t>江山股份</w:t>
            </w:r>
          </w:p>
        </w:tc>
        <w:tc>
          <w:tcPr>
            <w:tcW w:w="1327" w:type="dxa"/>
            <w:vAlign w:val="center"/>
          </w:tcPr>
          <w:p w:rsidR="002F7315" w:rsidRDefault="003C78F0">
            <w:pPr>
              <w:jc w:val="right"/>
            </w:pPr>
            <w:r>
              <w:rPr>
                <w:color w:val="000000"/>
                <w:sz w:val="24"/>
              </w:rPr>
              <w:t>8,013,517</w:t>
            </w:r>
          </w:p>
        </w:tc>
        <w:tc>
          <w:tcPr>
            <w:tcW w:w="1915" w:type="dxa"/>
            <w:vAlign w:val="center"/>
          </w:tcPr>
          <w:p w:rsidR="002F7315" w:rsidRDefault="003C78F0">
            <w:pPr>
              <w:jc w:val="right"/>
            </w:pPr>
            <w:r>
              <w:rPr>
                <w:color w:val="000000"/>
                <w:sz w:val="24"/>
              </w:rPr>
              <w:t>148,650,740.35</w:t>
            </w:r>
          </w:p>
        </w:tc>
        <w:tc>
          <w:tcPr>
            <w:tcW w:w="1680" w:type="dxa"/>
            <w:vAlign w:val="center"/>
          </w:tcPr>
          <w:p w:rsidR="002F7315" w:rsidRDefault="003C78F0">
            <w:pPr>
              <w:jc w:val="right"/>
            </w:pPr>
            <w:r>
              <w:rPr>
                <w:color w:val="000000"/>
                <w:sz w:val="24"/>
              </w:rPr>
              <w:t>5.60</w:t>
            </w:r>
          </w:p>
        </w:tc>
      </w:tr>
      <w:tr w:rsidR="002F7315">
        <w:trPr>
          <w:jc w:val="center"/>
        </w:trPr>
        <w:tc>
          <w:tcPr>
            <w:tcW w:w="850" w:type="dxa"/>
            <w:vAlign w:val="center"/>
          </w:tcPr>
          <w:p w:rsidR="002F7315" w:rsidRDefault="003C78F0">
            <w:pPr>
              <w:jc w:val="center"/>
            </w:pPr>
            <w:r>
              <w:rPr>
                <w:color w:val="000000"/>
                <w:sz w:val="24"/>
              </w:rPr>
              <w:t>7</w:t>
            </w:r>
          </w:p>
        </w:tc>
        <w:tc>
          <w:tcPr>
            <w:tcW w:w="1327" w:type="dxa"/>
            <w:vAlign w:val="center"/>
          </w:tcPr>
          <w:p w:rsidR="002F7315" w:rsidRDefault="003C78F0">
            <w:pPr>
              <w:jc w:val="center"/>
            </w:pPr>
            <w:r>
              <w:rPr>
                <w:color w:val="000000"/>
                <w:sz w:val="24"/>
              </w:rPr>
              <w:t>600233</w:t>
            </w:r>
          </w:p>
        </w:tc>
        <w:tc>
          <w:tcPr>
            <w:tcW w:w="1769" w:type="dxa"/>
            <w:vAlign w:val="center"/>
          </w:tcPr>
          <w:p w:rsidR="002F7315" w:rsidRDefault="003C78F0">
            <w:pPr>
              <w:jc w:val="center"/>
            </w:pPr>
            <w:r>
              <w:rPr>
                <w:color w:val="000000"/>
                <w:sz w:val="24"/>
              </w:rPr>
              <w:t>圆通速递</w:t>
            </w:r>
          </w:p>
        </w:tc>
        <w:tc>
          <w:tcPr>
            <w:tcW w:w="1327" w:type="dxa"/>
            <w:vAlign w:val="center"/>
          </w:tcPr>
          <w:p w:rsidR="002F7315" w:rsidRDefault="003C78F0">
            <w:pPr>
              <w:jc w:val="right"/>
            </w:pPr>
            <w:r>
              <w:rPr>
                <w:color w:val="000000"/>
                <w:sz w:val="24"/>
              </w:rPr>
              <w:t>8,523,062</w:t>
            </w:r>
          </w:p>
        </w:tc>
        <w:tc>
          <w:tcPr>
            <w:tcW w:w="1915" w:type="dxa"/>
            <w:vAlign w:val="center"/>
          </w:tcPr>
          <w:p w:rsidR="002F7315" w:rsidRDefault="003C78F0">
            <w:pPr>
              <w:jc w:val="right"/>
            </w:pPr>
            <w:r>
              <w:rPr>
                <w:color w:val="000000"/>
                <w:sz w:val="24"/>
              </w:rPr>
              <w:t>139,778,216.80</w:t>
            </w:r>
          </w:p>
        </w:tc>
        <w:tc>
          <w:tcPr>
            <w:tcW w:w="1680" w:type="dxa"/>
            <w:vAlign w:val="center"/>
          </w:tcPr>
          <w:p w:rsidR="002F7315" w:rsidRDefault="003C78F0">
            <w:pPr>
              <w:jc w:val="right"/>
            </w:pPr>
            <w:r>
              <w:rPr>
                <w:color w:val="000000"/>
                <w:sz w:val="24"/>
              </w:rPr>
              <w:t>5.26</w:t>
            </w:r>
          </w:p>
        </w:tc>
      </w:tr>
      <w:tr w:rsidR="002F7315">
        <w:trPr>
          <w:jc w:val="center"/>
        </w:trPr>
        <w:tc>
          <w:tcPr>
            <w:tcW w:w="850" w:type="dxa"/>
            <w:vAlign w:val="center"/>
          </w:tcPr>
          <w:p w:rsidR="002F7315" w:rsidRDefault="003C78F0">
            <w:pPr>
              <w:jc w:val="center"/>
            </w:pPr>
            <w:r>
              <w:rPr>
                <w:color w:val="000000"/>
                <w:sz w:val="24"/>
              </w:rPr>
              <w:t>8</w:t>
            </w:r>
          </w:p>
        </w:tc>
        <w:tc>
          <w:tcPr>
            <w:tcW w:w="1327" w:type="dxa"/>
            <w:vAlign w:val="center"/>
          </w:tcPr>
          <w:p w:rsidR="002F7315" w:rsidRDefault="003C78F0">
            <w:pPr>
              <w:jc w:val="center"/>
            </w:pPr>
            <w:r>
              <w:rPr>
                <w:color w:val="000000"/>
                <w:sz w:val="24"/>
              </w:rPr>
              <w:t>002035</w:t>
            </w:r>
          </w:p>
        </w:tc>
        <w:tc>
          <w:tcPr>
            <w:tcW w:w="1769" w:type="dxa"/>
            <w:vAlign w:val="center"/>
          </w:tcPr>
          <w:p w:rsidR="002F7315" w:rsidRDefault="003C78F0">
            <w:pPr>
              <w:jc w:val="center"/>
            </w:pPr>
            <w:r>
              <w:rPr>
                <w:color w:val="000000"/>
                <w:sz w:val="24"/>
              </w:rPr>
              <w:t>华帝股份</w:t>
            </w:r>
          </w:p>
        </w:tc>
        <w:tc>
          <w:tcPr>
            <w:tcW w:w="1327" w:type="dxa"/>
            <w:vAlign w:val="center"/>
          </w:tcPr>
          <w:p w:rsidR="002F7315" w:rsidRDefault="003C78F0">
            <w:pPr>
              <w:jc w:val="right"/>
            </w:pPr>
            <w:r>
              <w:rPr>
                <w:color w:val="000000"/>
                <w:sz w:val="24"/>
              </w:rPr>
              <w:t>4,706,313</w:t>
            </w:r>
          </w:p>
        </w:tc>
        <w:tc>
          <w:tcPr>
            <w:tcW w:w="1915" w:type="dxa"/>
            <w:vAlign w:val="center"/>
          </w:tcPr>
          <w:p w:rsidR="002F7315" w:rsidRDefault="003C78F0">
            <w:pPr>
              <w:jc w:val="right"/>
            </w:pPr>
            <w:r>
              <w:rPr>
                <w:color w:val="000000"/>
                <w:sz w:val="24"/>
              </w:rPr>
              <w:t>123,117,148.08</w:t>
            </w:r>
          </w:p>
        </w:tc>
        <w:tc>
          <w:tcPr>
            <w:tcW w:w="1680" w:type="dxa"/>
            <w:vAlign w:val="center"/>
          </w:tcPr>
          <w:p w:rsidR="002F7315" w:rsidRDefault="003C78F0">
            <w:pPr>
              <w:jc w:val="right"/>
            </w:pPr>
            <w:r>
              <w:rPr>
                <w:color w:val="000000"/>
                <w:sz w:val="24"/>
              </w:rPr>
              <w:t>4.64</w:t>
            </w:r>
          </w:p>
        </w:tc>
      </w:tr>
      <w:tr w:rsidR="002F7315">
        <w:trPr>
          <w:jc w:val="center"/>
        </w:trPr>
        <w:tc>
          <w:tcPr>
            <w:tcW w:w="850" w:type="dxa"/>
            <w:vAlign w:val="center"/>
          </w:tcPr>
          <w:p w:rsidR="002F7315" w:rsidRDefault="003C78F0">
            <w:pPr>
              <w:jc w:val="center"/>
            </w:pPr>
            <w:r>
              <w:rPr>
                <w:color w:val="000000"/>
                <w:sz w:val="24"/>
              </w:rPr>
              <w:lastRenderedPageBreak/>
              <w:t>9</w:t>
            </w:r>
          </w:p>
        </w:tc>
        <w:tc>
          <w:tcPr>
            <w:tcW w:w="1327" w:type="dxa"/>
            <w:vAlign w:val="center"/>
          </w:tcPr>
          <w:p w:rsidR="002F7315" w:rsidRDefault="003C78F0">
            <w:pPr>
              <w:jc w:val="center"/>
            </w:pPr>
            <w:r>
              <w:rPr>
                <w:color w:val="000000"/>
                <w:sz w:val="24"/>
              </w:rPr>
              <w:t>002410</w:t>
            </w:r>
          </w:p>
        </w:tc>
        <w:tc>
          <w:tcPr>
            <w:tcW w:w="1769" w:type="dxa"/>
            <w:vAlign w:val="center"/>
          </w:tcPr>
          <w:p w:rsidR="002F7315" w:rsidRDefault="003C78F0">
            <w:pPr>
              <w:jc w:val="center"/>
            </w:pPr>
            <w:r>
              <w:rPr>
                <w:color w:val="000000"/>
                <w:sz w:val="24"/>
              </w:rPr>
              <w:t>广联达</w:t>
            </w:r>
          </w:p>
        </w:tc>
        <w:tc>
          <w:tcPr>
            <w:tcW w:w="1327" w:type="dxa"/>
            <w:vAlign w:val="center"/>
          </w:tcPr>
          <w:p w:rsidR="002F7315" w:rsidRDefault="003C78F0">
            <w:pPr>
              <w:jc w:val="right"/>
            </w:pPr>
            <w:r>
              <w:rPr>
                <w:color w:val="000000"/>
                <w:sz w:val="24"/>
              </w:rPr>
              <w:t>4,176,754</w:t>
            </w:r>
          </w:p>
        </w:tc>
        <w:tc>
          <w:tcPr>
            <w:tcW w:w="1915" w:type="dxa"/>
            <w:vAlign w:val="center"/>
          </w:tcPr>
          <w:p w:rsidR="002F7315" w:rsidRDefault="003C78F0">
            <w:pPr>
              <w:jc w:val="right"/>
            </w:pPr>
            <w:r>
              <w:rPr>
                <w:color w:val="000000"/>
                <w:sz w:val="24"/>
              </w:rPr>
              <w:t>104,759,048.98</w:t>
            </w:r>
          </w:p>
        </w:tc>
        <w:tc>
          <w:tcPr>
            <w:tcW w:w="1680" w:type="dxa"/>
            <w:vAlign w:val="center"/>
          </w:tcPr>
          <w:p w:rsidR="002F7315" w:rsidRDefault="003C78F0">
            <w:pPr>
              <w:jc w:val="right"/>
            </w:pPr>
            <w:r>
              <w:rPr>
                <w:color w:val="000000"/>
                <w:sz w:val="24"/>
              </w:rPr>
              <w:t>3.94</w:t>
            </w:r>
          </w:p>
        </w:tc>
      </w:tr>
      <w:tr w:rsidR="002F7315">
        <w:trPr>
          <w:jc w:val="center"/>
        </w:trPr>
        <w:tc>
          <w:tcPr>
            <w:tcW w:w="850" w:type="dxa"/>
            <w:vAlign w:val="center"/>
          </w:tcPr>
          <w:p w:rsidR="002F7315" w:rsidRDefault="003C78F0">
            <w:pPr>
              <w:jc w:val="center"/>
            </w:pPr>
            <w:r>
              <w:rPr>
                <w:color w:val="000000"/>
                <w:sz w:val="24"/>
              </w:rPr>
              <w:t>10</w:t>
            </w:r>
          </w:p>
        </w:tc>
        <w:tc>
          <w:tcPr>
            <w:tcW w:w="1327" w:type="dxa"/>
            <w:vAlign w:val="center"/>
          </w:tcPr>
          <w:p w:rsidR="002F7315" w:rsidRDefault="003C78F0">
            <w:pPr>
              <w:jc w:val="center"/>
            </w:pPr>
            <w:r>
              <w:rPr>
                <w:color w:val="000000"/>
                <w:sz w:val="24"/>
              </w:rPr>
              <w:t>600690</w:t>
            </w:r>
          </w:p>
        </w:tc>
        <w:tc>
          <w:tcPr>
            <w:tcW w:w="1769" w:type="dxa"/>
            <w:vAlign w:val="center"/>
          </w:tcPr>
          <w:p w:rsidR="002F7315" w:rsidRDefault="003C78F0">
            <w:pPr>
              <w:jc w:val="center"/>
            </w:pPr>
            <w:r>
              <w:rPr>
                <w:color w:val="000000"/>
                <w:sz w:val="24"/>
              </w:rPr>
              <w:t>青岛海尔</w:t>
            </w:r>
          </w:p>
        </w:tc>
        <w:tc>
          <w:tcPr>
            <w:tcW w:w="1327" w:type="dxa"/>
            <w:vAlign w:val="center"/>
          </w:tcPr>
          <w:p w:rsidR="002F7315" w:rsidRDefault="003C78F0">
            <w:pPr>
              <w:jc w:val="right"/>
            </w:pPr>
            <w:r>
              <w:rPr>
                <w:color w:val="000000"/>
                <w:sz w:val="24"/>
              </w:rPr>
              <w:t>5,035,646</w:t>
            </w:r>
          </w:p>
        </w:tc>
        <w:tc>
          <w:tcPr>
            <w:tcW w:w="1915" w:type="dxa"/>
            <w:vAlign w:val="center"/>
          </w:tcPr>
          <w:p w:rsidR="002F7315" w:rsidRDefault="003C78F0">
            <w:pPr>
              <w:jc w:val="right"/>
            </w:pPr>
            <w:r>
              <w:rPr>
                <w:color w:val="000000"/>
                <w:sz w:val="24"/>
              </w:rPr>
              <w:t>88,728,082.52</w:t>
            </w:r>
          </w:p>
        </w:tc>
        <w:tc>
          <w:tcPr>
            <w:tcW w:w="1680" w:type="dxa"/>
            <w:vAlign w:val="center"/>
          </w:tcPr>
          <w:p w:rsidR="002F7315" w:rsidRDefault="003C78F0">
            <w:pPr>
              <w:jc w:val="right"/>
            </w:pPr>
            <w:r>
              <w:rPr>
                <w:color w:val="000000"/>
                <w:sz w:val="24"/>
              </w:rPr>
              <w:t>3.34</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53,019,100.00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2.00</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53,019,100.00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2.00</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53,019,100.00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2.00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2F7315">
        <w:trPr>
          <w:jc w:val="center"/>
        </w:trPr>
        <w:tc>
          <w:tcPr>
            <w:tcW w:w="1075" w:type="dxa"/>
            <w:vAlign w:val="center"/>
          </w:tcPr>
          <w:p w:rsidR="002F7315" w:rsidRDefault="003C78F0">
            <w:pPr>
              <w:jc w:val="center"/>
            </w:pPr>
            <w:r>
              <w:rPr>
                <w:color w:val="000000"/>
                <w:sz w:val="24"/>
              </w:rPr>
              <w:t>1</w:t>
            </w:r>
          </w:p>
        </w:tc>
        <w:tc>
          <w:tcPr>
            <w:tcW w:w="1533" w:type="dxa"/>
            <w:vAlign w:val="center"/>
          </w:tcPr>
          <w:p w:rsidR="002F7315" w:rsidRDefault="003C78F0">
            <w:pPr>
              <w:jc w:val="center"/>
            </w:pPr>
            <w:r>
              <w:rPr>
                <w:color w:val="000000"/>
                <w:sz w:val="24"/>
              </w:rPr>
              <w:t>170410</w:t>
            </w:r>
          </w:p>
        </w:tc>
        <w:tc>
          <w:tcPr>
            <w:tcW w:w="1533" w:type="dxa"/>
            <w:vAlign w:val="center"/>
          </w:tcPr>
          <w:p w:rsidR="002F7315" w:rsidRDefault="003C78F0">
            <w:pPr>
              <w:jc w:val="center"/>
            </w:pPr>
            <w:r>
              <w:rPr>
                <w:color w:val="000000"/>
                <w:sz w:val="24"/>
              </w:rPr>
              <w:t>17</w:t>
            </w:r>
            <w:r>
              <w:rPr>
                <w:color w:val="000000"/>
                <w:sz w:val="24"/>
              </w:rPr>
              <w:t>农发</w:t>
            </w:r>
            <w:r>
              <w:rPr>
                <w:color w:val="000000"/>
                <w:sz w:val="24"/>
              </w:rPr>
              <w:t>10</w:t>
            </w:r>
          </w:p>
        </w:tc>
        <w:tc>
          <w:tcPr>
            <w:tcW w:w="1394" w:type="dxa"/>
            <w:vAlign w:val="center"/>
          </w:tcPr>
          <w:p w:rsidR="002F7315" w:rsidRDefault="003C78F0">
            <w:pPr>
              <w:jc w:val="right"/>
            </w:pPr>
            <w:r>
              <w:rPr>
                <w:color w:val="000000"/>
                <w:sz w:val="24"/>
              </w:rPr>
              <w:t>500,000</w:t>
            </w:r>
          </w:p>
        </w:tc>
        <w:tc>
          <w:tcPr>
            <w:tcW w:w="1944" w:type="dxa"/>
            <w:vAlign w:val="center"/>
          </w:tcPr>
          <w:p w:rsidR="002F7315" w:rsidRDefault="003C78F0">
            <w:pPr>
              <w:jc w:val="right"/>
            </w:pPr>
            <w:r>
              <w:rPr>
                <w:color w:val="000000"/>
                <w:sz w:val="24"/>
              </w:rPr>
              <w:t>50,020,000.00</w:t>
            </w:r>
          </w:p>
        </w:tc>
        <w:tc>
          <w:tcPr>
            <w:tcW w:w="1389" w:type="dxa"/>
            <w:vAlign w:val="center"/>
          </w:tcPr>
          <w:p w:rsidR="002F7315" w:rsidRDefault="003C78F0">
            <w:pPr>
              <w:jc w:val="right"/>
            </w:pPr>
            <w:r>
              <w:rPr>
                <w:color w:val="000000"/>
                <w:sz w:val="24"/>
              </w:rPr>
              <w:t>1.88</w:t>
            </w:r>
          </w:p>
        </w:tc>
      </w:tr>
      <w:tr w:rsidR="002F7315">
        <w:trPr>
          <w:jc w:val="center"/>
        </w:trPr>
        <w:tc>
          <w:tcPr>
            <w:tcW w:w="1075" w:type="dxa"/>
            <w:vAlign w:val="center"/>
          </w:tcPr>
          <w:p w:rsidR="002F7315" w:rsidRDefault="003C78F0">
            <w:pPr>
              <w:jc w:val="center"/>
            </w:pPr>
            <w:r>
              <w:rPr>
                <w:color w:val="000000"/>
                <w:sz w:val="24"/>
              </w:rPr>
              <w:t>2</w:t>
            </w:r>
          </w:p>
        </w:tc>
        <w:tc>
          <w:tcPr>
            <w:tcW w:w="1533" w:type="dxa"/>
            <w:vAlign w:val="center"/>
          </w:tcPr>
          <w:p w:rsidR="002F7315" w:rsidRDefault="003C78F0">
            <w:pPr>
              <w:jc w:val="center"/>
            </w:pPr>
            <w:r>
              <w:rPr>
                <w:color w:val="000000"/>
                <w:sz w:val="24"/>
              </w:rPr>
              <w:t>108601</w:t>
            </w:r>
          </w:p>
        </w:tc>
        <w:tc>
          <w:tcPr>
            <w:tcW w:w="1533" w:type="dxa"/>
            <w:vAlign w:val="center"/>
          </w:tcPr>
          <w:p w:rsidR="002F7315" w:rsidRDefault="003C78F0">
            <w:pPr>
              <w:jc w:val="center"/>
            </w:pPr>
            <w:r>
              <w:rPr>
                <w:color w:val="000000"/>
                <w:sz w:val="24"/>
              </w:rPr>
              <w:t>国开</w:t>
            </w:r>
            <w:r>
              <w:rPr>
                <w:color w:val="000000"/>
                <w:sz w:val="24"/>
              </w:rPr>
              <w:t>1703</w:t>
            </w:r>
          </w:p>
        </w:tc>
        <w:tc>
          <w:tcPr>
            <w:tcW w:w="1394" w:type="dxa"/>
            <w:vAlign w:val="center"/>
          </w:tcPr>
          <w:p w:rsidR="002F7315" w:rsidRDefault="003C78F0">
            <w:pPr>
              <w:jc w:val="right"/>
            </w:pPr>
            <w:r>
              <w:rPr>
                <w:color w:val="000000"/>
                <w:sz w:val="24"/>
              </w:rPr>
              <w:t>30,000</w:t>
            </w:r>
          </w:p>
        </w:tc>
        <w:tc>
          <w:tcPr>
            <w:tcW w:w="1944" w:type="dxa"/>
            <w:vAlign w:val="center"/>
          </w:tcPr>
          <w:p w:rsidR="002F7315" w:rsidRDefault="003C78F0">
            <w:pPr>
              <w:jc w:val="right"/>
            </w:pPr>
            <w:r>
              <w:rPr>
                <w:color w:val="000000"/>
                <w:sz w:val="24"/>
              </w:rPr>
              <w:t>2,999,100.00</w:t>
            </w:r>
          </w:p>
        </w:tc>
        <w:tc>
          <w:tcPr>
            <w:tcW w:w="1389" w:type="dxa"/>
            <w:vAlign w:val="center"/>
          </w:tcPr>
          <w:p w:rsidR="002F7315" w:rsidRDefault="003C78F0">
            <w:pPr>
              <w:jc w:val="right"/>
            </w:pPr>
            <w:r>
              <w:rPr>
                <w:color w:val="000000"/>
                <w:sz w:val="24"/>
              </w:rPr>
              <w:t>0.11</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R="009238DB"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C14DF">
      <w:pPr>
        <w:autoSpaceDE w:val="0"/>
        <w:autoSpaceDN w:val="0"/>
        <w:adjustRightInd w:val="0"/>
        <w:spacing w:before="29" w:line="288" w:lineRule="auto"/>
        <w:ind w:firstLineChars="50" w:firstLine="120"/>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lastRenderedPageBreak/>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6"/>
        <w:gridCol w:w="2775"/>
        <w:gridCol w:w="4847"/>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1,266,146.21</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15,301,542.90</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1,383,899.88</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385,964.36</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18,337,553.35</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Pr="007F52FA">
        <w:rPr>
          <w:kern w:val="0"/>
          <w:sz w:val="24"/>
        </w:rPr>
        <w:t>报告期末持有的处于转股期的可转换债券明细</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Pr="007F52FA">
        <w:rPr>
          <w:rFonts w:eastAsiaTheme="minorEastAsia"/>
          <w:bCs/>
          <w:sz w:val="24"/>
        </w:rPr>
        <w:t>报告期末前十名股票中存在流通受限情况的说明</w:t>
      </w:r>
    </w:p>
    <w:tbl>
      <w:tblPr>
        <w:tblStyle w:val="af2"/>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1D5CD0" w:rsidRPr="007F52FA" w:rsidTr="00837861">
        <w:trPr>
          <w:jc w:val="center"/>
        </w:trPr>
        <w:tc>
          <w:tcPr>
            <w:tcW w:w="1083"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序号</w:t>
            </w:r>
          </w:p>
        </w:tc>
        <w:tc>
          <w:tcPr>
            <w:tcW w:w="1302"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股票代码</w:t>
            </w:r>
          </w:p>
        </w:tc>
        <w:tc>
          <w:tcPr>
            <w:tcW w:w="1301"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股票名称</w:t>
            </w:r>
          </w:p>
        </w:tc>
        <w:tc>
          <w:tcPr>
            <w:tcW w:w="1805"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流通受限部分的公允价值</w:t>
            </w:r>
            <w:r w:rsidR="00FA00C3" w:rsidRPr="007F52FA">
              <w:rPr>
                <w:color w:val="000000"/>
                <w:kern w:val="0"/>
                <w:sz w:val="24"/>
              </w:rPr>
              <w:t>(</w:t>
            </w:r>
            <w:r w:rsidRPr="007F52FA">
              <w:rPr>
                <w:rFonts w:eastAsiaTheme="minorEastAsia"/>
                <w:color w:val="000000"/>
                <w:sz w:val="24"/>
              </w:rPr>
              <w:t>元</w:t>
            </w:r>
            <w:r w:rsidR="00FA00C3" w:rsidRPr="007F52FA">
              <w:rPr>
                <w:color w:val="000000"/>
                <w:kern w:val="0"/>
                <w:sz w:val="24"/>
              </w:rPr>
              <w:t>)</w:t>
            </w:r>
          </w:p>
        </w:tc>
        <w:tc>
          <w:tcPr>
            <w:tcW w:w="1655"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占基金资产净值比例</w:t>
            </w:r>
            <w:r w:rsidR="00664462" w:rsidRPr="007F52FA">
              <w:rPr>
                <w:color w:val="000000"/>
                <w:kern w:val="0"/>
                <w:sz w:val="24"/>
              </w:rPr>
              <w:t>（</w:t>
            </w:r>
            <w:r w:rsidR="00863A9A" w:rsidRPr="007F52FA">
              <w:rPr>
                <w:color w:val="000000"/>
                <w:kern w:val="0"/>
                <w:sz w:val="24"/>
              </w:rPr>
              <w:t>％</w:t>
            </w:r>
            <w:r w:rsidR="00664462" w:rsidRPr="007F52FA">
              <w:rPr>
                <w:color w:val="000000"/>
                <w:kern w:val="0"/>
                <w:sz w:val="24"/>
              </w:rPr>
              <w:t>）</w:t>
            </w:r>
          </w:p>
        </w:tc>
        <w:tc>
          <w:tcPr>
            <w:tcW w:w="1367"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流通受限情况说明</w:t>
            </w:r>
          </w:p>
        </w:tc>
      </w:tr>
      <w:tr w:rsidR="002F7315">
        <w:trPr>
          <w:jc w:val="center"/>
        </w:trPr>
        <w:tc>
          <w:tcPr>
            <w:tcW w:w="1129" w:type="dxa"/>
            <w:vAlign w:val="center"/>
          </w:tcPr>
          <w:p w:rsidR="002F7315" w:rsidRDefault="003C78F0">
            <w:pPr>
              <w:jc w:val="center"/>
            </w:pPr>
            <w:r>
              <w:rPr>
                <w:rFonts w:eastAsiaTheme="minorEastAsia"/>
                <w:color w:val="000000"/>
                <w:sz w:val="24"/>
              </w:rPr>
              <w:t>1</w:t>
            </w:r>
          </w:p>
        </w:tc>
        <w:tc>
          <w:tcPr>
            <w:tcW w:w="1356" w:type="dxa"/>
            <w:vAlign w:val="center"/>
          </w:tcPr>
          <w:p w:rsidR="002F7315" w:rsidRDefault="003C78F0">
            <w:pPr>
              <w:jc w:val="center"/>
            </w:pPr>
            <w:r>
              <w:rPr>
                <w:rFonts w:eastAsiaTheme="minorEastAsia"/>
                <w:color w:val="000000"/>
                <w:sz w:val="24"/>
              </w:rPr>
              <w:t>002410</w:t>
            </w:r>
          </w:p>
        </w:tc>
        <w:tc>
          <w:tcPr>
            <w:tcW w:w="1355" w:type="dxa"/>
            <w:vAlign w:val="center"/>
          </w:tcPr>
          <w:p w:rsidR="002F7315" w:rsidRDefault="003C78F0">
            <w:pPr>
              <w:jc w:val="center"/>
            </w:pPr>
            <w:r>
              <w:rPr>
                <w:rFonts w:eastAsiaTheme="minorEastAsia"/>
                <w:color w:val="000000"/>
                <w:sz w:val="24"/>
              </w:rPr>
              <w:t>广联达</w:t>
            </w:r>
          </w:p>
        </w:tc>
        <w:tc>
          <w:tcPr>
            <w:tcW w:w="1880" w:type="dxa"/>
            <w:vAlign w:val="center"/>
          </w:tcPr>
          <w:p w:rsidR="002F7315" w:rsidRDefault="003C78F0">
            <w:pPr>
              <w:jc w:val="right"/>
            </w:pPr>
            <w:r>
              <w:rPr>
                <w:rFonts w:eastAsiaTheme="minorEastAsia"/>
                <w:color w:val="000000"/>
                <w:sz w:val="24"/>
              </w:rPr>
              <w:t>32,029,500.00</w:t>
            </w:r>
          </w:p>
        </w:tc>
        <w:tc>
          <w:tcPr>
            <w:tcW w:w="1724" w:type="dxa"/>
            <w:vAlign w:val="center"/>
          </w:tcPr>
          <w:p w:rsidR="002F7315" w:rsidRDefault="003C78F0">
            <w:pPr>
              <w:jc w:val="right"/>
            </w:pPr>
            <w:r>
              <w:rPr>
                <w:rFonts w:eastAsiaTheme="minorEastAsia"/>
                <w:color w:val="000000"/>
                <w:sz w:val="24"/>
              </w:rPr>
              <w:t>1.21</w:t>
            </w:r>
          </w:p>
        </w:tc>
        <w:tc>
          <w:tcPr>
            <w:tcW w:w="1424" w:type="dxa"/>
            <w:vAlign w:val="center"/>
          </w:tcPr>
          <w:p w:rsidR="002F7315" w:rsidRDefault="00ED624E">
            <w:pPr>
              <w:jc w:val="right"/>
            </w:pPr>
            <w:r>
              <w:rPr>
                <w:rFonts w:eastAsiaTheme="minorEastAsia" w:hint="eastAsia"/>
                <w:color w:val="000000"/>
                <w:sz w:val="24"/>
              </w:rPr>
              <w:t>限售股</w:t>
            </w:r>
          </w:p>
        </w:tc>
      </w:tr>
    </w:tbl>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C51B4E" w:rsidRPr="00A86A7C" w:rsidRDefault="00C51B4E" w:rsidP="0028293E">
      <w:pPr>
        <w:pStyle w:val="1"/>
        <w:spacing w:beforeLines="100" w:before="312" w:afterLines="100" w:after="312" w:line="360" w:lineRule="auto"/>
        <w:jc w:val="center"/>
        <w:rPr>
          <w:rFonts w:eastAsiaTheme="minorEastAsia"/>
          <w:color w:val="000000" w:themeColor="text1"/>
          <w:kern w:val="0"/>
          <w:sz w:val="24"/>
          <w:szCs w:val="24"/>
        </w:rPr>
      </w:pPr>
      <w:r w:rsidRPr="00A86A7C">
        <w:rPr>
          <w:rFonts w:eastAsiaTheme="minorEastAsia"/>
          <w:color w:val="000000" w:themeColor="text1"/>
          <w:kern w:val="0"/>
          <w:sz w:val="24"/>
          <w:szCs w:val="24"/>
        </w:rPr>
        <w:t>§6</w:t>
      </w:r>
      <w:r w:rsidRPr="00A86A7C">
        <w:rPr>
          <w:rFonts w:eastAsiaTheme="minorEastAsia" w:hint="eastAsia"/>
          <w:color w:val="000000" w:themeColor="text1"/>
          <w:kern w:val="0"/>
          <w:sz w:val="24"/>
          <w:szCs w:val="24"/>
        </w:rPr>
        <w:t xml:space="preserve">  </w:t>
      </w:r>
      <w:r w:rsidRPr="00A86A7C">
        <w:rPr>
          <w:rFonts w:eastAsiaTheme="minorEastAsia" w:hint="eastAsia"/>
          <w:color w:val="000000" w:themeColor="text1"/>
          <w:kern w:val="0"/>
          <w:sz w:val="24"/>
          <w:szCs w:val="24"/>
        </w:rPr>
        <w:t>基金中基金</w:t>
      </w:r>
    </w:p>
    <w:p w:rsidR="00C51B4E" w:rsidRPr="00756828" w:rsidRDefault="00C51B4E" w:rsidP="00C51B4E">
      <w:pPr>
        <w:adjustRightInd w:val="0"/>
        <w:snapToGrid w:val="0"/>
        <w:spacing w:line="360" w:lineRule="auto"/>
        <w:rPr>
          <w:rFonts w:eastAsiaTheme="minorEastAsia"/>
          <w:b/>
          <w:color w:val="000000" w:themeColor="text1"/>
          <w:kern w:val="0"/>
          <w:sz w:val="24"/>
        </w:rPr>
      </w:pPr>
      <w:r w:rsidRPr="00756828">
        <w:rPr>
          <w:rFonts w:eastAsiaTheme="minorEastAsia"/>
          <w:b/>
          <w:color w:val="000000" w:themeColor="text1"/>
          <w:kern w:val="0"/>
          <w:sz w:val="24"/>
        </w:rPr>
        <w:t>6.1</w:t>
      </w:r>
      <w:r w:rsidRPr="00756828">
        <w:rPr>
          <w:rFonts w:eastAsiaTheme="minorEastAsia" w:hint="eastAsia"/>
          <w:b/>
          <w:color w:val="000000" w:themeColor="text1"/>
          <w:kern w:val="0"/>
          <w:sz w:val="24"/>
        </w:rPr>
        <w:t xml:space="preserve"> </w:t>
      </w:r>
      <w:r w:rsidRPr="00756828">
        <w:rPr>
          <w:rFonts w:eastAsiaTheme="minorEastAsia" w:hint="eastAsia"/>
          <w:b/>
          <w:color w:val="000000" w:themeColor="text1"/>
          <w:kern w:val="0"/>
          <w:sz w:val="24"/>
        </w:rPr>
        <w:t>报告期末按公允价值占基金资产净值比例大小排序的前十名基金投资明细</w:t>
      </w:r>
    </w:p>
    <w:p w:rsidR="00C51B4E" w:rsidRPr="00756828" w:rsidRDefault="00C51B4E" w:rsidP="00C51B4E">
      <w:pPr>
        <w:autoSpaceDE w:val="0"/>
        <w:autoSpaceDN w:val="0"/>
        <w:adjustRightInd w:val="0"/>
        <w:spacing w:line="360" w:lineRule="auto"/>
        <w:ind w:firstLineChars="200" w:firstLine="480"/>
        <w:jc w:val="left"/>
        <w:rPr>
          <w:rFonts w:eastAsiaTheme="minorEastAsia"/>
          <w:color w:val="000000" w:themeColor="text1"/>
          <w:sz w:val="24"/>
        </w:rPr>
      </w:pPr>
      <w:r w:rsidRPr="00756828">
        <w:rPr>
          <w:rFonts w:eastAsiaTheme="minorEastAsia"/>
          <w:color w:val="000000" w:themeColor="text1"/>
          <w:sz w:val="24"/>
        </w:rPr>
        <w:t>本基金本报告期末未持有基金。</w:t>
      </w:r>
    </w:p>
    <w:p w:rsidR="00C51B4E" w:rsidRPr="00756828" w:rsidRDefault="00C51B4E" w:rsidP="0028293E">
      <w:pPr>
        <w:adjustRightInd w:val="0"/>
        <w:snapToGrid w:val="0"/>
        <w:spacing w:beforeLines="50" w:before="156" w:line="360" w:lineRule="auto"/>
        <w:rPr>
          <w:rFonts w:eastAsiaTheme="minorEastAsia"/>
          <w:b/>
          <w:color w:val="000000" w:themeColor="text1"/>
          <w:kern w:val="0"/>
          <w:sz w:val="24"/>
        </w:rPr>
      </w:pPr>
      <w:r w:rsidRPr="00756828">
        <w:rPr>
          <w:rFonts w:eastAsiaTheme="minorEastAsia"/>
          <w:b/>
          <w:color w:val="000000" w:themeColor="text1"/>
          <w:kern w:val="0"/>
          <w:sz w:val="24"/>
        </w:rPr>
        <w:t>6.2</w:t>
      </w:r>
      <w:r w:rsidRPr="00756828">
        <w:rPr>
          <w:rFonts w:eastAsiaTheme="minorEastAsia" w:hint="eastAsia"/>
          <w:b/>
          <w:color w:val="000000" w:themeColor="text1"/>
          <w:kern w:val="0"/>
          <w:sz w:val="24"/>
        </w:rPr>
        <w:t xml:space="preserve"> </w:t>
      </w:r>
      <w:r w:rsidRPr="00756828">
        <w:rPr>
          <w:rFonts w:eastAsiaTheme="minorEastAsia" w:hint="eastAsia"/>
          <w:b/>
          <w:color w:val="000000" w:themeColor="text1"/>
          <w:kern w:val="0"/>
          <w:sz w:val="24"/>
        </w:rPr>
        <w:t>当期交易及持有基金产生的费用</w:t>
      </w:r>
    </w:p>
    <w:p w:rsidR="00C51B4E" w:rsidRPr="00756828" w:rsidRDefault="00C51B4E" w:rsidP="00C51B4E">
      <w:pPr>
        <w:autoSpaceDE w:val="0"/>
        <w:autoSpaceDN w:val="0"/>
        <w:adjustRightInd w:val="0"/>
        <w:spacing w:line="360" w:lineRule="auto"/>
        <w:ind w:firstLineChars="200" w:firstLine="480"/>
        <w:jc w:val="left"/>
        <w:rPr>
          <w:rFonts w:eastAsiaTheme="minorEastAsia"/>
          <w:color w:val="000000" w:themeColor="text1"/>
          <w:sz w:val="24"/>
        </w:rPr>
      </w:pPr>
      <w:r w:rsidRPr="00756828">
        <w:rPr>
          <w:rFonts w:eastAsiaTheme="minorEastAsia"/>
          <w:color w:val="000000" w:themeColor="text1"/>
          <w:sz w:val="24"/>
        </w:rPr>
        <w:t>本基金本报告期内未交易或持有基金。</w:t>
      </w:r>
    </w:p>
    <w:p w:rsidR="00756828" w:rsidRPr="00A85930" w:rsidRDefault="00756828" w:rsidP="00756828">
      <w:pPr>
        <w:adjustRightInd w:val="0"/>
        <w:snapToGrid w:val="0"/>
        <w:spacing w:beforeLines="50" w:before="156" w:line="360" w:lineRule="auto"/>
        <w:rPr>
          <w:rFonts w:eastAsiaTheme="minorEastAsia"/>
          <w:b/>
          <w:color w:val="000000" w:themeColor="text1"/>
          <w:kern w:val="0"/>
          <w:sz w:val="24"/>
        </w:rPr>
      </w:pPr>
      <w:r w:rsidRPr="00A85930">
        <w:rPr>
          <w:rFonts w:eastAsiaTheme="minorEastAsia" w:hint="eastAsia"/>
          <w:b/>
          <w:color w:val="000000" w:themeColor="text1"/>
          <w:kern w:val="0"/>
          <w:sz w:val="24"/>
        </w:rPr>
        <w:t xml:space="preserve">6.3 </w:t>
      </w:r>
      <w:r w:rsidRPr="00A85930">
        <w:rPr>
          <w:rFonts w:eastAsiaTheme="minorEastAsia" w:hint="eastAsia"/>
          <w:b/>
          <w:color w:val="000000" w:themeColor="text1"/>
          <w:kern w:val="0"/>
          <w:sz w:val="24"/>
        </w:rPr>
        <w:t>本报告期持有的基金发生的重大影响事件</w:t>
      </w:r>
    </w:p>
    <w:p w:rsidR="00756828" w:rsidRPr="00A04B8F" w:rsidRDefault="00756828" w:rsidP="00756828">
      <w:pPr>
        <w:spacing w:before="29" w:line="288" w:lineRule="auto"/>
        <w:ind w:firstLineChars="200" w:firstLine="480"/>
        <w:rPr>
          <w:sz w:val="24"/>
        </w:rPr>
      </w:pPr>
      <w:r w:rsidRPr="00A04B8F">
        <w:rPr>
          <w:rFonts w:hint="eastAsia"/>
          <w:sz w:val="24"/>
        </w:rPr>
        <w:t>无。</w:t>
      </w:r>
    </w:p>
    <w:p w:rsidR="00756828" w:rsidRPr="00756828" w:rsidRDefault="00756828" w:rsidP="00C51B4E">
      <w:pPr>
        <w:autoSpaceDE w:val="0"/>
        <w:autoSpaceDN w:val="0"/>
        <w:adjustRightInd w:val="0"/>
        <w:spacing w:line="360" w:lineRule="auto"/>
        <w:ind w:firstLineChars="200" w:firstLine="420"/>
        <w:jc w:val="left"/>
        <w:rPr>
          <w:rFonts w:eastAsiaTheme="minorEastAsia"/>
          <w:color w:val="000000" w:themeColor="text1"/>
          <w:szCs w:val="21"/>
        </w:rPr>
      </w:pPr>
    </w:p>
    <w:p w:rsidR="009238DB" w:rsidRPr="007F52FA" w:rsidRDefault="00C51B4E" w:rsidP="0028293E">
      <w:pPr>
        <w:pStyle w:val="1"/>
        <w:spacing w:beforeLines="100" w:before="312" w:afterLines="100" w:after="312" w:line="288" w:lineRule="auto"/>
        <w:jc w:val="center"/>
        <w:rPr>
          <w:rFonts w:eastAsiaTheme="minorEastAsia"/>
          <w:color w:val="000000"/>
          <w:kern w:val="0"/>
          <w:sz w:val="24"/>
          <w:szCs w:val="24"/>
        </w:rPr>
      </w:pPr>
      <w:r w:rsidRPr="00C51B4E">
        <w:rPr>
          <w:rFonts w:eastAsiaTheme="minorEastAsia"/>
          <w:color w:val="000000" w:themeColor="text1"/>
          <w:kern w:val="0"/>
          <w:sz w:val="21"/>
          <w:szCs w:val="21"/>
        </w:rPr>
        <w:t>§7</w:t>
      </w:r>
      <w:r w:rsidRPr="00C51B4E">
        <w:rPr>
          <w:rFonts w:eastAsiaTheme="minorEastAsia" w:hint="eastAsia"/>
          <w:color w:val="000000" w:themeColor="text1"/>
          <w:kern w:val="0"/>
          <w:sz w:val="21"/>
          <w:szCs w:val="21"/>
        </w:rPr>
        <w:t xml:space="preserve"> </w:t>
      </w:r>
      <w:r w:rsidR="009238DB" w:rsidRPr="007F52FA">
        <w:rPr>
          <w:rFonts w:eastAsiaTheme="minorEastAsia"/>
          <w:color w:val="000000"/>
          <w:kern w:val="0"/>
          <w:sz w:val="24"/>
          <w:szCs w:val="24"/>
        </w:rPr>
        <w:t xml:space="preserve"> </w:t>
      </w:r>
      <w:r w:rsidR="009238DB"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交银成长混合</w:t>
            </w:r>
            <w:r w:rsidRPr="007F52FA">
              <w:rPr>
                <w:rFonts w:eastAsiaTheme="minorEastAsia"/>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交银成长混合</w:t>
            </w:r>
            <w:r w:rsidRPr="007F52FA">
              <w:rPr>
                <w:rFonts w:eastAsiaTheme="minorEastAsia"/>
                <w:sz w:val="24"/>
              </w:rPr>
              <w:t>H</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711,065,152.35</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313,154.12</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14,748,887.31</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5,985.76</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40,306,406.81</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19,456.56</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685,507,632.85</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299,683.32</w:t>
            </w:r>
          </w:p>
        </w:tc>
      </w:tr>
    </w:tbl>
    <w:p w:rsidR="002F7315" w:rsidRDefault="003C78F0">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C51B4E" w:rsidP="0028293E">
      <w:pPr>
        <w:pStyle w:val="1"/>
        <w:tabs>
          <w:tab w:val="center" w:pos="4156"/>
          <w:tab w:val="right" w:pos="8312"/>
        </w:tabs>
        <w:spacing w:beforeLines="100" w:before="312" w:afterLines="100" w:after="312" w:line="288" w:lineRule="auto"/>
        <w:jc w:val="center"/>
        <w:rPr>
          <w:sz w:val="24"/>
          <w:szCs w:val="24"/>
        </w:rPr>
      </w:pPr>
      <w:r>
        <w:rPr>
          <w:color w:val="000000"/>
          <w:kern w:val="0"/>
          <w:sz w:val="24"/>
          <w:szCs w:val="24"/>
        </w:rPr>
        <w:t>§</w:t>
      </w:r>
      <w:r w:rsidR="000673DA" w:rsidRPr="000673DA">
        <w:rPr>
          <w:color w:val="000000"/>
          <w:kern w:val="0"/>
          <w:sz w:val="24"/>
          <w:szCs w:val="24"/>
        </w:rPr>
        <w:t xml:space="preserve">8  </w:t>
      </w:r>
      <w:r w:rsidR="000673DA"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8.1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lastRenderedPageBreak/>
        <w:t>8</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ED0E09" w:rsidRPr="00634DE6" w:rsidRDefault="00ED0E09" w:rsidP="0028293E">
      <w:pPr>
        <w:pStyle w:val="1"/>
        <w:spacing w:beforeLines="100" w:before="312" w:afterLines="100" w:after="312" w:line="360" w:lineRule="auto"/>
        <w:jc w:val="center"/>
        <w:rPr>
          <w:rFonts w:eastAsiaTheme="minorEastAsia"/>
          <w:color w:val="000000" w:themeColor="text1"/>
          <w:kern w:val="0"/>
          <w:sz w:val="24"/>
          <w:szCs w:val="24"/>
        </w:rPr>
      </w:pPr>
      <w:r w:rsidRPr="00634DE6">
        <w:rPr>
          <w:rFonts w:eastAsiaTheme="minorEastAsia"/>
          <w:color w:val="000000" w:themeColor="text1"/>
          <w:kern w:val="0"/>
          <w:sz w:val="24"/>
          <w:szCs w:val="24"/>
        </w:rPr>
        <w:t xml:space="preserve">§9 </w:t>
      </w:r>
      <w:r w:rsidR="00F139D5" w:rsidRPr="00634DE6">
        <w:rPr>
          <w:rFonts w:eastAsiaTheme="minorEastAsia"/>
          <w:color w:val="000000" w:themeColor="text1"/>
          <w:kern w:val="0"/>
          <w:sz w:val="24"/>
          <w:szCs w:val="24"/>
        </w:rPr>
        <w:t xml:space="preserve"> </w:t>
      </w:r>
      <w:r w:rsidRPr="00634DE6">
        <w:rPr>
          <w:rFonts w:eastAsiaTheme="minorEastAsia" w:hint="eastAsia"/>
          <w:color w:val="000000" w:themeColor="text1"/>
          <w:kern w:val="0"/>
          <w:sz w:val="24"/>
          <w:szCs w:val="24"/>
        </w:rPr>
        <w:t>影响投资者决策的其他重要信息</w:t>
      </w:r>
    </w:p>
    <w:p w:rsidR="00ED0E09" w:rsidRPr="00634DE6" w:rsidRDefault="00ED0E09" w:rsidP="00ED0E09">
      <w:pPr>
        <w:autoSpaceDE w:val="0"/>
        <w:autoSpaceDN w:val="0"/>
        <w:adjustRightInd w:val="0"/>
        <w:spacing w:line="360" w:lineRule="auto"/>
        <w:jc w:val="left"/>
        <w:rPr>
          <w:rFonts w:ascii="宋体" w:hAnsi="宋体"/>
          <w:b/>
          <w:bCs/>
          <w:color w:val="000000"/>
          <w:kern w:val="0"/>
          <w:sz w:val="24"/>
        </w:rPr>
      </w:pPr>
      <w:r w:rsidRPr="00634DE6">
        <w:rPr>
          <w:rFonts w:ascii="宋体" w:hAnsi="宋体" w:hint="eastAsia"/>
          <w:b/>
          <w:bCs/>
          <w:color w:val="000000"/>
          <w:kern w:val="0"/>
          <w:sz w:val="24"/>
        </w:rPr>
        <w:t>9.1 影响投资者决策的其他重要信息</w:t>
      </w:r>
    </w:p>
    <w:p w:rsidR="002F7315" w:rsidRPr="00634DE6" w:rsidRDefault="003C78F0">
      <w:pPr>
        <w:spacing w:line="360" w:lineRule="auto"/>
        <w:ind w:firstLineChars="200" w:firstLine="480"/>
        <w:rPr>
          <w:rFonts w:ascii="宋体" w:hAnsi="宋体"/>
          <w:color w:val="000000"/>
          <w:sz w:val="24"/>
        </w:rPr>
      </w:pPr>
      <w:r w:rsidRPr="00634DE6">
        <w:rPr>
          <w:rFonts w:ascii="宋体" w:hAnsi="宋体" w:hint="eastAsia"/>
          <w:color w:val="000000"/>
          <w:sz w:val="24"/>
        </w:rPr>
        <w:t>1、根据财政部和国家税务总局于2016年12月21日联合发布的《关于明确金融、房地产开发、教育辅助服务等增值税政策的通知》（财税[2016]140号）以及于2017年6月30日联合发布的《财政部、税务总局关于资管产品增值税有关问题的通知》（财税[2017]56号）等规定，自2018年1月1日（含）起，基金管理人运营公开募集证券投资基金（以下简称“基金”）过程中发生的增值税应税行为，应按照现行规定缴纳增值税。本基金管理人将依据国家税收法律、法规、规章及税收规范性文件的规定，对管理的基金产品运营过程中产生的应税收入，计提及缴纳增值税及附加税费，该部分税费由基金资产承担。如后续国家法律法规、税收政策进行调整的，或者对基金产品的税收政策作出补充规定的，基金管理人将及时根据所涉及的税收政策作出相应调整，切实履行基金管理人的职责。</w:t>
      </w:r>
    </w:p>
    <w:p w:rsidR="00ED0E09" w:rsidRPr="00634DE6" w:rsidRDefault="00ED0E09" w:rsidP="00ED0E09">
      <w:pPr>
        <w:spacing w:line="360" w:lineRule="auto"/>
        <w:ind w:firstLineChars="200" w:firstLine="480"/>
        <w:rPr>
          <w:rFonts w:ascii="宋体" w:hAnsi="宋体"/>
          <w:color w:val="000000"/>
          <w:sz w:val="24"/>
        </w:rPr>
      </w:pPr>
      <w:r w:rsidRPr="00634DE6">
        <w:rPr>
          <w:rFonts w:ascii="宋体" w:hAnsi="宋体" w:hint="eastAsia"/>
          <w:color w:val="000000"/>
          <w:sz w:val="24"/>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BB1033" w:rsidRPr="007F52FA" w:rsidRDefault="00BB1033" w:rsidP="007C14DF">
      <w:pPr>
        <w:spacing w:before="29" w:line="288" w:lineRule="auto"/>
        <w:ind w:firstLineChars="200" w:firstLine="480"/>
        <w:rPr>
          <w:rFonts w:eastAsiaTheme="minorEastAsia"/>
          <w:color w:val="000000"/>
          <w:sz w:val="24"/>
        </w:rPr>
      </w:pPr>
    </w:p>
    <w:p w:rsidR="00175E3A" w:rsidRPr="007032A6" w:rsidRDefault="009238DB" w:rsidP="0028293E">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10</w:t>
      </w:r>
      <w:r w:rsidR="00F30496">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10.</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rsidR="002F7315" w:rsidRDefault="003C78F0">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、中国证监会批准交银施罗德成长股票证券投资基金募集的文件；</w:t>
      </w:r>
      <w:r>
        <w:rPr>
          <w:rFonts w:eastAsiaTheme="minorEastAsia"/>
          <w:color w:val="000000"/>
          <w:sz w:val="24"/>
        </w:rPr>
        <w:t xml:space="preserve"> </w:t>
      </w:r>
    </w:p>
    <w:p w:rsidR="002F7315" w:rsidRDefault="003C78F0">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、《交银施罗德成长混合型证券投资基金基金合同》；</w:t>
      </w:r>
      <w:r>
        <w:rPr>
          <w:rFonts w:eastAsiaTheme="minorEastAsia"/>
          <w:color w:val="000000"/>
          <w:sz w:val="24"/>
        </w:rPr>
        <w:t xml:space="preserve"> </w:t>
      </w:r>
    </w:p>
    <w:p w:rsidR="002F7315" w:rsidRDefault="003C78F0">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、《交银施罗德成长混合型证券投资基金招募说明书》；</w:t>
      </w:r>
      <w:r>
        <w:rPr>
          <w:rFonts w:eastAsiaTheme="minorEastAsia"/>
          <w:color w:val="000000"/>
          <w:sz w:val="24"/>
        </w:rPr>
        <w:t xml:space="preserve"> </w:t>
      </w:r>
    </w:p>
    <w:p w:rsidR="002F7315" w:rsidRDefault="003C78F0">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、《交银施罗德成长混合型证券投资基金托管协议》；</w:t>
      </w:r>
      <w:r>
        <w:rPr>
          <w:rFonts w:eastAsiaTheme="minorEastAsia"/>
          <w:color w:val="000000"/>
          <w:sz w:val="24"/>
        </w:rPr>
        <w:t xml:space="preserve"> </w:t>
      </w:r>
    </w:p>
    <w:p w:rsidR="002F7315" w:rsidRDefault="003C78F0">
      <w:pPr>
        <w:spacing w:before="29" w:line="288" w:lineRule="auto"/>
        <w:ind w:firstLineChars="200" w:firstLine="480"/>
        <w:rPr>
          <w:rFonts w:eastAsiaTheme="minorEastAsia"/>
          <w:color w:val="000000"/>
          <w:sz w:val="24"/>
        </w:rPr>
      </w:pPr>
      <w:r>
        <w:rPr>
          <w:rFonts w:eastAsiaTheme="minorEastAsia"/>
          <w:color w:val="000000"/>
          <w:sz w:val="24"/>
        </w:rPr>
        <w:lastRenderedPageBreak/>
        <w:t>5</w:t>
      </w:r>
      <w:r>
        <w:rPr>
          <w:rFonts w:eastAsiaTheme="minorEastAsia"/>
          <w:color w:val="000000"/>
          <w:sz w:val="24"/>
        </w:rPr>
        <w:t>、关于募集交银施罗德成长股票证券投资基金之法律意见书；</w:t>
      </w:r>
      <w:r>
        <w:rPr>
          <w:rFonts w:eastAsiaTheme="minorEastAsia"/>
          <w:color w:val="000000"/>
          <w:sz w:val="24"/>
        </w:rPr>
        <w:t xml:space="preserve"> </w:t>
      </w:r>
    </w:p>
    <w:p w:rsidR="002F7315" w:rsidRDefault="003C78F0">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2F7315" w:rsidRDefault="003C78F0">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、报告期内交银施罗德成长混合型证券投资基金在指定报刊上各项公告的原稿。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10.2</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10.3</w:t>
      </w:r>
      <w:r w:rsidR="00FB3C94" w:rsidRPr="007F52FA">
        <w:rPr>
          <w:rFonts w:eastAsiaTheme="minorEastAsia"/>
          <w:b/>
          <w:bCs/>
          <w:color w:val="000000"/>
          <w:kern w:val="0"/>
          <w:sz w:val="24"/>
        </w:rPr>
        <w:t>查阅方式</w:t>
      </w:r>
    </w:p>
    <w:p w:rsidR="002F7315" w:rsidRDefault="003C78F0">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0BB" w:rsidRDefault="004970BB">
      <w:r>
        <w:separator/>
      </w:r>
    </w:p>
  </w:endnote>
  <w:endnote w:type="continuationSeparator" w:id="0">
    <w:p w:rsidR="004970BB" w:rsidRDefault="0049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sidR="003F1674">
      <w:rPr>
        <w:kern w:val="0"/>
        <w:szCs w:val="21"/>
      </w:rPr>
      <w:fldChar w:fldCharType="begin"/>
    </w:r>
    <w:r>
      <w:rPr>
        <w:kern w:val="0"/>
        <w:szCs w:val="21"/>
      </w:rPr>
      <w:instrText xml:space="preserve"> PAGE </w:instrText>
    </w:r>
    <w:r w:rsidR="003F1674">
      <w:rPr>
        <w:kern w:val="0"/>
        <w:szCs w:val="21"/>
      </w:rPr>
      <w:fldChar w:fldCharType="separate"/>
    </w:r>
    <w:r w:rsidR="00E93B04">
      <w:rPr>
        <w:noProof/>
        <w:kern w:val="0"/>
        <w:szCs w:val="21"/>
      </w:rPr>
      <w:t>3</w:t>
    </w:r>
    <w:r w:rsidR="003F1674">
      <w:rPr>
        <w:kern w:val="0"/>
        <w:szCs w:val="21"/>
      </w:rPr>
      <w:fldChar w:fldCharType="end"/>
    </w:r>
    <w:r>
      <w:rPr>
        <w:rFonts w:hint="eastAsia"/>
        <w:kern w:val="0"/>
        <w:szCs w:val="21"/>
      </w:rPr>
      <w:t>页共</w:t>
    </w:r>
    <w:r w:rsidR="003F1674">
      <w:rPr>
        <w:kern w:val="0"/>
        <w:szCs w:val="21"/>
      </w:rPr>
      <w:fldChar w:fldCharType="begin"/>
    </w:r>
    <w:r>
      <w:rPr>
        <w:kern w:val="0"/>
        <w:szCs w:val="21"/>
      </w:rPr>
      <w:instrText xml:space="preserve"> NUMPAGES </w:instrText>
    </w:r>
    <w:r w:rsidR="003F1674">
      <w:rPr>
        <w:kern w:val="0"/>
        <w:szCs w:val="21"/>
      </w:rPr>
      <w:fldChar w:fldCharType="separate"/>
    </w:r>
    <w:r w:rsidR="00E93B04">
      <w:rPr>
        <w:noProof/>
        <w:kern w:val="0"/>
        <w:szCs w:val="21"/>
      </w:rPr>
      <w:t>14</w:t>
    </w:r>
    <w:r w:rsidR="003F1674">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3F1674">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0BB" w:rsidRDefault="004970BB">
      <w:r>
        <w:separator/>
      </w:r>
    </w:p>
  </w:footnote>
  <w:footnote w:type="continuationSeparator" w:id="0">
    <w:p w:rsidR="004970BB" w:rsidRDefault="00497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D3445F" w:rsidRDefault="00D3445F" w:rsidP="00D3445F">
    <w:pPr>
      <w:spacing w:before="29" w:line="288" w:lineRule="auto"/>
      <w:jc w:val="right"/>
      <w:rPr>
        <w:rFonts w:eastAsiaTheme="minorEastAsia"/>
        <w:sz w:val="24"/>
      </w:rPr>
    </w:pPr>
    <w:r w:rsidRPr="00D3445F">
      <w:rPr>
        <w:rFonts w:eastAsiaTheme="minorEastAsia"/>
        <w:sz w:val="24"/>
      </w:rPr>
      <w:t>交银施罗德成长混合型证券投资基金</w:t>
    </w:r>
    <w:r w:rsidRPr="00D3445F">
      <w:rPr>
        <w:rFonts w:eastAsiaTheme="minorEastAsia"/>
        <w:sz w:val="24"/>
      </w:rPr>
      <w:t>2018</w:t>
    </w:r>
    <w:r w:rsidRPr="00D3445F">
      <w:rPr>
        <w:rFonts w:eastAsiaTheme="minorEastAsia"/>
        <w:sz w:val="24"/>
      </w:rPr>
      <w:t>年第</w:t>
    </w:r>
    <w:r w:rsidRPr="00D3445F">
      <w:rPr>
        <w:rFonts w:eastAsiaTheme="minorEastAsia"/>
        <w:sz w:val="24"/>
      </w:rPr>
      <w:t>1</w:t>
    </w:r>
    <w:r w:rsidRPr="00D3445F">
      <w:rPr>
        <w:rFonts w:eastAsiaTheme="minorEastAsia"/>
        <w:sz w:val="24"/>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36D7"/>
    <w:rsid w:val="00194155"/>
    <w:rsid w:val="001949CA"/>
    <w:rsid w:val="00195AFC"/>
    <w:rsid w:val="001A0417"/>
    <w:rsid w:val="001A0B71"/>
    <w:rsid w:val="001A1389"/>
    <w:rsid w:val="001A3016"/>
    <w:rsid w:val="001A3914"/>
    <w:rsid w:val="001A5D39"/>
    <w:rsid w:val="001A5FA6"/>
    <w:rsid w:val="001B053A"/>
    <w:rsid w:val="001B0691"/>
    <w:rsid w:val="001B0C78"/>
    <w:rsid w:val="001B1A13"/>
    <w:rsid w:val="001B22BA"/>
    <w:rsid w:val="001B4CD1"/>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65F"/>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93E"/>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009"/>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315"/>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8F0"/>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1674"/>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0BB"/>
    <w:rsid w:val="00497501"/>
    <w:rsid w:val="004A1BE1"/>
    <w:rsid w:val="004A406F"/>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4DE6"/>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6F8C"/>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828"/>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1D9A"/>
    <w:rsid w:val="007A391B"/>
    <w:rsid w:val="007A4409"/>
    <w:rsid w:val="007A4F37"/>
    <w:rsid w:val="007A5233"/>
    <w:rsid w:val="007A5241"/>
    <w:rsid w:val="007A59B8"/>
    <w:rsid w:val="007B06C7"/>
    <w:rsid w:val="007B3D06"/>
    <w:rsid w:val="007B42F5"/>
    <w:rsid w:val="007B5157"/>
    <w:rsid w:val="007B5CD8"/>
    <w:rsid w:val="007B686F"/>
    <w:rsid w:val="007C05E8"/>
    <w:rsid w:val="007C1122"/>
    <w:rsid w:val="007C14DF"/>
    <w:rsid w:val="007C19EC"/>
    <w:rsid w:val="007C364E"/>
    <w:rsid w:val="007C3DC6"/>
    <w:rsid w:val="007C5359"/>
    <w:rsid w:val="007C6127"/>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61C4"/>
    <w:rsid w:val="008F6228"/>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2650"/>
    <w:rsid w:val="009631C1"/>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1F40"/>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274A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86A7C"/>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2F34"/>
    <w:rsid w:val="00C030B6"/>
    <w:rsid w:val="00C04B38"/>
    <w:rsid w:val="00C067B7"/>
    <w:rsid w:val="00C10A09"/>
    <w:rsid w:val="00C121BC"/>
    <w:rsid w:val="00C13116"/>
    <w:rsid w:val="00C14D92"/>
    <w:rsid w:val="00C158BC"/>
    <w:rsid w:val="00C16739"/>
    <w:rsid w:val="00C17F3F"/>
    <w:rsid w:val="00C220E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1B4E"/>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2F4E"/>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4695"/>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445F"/>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3B04"/>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624E"/>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1783"/>
    <w:rsid w:val="00F119AF"/>
    <w:rsid w:val="00F139D5"/>
    <w:rsid w:val="00F1480B"/>
    <w:rsid w:val="00F1498D"/>
    <w:rsid w:val="00F20065"/>
    <w:rsid w:val="00F2038E"/>
    <w:rsid w:val="00F22211"/>
    <w:rsid w:val="00F22297"/>
    <w:rsid w:val="00F22341"/>
    <w:rsid w:val="00F22F1D"/>
    <w:rsid w:val="00F24039"/>
    <w:rsid w:val="00F24E0E"/>
    <w:rsid w:val="00F2646E"/>
    <w:rsid w:val="00F265A5"/>
    <w:rsid w:val="00F26693"/>
    <w:rsid w:val="00F30496"/>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324CF099-37DF-4127-A533-FF8760EB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uiPriority w:val="99"/>
    <w:semiHidden/>
    <w:rsid w:val="006A4828"/>
    <w:rPr>
      <w:sz w:val="21"/>
      <w:szCs w:val="21"/>
    </w:rPr>
  </w:style>
  <w:style w:type="paragraph" w:styleId="af">
    <w:name w:val="annotation text"/>
    <w:basedOn w:val="a"/>
    <w:link w:val="Char2"/>
    <w:uiPriority w:val="99"/>
    <w:semiHidden/>
    <w:rsid w:val="006A4828"/>
    <w:pPr>
      <w:jc w:val="left"/>
    </w:pPr>
  </w:style>
  <w:style w:type="paragraph" w:styleId="af0">
    <w:name w:val="annotation subject"/>
    <w:basedOn w:val="af"/>
    <w:next w:val="af"/>
    <w:semiHidden/>
    <w:rsid w:val="006A4828"/>
    <w:rPr>
      <w:b/>
      <w:bCs/>
    </w:rPr>
  </w:style>
  <w:style w:type="paragraph" w:customStyle="1" w:styleId="Char3">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4"/>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5">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4">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uiPriority w:val="99"/>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 w:type="character" w:customStyle="1" w:styleId="Char2">
    <w:name w:val="批注文字 Char"/>
    <w:basedOn w:val="a1"/>
    <w:link w:val="af"/>
    <w:uiPriority w:val="99"/>
    <w:semiHidden/>
    <w:rsid w:val="00C51B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F02CB-EC09-4ED6-8BBC-B54D58E4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245</TotalTime>
  <Pages>14</Pages>
  <Words>1264</Words>
  <Characters>7206</Characters>
  <Application>Microsoft Office Word</Application>
  <DocSecurity>0</DocSecurity>
  <Lines>60</Lines>
  <Paragraphs>16</Paragraphs>
  <ScaleCrop>false</ScaleCrop>
  <Company>TRT. Ltd. Co.</Company>
  <LinksUpToDate>false</LinksUpToDate>
  <CharactersWithSpaces>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384</cp:revision>
  <cp:lastPrinted>2007-07-19T00:46:00Z</cp:lastPrinted>
  <dcterms:created xsi:type="dcterms:W3CDTF">2014-01-17T06:19:00Z</dcterms:created>
  <dcterms:modified xsi:type="dcterms:W3CDTF">2018-04-19T01:37:00Z</dcterms:modified>
</cp:coreProperties>
</file>