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交银施罗德精选混合型证券投资基金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725F36" w:rsidRDefault="009140A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725F36" w:rsidRDefault="009140A1">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725F36" w:rsidRDefault="009140A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725F36" w:rsidRDefault="009140A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w:t>
      </w:r>
      <w:r>
        <w:rPr>
          <w:color w:val="000000"/>
          <w:sz w:val="24"/>
          <w:szCs w:val="24"/>
        </w:rPr>
        <w:t>投资决策前应仔细阅读本基金的招募说明书。</w:t>
      </w:r>
      <w:r>
        <w:rPr>
          <w:color w:val="000000"/>
          <w:sz w:val="24"/>
          <w:szCs w:val="24"/>
        </w:rPr>
        <w:t xml:space="preserve"> </w:t>
      </w:r>
    </w:p>
    <w:p w:rsidR="00725F36" w:rsidRDefault="009140A1">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交银精选混合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519688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2005</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4,881,844,880.48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自上而下配置资产，自下而上精选证券，有效控制下行风险。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9306F" w:rsidRPr="00414345" w:rsidTr="0029306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29306F" w:rsidRPr="00414345" w:rsidTr="0029306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160,812,094.87</w:t>
            </w:r>
          </w:p>
        </w:tc>
      </w:tr>
      <w:tr w:rsidR="0029306F" w:rsidRPr="00414345" w:rsidTr="0029306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72,098,138.54</w:t>
            </w:r>
          </w:p>
        </w:tc>
      </w:tr>
      <w:tr w:rsidR="0029306F" w:rsidRPr="00414345" w:rsidTr="0029306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0.0169</w:t>
            </w:r>
          </w:p>
        </w:tc>
      </w:tr>
      <w:tr w:rsidR="0029306F" w:rsidRPr="00414345" w:rsidTr="0029306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3,249,376,659.10</w:t>
            </w:r>
          </w:p>
        </w:tc>
      </w:tr>
      <w:tr w:rsidR="0029306F" w:rsidRPr="00414345" w:rsidTr="0029306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0.6656</w:t>
            </w:r>
          </w:p>
        </w:tc>
      </w:tr>
    </w:tbl>
    <w:p w:rsidR="00725F36" w:rsidRDefault="009140A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725F36">
        <w:trPr>
          <w:jc w:val="center"/>
        </w:trPr>
        <w:tc>
          <w:tcPr>
            <w:tcW w:w="1701" w:type="dxa"/>
            <w:vAlign w:val="center"/>
          </w:tcPr>
          <w:p w:rsidR="00725F36" w:rsidRDefault="009140A1">
            <w:pPr>
              <w:jc w:val="left"/>
            </w:pPr>
            <w:r>
              <w:rPr>
                <w:color w:val="000000"/>
                <w:sz w:val="24"/>
                <w:szCs w:val="24"/>
              </w:rPr>
              <w:t>过去三个月</w:t>
            </w:r>
          </w:p>
        </w:tc>
        <w:tc>
          <w:tcPr>
            <w:tcW w:w="1045" w:type="dxa"/>
            <w:vAlign w:val="center"/>
          </w:tcPr>
          <w:p w:rsidR="00725F36" w:rsidRDefault="009140A1">
            <w:pPr>
              <w:jc w:val="center"/>
            </w:pPr>
            <w:r>
              <w:rPr>
                <w:color w:val="000000"/>
                <w:sz w:val="24"/>
                <w:szCs w:val="24"/>
              </w:rPr>
              <w:t>2.60%</w:t>
            </w:r>
          </w:p>
        </w:tc>
        <w:tc>
          <w:tcPr>
            <w:tcW w:w="1344" w:type="dxa"/>
            <w:vAlign w:val="center"/>
          </w:tcPr>
          <w:p w:rsidR="00725F36" w:rsidRDefault="009140A1">
            <w:pPr>
              <w:jc w:val="center"/>
            </w:pPr>
            <w:r>
              <w:rPr>
                <w:color w:val="000000"/>
                <w:sz w:val="24"/>
                <w:szCs w:val="24"/>
              </w:rPr>
              <w:t>1.25%</w:t>
            </w:r>
          </w:p>
        </w:tc>
        <w:tc>
          <w:tcPr>
            <w:tcW w:w="1194" w:type="dxa"/>
            <w:vAlign w:val="center"/>
          </w:tcPr>
          <w:p w:rsidR="00725F36" w:rsidRDefault="009140A1">
            <w:pPr>
              <w:jc w:val="center"/>
            </w:pPr>
            <w:r>
              <w:rPr>
                <w:color w:val="000000"/>
                <w:sz w:val="24"/>
                <w:szCs w:val="24"/>
              </w:rPr>
              <w:t>-1.90%</w:t>
            </w:r>
          </w:p>
        </w:tc>
        <w:tc>
          <w:tcPr>
            <w:tcW w:w="1492" w:type="dxa"/>
            <w:vAlign w:val="center"/>
          </w:tcPr>
          <w:p w:rsidR="00725F36" w:rsidRDefault="009140A1">
            <w:pPr>
              <w:jc w:val="center"/>
            </w:pPr>
            <w:r>
              <w:rPr>
                <w:color w:val="000000"/>
                <w:sz w:val="24"/>
                <w:szCs w:val="24"/>
              </w:rPr>
              <w:t>0.88%</w:t>
            </w:r>
          </w:p>
        </w:tc>
        <w:tc>
          <w:tcPr>
            <w:tcW w:w="1194" w:type="dxa"/>
            <w:vAlign w:val="center"/>
          </w:tcPr>
          <w:p w:rsidR="00725F36" w:rsidRDefault="009140A1">
            <w:pPr>
              <w:jc w:val="center"/>
            </w:pPr>
            <w:r>
              <w:rPr>
                <w:color w:val="000000"/>
                <w:sz w:val="24"/>
                <w:szCs w:val="24"/>
              </w:rPr>
              <w:t>4.50%</w:t>
            </w:r>
          </w:p>
        </w:tc>
        <w:tc>
          <w:tcPr>
            <w:tcW w:w="898" w:type="dxa"/>
            <w:vAlign w:val="center"/>
          </w:tcPr>
          <w:p w:rsidR="00725F36" w:rsidRDefault="009140A1">
            <w:pPr>
              <w:jc w:val="center"/>
            </w:pPr>
            <w:r>
              <w:rPr>
                <w:color w:val="000000"/>
                <w:sz w:val="24"/>
                <w:szCs w:val="24"/>
              </w:rPr>
              <w:t>0.37%</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交银施罗德精选混合型证券投资基金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725F36">
        <w:trPr>
          <w:jc w:val="center"/>
        </w:trPr>
        <w:tc>
          <w:tcPr>
            <w:tcW w:w="846" w:type="dxa"/>
            <w:vAlign w:val="center"/>
          </w:tcPr>
          <w:p w:rsidR="00725F36" w:rsidRDefault="009140A1">
            <w:pPr>
              <w:jc w:val="center"/>
            </w:pPr>
            <w:r>
              <w:rPr>
                <w:color w:val="000000"/>
                <w:sz w:val="24"/>
                <w:szCs w:val="24"/>
              </w:rPr>
              <w:t>王崇</w:t>
            </w:r>
          </w:p>
        </w:tc>
        <w:tc>
          <w:tcPr>
            <w:tcW w:w="845" w:type="dxa"/>
            <w:vAlign w:val="center"/>
          </w:tcPr>
          <w:p w:rsidR="00725F36" w:rsidRDefault="009140A1">
            <w:pPr>
              <w:jc w:val="center"/>
            </w:pPr>
            <w:r>
              <w:rPr>
                <w:color w:val="000000"/>
                <w:sz w:val="24"/>
                <w:szCs w:val="24"/>
              </w:rPr>
              <w:t>交银精选混合、交银新成长混合的基金经理</w:t>
            </w:r>
          </w:p>
        </w:tc>
        <w:tc>
          <w:tcPr>
            <w:tcW w:w="1549" w:type="dxa"/>
            <w:vAlign w:val="center"/>
          </w:tcPr>
          <w:p w:rsidR="00725F36" w:rsidRDefault="009140A1">
            <w:pPr>
              <w:jc w:val="center"/>
            </w:pPr>
            <w:r>
              <w:rPr>
                <w:color w:val="000000"/>
                <w:sz w:val="24"/>
                <w:szCs w:val="24"/>
              </w:rPr>
              <w:t>2017-06-03</w:t>
            </w:r>
          </w:p>
        </w:tc>
        <w:tc>
          <w:tcPr>
            <w:tcW w:w="1548" w:type="dxa"/>
            <w:vAlign w:val="center"/>
          </w:tcPr>
          <w:p w:rsidR="00725F36" w:rsidRDefault="009140A1">
            <w:pPr>
              <w:jc w:val="center"/>
            </w:pPr>
            <w:r>
              <w:rPr>
                <w:color w:val="000000"/>
                <w:sz w:val="24"/>
                <w:szCs w:val="24"/>
              </w:rPr>
              <w:t>-</w:t>
            </w:r>
          </w:p>
        </w:tc>
        <w:tc>
          <w:tcPr>
            <w:tcW w:w="1407" w:type="dxa"/>
            <w:vAlign w:val="center"/>
          </w:tcPr>
          <w:p w:rsidR="00725F36" w:rsidRDefault="009140A1">
            <w:pPr>
              <w:jc w:val="center"/>
            </w:pPr>
            <w:r>
              <w:rPr>
                <w:color w:val="000000"/>
                <w:sz w:val="24"/>
                <w:szCs w:val="24"/>
              </w:rPr>
              <w:t>10</w:t>
            </w:r>
            <w:r>
              <w:rPr>
                <w:color w:val="000000"/>
                <w:sz w:val="24"/>
                <w:szCs w:val="24"/>
              </w:rPr>
              <w:t>年</w:t>
            </w:r>
          </w:p>
        </w:tc>
        <w:tc>
          <w:tcPr>
            <w:tcW w:w="2673" w:type="dxa"/>
            <w:vAlign w:val="center"/>
          </w:tcPr>
          <w:p w:rsidR="00725F36" w:rsidRDefault="009140A1">
            <w:r>
              <w:rPr>
                <w:color w:val="000000"/>
                <w:sz w:val="24"/>
                <w:szCs w:val="24"/>
              </w:rPr>
              <w:t>王崇先生，北京大学金融学博士。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w:t>
      </w:r>
      <w:r w:rsidRPr="00414345">
        <w:rPr>
          <w:color w:val="000000"/>
          <w:sz w:val="24"/>
          <w:szCs w:val="24"/>
        </w:rPr>
        <w:lastRenderedPageBreak/>
        <w:t>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725F36" w:rsidRDefault="009140A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725F36" w:rsidRDefault="009140A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725F36" w:rsidRDefault="009140A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725F36" w:rsidRDefault="009140A1">
      <w:pPr>
        <w:spacing w:before="29" w:line="288" w:lineRule="auto"/>
        <w:ind w:firstLineChars="200" w:firstLine="480"/>
        <w:rPr>
          <w:color w:val="000000"/>
          <w:sz w:val="24"/>
          <w:szCs w:val="24"/>
        </w:rPr>
      </w:pPr>
      <w:r>
        <w:rPr>
          <w:color w:val="000000"/>
          <w:sz w:val="24"/>
          <w:szCs w:val="24"/>
        </w:rPr>
        <w:t>2018</w:t>
      </w:r>
      <w:r>
        <w:rPr>
          <w:color w:val="000000"/>
          <w:sz w:val="24"/>
          <w:szCs w:val="24"/>
        </w:rPr>
        <w:t>年一季度经济增长平稳，通胀虽高仍旧处于合理可控区间，</w:t>
      </w:r>
      <w:r>
        <w:rPr>
          <w:color w:val="000000"/>
          <w:sz w:val="24"/>
          <w:szCs w:val="24"/>
        </w:rPr>
        <w:t>PPI</w:t>
      </w:r>
      <w:r>
        <w:rPr>
          <w:color w:val="000000"/>
          <w:sz w:val="24"/>
          <w:szCs w:val="24"/>
        </w:rPr>
        <w:t>和国债收益率小幅回落，货币政策总体中性偏紧，地产销售负增长，中美贸易冲突频发。</w:t>
      </w:r>
      <w:r>
        <w:rPr>
          <w:color w:val="000000"/>
          <w:sz w:val="24"/>
          <w:szCs w:val="24"/>
        </w:rPr>
        <w:t>A</w:t>
      </w:r>
      <w:r>
        <w:rPr>
          <w:color w:val="000000"/>
          <w:sz w:val="24"/>
          <w:szCs w:val="24"/>
        </w:rPr>
        <w:t>股一季度出现风格切换，开局以银行地产低估值大市值蓝筹股领涨，二、三月份以创业板指数为首的中小盘大幅反弹，而中大市值白马股出现较大幅度回落，市场风格蹊跷板效应明显。一季度整体来看市场偏好新兴成长，提高了估值的容忍度，以成长为美，以创新为美。行业层面分化明显，计算机、医药、半导体、</w:t>
      </w:r>
      <w:r>
        <w:rPr>
          <w:color w:val="000000"/>
          <w:sz w:val="24"/>
          <w:szCs w:val="24"/>
        </w:rPr>
        <w:t>军工等行业涨幅领先，表现亮眼，而以采掘、非银金融、食品饮料等为首的传统板块跌幅较大。</w:t>
      </w:r>
    </w:p>
    <w:p w:rsidR="00725F36" w:rsidRDefault="009140A1">
      <w:pPr>
        <w:spacing w:before="29" w:line="288" w:lineRule="auto"/>
        <w:ind w:firstLineChars="200" w:firstLine="480"/>
        <w:rPr>
          <w:color w:val="000000"/>
          <w:sz w:val="24"/>
          <w:szCs w:val="24"/>
        </w:rPr>
      </w:pPr>
      <w:r>
        <w:rPr>
          <w:color w:val="000000"/>
          <w:sz w:val="24"/>
          <w:szCs w:val="24"/>
        </w:rPr>
        <w:t>2018</w:t>
      </w:r>
      <w:r>
        <w:rPr>
          <w:color w:val="000000"/>
          <w:sz w:val="24"/>
          <w:szCs w:val="24"/>
        </w:rPr>
        <w:t>年一季度本基金继续采取稳健投资策略，保持中性仓位，精选优质成长个股。行业配置减持半导体，增配地产，超配传媒、医药、电子、房地产。一季度本基金取得</w:t>
      </w:r>
      <w:r>
        <w:rPr>
          <w:color w:val="000000"/>
          <w:sz w:val="24"/>
          <w:szCs w:val="24"/>
        </w:rPr>
        <w:lastRenderedPageBreak/>
        <w:t>了正收益率，并跑赢以及比较基准。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全年，我们维持谨慎乐观的态度。一方面，我们时刻警惕中美贸易摩擦、通货膨胀以及金融去杠杆深化对市场的冲击。另一方面，从中观层面看，优秀的行业和公司发展良好，其市值基于中期角度均处于合理偏低水平。本基金看好</w:t>
      </w:r>
      <w:r w:rsidRPr="00414345">
        <w:rPr>
          <w:color w:val="000000"/>
          <w:sz w:val="24"/>
          <w:szCs w:val="24"/>
        </w:rPr>
        <w:t>2018</w:t>
      </w:r>
      <w:r w:rsidRPr="00414345">
        <w:rPr>
          <w:color w:val="000000"/>
          <w:sz w:val="24"/>
          <w:szCs w:val="24"/>
        </w:rPr>
        <w:t>年传媒、医药、电子、房地产等成长领域投资机会，精选优质成长股票，恪守安全边际，努力为基金持有人带来稳定回报。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0.6656</w:t>
      </w:r>
      <w:r w:rsidRPr="00414345">
        <w:rPr>
          <w:color w:val="000000"/>
          <w:sz w:val="24"/>
          <w:szCs w:val="24"/>
        </w:rPr>
        <w:t>元，本报告期份额净值增长率为</w:t>
      </w:r>
      <w:r w:rsidRPr="00414345">
        <w:rPr>
          <w:color w:val="000000"/>
          <w:sz w:val="24"/>
          <w:szCs w:val="24"/>
        </w:rPr>
        <w:t>2.60%</w:t>
      </w:r>
      <w:r w:rsidRPr="00414345">
        <w:rPr>
          <w:color w:val="000000"/>
          <w:sz w:val="24"/>
          <w:szCs w:val="24"/>
        </w:rPr>
        <w:t>，同期业绩比较基准增长率为</w:t>
      </w:r>
      <w:r w:rsidRPr="00414345">
        <w:rPr>
          <w:color w:val="000000"/>
          <w:sz w:val="24"/>
          <w:szCs w:val="24"/>
        </w:rPr>
        <w:t>-1.90%</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2,699,034,308.26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82.22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2,699,034,308.26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82.22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218,729,000.00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6.66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218,729,000.00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6.66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99,940,169.97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3.04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173,791,105.73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5.29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lastRenderedPageBreak/>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91,388,172.81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2.78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3,282,882,756.77</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1,131,964,624.28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26,402.87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36,659.62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280,847,026.30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390,032,339.94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313,721,179.76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291,365,192.61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103,884,603.00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187,156,279.88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2,699,034,308.26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83.06</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725F36">
        <w:trPr>
          <w:jc w:val="center"/>
        </w:trPr>
        <w:tc>
          <w:tcPr>
            <w:tcW w:w="855" w:type="dxa"/>
            <w:vAlign w:val="center"/>
          </w:tcPr>
          <w:p w:rsidR="00725F36" w:rsidRDefault="009140A1">
            <w:pPr>
              <w:jc w:val="center"/>
            </w:pPr>
            <w:r>
              <w:rPr>
                <w:color w:val="000000"/>
                <w:sz w:val="24"/>
                <w:szCs w:val="24"/>
              </w:rPr>
              <w:t>1</w:t>
            </w:r>
          </w:p>
        </w:tc>
        <w:tc>
          <w:tcPr>
            <w:tcW w:w="1334" w:type="dxa"/>
            <w:vAlign w:val="center"/>
          </w:tcPr>
          <w:p w:rsidR="00725F36" w:rsidRDefault="009140A1">
            <w:pPr>
              <w:jc w:val="center"/>
            </w:pPr>
            <w:r>
              <w:rPr>
                <w:color w:val="000000"/>
                <w:sz w:val="24"/>
                <w:szCs w:val="24"/>
              </w:rPr>
              <w:t>002027</w:t>
            </w:r>
          </w:p>
        </w:tc>
        <w:tc>
          <w:tcPr>
            <w:tcW w:w="1777" w:type="dxa"/>
            <w:vAlign w:val="center"/>
          </w:tcPr>
          <w:p w:rsidR="00725F36" w:rsidRDefault="009140A1">
            <w:pPr>
              <w:jc w:val="center"/>
            </w:pPr>
            <w:r>
              <w:rPr>
                <w:color w:val="000000"/>
                <w:sz w:val="24"/>
                <w:szCs w:val="24"/>
              </w:rPr>
              <w:t>分众传媒</w:t>
            </w:r>
          </w:p>
        </w:tc>
        <w:tc>
          <w:tcPr>
            <w:tcW w:w="1334" w:type="dxa"/>
            <w:vAlign w:val="center"/>
          </w:tcPr>
          <w:p w:rsidR="00725F36" w:rsidRDefault="009140A1">
            <w:pPr>
              <w:jc w:val="right"/>
            </w:pPr>
            <w:r>
              <w:rPr>
                <w:color w:val="000000"/>
                <w:sz w:val="24"/>
                <w:szCs w:val="24"/>
              </w:rPr>
              <w:t>22,764,949</w:t>
            </w:r>
          </w:p>
        </w:tc>
        <w:tc>
          <w:tcPr>
            <w:tcW w:w="1924" w:type="dxa"/>
            <w:vAlign w:val="center"/>
          </w:tcPr>
          <w:p w:rsidR="00725F36" w:rsidRDefault="009140A1">
            <w:pPr>
              <w:jc w:val="right"/>
            </w:pPr>
            <w:r>
              <w:rPr>
                <w:color w:val="000000"/>
                <w:sz w:val="24"/>
                <w:szCs w:val="24"/>
              </w:rPr>
              <w:t>291,365,192.61</w:t>
            </w:r>
          </w:p>
        </w:tc>
        <w:tc>
          <w:tcPr>
            <w:tcW w:w="1644" w:type="dxa"/>
            <w:vAlign w:val="center"/>
          </w:tcPr>
          <w:p w:rsidR="00725F36" w:rsidRDefault="009140A1">
            <w:pPr>
              <w:jc w:val="right"/>
            </w:pPr>
            <w:r>
              <w:rPr>
                <w:color w:val="000000"/>
                <w:sz w:val="24"/>
                <w:szCs w:val="24"/>
              </w:rPr>
              <w:t>8.97</w:t>
            </w:r>
          </w:p>
        </w:tc>
      </w:tr>
      <w:tr w:rsidR="00725F36">
        <w:trPr>
          <w:jc w:val="center"/>
        </w:trPr>
        <w:tc>
          <w:tcPr>
            <w:tcW w:w="855" w:type="dxa"/>
            <w:vAlign w:val="center"/>
          </w:tcPr>
          <w:p w:rsidR="00725F36" w:rsidRDefault="009140A1">
            <w:pPr>
              <w:jc w:val="center"/>
            </w:pPr>
            <w:r>
              <w:rPr>
                <w:color w:val="000000"/>
                <w:sz w:val="24"/>
                <w:szCs w:val="24"/>
              </w:rPr>
              <w:t>2</w:t>
            </w:r>
          </w:p>
        </w:tc>
        <w:tc>
          <w:tcPr>
            <w:tcW w:w="1334" w:type="dxa"/>
            <w:vAlign w:val="center"/>
          </w:tcPr>
          <w:p w:rsidR="00725F36" w:rsidRDefault="009140A1">
            <w:pPr>
              <w:jc w:val="center"/>
            </w:pPr>
            <w:r>
              <w:rPr>
                <w:color w:val="000000"/>
                <w:sz w:val="24"/>
                <w:szCs w:val="24"/>
              </w:rPr>
              <w:t>300347</w:t>
            </w:r>
          </w:p>
        </w:tc>
        <w:tc>
          <w:tcPr>
            <w:tcW w:w="1777" w:type="dxa"/>
            <w:vAlign w:val="center"/>
          </w:tcPr>
          <w:p w:rsidR="00725F36" w:rsidRDefault="009140A1">
            <w:pPr>
              <w:jc w:val="center"/>
            </w:pPr>
            <w:r>
              <w:rPr>
                <w:color w:val="000000"/>
                <w:sz w:val="24"/>
                <w:szCs w:val="24"/>
              </w:rPr>
              <w:t>泰格医药</w:t>
            </w:r>
          </w:p>
        </w:tc>
        <w:tc>
          <w:tcPr>
            <w:tcW w:w="1334" w:type="dxa"/>
            <w:vAlign w:val="center"/>
          </w:tcPr>
          <w:p w:rsidR="00725F36" w:rsidRDefault="009140A1">
            <w:pPr>
              <w:jc w:val="right"/>
            </w:pPr>
            <w:r>
              <w:rPr>
                <w:color w:val="000000"/>
                <w:sz w:val="24"/>
                <w:szCs w:val="24"/>
              </w:rPr>
              <w:t>3,505,628</w:t>
            </w:r>
          </w:p>
        </w:tc>
        <w:tc>
          <w:tcPr>
            <w:tcW w:w="1924" w:type="dxa"/>
            <w:vAlign w:val="center"/>
          </w:tcPr>
          <w:p w:rsidR="00725F36" w:rsidRDefault="009140A1">
            <w:pPr>
              <w:jc w:val="right"/>
            </w:pPr>
            <w:r>
              <w:rPr>
                <w:color w:val="000000"/>
                <w:sz w:val="24"/>
                <w:szCs w:val="24"/>
              </w:rPr>
              <w:t>187,156,279.88</w:t>
            </w:r>
          </w:p>
        </w:tc>
        <w:tc>
          <w:tcPr>
            <w:tcW w:w="1644" w:type="dxa"/>
            <w:vAlign w:val="center"/>
          </w:tcPr>
          <w:p w:rsidR="00725F36" w:rsidRDefault="009140A1">
            <w:pPr>
              <w:jc w:val="right"/>
            </w:pPr>
            <w:r>
              <w:rPr>
                <w:color w:val="000000"/>
                <w:sz w:val="24"/>
                <w:szCs w:val="24"/>
              </w:rPr>
              <w:t>5.76</w:t>
            </w:r>
          </w:p>
        </w:tc>
      </w:tr>
      <w:tr w:rsidR="00725F36">
        <w:trPr>
          <w:jc w:val="center"/>
        </w:trPr>
        <w:tc>
          <w:tcPr>
            <w:tcW w:w="855" w:type="dxa"/>
            <w:vAlign w:val="center"/>
          </w:tcPr>
          <w:p w:rsidR="00725F36" w:rsidRDefault="009140A1">
            <w:pPr>
              <w:jc w:val="center"/>
            </w:pPr>
            <w:r>
              <w:rPr>
                <w:color w:val="000000"/>
                <w:sz w:val="24"/>
                <w:szCs w:val="24"/>
              </w:rPr>
              <w:t>3</w:t>
            </w:r>
          </w:p>
        </w:tc>
        <w:tc>
          <w:tcPr>
            <w:tcW w:w="1334" w:type="dxa"/>
            <w:vAlign w:val="center"/>
          </w:tcPr>
          <w:p w:rsidR="00725F36" w:rsidRDefault="009140A1">
            <w:pPr>
              <w:jc w:val="center"/>
            </w:pPr>
            <w:r>
              <w:rPr>
                <w:color w:val="000000"/>
                <w:sz w:val="24"/>
                <w:szCs w:val="24"/>
              </w:rPr>
              <w:t>601155</w:t>
            </w:r>
          </w:p>
        </w:tc>
        <w:tc>
          <w:tcPr>
            <w:tcW w:w="1777" w:type="dxa"/>
            <w:vAlign w:val="center"/>
          </w:tcPr>
          <w:p w:rsidR="00725F36" w:rsidRDefault="009140A1">
            <w:pPr>
              <w:jc w:val="center"/>
            </w:pPr>
            <w:r>
              <w:rPr>
                <w:color w:val="000000"/>
                <w:sz w:val="24"/>
                <w:szCs w:val="24"/>
              </w:rPr>
              <w:t>新城控股</w:t>
            </w:r>
          </w:p>
        </w:tc>
        <w:tc>
          <w:tcPr>
            <w:tcW w:w="1334" w:type="dxa"/>
            <w:vAlign w:val="center"/>
          </w:tcPr>
          <w:p w:rsidR="00725F36" w:rsidRDefault="009140A1">
            <w:pPr>
              <w:jc w:val="right"/>
            </w:pPr>
            <w:r>
              <w:rPr>
                <w:color w:val="000000"/>
                <w:sz w:val="24"/>
                <w:szCs w:val="24"/>
              </w:rPr>
              <w:t>5,103,499</w:t>
            </w:r>
          </w:p>
        </w:tc>
        <w:tc>
          <w:tcPr>
            <w:tcW w:w="1924" w:type="dxa"/>
            <w:vAlign w:val="center"/>
          </w:tcPr>
          <w:p w:rsidR="00725F36" w:rsidRDefault="009140A1">
            <w:pPr>
              <w:jc w:val="right"/>
            </w:pPr>
            <w:r>
              <w:rPr>
                <w:color w:val="000000"/>
                <w:sz w:val="24"/>
                <w:szCs w:val="24"/>
              </w:rPr>
              <w:t>179,541,094.82</w:t>
            </w:r>
          </w:p>
        </w:tc>
        <w:tc>
          <w:tcPr>
            <w:tcW w:w="1644" w:type="dxa"/>
            <w:vAlign w:val="center"/>
          </w:tcPr>
          <w:p w:rsidR="00725F36" w:rsidRDefault="009140A1">
            <w:pPr>
              <w:jc w:val="right"/>
            </w:pPr>
            <w:r>
              <w:rPr>
                <w:color w:val="000000"/>
                <w:sz w:val="24"/>
                <w:szCs w:val="24"/>
              </w:rPr>
              <w:t>5.53</w:t>
            </w:r>
          </w:p>
        </w:tc>
      </w:tr>
      <w:tr w:rsidR="00725F36">
        <w:trPr>
          <w:jc w:val="center"/>
        </w:trPr>
        <w:tc>
          <w:tcPr>
            <w:tcW w:w="855" w:type="dxa"/>
            <w:vAlign w:val="center"/>
          </w:tcPr>
          <w:p w:rsidR="00725F36" w:rsidRDefault="009140A1">
            <w:pPr>
              <w:jc w:val="center"/>
            </w:pPr>
            <w:r>
              <w:rPr>
                <w:color w:val="000000"/>
                <w:sz w:val="24"/>
                <w:szCs w:val="24"/>
              </w:rPr>
              <w:t>4</w:t>
            </w:r>
          </w:p>
        </w:tc>
        <w:tc>
          <w:tcPr>
            <w:tcW w:w="1334" w:type="dxa"/>
            <w:vAlign w:val="center"/>
          </w:tcPr>
          <w:p w:rsidR="00725F36" w:rsidRDefault="009140A1">
            <w:pPr>
              <w:jc w:val="center"/>
            </w:pPr>
            <w:r>
              <w:rPr>
                <w:color w:val="000000"/>
                <w:sz w:val="24"/>
                <w:szCs w:val="24"/>
              </w:rPr>
              <w:t>601100</w:t>
            </w:r>
          </w:p>
        </w:tc>
        <w:tc>
          <w:tcPr>
            <w:tcW w:w="1777" w:type="dxa"/>
            <w:vAlign w:val="center"/>
          </w:tcPr>
          <w:p w:rsidR="00725F36" w:rsidRDefault="009140A1">
            <w:pPr>
              <w:jc w:val="center"/>
            </w:pPr>
            <w:r>
              <w:rPr>
                <w:color w:val="000000"/>
                <w:sz w:val="24"/>
                <w:szCs w:val="24"/>
              </w:rPr>
              <w:t>恒立液压</w:t>
            </w:r>
          </w:p>
        </w:tc>
        <w:tc>
          <w:tcPr>
            <w:tcW w:w="1334" w:type="dxa"/>
            <w:vAlign w:val="center"/>
          </w:tcPr>
          <w:p w:rsidR="00725F36" w:rsidRDefault="009140A1">
            <w:pPr>
              <w:jc w:val="right"/>
            </w:pPr>
            <w:r>
              <w:rPr>
                <w:color w:val="000000"/>
                <w:sz w:val="24"/>
                <w:szCs w:val="24"/>
              </w:rPr>
              <w:t>5,663,133</w:t>
            </w:r>
          </w:p>
        </w:tc>
        <w:tc>
          <w:tcPr>
            <w:tcW w:w="1924" w:type="dxa"/>
            <w:vAlign w:val="center"/>
          </w:tcPr>
          <w:p w:rsidR="00725F36" w:rsidRDefault="009140A1">
            <w:pPr>
              <w:jc w:val="right"/>
            </w:pPr>
            <w:r>
              <w:rPr>
                <w:color w:val="000000"/>
                <w:sz w:val="24"/>
                <w:szCs w:val="24"/>
              </w:rPr>
              <w:t>172,555,662.51</w:t>
            </w:r>
          </w:p>
        </w:tc>
        <w:tc>
          <w:tcPr>
            <w:tcW w:w="1644" w:type="dxa"/>
            <w:vAlign w:val="center"/>
          </w:tcPr>
          <w:p w:rsidR="00725F36" w:rsidRDefault="009140A1">
            <w:pPr>
              <w:jc w:val="right"/>
            </w:pPr>
            <w:r>
              <w:rPr>
                <w:color w:val="000000"/>
                <w:sz w:val="24"/>
                <w:szCs w:val="24"/>
              </w:rPr>
              <w:t>5.31</w:t>
            </w:r>
          </w:p>
        </w:tc>
      </w:tr>
      <w:tr w:rsidR="00725F36">
        <w:trPr>
          <w:jc w:val="center"/>
        </w:trPr>
        <w:tc>
          <w:tcPr>
            <w:tcW w:w="855" w:type="dxa"/>
            <w:vAlign w:val="center"/>
          </w:tcPr>
          <w:p w:rsidR="00725F36" w:rsidRDefault="009140A1">
            <w:pPr>
              <w:jc w:val="center"/>
            </w:pPr>
            <w:r>
              <w:rPr>
                <w:color w:val="000000"/>
                <w:sz w:val="24"/>
                <w:szCs w:val="24"/>
              </w:rPr>
              <w:t>5</w:t>
            </w:r>
          </w:p>
        </w:tc>
        <w:tc>
          <w:tcPr>
            <w:tcW w:w="1334" w:type="dxa"/>
            <w:vAlign w:val="center"/>
          </w:tcPr>
          <w:p w:rsidR="00725F36" w:rsidRDefault="009140A1">
            <w:pPr>
              <w:jc w:val="center"/>
            </w:pPr>
            <w:r>
              <w:rPr>
                <w:color w:val="000000"/>
                <w:sz w:val="24"/>
                <w:szCs w:val="24"/>
              </w:rPr>
              <w:t>002456</w:t>
            </w:r>
          </w:p>
        </w:tc>
        <w:tc>
          <w:tcPr>
            <w:tcW w:w="1777" w:type="dxa"/>
            <w:vAlign w:val="center"/>
          </w:tcPr>
          <w:p w:rsidR="00725F36" w:rsidRDefault="009140A1">
            <w:pPr>
              <w:jc w:val="center"/>
            </w:pPr>
            <w:r>
              <w:rPr>
                <w:color w:val="000000"/>
                <w:sz w:val="24"/>
                <w:szCs w:val="24"/>
              </w:rPr>
              <w:t>欧菲科技</w:t>
            </w:r>
          </w:p>
        </w:tc>
        <w:tc>
          <w:tcPr>
            <w:tcW w:w="1334" w:type="dxa"/>
            <w:vAlign w:val="center"/>
          </w:tcPr>
          <w:p w:rsidR="00725F36" w:rsidRDefault="009140A1">
            <w:pPr>
              <w:jc w:val="right"/>
            </w:pPr>
            <w:r>
              <w:rPr>
                <w:color w:val="000000"/>
                <w:sz w:val="24"/>
                <w:szCs w:val="24"/>
              </w:rPr>
              <w:t>8,258,897</w:t>
            </w:r>
          </w:p>
        </w:tc>
        <w:tc>
          <w:tcPr>
            <w:tcW w:w="1924" w:type="dxa"/>
            <w:vAlign w:val="center"/>
          </w:tcPr>
          <w:p w:rsidR="00725F36" w:rsidRDefault="009140A1">
            <w:pPr>
              <w:jc w:val="right"/>
            </w:pPr>
            <w:r>
              <w:rPr>
                <w:color w:val="000000"/>
                <w:sz w:val="24"/>
                <w:szCs w:val="24"/>
              </w:rPr>
              <w:t>167,325,253.22</w:t>
            </w:r>
          </w:p>
        </w:tc>
        <w:tc>
          <w:tcPr>
            <w:tcW w:w="1644" w:type="dxa"/>
            <w:vAlign w:val="center"/>
          </w:tcPr>
          <w:p w:rsidR="00725F36" w:rsidRDefault="009140A1">
            <w:pPr>
              <w:jc w:val="right"/>
            </w:pPr>
            <w:r>
              <w:rPr>
                <w:color w:val="000000"/>
                <w:sz w:val="24"/>
                <w:szCs w:val="24"/>
              </w:rPr>
              <w:t>5.15</w:t>
            </w:r>
          </w:p>
        </w:tc>
      </w:tr>
      <w:tr w:rsidR="00725F36">
        <w:trPr>
          <w:jc w:val="center"/>
        </w:trPr>
        <w:tc>
          <w:tcPr>
            <w:tcW w:w="855" w:type="dxa"/>
            <w:vAlign w:val="center"/>
          </w:tcPr>
          <w:p w:rsidR="00725F36" w:rsidRDefault="009140A1">
            <w:pPr>
              <w:jc w:val="center"/>
            </w:pPr>
            <w:r>
              <w:rPr>
                <w:color w:val="000000"/>
                <w:sz w:val="24"/>
                <w:szCs w:val="24"/>
              </w:rPr>
              <w:t>6</w:t>
            </w:r>
          </w:p>
        </w:tc>
        <w:tc>
          <w:tcPr>
            <w:tcW w:w="1334" w:type="dxa"/>
            <w:vAlign w:val="center"/>
          </w:tcPr>
          <w:p w:rsidR="00725F36" w:rsidRDefault="009140A1">
            <w:pPr>
              <w:jc w:val="center"/>
            </w:pPr>
            <w:r>
              <w:rPr>
                <w:color w:val="000000"/>
                <w:sz w:val="24"/>
                <w:szCs w:val="24"/>
              </w:rPr>
              <w:t>601009</w:t>
            </w:r>
          </w:p>
        </w:tc>
        <w:tc>
          <w:tcPr>
            <w:tcW w:w="1777" w:type="dxa"/>
            <w:vAlign w:val="center"/>
          </w:tcPr>
          <w:p w:rsidR="00725F36" w:rsidRDefault="009140A1">
            <w:pPr>
              <w:jc w:val="center"/>
            </w:pPr>
            <w:r>
              <w:rPr>
                <w:color w:val="000000"/>
                <w:sz w:val="24"/>
                <w:szCs w:val="24"/>
              </w:rPr>
              <w:t>南京银行</w:t>
            </w:r>
          </w:p>
        </w:tc>
        <w:tc>
          <w:tcPr>
            <w:tcW w:w="1334" w:type="dxa"/>
            <w:vAlign w:val="center"/>
          </w:tcPr>
          <w:p w:rsidR="00725F36" w:rsidRDefault="009140A1">
            <w:pPr>
              <w:jc w:val="right"/>
            </w:pPr>
            <w:r>
              <w:rPr>
                <w:color w:val="000000"/>
                <w:sz w:val="24"/>
                <w:szCs w:val="24"/>
              </w:rPr>
              <w:t>18,582,697</w:t>
            </w:r>
          </w:p>
        </w:tc>
        <w:tc>
          <w:tcPr>
            <w:tcW w:w="1924" w:type="dxa"/>
            <w:vAlign w:val="center"/>
          </w:tcPr>
          <w:p w:rsidR="00725F36" w:rsidRDefault="009140A1">
            <w:pPr>
              <w:jc w:val="right"/>
            </w:pPr>
            <w:r>
              <w:rPr>
                <w:color w:val="000000"/>
                <w:sz w:val="24"/>
                <w:szCs w:val="24"/>
              </w:rPr>
              <w:t>151,820,634.49</w:t>
            </w:r>
          </w:p>
        </w:tc>
        <w:tc>
          <w:tcPr>
            <w:tcW w:w="1644" w:type="dxa"/>
            <w:vAlign w:val="center"/>
          </w:tcPr>
          <w:p w:rsidR="00725F36" w:rsidRDefault="009140A1">
            <w:pPr>
              <w:jc w:val="right"/>
            </w:pPr>
            <w:r>
              <w:rPr>
                <w:color w:val="000000"/>
                <w:sz w:val="24"/>
                <w:szCs w:val="24"/>
              </w:rPr>
              <w:t>4.67</w:t>
            </w:r>
          </w:p>
        </w:tc>
      </w:tr>
      <w:tr w:rsidR="00725F36">
        <w:trPr>
          <w:jc w:val="center"/>
        </w:trPr>
        <w:tc>
          <w:tcPr>
            <w:tcW w:w="855" w:type="dxa"/>
            <w:vAlign w:val="center"/>
          </w:tcPr>
          <w:p w:rsidR="00725F36" w:rsidRDefault="009140A1">
            <w:pPr>
              <w:jc w:val="center"/>
            </w:pPr>
            <w:r>
              <w:rPr>
                <w:color w:val="000000"/>
                <w:sz w:val="24"/>
                <w:szCs w:val="24"/>
              </w:rPr>
              <w:t>7</w:t>
            </w:r>
          </w:p>
        </w:tc>
        <w:tc>
          <w:tcPr>
            <w:tcW w:w="1334" w:type="dxa"/>
            <w:vAlign w:val="center"/>
          </w:tcPr>
          <w:p w:rsidR="00725F36" w:rsidRDefault="009140A1">
            <w:pPr>
              <w:jc w:val="center"/>
            </w:pPr>
            <w:r>
              <w:rPr>
                <w:color w:val="000000"/>
                <w:sz w:val="24"/>
                <w:szCs w:val="24"/>
              </w:rPr>
              <w:t>002142</w:t>
            </w:r>
          </w:p>
        </w:tc>
        <w:tc>
          <w:tcPr>
            <w:tcW w:w="1777" w:type="dxa"/>
            <w:vAlign w:val="center"/>
          </w:tcPr>
          <w:p w:rsidR="00725F36" w:rsidRDefault="009140A1">
            <w:pPr>
              <w:jc w:val="center"/>
            </w:pPr>
            <w:r>
              <w:rPr>
                <w:color w:val="000000"/>
                <w:sz w:val="24"/>
                <w:szCs w:val="24"/>
              </w:rPr>
              <w:t>宁波银行</w:t>
            </w:r>
          </w:p>
        </w:tc>
        <w:tc>
          <w:tcPr>
            <w:tcW w:w="1334" w:type="dxa"/>
            <w:vAlign w:val="center"/>
          </w:tcPr>
          <w:p w:rsidR="00725F36" w:rsidRDefault="009140A1">
            <w:pPr>
              <w:jc w:val="right"/>
            </w:pPr>
            <w:r>
              <w:rPr>
                <w:color w:val="000000"/>
                <w:sz w:val="24"/>
                <w:szCs w:val="24"/>
              </w:rPr>
              <w:t>7,306,127</w:t>
            </w:r>
          </w:p>
        </w:tc>
        <w:tc>
          <w:tcPr>
            <w:tcW w:w="1924" w:type="dxa"/>
            <w:vAlign w:val="center"/>
          </w:tcPr>
          <w:p w:rsidR="00725F36" w:rsidRDefault="009140A1">
            <w:pPr>
              <w:jc w:val="right"/>
            </w:pPr>
            <w:r>
              <w:rPr>
                <w:color w:val="000000"/>
                <w:sz w:val="24"/>
                <w:szCs w:val="24"/>
              </w:rPr>
              <w:t>139,035,596.81</w:t>
            </w:r>
          </w:p>
        </w:tc>
        <w:tc>
          <w:tcPr>
            <w:tcW w:w="1644" w:type="dxa"/>
            <w:vAlign w:val="center"/>
          </w:tcPr>
          <w:p w:rsidR="00725F36" w:rsidRDefault="009140A1">
            <w:pPr>
              <w:jc w:val="right"/>
            </w:pPr>
            <w:r>
              <w:rPr>
                <w:color w:val="000000"/>
                <w:sz w:val="24"/>
                <w:szCs w:val="24"/>
              </w:rPr>
              <w:t>4.28</w:t>
            </w:r>
          </w:p>
        </w:tc>
      </w:tr>
      <w:tr w:rsidR="00725F36">
        <w:trPr>
          <w:jc w:val="center"/>
        </w:trPr>
        <w:tc>
          <w:tcPr>
            <w:tcW w:w="855" w:type="dxa"/>
            <w:vAlign w:val="center"/>
          </w:tcPr>
          <w:p w:rsidR="00725F36" w:rsidRDefault="009140A1">
            <w:pPr>
              <w:jc w:val="center"/>
            </w:pPr>
            <w:r>
              <w:rPr>
                <w:color w:val="000000"/>
                <w:sz w:val="24"/>
                <w:szCs w:val="24"/>
              </w:rPr>
              <w:t>8</w:t>
            </w:r>
          </w:p>
        </w:tc>
        <w:tc>
          <w:tcPr>
            <w:tcW w:w="1334" w:type="dxa"/>
            <w:vAlign w:val="center"/>
          </w:tcPr>
          <w:p w:rsidR="00725F36" w:rsidRDefault="009140A1">
            <w:pPr>
              <w:jc w:val="center"/>
            </w:pPr>
            <w:r>
              <w:rPr>
                <w:color w:val="000000"/>
                <w:sz w:val="24"/>
                <w:szCs w:val="24"/>
              </w:rPr>
              <w:t>600048</w:t>
            </w:r>
          </w:p>
        </w:tc>
        <w:tc>
          <w:tcPr>
            <w:tcW w:w="1777" w:type="dxa"/>
            <w:vAlign w:val="center"/>
          </w:tcPr>
          <w:p w:rsidR="00725F36" w:rsidRDefault="009140A1">
            <w:pPr>
              <w:jc w:val="center"/>
            </w:pPr>
            <w:r>
              <w:rPr>
                <w:color w:val="000000"/>
                <w:sz w:val="24"/>
                <w:szCs w:val="24"/>
              </w:rPr>
              <w:t>保利地产</w:t>
            </w:r>
          </w:p>
        </w:tc>
        <w:tc>
          <w:tcPr>
            <w:tcW w:w="1334" w:type="dxa"/>
            <w:vAlign w:val="center"/>
          </w:tcPr>
          <w:p w:rsidR="00725F36" w:rsidRDefault="009140A1">
            <w:pPr>
              <w:jc w:val="right"/>
            </w:pPr>
            <w:r>
              <w:rPr>
                <w:color w:val="000000"/>
                <w:sz w:val="24"/>
                <w:szCs w:val="24"/>
              </w:rPr>
              <w:t>9,961,402</w:t>
            </w:r>
          </w:p>
        </w:tc>
        <w:tc>
          <w:tcPr>
            <w:tcW w:w="1924" w:type="dxa"/>
            <w:vAlign w:val="center"/>
          </w:tcPr>
          <w:p w:rsidR="00725F36" w:rsidRDefault="009140A1">
            <w:pPr>
              <w:jc w:val="right"/>
            </w:pPr>
            <w:r>
              <w:rPr>
                <w:color w:val="000000"/>
                <w:sz w:val="24"/>
                <w:szCs w:val="24"/>
              </w:rPr>
              <w:t>134,180,084.94</w:t>
            </w:r>
          </w:p>
        </w:tc>
        <w:tc>
          <w:tcPr>
            <w:tcW w:w="1644" w:type="dxa"/>
            <w:vAlign w:val="center"/>
          </w:tcPr>
          <w:p w:rsidR="00725F36" w:rsidRDefault="009140A1">
            <w:pPr>
              <w:jc w:val="right"/>
            </w:pPr>
            <w:r>
              <w:rPr>
                <w:color w:val="000000"/>
                <w:sz w:val="24"/>
                <w:szCs w:val="24"/>
              </w:rPr>
              <w:t>4.13</w:t>
            </w:r>
          </w:p>
        </w:tc>
      </w:tr>
      <w:tr w:rsidR="00725F36">
        <w:trPr>
          <w:jc w:val="center"/>
        </w:trPr>
        <w:tc>
          <w:tcPr>
            <w:tcW w:w="855" w:type="dxa"/>
            <w:vAlign w:val="center"/>
          </w:tcPr>
          <w:p w:rsidR="00725F36" w:rsidRDefault="009140A1">
            <w:pPr>
              <w:jc w:val="center"/>
            </w:pPr>
            <w:r>
              <w:rPr>
                <w:color w:val="000000"/>
                <w:sz w:val="24"/>
                <w:szCs w:val="24"/>
              </w:rPr>
              <w:t>9</w:t>
            </w:r>
          </w:p>
        </w:tc>
        <w:tc>
          <w:tcPr>
            <w:tcW w:w="1334" w:type="dxa"/>
            <w:vAlign w:val="center"/>
          </w:tcPr>
          <w:p w:rsidR="00725F36" w:rsidRDefault="009140A1">
            <w:pPr>
              <w:jc w:val="center"/>
            </w:pPr>
            <w:r>
              <w:rPr>
                <w:color w:val="000000"/>
                <w:sz w:val="24"/>
                <w:szCs w:val="24"/>
              </w:rPr>
              <w:t>600066</w:t>
            </w:r>
          </w:p>
        </w:tc>
        <w:tc>
          <w:tcPr>
            <w:tcW w:w="1777" w:type="dxa"/>
            <w:vAlign w:val="center"/>
          </w:tcPr>
          <w:p w:rsidR="00725F36" w:rsidRDefault="009140A1">
            <w:pPr>
              <w:jc w:val="center"/>
            </w:pPr>
            <w:r>
              <w:rPr>
                <w:color w:val="000000"/>
                <w:sz w:val="24"/>
                <w:szCs w:val="24"/>
              </w:rPr>
              <w:t>宇通客车</w:t>
            </w:r>
          </w:p>
        </w:tc>
        <w:tc>
          <w:tcPr>
            <w:tcW w:w="1334" w:type="dxa"/>
            <w:vAlign w:val="center"/>
          </w:tcPr>
          <w:p w:rsidR="00725F36" w:rsidRDefault="009140A1">
            <w:pPr>
              <w:jc w:val="right"/>
            </w:pPr>
            <w:r>
              <w:rPr>
                <w:color w:val="000000"/>
                <w:sz w:val="24"/>
                <w:szCs w:val="24"/>
              </w:rPr>
              <w:t>5,772,488</w:t>
            </w:r>
          </w:p>
        </w:tc>
        <w:tc>
          <w:tcPr>
            <w:tcW w:w="1924" w:type="dxa"/>
            <w:vAlign w:val="center"/>
          </w:tcPr>
          <w:p w:rsidR="00725F36" w:rsidRDefault="009140A1">
            <w:pPr>
              <w:jc w:val="right"/>
            </w:pPr>
            <w:r>
              <w:rPr>
                <w:color w:val="000000"/>
                <w:sz w:val="24"/>
                <w:szCs w:val="24"/>
              </w:rPr>
              <w:t>129,072,831.68</w:t>
            </w:r>
          </w:p>
        </w:tc>
        <w:tc>
          <w:tcPr>
            <w:tcW w:w="1644" w:type="dxa"/>
            <w:vAlign w:val="center"/>
          </w:tcPr>
          <w:p w:rsidR="00725F36" w:rsidRDefault="009140A1">
            <w:pPr>
              <w:jc w:val="right"/>
            </w:pPr>
            <w:r>
              <w:rPr>
                <w:color w:val="000000"/>
                <w:sz w:val="24"/>
                <w:szCs w:val="24"/>
              </w:rPr>
              <w:t>3.97</w:t>
            </w:r>
          </w:p>
        </w:tc>
      </w:tr>
      <w:tr w:rsidR="00725F36">
        <w:trPr>
          <w:jc w:val="center"/>
        </w:trPr>
        <w:tc>
          <w:tcPr>
            <w:tcW w:w="855" w:type="dxa"/>
            <w:vAlign w:val="center"/>
          </w:tcPr>
          <w:p w:rsidR="00725F36" w:rsidRDefault="009140A1">
            <w:pPr>
              <w:jc w:val="center"/>
            </w:pPr>
            <w:r>
              <w:rPr>
                <w:color w:val="000000"/>
                <w:sz w:val="24"/>
                <w:szCs w:val="24"/>
              </w:rPr>
              <w:t>10</w:t>
            </w:r>
          </w:p>
        </w:tc>
        <w:tc>
          <w:tcPr>
            <w:tcW w:w="1334" w:type="dxa"/>
            <w:vAlign w:val="center"/>
          </w:tcPr>
          <w:p w:rsidR="00725F36" w:rsidRDefault="009140A1">
            <w:pPr>
              <w:jc w:val="center"/>
            </w:pPr>
            <w:r>
              <w:rPr>
                <w:color w:val="000000"/>
                <w:sz w:val="24"/>
                <w:szCs w:val="24"/>
              </w:rPr>
              <w:t>000725</w:t>
            </w:r>
          </w:p>
        </w:tc>
        <w:tc>
          <w:tcPr>
            <w:tcW w:w="1777" w:type="dxa"/>
            <w:vAlign w:val="center"/>
          </w:tcPr>
          <w:p w:rsidR="00725F36" w:rsidRDefault="009140A1">
            <w:pPr>
              <w:jc w:val="center"/>
            </w:pPr>
            <w:r>
              <w:rPr>
                <w:color w:val="000000"/>
                <w:sz w:val="24"/>
                <w:szCs w:val="24"/>
              </w:rPr>
              <w:t>京东方</w:t>
            </w:r>
            <w:r>
              <w:rPr>
                <w:color w:val="000000"/>
                <w:sz w:val="24"/>
                <w:szCs w:val="24"/>
              </w:rPr>
              <w:t>A</w:t>
            </w:r>
          </w:p>
        </w:tc>
        <w:tc>
          <w:tcPr>
            <w:tcW w:w="1334" w:type="dxa"/>
            <w:vAlign w:val="center"/>
          </w:tcPr>
          <w:p w:rsidR="00725F36" w:rsidRDefault="009140A1">
            <w:pPr>
              <w:jc w:val="right"/>
            </w:pPr>
            <w:r>
              <w:rPr>
                <w:color w:val="000000"/>
                <w:sz w:val="24"/>
                <w:szCs w:val="24"/>
              </w:rPr>
              <w:t>23,445,567</w:t>
            </w:r>
          </w:p>
        </w:tc>
        <w:tc>
          <w:tcPr>
            <w:tcW w:w="1924" w:type="dxa"/>
            <w:vAlign w:val="center"/>
          </w:tcPr>
          <w:p w:rsidR="00725F36" w:rsidRDefault="009140A1">
            <w:pPr>
              <w:jc w:val="right"/>
            </w:pPr>
            <w:r>
              <w:rPr>
                <w:color w:val="000000"/>
                <w:sz w:val="24"/>
                <w:szCs w:val="24"/>
              </w:rPr>
              <w:t>124,730,416.44</w:t>
            </w:r>
          </w:p>
        </w:tc>
        <w:tc>
          <w:tcPr>
            <w:tcW w:w="1644" w:type="dxa"/>
            <w:vAlign w:val="center"/>
          </w:tcPr>
          <w:p w:rsidR="00725F36" w:rsidRDefault="009140A1">
            <w:pPr>
              <w:jc w:val="right"/>
            </w:pPr>
            <w:r>
              <w:rPr>
                <w:color w:val="000000"/>
                <w:sz w:val="24"/>
                <w:szCs w:val="24"/>
              </w:rPr>
              <w:t>3.84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100,025,000.00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100,025,000.00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118,704,000.00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3.65</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218,729,000.00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6.73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rsidR="00725F36">
        <w:trPr>
          <w:jc w:val="center"/>
        </w:trPr>
        <w:tc>
          <w:tcPr>
            <w:tcW w:w="850" w:type="dxa"/>
            <w:vAlign w:val="center"/>
          </w:tcPr>
          <w:p w:rsidR="00725F36" w:rsidRDefault="009140A1">
            <w:pPr>
              <w:jc w:val="center"/>
            </w:pPr>
            <w:r>
              <w:rPr>
                <w:color w:val="000000"/>
                <w:sz w:val="24"/>
                <w:szCs w:val="24"/>
              </w:rPr>
              <w:lastRenderedPageBreak/>
              <w:t>1</w:t>
            </w:r>
          </w:p>
        </w:tc>
        <w:tc>
          <w:tcPr>
            <w:tcW w:w="1475" w:type="dxa"/>
            <w:vAlign w:val="center"/>
          </w:tcPr>
          <w:p w:rsidR="00725F36" w:rsidRDefault="009140A1">
            <w:pPr>
              <w:jc w:val="center"/>
            </w:pPr>
            <w:r>
              <w:rPr>
                <w:color w:val="000000"/>
                <w:sz w:val="24"/>
                <w:szCs w:val="24"/>
              </w:rPr>
              <w:t>111815091</w:t>
            </w:r>
          </w:p>
        </w:tc>
        <w:tc>
          <w:tcPr>
            <w:tcW w:w="1769" w:type="dxa"/>
            <w:vAlign w:val="center"/>
          </w:tcPr>
          <w:p w:rsidR="00725F36" w:rsidRDefault="009140A1">
            <w:pPr>
              <w:jc w:val="center"/>
            </w:pPr>
            <w:r>
              <w:rPr>
                <w:color w:val="000000"/>
                <w:sz w:val="24"/>
                <w:szCs w:val="24"/>
              </w:rPr>
              <w:t>18</w:t>
            </w:r>
            <w:r>
              <w:rPr>
                <w:color w:val="000000"/>
                <w:sz w:val="24"/>
                <w:szCs w:val="24"/>
              </w:rPr>
              <w:t>民生银行</w:t>
            </w:r>
            <w:r>
              <w:rPr>
                <w:color w:val="000000"/>
                <w:sz w:val="24"/>
                <w:szCs w:val="24"/>
              </w:rPr>
              <w:t>CD091</w:t>
            </w:r>
          </w:p>
        </w:tc>
        <w:tc>
          <w:tcPr>
            <w:tcW w:w="1387" w:type="dxa"/>
            <w:vAlign w:val="center"/>
          </w:tcPr>
          <w:p w:rsidR="00725F36" w:rsidRDefault="009140A1">
            <w:pPr>
              <w:jc w:val="right"/>
            </w:pPr>
            <w:r>
              <w:rPr>
                <w:color w:val="000000"/>
                <w:sz w:val="24"/>
                <w:szCs w:val="24"/>
              </w:rPr>
              <w:t>1,200,000</w:t>
            </w:r>
          </w:p>
        </w:tc>
        <w:tc>
          <w:tcPr>
            <w:tcW w:w="2150" w:type="dxa"/>
            <w:vAlign w:val="center"/>
          </w:tcPr>
          <w:p w:rsidR="00725F36" w:rsidRDefault="009140A1">
            <w:pPr>
              <w:jc w:val="right"/>
            </w:pPr>
            <w:r>
              <w:rPr>
                <w:color w:val="000000"/>
                <w:sz w:val="24"/>
                <w:szCs w:val="24"/>
              </w:rPr>
              <w:t>118,704,000.00</w:t>
            </w:r>
          </w:p>
        </w:tc>
        <w:tc>
          <w:tcPr>
            <w:tcW w:w="1237" w:type="dxa"/>
            <w:vAlign w:val="center"/>
          </w:tcPr>
          <w:p w:rsidR="00725F36" w:rsidRDefault="009140A1">
            <w:pPr>
              <w:jc w:val="right"/>
            </w:pPr>
            <w:r>
              <w:rPr>
                <w:color w:val="000000"/>
                <w:sz w:val="24"/>
                <w:szCs w:val="24"/>
              </w:rPr>
              <w:t>3.65</w:t>
            </w:r>
          </w:p>
        </w:tc>
      </w:tr>
      <w:tr w:rsidR="00725F36">
        <w:trPr>
          <w:jc w:val="center"/>
        </w:trPr>
        <w:tc>
          <w:tcPr>
            <w:tcW w:w="850" w:type="dxa"/>
            <w:vAlign w:val="center"/>
          </w:tcPr>
          <w:p w:rsidR="00725F36" w:rsidRDefault="009140A1">
            <w:pPr>
              <w:jc w:val="center"/>
            </w:pPr>
            <w:r>
              <w:rPr>
                <w:color w:val="000000"/>
                <w:sz w:val="24"/>
                <w:szCs w:val="24"/>
              </w:rPr>
              <w:t>2</w:t>
            </w:r>
          </w:p>
        </w:tc>
        <w:tc>
          <w:tcPr>
            <w:tcW w:w="1475" w:type="dxa"/>
            <w:vAlign w:val="center"/>
          </w:tcPr>
          <w:p w:rsidR="00725F36" w:rsidRDefault="009140A1">
            <w:pPr>
              <w:jc w:val="center"/>
            </w:pPr>
            <w:r>
              <w:rPr>
                <w:color w:val="000000"/>
                <w:sz w:val="24"/>
                <w:szCs w:val="24"/>
              </w:rPr>
              <w:t>150418</w:t>
            </w:r>
          </w:p>
        </w:tc>
        <w:tc>
          <w:tcPr>
            <w:tcW w:w="1769" w:type="dxa"/>
            <w:vAlign w:val="center"/>
          </w:tcPr>
          <w:p w:rsidR="00725F36" w:rsidRDefault="009140A1">
            <w:pPr>
              <w:jc w:val="center"/>
            </w:pPr>
            <w:r>
              <w:rPr>
                <w:color w:val="000000"/>
                <w:sz w:val="24"/>
                <w:szCs w:val="24"/>
              </w:rPr>
              <w:t>15</w:t>
            </w:r>
            <w:r>
              <w:rPr>
                <w:color w:val="000000"/>
                <w:sz w:val="24"/>
                <w:szCs w:val="24"/>
              </w:rPr>
              <w:t>农发</w:t>
            </w:r>
            <w:r>
              <w:rPr>
                <w:color w:val="000000"/>
                <w:sz w:val="24"/>
                <w:szCs w:val="24"/>
              </w:rPr>
              <w:t>18</w:t>
            </w:r>
          </w:p>
        </w:tc>
        <w:tc>
          <w:tcPr>
            <w:tcW w:w="1387" w:type="dxa"/>
            <w:vAlign w:val="center"/>
          </w:tcPr>
          <w:p w:rsidR="00725F36" w:rsidRDefault="009140A1">
            <w:pPr>
              <w:jc w:val="right"/>
            </w:pPr>
            <w:r>
              <w:rPr>
                <w:color w:val="000000"/>
                <w:sz w:val="24"/>
                <w:szCs w:val="24"/>
              </w:rPr>
              <w:t>500,000</w:t>
            </w:r>
          </w:p>
        </w:tc>
        <w:tc>
          <w:tcPr>
            <w:tcW w:w="2150" w:type="dxa"/>
            <w:vAlign w:val="center"/>
          </w:tcPr>
          <w:p w:rsidR="00725F36" w:rsidRDefault="009140A1">
            <w:pPr>
              <w:jc w:val="right"/>
            </w:pPr>
            <w:r>
              <w:rPr>
                <w:color w:val="000000"/>
                <w:sz w:val="24"/>
                <w:szCs w:val="24"/>
              </w:rPr>
              <w:t>50,025,000.00</w:t>
            </w:r>
          </w:p>
        </w:tc>
        <w:tc>
          <w:tcPr>
            <w:tcW w:w="1237" w:type="dxa"/>
            <w:vAlign w:val="center"/>
          </w:tcPr>
          <w:p w:rsidR="00725F36" w:rsidRDefault="009140A1">
            <w:pPr>
              <w:jc w:val="right"/>
            </w:pPr>
            <w:r>
              <w:rPr>
                <w:color w:val="000000"/>
                <w:sz w:val="24"/>
                <w:szCs w:val="24"/>
              </w:rPr>
              <w:t>1.54</w:t>
            </w:r>
          </w:p>
        </w:tc>
      </w:tr>
      <w:tr w:rsidR="00725F36">
        <w:trPr>
          <w:jc w:val="center"/>
        </w:trPr>
        <w:tc>
          <w:tcPr>
            <w:tcW w:w="850" w:type="dxa"/>
            <w:vAlign w:val="center"/>
          </w:tcPr>
          <w:p w:rsidR="00725F36" w:rsidRDefault="009140A1">
            <w:pPr>
              <w:jc w:val="center"/>
            </w:pPr>
            <w:r>
              <w:rPr>
                <w:color w:val="000000"/>
                <w:sz w:val="24"/>
                <w:szCs w:val="24"/>
              </w:rPr>
              <w:t>3</w:t>
            </w:r>
          </w:p>
        </w:tc>
        <w:tc>
          <w:tcPr>
            <w:tcW w:w="1475" w:type="dxa"/>
            <w:vAlign w:val="center"/>
          </w:tcPr>
          <w:p w:rsidR="00725F36" w:rsidRDefault="009140A1">
            <w:pPr>
              <w:jc w:val="center"/>
            </w:pPr>
            <w:r>
              <w:rPr>
                <w:color w:val="000000"/>
                <w:sz w:val="24"/>
                <w:szCs w:val="24"/>
              </w:rPr>
              <w:t>150207</w:t>
            </w:r>
          </w:p>
        </w:tc>
        <w:tc>
          <w:tcPr>
            <w:tcW w:w="1769" w:type="dxa"/>
            <w:vAlign w:val="center"/>
          </w:tcPr>
          <w:p w:rsidR="00725F36" w:rsidRDefault="009140A1">
            <w:pPr>
              <w:jc w:val="center"/>
            </w:pPr>
            <w:r>
              <w:rPr>
                <w:color w:val="000000"/>
                <w:sz w:val="24"/>
                <w:szCs w:val="24"/>
              </w:rPr>
              <w:t>15</w:t>
            </w:r>
            <w:r>
              <w:rPr>
                <w:color w:val="000000"/>
                <w:sz w:val="24"/>
                <w:szCs w:val="24"/>
              </w:rPr>
              <w:t>国开</w:t>
            </w:r>
            <w:r>
              <w:rPr>
                <w:color w:val="000000"/>
                <w:sz w:val="24"/>
                <w:szCs w:val="24"/>
              </w:rPr>
              <w:t>07</w:t>
            </w:r>
          </w:p>
        </w:tc>
        <w:tc>
          <w:tcPr>
            <w:tcW w:w="1387" w:type="dxa"/>
            <w:vAlign w:val="center"/>
          </w:tcPr>
          <w:p w:rsidR="00725F36" w:rsidRDefault="009140A1">
            <w:pPr>
              <w:jc w:val="right"/>
            </w:pPr>
            <w:r>
              <w:rPr>
                <w:color w:val="000000"/>
                <w:sz w:val="24"/>
                <w:szCs w:val="24"/>
              </w:rPr>
              <w:t>500,000</w:t>
            </w:r>
          </w:p>
        </w:tc>
        <w:tc>
          <w:tcPr>
            <w:tcW w:w="2150" w:type="dxa"/>
            <w:vAlign w:val="center"/>
          </w:tcPr>
          <w:p w:rsidR="00725F36" w:rsidRDefault="009140A1">
            <w:pPr>
              <w:jc w:val="right"/>
            </w:pPr>
            <w:r>
              <w:rPr>
                <w:color w:val="000000"/>
                <w:sz w:val="24"/>
                <w:szCs w:val="24"/>
              </w:rPr>
              <w:t>50,000,000.00</w:t>
            </w:r>
          </w:p>
        </w:tc>
        <w:tc>
          <w:tcPr>
            <w:tcW w:w="1237" w:type="dxa"/>
            <w:vAlign w:val="center"/>
          </w:tcPr>
          <w:p w:rsidR="00725F36" w:rsidRDefault="009140A1">
            <w:pPr>
              <w:jc w:val="right"/>
            </w:pPr>
            <w:r>
              <w:rPr>
                <w:color w:val="000000"/>
                <w:sz w:val="24"/>
                <w:szCs w:val="24"/>
              </w:rPr>
              <w:t>1.54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r w:rsidRPr="00414345">
        <w:rPr>
          <w:color w:val="000000"/>
          <w:sz w:val="24"/>
          <w:szCs w:val="24"/>
        </w:rPr>
        <w:t xml:space="preserve"> </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报告期内本基金投资的前十名证券的发行主体除南京银行（证券代码：</w:t>
      </w:r>
      <w:r w:rsidRPr="00BE5388">
        <w:rPr>
          <w:bCs/>
          <w:color w:val="000000"/>
          <w:kern w:val="0"/>
          <w:sz w:val="24"/>
          <w:szCs w:val="24"/>
        </w:rPr>
        <w:t>601009</w:t>
      </w:r>
      <w:r w:rsidRPr="00BE5388">
        <w:rPr>
          <w:bCs/>
          <w:color w:val="000000"/>
          <w:kern w:val="0"/>
          <w:sz w:val="24"/>
          <w:szCs w:val="24"/>
        </w:rPr>
        <w:t>）外，未出现被监管部门立案调查，或在报告编制日前一年内受到公开谴责、处罚的情形。</w:t>
      </w:r>
    </w:p>
    <w:p w:rsidR="00725F36" w:rsidRDefault="009140A1">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报告期内本基金投资的前十名证券之一南京银行（证券代码：</w:t>
      </w:r>
      <w:r>
        <w:rPr>
          <w:bCs/>
          <w:color w:val="000000"/>
          <w:kern w:val="0"/>
          <w:sz w:val="24"/>
          <w:szCs w:val="24"/>
        </w:rPr>
        <w:t>601009</w:t>
      </w:r>
      <w:r>
        <w:rPr>
          <w:bCs/>
          <w:color w:val="000000"/>
          <w:kern w:val="0"/>
          <w:sz w:val="24"/>
          <w:szCs w:val="24"/>
        </w:rPr>
        <w:t>）收到中国银行业监督管理委员会江苏监管局行政处罚决定书（苏银监罚决字【</w:t>
      </w:r>
      <w:r>
        <w:rPr>
          <w:bCs/>
          <w:color w:val="000000"/>
          <w:kern w:val="0"/>
          <w:sz w:val="24"/>
          <w:szCs w:val="24"/>
        </w:rPr>
        <w:t>2018</w:t>
      </w:r>
      <w:r>
        <w:rPr>
          <w:bCs/>
          <w:color w:val="000000"/>
          <w:kern w:val="0"/>
          <w:sz w:val="24"/>
          <w:szCs w:val="24"/>
        </w:rPr>
        <w:t>】</w:t>
      </w:r>
      <w:r>
        <w:rPr>
          <w:bCs/>
          <w:color w:val="000000"/>
          <w:kern w:val="0"/>
          <w:sz w:val="24"/>
          <w:szCs w:val="24"/>
        </w:rPr>
        <w:t xml:space="preserve"> 1 </w:t>
      </w:r>
      <w:r>
        <w:rPr>
          <w:bCs/>
          <w:color w:val="000000"/>
          <w:kern w:val="0"/>
          <w:sz w:val="24"/>
          <w:szCs w:val="24"/>
        </w:rPr>
        <w:t>号</w:t>
      </w:r>
      <w:r>
        <w:rPr>
          <w:bCs/>
          <w:color w:val="000000"/>
          <w:kern w:val="0"/>
          <w:sz w:val="24"/>
          <w:szCs w:val="24"/>
        </w:rPr>
        <w:t>,</w:t>
      </w:r>
      <w:r>
        <w:rPr>
          <w:bCs/>
          <w:color w:val="000000"/>
          <w:kern w:val="0"/>
          <w:sz w:val="24"/>
          <w:szCs w:val="24"/>
        </w:rPr>
        <w:t>对镇江分行违规办理票据业务违反审慎经营原则的行为罚款</w:t>
      </w:r>
      <w:r>
        <w:rPr>
          <w:bCs/>
          <w:color w:val="000000"/>
          <w:kern w:val="0"/>
          <w:sz w:val="24"/>
          <w:szCs w:val="24"/>
        </w:rPr>
        <w:t>3230</w:t>
      </w:r>
      <w:r>
        <w:rPr>
          <w:bCs/>
          <w:color w:val="000000"/>
          <w:kern w:val="0"/>
          <w:sz w:val="24"/>
          <w:szCs w:val="24"/>
        </w:rPr>
        <w:t>万元人民币。</w:t>
      </w:r>
    </w:p>
    <w:p w:rsidR="00725F36" w:rsidRDefault="009140A1">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w:t>
      </w:r>
      <w:r>
        <w:rPr>
          <w:bCs/>
          <w:color w:val="000000"/>
          <w:kern w:val="0"/>
          <w:sz w:val="24"/>
          <w:szCs w:val="24"/>
        </w:rPr>
        <w:t>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lastRenderedPageBreak/>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2,168,003.45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4,537,348.90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3,810,548.19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80,872,272.27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91,388,172.81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725F36">
        <w:trPr>
          <w:jc w:val="center"/>
        </w:trPr>
        <w:tc>
          <w:tcPr>
            <w:tcW w:w="1129" w:type="dxa"/>
            <w:vAlign w:val="center"/>
          </w:tcPr>
          <w:p w:rsidR="00725F36" w:rsidRDefault="009140A1">
            <w:pPr>
              <w:jc w:val="center"/>
            </w:pPr>
            <w:r>
              <w:rPr>
                <w:color w:val="000000"/>
                <w:sz w:val="24"/>
                <w:szCs w:val="24"/>
              </w:rPr>
              <w:t>1</w:t>
            </w:r>
          </w:p>
        </w:tc>
        <w:tc>
          <w:tcPr>
            <w:tcW w:w="1356" w:type="dxa"/>
            <w:vAlign w:val="center"/>
          </w:tcPr>
          <w:p w:rsidR="00725F36" w:rsidRDefault="009140A1">
            <w:pPr>
              <w:jc w:val="center"/>
            </w:pPr>
            <w:r>
              <w:rPr>
                <w:color w:val="000000"/>
                <w:sz w:val="24"/>
                <w:szCs w:val="24"/>
              </w:rPr>
              <w:t>002027</w:t>
            </w:r>
          </w:p>
        </w:tc>
        <w:tc>
          <w:tcPr>
            <w:tcW w:w="1355" w:type="dxa"/>
            <w:vAlign w:val="center"/>
          </w:tcPr>
          <w:p w:rsidR="00725F36" w:rsidRDefault="009140A1">
            <w:pPr>
              <w:jc w:val="center"/>
            </w:pPr>
            <w:r>
              <w:rPr>
                <w:color w:val="000000"/>
                <w:sz w:val="24"/>
                <w:szCs w:val="24"/>
              </w:rPr>
              <w:t>分众传媒</w:t>
            </w:r>
          </w:p>
        </w:tc>
        <w:tc>
          <w:tcPr>
            <w:tcW w:w="1880" w:type="dxa"/>
            <w:vAlign w:val="center"/>
          </w:tcPr>
          <w:p w:rsidR="00725F36" w:rsidRDefault="009140A1">
            <w:pPr>
              <w:jc w:val="right"/>
            </w:pPr>
            <w:r>
              <w:rPr>
                <w:color w:val="000000"/>
                <w:sz w:val="24"/>
                <w:szCs w:val="24"/>
              </w:rPr>
              <w:t>30,150,000.00</w:t>
            </w:r>
          </w:p>
        </w:tc>
        <w:tc>
          <w:tcPr>
            <w:tcW w:w="1724" w:type="dxa"/>
            <w:vAlign w:val="center"/>
          </w:tcPr>
          <w:p w:rsidR="00725F36" w:rsidRDefault="009140A1">
            <w:pPr>
              <w:jc w:val="right"/>
            </w:pPr>
            <w:r>
              <w:rPr>
                <w:color w:val="000000"/>
                <w:sz w:val="24"/>
                <w:szCs w:val="24"/>
              </w:rPr>
              <w:t>0.93</w:t>
            </w:r>
          </w:p>
        </w:tc>
        <w:tc>
          <w:tcPr>
            <w:tcW w:w="1424" w:type="dxa"/>
            <w:vAlign w:val="center"/>
          </w:tcPr>
          <w:p w:rsidR="00725F36" w:rsidRDefault="009140A1">
            <w:pPr>
              <w:jc w:val="right"/>
            </w:pPr>
            <w:r>
              <w:rPr>
                <w:color w:val="000000"/>
                <w:sz w:val="24"/>
                <w:szCs w:val="24"/>
              </w:rPr>
              <w:t>限售股票</w:t>
            </w:r>
          </w:p>
        </w:tc>
      </w:tr>
      <w:tr w:rsidR="00725F36">
        <w:trPr>
          <w:jc w:val="center"/>
        </w:trPr>
        <w:tc>
          <w:tcPr>
            <w:tcW w:w="1129" w:type="dxa"/>
            <w:vAlign w:val="center"/>
          </w:tcPr>
          <w:p w:rsidR="00725F36" w:rsidRDefault="009140A1">
            <w:pPr>
              <w:jc w:val="center"/>
            </w:pPr>
            <w:r>
              <w:rPr>
                <w:color w:val="000000"/>
                <w:sz w:val="24"/>
                <w:szCs w:val="24"/>
              </w:rPr>
              <w:t>2</w:t>
            </w:r>
          </w:p>
        </w:tc>
        <w:tc>
          <w:tcPr>
            <w:tcW w:w="1356" w:type="dxa"/>
            <w:vAlign w:val="center"/>
          </w:tcPr>
          <w:p w:rsidR="00725F36" w:rsidRDefault="009140A1">
            <w:pPr>
              <w:jc w:val="center"/>
            </w:pPr>
            <w:r>
              <w:rPr>
                <w:color w:val="000000"/>
                <w:sz w:val="24"/>
                <w:szCs w:val="24"/>
              </w:rPr>
              <w:t>300347</w:t>
            </w:r>
          </w:p>
        </w:tc>
        <w:tc>
          <w:tcPr>
            <w:tcW w:w="1355" w:type="dxa"/>
            <w:vAlign w:val="center"/>
          </w:tcPr>
          <w:p w:rsidR="00725F36" w:rsidRDefault="009140A1">
            <w:pPr>
              <w:jc w:val="center"/>
            </w:pPr>
            <w:r>
              <w:rPr>
                <w:color w:val="000000"/>
                <w:sz w:val="24"/>
                <w:szCs w:val="24"/>
              </w:rPr>
              <w:t>泰格医药</w:t>
            </w:r>
          </w:p>
        </w:tc>
        <w:tc>
          <w:tcPr>
            <w:tcW w:w="1880" w:type="dxa"/>
            <w:vAlign w:val="center"/>
          </w:tcPr>
          <w:p w:rsidR="00725F36" w:rsidRDefault="009140A1">
            <w:pPr>
              <w:jc w:val="right"/>
            </w:pPr>
            <w:r>
              <w:rPr>
                <w:color w:val="000000"/>
                <w:sz w:val="24"/>
                <w:szCs w:val="24"/>
              </w:rPr>
              <w:t>14,982,000.00</w:t>
            </w:r>
          </w:p>
        </w:tc>
        <w:tc>
          <w:tcPr>
            <w:tcW w:w="1724" w:type="dxa"/>
            <w:vAlign w:val="center"/>
          </w:tcPr>
          <w:p w:rsidR="00725F36" w:rsidRDefault="009140A1">
            <w:pPr>
              <w:jc w:val="right"/>
            </w:pPr>
            <w:r>
              <w:rPr>
                <w:color w:val="000000"/>
                <w:sz w:val="24"/>
                <w:szCs w:val="24"/>
              </w:rPr>
              <w:t>0.46</w:t>
            </w:r>
          </w:p>
        </w:tc>
        <w:tc>
          <w:tcPr>
            <w:tcW w:w="1424" w:type="dxa"/>
            <w:vAlign w:val="center"/>
          </w:tcPr>
          <w:p w:rsidR="00725F36" w:rsidRDefault="009140A1">
            <w:pPr>
              <w:jc w:val="right"/>
            </w:pPr>
            <w:r>
              <w:rPr>
                <w:color w:val="000000"/>
                <w:sz w:val="24"/>
                <w:szCs w:val="24"/>
              </w:rPr>
              <w:t>限售股票</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29306F" w:rsidRPr="0029306F" w:rsidRDefault="0029306F" w:rsidP="0029306F">
      <w:pPr>
        <w:adjustRightInd w:val="0"/>
        <w:snapToGrid w:val="0"/>
        <w:spacing w:beforeLines="50" w:before="156" w:line="360" w:lineRule="auto"/>
        <w:rPr>
          <w:rFonts w:eastAsiaTheme="minorEastAsia" w:hint="eastAsia"/>
          <w:b/>
          <w:color w:val="000000" w:themeColor="text1"/>
          <w:kern w:val="0"/>
          <w:sz w:val="24"/>
          <w:szCs w:val="24"/>
        </w:rPr>
      </w:pPr>
      <w:r w:rsidRPr="0029306F">
        <w:rPr>
          <w:rFonts w:eastAsiaTheme="minorEastAsia" w:hint="eastAsia"/>
          <w:b/>
          <w:color w:val="000000" w:themeColor="text1"/>
          <w:kern w:val="0"/>
          <w:sz w:val="24"/>
          <w:szCs w:val="24"/>
        </w:rPr>
        <w:lastRenderedPageBreak/>
        <w:t xml:space="preserve">6.3 </w:t>
      </w:r>
      <w:r w:rsidRPr="0029306F">
        <w:rPr>
          <w:rFonts w:eastAsiaTheme="minorEastAsia" w:hint="eastAsia"/>
          <w:b/>
          <w:color w:val="000000" w:themeColor="text1"/>
          <w:kern w:val="0"/>
          <w:sz w:val="24"/>
          <w:szCs w:val="24"/>
        </w:rPr>
        <w:t>本报告期持有的基金发生的重大影响事件</w:t>
      </w:r>
    </w:p>
    <w:p w:rsidR="0029306F" w:rsidRPr="0029306F" w:rsidRDefault="0029306F" w:rsidP="0029306F">
      <w:pPr>
        <w:autoSpaceDE w:val="0"/>
        <w:autoSpaceDN w:val="0"/>
        <w:adjustRightInd w:val="0"/>
        <w:spacing w:line="360" w:lineRule="auto"/>
        <w:ind w:firstLineChars="200" w:firstLine="480"/>
        <w:jc w:val="left"/>
        <w:rPr>
          <w:rFonts w:eastAsiaTheme="minorEastAsia" w:hint="eastAsia"/>
          <w:color w:val="000000" w:themeColor="text1"/>
          <w:sz w:val="24"/>
          <w:szCs w:val="24"/>
        </w:rPr>
      </w:pPr>
      <w:r w:rsidRPr="0029306F">
        <w:rPr>
          <w:rFonts w:eastAsiaTheme="minorEastAsia" w:hint="eastAsia"/>
          <w:color w:val="000000" w:themeColor="text1"/>
          <w:sz w:val="24"/>
          <w:szCs w:val="24"/>
        </w:rPr>
        <w:t>无。</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4,074,869,909.50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1,033,724,916.07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226,749,945.09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4,881,844,880.48</w:t>
            </w:r>
          </w:p>
        </w:tc>
      </w:tr>
    </w:tbl>
    <w:p w:rsidR="00725F36" w:rsidRDefault="009140A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r w:rsidRPr="00414345">
        <w:rPr>
          <w:color w:val="000000"/>
          <w:sz w:val="24"/>
          <w:szCs w:val="24"/>
        </w:rPr>
        <w:t xml:space="preserve"> </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9.1 影响投资者决策的其他重要信息</w:t>
      </w:r>
    </w:p>
    <w:p w:rsidR="00725F36" w:rsidRPr="00C03E73" w:rsidRDefault="009140A1" w:rsidP="00C03E73">
      <w:pPr>
        <w:autoSpaceDE w:val="0"/>
        <w:autoSpaceDN w:val="0"/>
        <w:adjustRightInd w:val="0"/>
        <w:spacing w:before="29" w:line="288" w:lineRule="auto"/>
        <w:ind w:firstLineChars="200" w:firstLine="480"/>
        <w:jc w:val="left"/>
        <w:rPr>
          <w:color w:val="000000"/>
          <w:sz w:val="24"/>
        </w:rPr>
      </w:pPr>
      <w:r w:rsidRPr="00C03E73">
        <w:rPr>
          <w:color w:val="000000"/>
          <w:sz w:val="24"/>
        </w:rPr>
        <w:t>1</w:t>
      </w:r>
      <w:r w:rsidRPr="00C03E73">
        <w:rPr>
          <w:color w:val="000000"/>
          <w:sz w:val="24"/>
        </w:rPr>
        <w:t>、根据财政部和国家税务总局于</w:t>
      </w:r>
      <w:r w:rsidRPr="00C03E73">
        <w:rPr>
          <w:color w:val="000000"/>
          <w:sz w:val="24"/>
        </w:rPr>
        <w:t>2016</w:t>
      </w:r>
      <w:r w:rsidRPr="00C03E73">
        <w:rPr>
          <w:color w:val="000000"/>
          <w:sz w:val="24"/>
        </w:rPr>
        <w:t>年</w:t>
      </w:r>
      <w:r w:rsidRPr="00C03E73">
        <w:rPr>
          <w:color w:val="000000"/>
          <w:sz w:val="24"/>
        </w:rPr>
        <w:t>12</w:t>
      </w:r>
      <w:r w:rsidRPr="00C03E73">
        <w:rPr>
          <w:color w:val="000000"/>
          <w:sz w:val="24"/>
        </w:rPr>
        <w:t>月</w:t>
      </w:r>
      <w:r w:rsidRPr="00C03E73">
        <w:rPr>
          <w:color w:val="000000"/>
          <w:sz w:val="24"/>
        </w:rPr>
        <w:t>21</w:t>
      </w:r>
      <w:r w:rsidRPr="00C03E73">
        <w:rPr>
          <w:color w:val="000000"/>
          <w:sz w:val="24"/>
        </w:rPr>
        <w:t>日联合发布的《关于明确金融、房地产开发、教育辅助服务等增值税政策的通知》（财税</w:t>
      </w:r>
      <w:r w:rsidRPr="00C03E73">
        <w:rPr>
          <w:color w:val="000000"/>
          <w:sz w:val="24"/>
        </w:rPr>
        <w:t>[2016]140</w:t>
      </w:r>
      <w:r w:rsidRPr="00C03E73">
        <w:rPr>
          <w:color w:val="000000"/>
          <w:sz w:val="24"/>
        </w:rPr>
        <w:t>号）以及于</w:t>
      </w:r>
      <w:r w:rsidRPr="00C03E73">
        <w:rPr>
          <w:color w:val="000000"/>
          <w:sz w:val="24"/>
        </w:rPr>
        <w:t>2017</w:t>
      </w:r>
      <w:r w:rsidRPr="00C03E73">
        <w:rPr>
          <w:color w:val="000000"/>
          <w:sz w:val="24"/>
        </w:rPr>
        <w:t>年</w:t>
      </w:r>
      <w:r w:rsidRPr="00C03E73">
        <w:rPr>
          <w:color w:val="000000"/>
          <w:sz w:val="24"/>
        </w:rPr>
        <w:t>6</w:t>
      </w:r>
      <w:r w:rsidRPr="00C03E73">
        <w:rPr>
          <w:color w:val="000000"/>
          <w:sz w:val="24"/>
        </w:rPr>
        <w:t>月</w:t>
      </w:r>
      <w:r w:rsidRPr="00C03E73">
        <w:rPr>
          <w:color w:val="000000"/>
          <w:sz w:val="24"/>
        </w:rPr>
        <w:t>30</w:t>
      </w:r>
      <w:r w:rsidRPr="00C03E73">
        <w:rPr>
          <w:color w:val="000000"/>
          <w:sz w:val="24"/>
        </w:rPr>
        <w:t>日联合发布的《财政部、税务总局关于资管产品增值税有关问题的通知》（财税</w:t>
      </w:r>
      <w:r w:rsidRPr="00C03E73">
        <w:rPr>
          <w:color w:val="000000"/>
          <w:sz w:val="24"/>
        </w:rPr>
        <w:t>[2017]56</w:t>
      </w:r>
      <w:r w:rsidRPr="00C03E73">
        <w:rPr>
          <w:color w:val="000000"/>
          <w:sz w:val="24"/>
        </w:rPr>
        <w:t>号）等规定，自</w:t>
      </w:r>
      <w:r w:rsidRPr="00C03E73">
        <w:rPr>
          <w:color w:val="000000"/>
          <w:sz w:val="24"/>
        </w:rPr>
        <w:t>2018</w:t>
      </w:r>
      <w:r w:rsidRPr="00C03E73">
        <w:rPr>
          <w:color w:val="000000"/>
          <w:sz w:val="24"/>
        </w:rPr>
        <w:t>年</w:t>
      </w:r>
      <w:r w:rsidRPr="00C03E73">
        <w:rPr>
          <w:color w:val="000000"/>
          <w:sz w:val="24"/>
        </w:rPr>
        <w:t>1</w:t>
      </w:r>
      <w:r w:rsidRPr="00C03E73">
        <w:rPr>
          <w:color w:val="000000"/>
          <w:sz w:val="24"/>
        </w:rPr>
        <w:t>月</w:t>
      </w:r>
      <w:r w:rsidRPr="00C03E73">
        <w:rPr>
          <w:color w:val="000000"/>
          <w:sz w:val="24"/>
        </w:rPr>
        <w:t>1</w:t>
      </w:r>
      <w:r w:rsidRPr="00C03E73">
        <w:rPr>
          <w:color w:val="000000"/>
          <w:sz w:val="24"/>
        </w:rPr>
        <w:t>日（含）起，基金管理人运营公开募集证券投资基金（以下简称</w:t>
      </w:r>
      <w:r w:rsidRPr="00C03E73">
        <w:rPr>
          <w:color w:val="000000"/>
          <w:sz w:val="24"/>
        </w:rPr>
        <w:t>“</w:t>
      </w:r>
      <w:r w:rsidRPr="00C03E73">
        <w:rPr>
          <w:color w:val="000000"/>
          <w:sz w:val="24"/>
        </w:rPr>
        <w:t>基金</w:t>
      </w:r>
      <w:r w:rsidRPr="00C03E73">
        <w:rPr>
          <w:color w:val="000000"/>
          <w:sz w:val="24"/>
        </w:rPr>
        <w:t>”</w:t>
      </w:r>
      <w:r w:rsidRPr="00C03E73">
        <w:rPr>
          <w:color w:val="000000"/>
          <w:sz w:val="24"/>
        </w:rPr>
        <w:t>）过程中发生的增值税应税行为，应按照现行规定缴纳增值税。本基金管理人将依据国家税收法律、法规、规章及税收规范性文件的规定，对管理的基金产品运营过程中产生的应税</w:t>
      </w:r>
      <w:r w:rsidRPr="00C03E73">
        <w:rPr>
          <w:color w:val="000000"/>
          <w:sz w:val="24"/>
        </w:rPr>
        <w:t>收入，计提及缴纳增值税及附加税费，该部分税费由基金资</w:t>
      </w:r>
      <w:r w:rsidRPr="00C03E73">
        <w:rPr>
          <w:color w:val="000000"/>
          <w:sz w:val="24"/>
        </w:rPr>
        <w:lastRenderedPageBreak/>
        <w:t>产承担。如后续国家法律法规、税收政策进行调整的，或者对基金产品的税收政策作出补充规定的，基金管理人将及时根据所涉及的税收政策作出相应调整，切实履行基金管理人的职责。</w:t>
      </w:r>
    </w:p>
    <w:p w:rsidR="003C50AD" w:rsidRPr="00C03E73" w:rsidRDefault="003C50AD" w:rsidP="00C03E73">
      <w:pPr>
        <w:autoSpaceDE w:val="0"/>
        <w:autoSpaceDN w:val="0"/>
        <w:adjustRightInd w:val="0"/>
        <w:spacing w:before="29" w:line="288" w:lineRule="auto"/>
        <w:ind w:firstLineChars="200" w:firstLine="480"/>
        <w:jc w:val="left"/>
        <w:rPr>
          <w:color w:val="000000"/>
          <w:sz w:val="24"/>
        </w:rPr>
      </w:pPr>
      <w:r w:rsidRPr="00C03E73">
        <w:rPr>
          <w:color w:val="000000"/>
          <w:sz w:val="24"/>
        </w:rPr>
        <w:t>2</w:t>
      </w:r>
      <w:r w:rsidRPr="00C03E73">
        <w:rPr>
          <w:color w:val="000000"/>
          <w:sz w:val="24"/>
        </w:rPr>
        <w:t>、根据《公开募集开</w:t>
      </w:r>
      <w:bookmarkStart w:id="0" w:name="_GoBack"/>
      <w:bookmarkEnd w:id="0"/>
      <w:r w:rsidRPr="00C03E73">
        <w:rPr>
          <w:color w:val="000000"/>
          <w:sz w:val="24"/>
        </w:rPr>
        <w:t>放式证券投资基金流动性风险管理规定》的有关规定及相关监管要求，经与基金托管人协商一致并报监管机构备案，基金管理人对本基金基金合同等法律文件作相应修改。请投资者关注基金合同中</w:t>
      </w:r>
      <w:r w:rsidRPr="00C03E73">
        <w:rPr>
          <w:color w:val="000000"/>
          <w:sz w:val="24"/>
        </w:rPr>
        <w:t>“</w:t>
      </w:r>
      <w:r w:rsidRPr="00C03E73">
        <w:rPr>
          <w:color w:val="000000"/>
          <w:sz w:val="24"/>
        </w:rPr>
        <w:t>对持续持有期少于</w:t>
      </w:r>
      <w:r w:rsidRPr="00C03E73">
        <w:rPr>
          <w:color w:val="000000"/>
          <w:sz w:val="24"/>
        </w:rPr>
        <w:t>7</w:t>
      </w:r>
      <w:r w:rsidRPr="00C03E73">
        <w:rPr>
          <w:color w:val="000000"/>
          <w:sz w:val="24"/>
        </w:rPr>
        <w:t>日的基金份额持有人收取不低于</w:t>
      </w:r>
      <w:r w:rsidRPr="00C03E73">
        <w:rPr>
          <w:color w:val="000000"/>
          <w:sz w:val="24"/>
        </w:rPr>
        <w:t>1.5%</w:t>
      </w:r>
      <w:r w:rsidRPr="00C03E73">
        <w:rPr>
          <w:color w:val="000000"/>
          <w:sz w:val="24"/>
        </w:rPr>
        <w:t>的赎回费并全额计入基金财产</w:t>
      </w:r>
      <w:r w:rsidRPr="00C03E73">
        <w:rPr>
          <w:color w:val="000000"/>
          <w:sz w:val="24"/>
        </w:rPr>
        <w:t>”</w:t>
      </w:r>
      <w:r w:rsidRPr="00C03E73">
        <w:rPr>
          <w:color w:val="000000"/>
          <w:sz w:val="24"/>
        </w:rPr>
        <w:t>的条款已于</w:t>
      </w:r>
      <w:r w:rsidRPr="00C03E73">
        <w:rPr>
          <w:color w:val="000000"/>
          <w:sz w:val="24"/>
        </w:rPr>
        <w:t>2018</w:t>
      </w:r>
      <w:r w:rsidRPr="00C03E73">
        <w:rPr>
          <w:color w:val="000000"/>
          <w:sz w:val="24"/>
        </w:rPr>
        <w:t>年</w:t>
      </w:r>
      <w:r w:rsidRPr="00C03E73">
        <w:rPr>
          <w:color w:val="000000"/>
          <w:sz w:val="24"/>
        </w:rPr>
        <w:t>3</w:t>
      </w:r>
      <w:r w:rsidRPr="00C03E73">
        <w:rPr>
          <w:color w:val="000000"/>
          <w:sz w:val="24"/>
        </w:rPr>
        <w:t>月</w:t>
      </w:r>
      <w:r w:rsidRPr="00C03E73">
        <w:rPr>
          <w:color w:val="000000"/>
          <w:sz w:val="24"/>
        </w:rPr>
        <w:t>31</w:t>
      </w:r>
      <w:r w:rsidRPr="00C03E73">
        <w:rPr>
          <w:color w:val="000000"/>
          <w:sz w:val="24"/>
        </w:rPr>
        <w:t>日起正式实施。欲知详情请查阅本基金管理人于</w:t>
      </w:r>
      <w:r w:rsidRPr="00C03E73">
        <w:rPr>
          <w:color w:val="000000"/>
          <w:sz w:val="24"/>
        </w:rPr>
        <w:t>2018</w:t>
      </w:r>
      <w:r w:rsidRPr="00C03E73">
        <w:rPr>
          <w:color w:val="000000"/>
          <w:sz w:val="24"/>
        </w:rPr>
        <w:t>年</w:t>
      </w:r>
      <w:r w:rsidRPr="00C03E73">
        <w:rPr>
          <w:color w:val="000000"/>
          <w:sz w:val="24"/>
        </w:rPr>
        <w:t>3</w:t>
      </w:r>
      <w:r w:rsidRPr="00C03E73">
        <w:rPr>
          <w:color w:val="000000"/>
          <w:sz w:val="24"/>
        </w:rPr>
        <w:t>月</w:t>
      </w:r>
      <w:r w:rsidRPr="00C03E73">
        <w:rPr>
          <w:color w:val="000000"/>
          <w:sz w:val="24"/>
        </w:rPr>
        <w:t>22</w:t>
      </w:r>
      <w:r w:rsidRPr="00C03E73">
        <w:rPr>
          <w:color w:val="000000"/>
          <w:sz w:val="24"/>
        </w:rPr>
        <w:t>日发布的有关公告及法律文件。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725F36" w:rsidRDefault="009140A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、中国证监会批准交银施罗德精选股票证券投资基金募集的文件；</w:t>
      </w:r>
      <w:r>
        <w:rPr>
          <w:color w:val="000000"/>
          <w:sz w:val="24"/>
          <w:szCs w:val="24"/>
        </w:rPr>
        <w:t xml:space="preserve"> </w:t>
      </w:r>
    </w:p>
    <w:p w:rsidR="00725F36" w:rsidRDefault="009140A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、《交银施罗德精选混合型证券投资基金基金合同》；</w:t>
      </w:r>
      <w:r>
        <w:rPr>
          <w:color w:val="000000"/>
          <w:sz w:val="24"/>
          <w:szCs w:val="24"/>
        </w:rPr>
        <w:t xml:space="preserve"> </w:t>
      </w:r>
    </w:p>
    <w:p w:rsidR="00725F36" w:rsidRDefault="009140A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、《交银施罗德精选混合型证券投资基金招募说明书》；</w:t>
      </w:r>
      <w:r>
        <w:rPr>
          <w:color w:val="000000"/>
          <w:sz w:val="24"/>
          <w:szCs w:val="24"/>
        </w:rPr>
        <w:t xml:space="preserve"> </w:t>
      </w:r>
    </w:p>
    <w:p w:rsidR="00725F36" w:rsidRDefault="009140A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、《交银施罗德精选混合型证券投资基金托管协议》；</w:t>
      </w:r>
      <w:r>
        <w:rPr>
          <w:color w:val="000000"/>
          <w:sz w:val="24"/>
          <w:szCs w:val="24"/>
        </w:rPr>
        <w:t xml:space="preserve"> </w:t>
      </w:r>
    </w:p>
    <w:p w:rsidR="00725F36" w:rsidRDefault="009140A1">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、关于募集交银施罗德精选股票证券投资基金之法律意见书；</w:t>
      </w:r>
      <w:r>
        <w:rPr>
          <w:color w:val="000000"/>
          <w:sz w:val="24"/>
          <w:szCs w:val="24"/>
        </w:rPr>
        <w:t xml:space="preserve"> </w:t>
      </w:r>
    </w:p>
    <w:p w:rsidR="00725F36" w:rsidRDefault="009140A1">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725F36" w:rsidRDefault="009140A1">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、报告期内交银施罗德精选混合型证券投资基金在指定报刊上各项公告的原稿。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725F36" w:rsidRDefault="009140A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0A1" w:rsidRDefault="009140A1" w:rsidP="00876D65">
      <w:r>
        <w:separator/>
      </w:r>
    </w:p>
  </w:endnote>
  <w:endnote w:type="continuationSeparator" w:id="0">
    <w:p w:rsidR="009140A1" w:rsidRDefault="009140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C03E73">
      <w:rPr>
        <w:noProof/>
        <w:kern w:val="0"/>
        <w:szCs w:val="21"/>
      </w:rPr>
      <w:t>12</w:t>
    </w:r>
    <w:r w:rsidR="00006A28">
      <w:rPr>
        <w:kern w:val="0"/>
        <w:szCs w:val="21"/>
      </w:rPr>
      <w:fldChar w:fldCharType="end"/>
    </w:r>
    <w:proofErr w:type="gramStart"/>
    <w:r>
      <w:rPr>
        <w:rFonts w:hint="eastAsia"/>
        <w:kern w:val="0"/>
        <w:szCs w:val="21"/>
      </w:rPr>
      <w:t>页共</w:t>
    </w:r>
    <w:proofErr w:type="gramEnd"/>
    <w:r w:rsidR="00006A28">
      <w:rPr>
        <w:kern w:val="0"/>
        <w:szCs w:val="21"/>
      </w:rPr>
      <w:fldChar w:fldCharType="begin"/>
    </w:r>
    <w:r>
      <w:rPr>
        <w:kern w:val="0"/>
        <w:szCs w:val="21"/>
      </w:rPr>
      <w:instrText xml:space="preserve"> NUMPAGES </w:instrText>
    </w:r>
    <w:r w:rsidR="00006A28">
      <w:rPr>
        <w:kern w:val="0"/>
        <w:szCs w:val="21"/>
      </w:rPr>
      <w:fldChar w:fldCharType="separate"/>
    </w:r>
    <w:r w:rsidR="00C03E73">
      <w:rPr>
        <w:noProof/>
        <w:kern w:val="0"/>
        <w:szCs w:val="21"/>
      </w:rPr>
      <w:t>12</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0A1" w:rsidRDefault="009140A1" w:rsidP="00876D65">
      <w:r>
        <w:separator/>
      </w:r>
    </w:p>
  </w:footnote>
  <w:footnote w:type="continuationSeparator" w:id="0">
    <w:p w:rsidR="009140A1" w:rsidRDefault="009140A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交银施罗德精选混合型证券投资基金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306F"/>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30F2"/>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5F36"/>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140A1"/>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03E73"/>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32141-781E-4C8B-99AA-372D1429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12</Pages>
  <Words>1205</Words>
  <Characters>6869</Characters>
  <Application>Microsoft Office Word</Application>
  <DocSecurity>0</DocSecurity>
  <Lines>57</Lines>
  <Paragraphs>16</Paragraphs>
  <ScaleCrop>false</ScaleCrop>
  <Company/>
  <LinksUpToDate>false</LinksUpToDate>
  <CharactersWithSpaces>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579</cp:revision>
  <dcterms:created xsi:type="dcterms:W3CDTF">2012-10-16T06:07:00Z</dcterms:created>
  <dcterms:modified xsi:type="dcterms:W3CDTF">2018-04-18T09:49:00Z</dcterms:modified>
</cp:coreProperties>
</file>