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327E01" w:rsidRDefault="006967A4" w:rsidP="000E2EB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6967A4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0E2EBD">
        <w:rPr>
          <w:rFonts w:eastAsiaTheme="minorEastAsia" w:hint="eastAsia"/>
          <w:b/>
          <w:kern w:val="0"/>
          <w:sz w:val="30"/>
          <w:szCs w:val="30"/>
        </w:rPr>
        <w:t>裕兴纯债</w:t>
      </w:r>
      <w:r w:rsidRPr="006967A4">
        <w:rPr>
          <w:rFonts w:eastAsiaTheme="minorEastAsia" w:hint="eastAsia"/>
          <w:b/>
          <w:kern w:val="0"/>
          <w:sz w:val="30"/>
          <w:szCs w:val="30"/>
        </w:rPr>
        <w:t>债券型证券投资基金暂停申购、定期定额投资业务的公告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E2EBD">
        <w:rPr>
          <w:rFonts w:eastAsiaTheme="minorEastAsia"/>
          <w:bCs/>
          <w:sz w:val="24"/>
          <w:szCs w:val="24"/>
        </w:rPr>
        <w:t>2018</w:t>
      </w:r>
      <w:r w:rsidR="000E2EBD">
        <w:rPr>
          <w:rFonts w:eastAsiaTheme="minorEastAsia"/>
          <w:bCs/>
          <w:sz w:val="24"/>
          <w:szCs w:val="24"/>
        </w:rPr>
        <w:t>年</w:t>
      </w:r>
      <w:r w:rsidR="000E2EBD">
        <w:rPr>
          <w:rFonts w:eastAsiaTheme="minorEastAsia"/>
          <w:bCs/>
          <w:sz w:val="24"/>
          <w:szCs w:val="24"/>
        </w:rPr>
        <w:t>4</w:t>
      </w:r>
      <w:r w:rsidR="000E2EBD">
        <w:rPr>
          <w:rFonts w:eastAsiaTheme="minorEastAsia"/>
          <w:bCs/>
          <w:sz w:val="24"/>
          <w:szCs w:val="24"/>
        </w:rPr>
        <w:t>月</w:t>
      </w:r>
      <w:r w:rsidR="000E2EBD">
        <w:rPr>
          <w:rFonts w:eastAsiaTheme="minorEastAsia"/>
          <w:bCs/>
          <w:sz w:val="24"/>
          <w:szCs w:val="24"/>
        </w:rPr>
        <w:t>12</w:t>
      </w:r>
      <w:r w:rsidR="000E2EBD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6967A4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967A4">
              <w:rPr>
                <w:rFonts w:eastAsiaTheme="minorEastAsia" w:hint="eastAsia"/>
                <w:sz w:val="24"/>
                <w:szCs w:val="24"/>
              </w:rPr>
              <w:t>交银施罗德</w:t>
            </w:r>
            <w:r w:rsidR="000E2EBD">
              <w:rPr>
                <w:rFonts w:eastAsiaTheme="minorEastAsia" w:hint="eastAsia"/>
                <w:sz w:val="24"/>
                <w:szCs w:val="24"/>
              </w:rPr>
              <w:t>裕兴纯债</w:t>
            </w:r>
            <w:r w:rsidRPr="006967A4">
              <w:rPr>
                <w:rFonts w:eastAsiaTheme="minorEastAsia" w:hint="eastAsia"/>
                <w:sz w:val="24"/>
                <w:szCs w:val="24"/>
              </w:rPr>
              <w:t>债券型证券投资基金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6967A4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967A4">
              <w:rPr>
                <w:rFonts w:eastAsiaTheme="minorEastAsia" w:hint="eastAsia"/>
                <w:sz w:val="24"/>
                <w:szCs w:val="24"/>
              </w:rPr>
              <w:t>交银</w:t>
            </w:r>
            <w:r w:rsidR="000E2EBD">
              <w:rPr>
                <w:rFonts w:eastAsiaTheme="minorEastAsia" w:hint="eastAsia"/>
                <w:sz w:val="24"/>
                <w:szCs w:val="24"/>
              </w:rPr>
              <w:t>裕兴纯债</w:t>
            </w:r>
            <w:r w:rsidRPr="006967A4">
              <w:rPr>
                <w:rFonts w:eastAsiaTheme="minorEastAsia" w:hint="eastAsia"/>
                <w:sz w:val="24"/>
                <w:szCs w:val="24"/>
              </w:rPr>
              <w:t>债券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0E2EBD" w:rsidP="00667DE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519774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交银施罗德</w:t>
            </w:r>
            <w:r w:rsidR="000E2EBD">
              <w:rPr>
                <w:rFonts w:eastAsiaTheme="minorEastAsia" w:hint="eastAsia"/>
                <w:color w:val="000000"/>
                <w:sz w:val="24"/>
                <w:szCs w:val="24"/>
              </w:rPr>
              <w:t>裕兴纯债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交银施罗德</w:t>
            </w:r>
            <w:r w:rsidR="000E2EBD">
              <w:rPr>
                <w:rFonts w:eastAsiaTheme="minorEastAsia" w:hint="eastAsia"/>
                <w:color w:val="000000"/>
                <w:sz w:val="24"/>
                <w:szCs w:val="24"/>
              </w:rPr>
              <w:t>裕兴纯债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0E2EBD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6967A4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0E2EBD" w:rsidP="006967A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  <w:bookmarkStart w:id="1" w:name="_GoBack"/>
        <w:bookmarkEnd w:id="1"/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6967A4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</w:t>
            </w:r>
            <w:bookmarkStart w:id="2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2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0E2EBD" w:rsidP="009968BA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6967A4" w:rsidRPr="00327E01" w:rsidTr="004930D8">
        <w:trPr>
          <w:jc w:val="center"/>
        </w:trPr>
        <w:tc>
          <w:tcPr>
            <w:tcW w:w="1515" w:type="pct"/>
            <w:vMerge/>
          </w:tcPr>
          <w:p w:rsidR="006967A4" w:rsidRPr="00327E01" w:rsidRDefault="006967A4"/>
        </w:tc>
        <w:tc>
          <w:tcPr>
            <w:tcW w:w="1778" w:type="pct"/>
            <w:vAlign w:val="center"/>
          </w:tcPr>
          <w:p w:rsidR="006967A4" w:rsidRPr="00327E01" w:rsidRDefault="006967A4" w:rsidP="006967A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</w:tcPr>
          <w:p w:rsidR="006967A4" w:rsidRPr="00327E01" w:rsidRDefault="006967A4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为保护基金份额持有人利益</w:t>
            </w:r>
          </w:p>
        </w:tc>
      </w:tr>
      <w:tr w:rsidR="006967A4" w:rsidRPr="00327E01" w:rsidTr="00CB21B3">
        <w:trPr>
          <w:jc w:val="center"/>
        </w:trPr>
        <w:tc>
          <w:tcPr>
            <w:tcW w:w="1515" w:type="pct"/>
            <w:vAlign w:val="center"/>
          </w:tcPr>
          <w:p w:rsidR="006967A4" w:rsidRPr="00327E01" w:rsidRDefault="006967A4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6967A4" w:rsidRPr="006967A4" w:rsidRDefault="006967A4" w:rsidP="00BD601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6967A4">
              <w:rPr>
                <w:rFonts w:eastAsiaTheme="minorEastAsia"/>
                <w:color w:val="000000"/>
                <w:sz w:val="24"/>
                <w:szCs w:val="24"/>
              </w:rPr>
              <w:t>交银</w:t>
            </w:r>
            <w:r w:rsidR="000E2EBD">
              <w:rPr>
                <w:rFonts w:eastAsiaTheme="minorEastAsia"/>
                <w:color w:val="000000"/>
                <w:sz w:val="24"/>
                <w:szCs w:val="24"/>
              </w:rPr>
              <w:t>裕兴纯债</w:t>
            </w:r>
            <w:r w:rsidRPr="006967A4">
              <w:rPr>
                <w:rFonts w:eastAsiaTheme="minorEastAsia"/>
                <w:color w:val="000000"/>
                <w:sz w:val="24"/>
                <w:szCs w:val="24"/>
              </w:rPr>
              <w:t>债券</w:t>
            </w:r>
            <w:r w:rsidRPr="006967A4">
              <w:rPr>
                <w:rFonts w:eastAsiaTheme="minorEastAsia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707" w:type="pct"/>
            <w:vAlign w:val="center"/>
          </w:tcPr>
          <w:p w:rsidR="006967A4" w:rsidRPr="006967A4" w:rsidRDefault="006967A4" w:rsidP="00BD601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6967A4">
              <w:rPr>
                <w:rFonts w:eastAsiaTheme="minorEastAsia"/>
                <w:color w:val="000000"/>
                <w:sz w:val="24"/>
                <w:szCs w:val="24"/>
              </w:rPr>
              <w:t>交银</w:t>
            </w:r>
            <w:r w:rsidR="000E2EBD">
              <w:rPr>
                <w:rFonts w:eastAsiaTheme="minorEastAsia"/>
                <w:color w:val="000000"/>
                <w:sz w:val="24"/>
                <w:szCs w:val="24"/>
              </w:rPr>
              <w:t>裕兴纯债</w:t>
            </w:r>
            <w:r w:rsidRPr="006967A4">
              <w:rPr>
                <w:rFonts w:eastAsiaTheme="minorEastAsia"/>
                <w:color w:val="000000"/>
                <w:sz w:val="24"/>
                <w:szCs w:val="24"/>
              </w:rPr>
              <w:t>债券</w:t>
            </w:r>
            <w:r w:rsidRPr="006967A4">
              <w:rPr>
                <w:rFonts w:eastAsiaTheme="minorEastAsia"/>
                <w:color w:val="000000"/>
                <w:sz w:val="24"/>
                <w:szCs w:val="24"/>
              </w:rPr>
              <w:t xml:space="preserve">C </w:t>
            </w:r>
          </w:p>
        </w:tc>
      </w:tr>
      <w:tr w:rsidR="006967A4" w:rsidRPr="00327E01" w:rsidTr="00CB21B3">
        <w:trPr>
          <w:jc w:val="center"/>
        </w:trPr>
        <w:tc>
          <w:tcPr>
            <w:tcW w:w="1515" w:type="pct"/>
            <w:vAlign w:val="center"/>
          </w:tcPr>
          <w:p w:rsidR="006967A4" w:rsidRPr="00327E01" w:rsidRDefault="006967A4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6967A4" w:rsidRPr="006967A4" w:rsidRDefault="000E2EBD" w:rsidP="00667DE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519774</w:t>
            </w:r>
          </w:p>
        </w:tc>
        <w:tc>
          <w:tcPr>
            <w:tcW w:w="1707" w:type="pct"/>
            <w:vAlign w:val="center"/>
          </w:tcPr>
          <w:p w:rsidR="006967A4" w:rsidRPr="006967A4" w:rsidRDefault="000E2EBD" w:rsidP="00667DE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519775</w:t>
            </w:r>
          </w:p>
        </w:tc>
      </w:tr>
      <w:tr w:rsidR="000F68D9" w:rsidRPr="00327E01" w:rsidTr="00BA15D3">
        <w:trPr>
          <w:jc w:val="center"/>
        </w:trPr>
        <w:tc>
          <w:tcPr>
            <w:tcW w:w="1515" w:type="pct"/>
          </w:tcPr>
          <w:p w:rsidR="000F68D9" w:rsidRPr="00EB5388" w:rsidRDefault="000F68D9" w:rsidP="00CA5561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该分级基金是否暂停申购</w:t>
            </w:r>
            <w:r w:rsidR="000E2E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0E2EB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:rsidR="000F68D9" w:rsidRPr="006967A4" w:rsidRDefault="000F68D9" w:rsidP="00667DE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0F68D9" w:rsidRPr="006967A4" w:rsidRDefault="000F68D9" w:rsidP="00667DE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3" w:name="_Toc275961406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="00A437E0">
        <w:rPr>
          <w:rFonts w:eastAsia="宋体" w:hint="eastAsia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在本基金上述暂停申购、定期定额投资业务期间，本基金的赎回业务正常进行。</w:t>
      </w:r>
    </w:p>
    <w:p w:rsidR="00250A78" w:rsidRPr="00327E01" w:rsidRDefault="00EB5388" w:rsidP="006967A4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="00A437E0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C5" w:rsidRDefault="00C22CC5" w:rsidP="00D327FA">
      <w:r>
        <w:separator/>
      </w:r>
    </w:p>
  </w:endnote>
  <w:endnote w:type="continuationSeparator" w:id="0">
    <w:p w:rsidR="00C22CC5" w:rsidRDefault="00C22CC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C5" w:rsidRDefault="00C22CC5" w:rsidP="00D327FA">
      <w:r>
        <w:separator/>
      </w:r>
    </w:p>
  </w:footnote>
  <w:footnote w:type="continuationSeparator" w:id="0">
    <w:p w:rsidR="00C22CC5" w:rsidRDefault="00C22CC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E2B3D"/>
    <w:rsid w:val="000E2EBD"/>
    <w:rsid w:val="000E4CBF"/>
    <w:rsid w:val="000E5092"/>
    <w:rsid w:val="000F68D9"/>
    <w:rsid w:val="001123AC"/>
    <w:rsid w:val="001161A4"/>
    <w:rsid w:val="001169BB"/>
    <w:rsid w:val="001412F9"/>
    <w:rsid w:val="0017187C"/>
    <w:rsid w:val="00180DA3"/>
    <w:rsid w:val="00196BD7"/>
    <w:rsid w:val="001A08AC"/>
    <w:rsid w:val="001A29F7"/>
    <w:rsid w:val="001A3CA1"/>
    <w:rsid w:val="001B4A63"/>
    <w:rsid w:val="001B4F9F"/>
    <w:rsid w:val="001C2059"/>
    <w:rsid w:val="001D3B6F"/>
    <w:rsid w:val="001E4CD3"/>
    <w:rsid w:val="001E7BCD"/>
    <w:rsid w:val="001F193F"/>
    <w:rsid w:val="002061D4"/>
    <w:rsid w:val="00207484"/>
    <w:rsid w:val="00245724"/>
    <w:rsid w:val="00250A78"/>
    <w:rsid w:val="00252BB4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E53B1"/>
    <w:rsid w:val="005F1AF0"/>
    <w:rsid w:val="00614995"/>
    <w:rsid w:val="00646522"/>
    <w:rsid w:val="00667DE7"/>
    <w:rsid w:val="006967A4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D3261"/>
    <w:rsid w:val="008F225D"/>
    <w:rsid w:val="0091304D"/>
    <w:rsid w:val="00913D53"/>
    <w:rsid w:val="0091589B"/>
    <w:rsid w:val="00932FF1"/>
    <w:rsid w:val="00936257"/>
    <w:rsid w:val="00945318"/>
    <w:rsid w:val="00956B0F"/>
    <w:rsid w:val="009968BA"/>
    <w:rsid w:val="009A0B67"/>
    <w:rsid w:val="009B1774"/>
    <w:rsid w:val="009B269C"/>
    <w:rsid w:val="009B403A"/>
    <w:rsid w:val="009C33A5"/>
    <w:rsid w:val="009C5858"/>
    <w:rsid w:val="009E7A4A"/>
    <w:rsid w:val="009F2805"/>
    <w:rsid w:val="00A3379F"/>
    <w:rsid w:val="00A437E0"/>
    <w:rsid w:val="00A443AB"/>
    <w:rsid w:val="00A516C4"/>
    <w:rsid w:val="00A65CFB"/>
    <w:rsid w:val="00A85AEC"/>
    <w:rsid w:val="00AF68A9"/>
    <w:rsid w:val="00B0547A"/>
    <w:rsid w:val="00B101F7"/>
    <w:rsid w:val="00B13229"/>
    <w:rsid w:val="00B243AE"/>
    <w:rsid w:val="00B40A5A"/>
    <w:rsid w:val="00B5053A"/>
    <w:rsid w:val="00BA6967"/>
    <w:rsid w:val="00BB78A2"/>
    <w:rsid w:val="00BD601B"/>
    <w:rsid w:val="00BD6D93"/>
    <w:rsid w:val="00C22CC5"/>
    <w:rsid w:val="00C50193"/>
    <w:rsid w:val="00C74043"/>
    <w:rsid w:val="00C84FBF"/>
    <w:rsid w:val="00C94351"/>
    <w:rsid w:val="00CA5561"/>
    <w:rsid w:val="00CB21B3"/>
    <w:rsid w:val="00D100C9"/>
    <w:rsid w:val="00D114B7"/>
    <w:rsid w:val="00D327FA"/>
    <w:rsid w:val="00D33E60"/>
    <w:rsid w:val="00D64175"/>
    <w:rsid w:val="00D82740"/>
    <w:rsid w:val="00D906EB"/>
    <w:rsid w:val="00DB2A18"/>
    <w:rsid w:val="00DD5B05"/>
    <w:rsid w:val="00DE5E75"/>
    <w:rsid w:val="00DE678B"/>
    <w:rsid w:val="00E23114"/>
    <w:rsid w:val="00E31264"/>
    <w:rsid w:val="00E55205"/>
    <w:rsid w:val="00E72255"/>
    <w:rsid w:val="00E77D74"/>
    <w:rsid w:val="00E90BFD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73ACA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4B40B-61A8-47EB-A912-CCD24AB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DFA68-BB18-424D-A1D6-136B7A31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12</cp:revision>
  <dcterms:created xsi:type="dcterms:W3CDTF">2017-10-12T05:42:00Z</dcterms:created>
  <dcterms:modified xsi:type="dcterms:W3CDTF">2018-04-11T05:58:00Z</dcterms:modified>
</cp:coreProperties>
</file>