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交银施罗德天利宝货币市场基金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中信银行股份有限公司</w:t>
      </w:r>
      <w:r w:rsidR="002813BD">
        <w:rPr>
          <w:rFonts w:hint="eastAsia"/>
          <w:color w:val="000000"/>
          <w:sz w:val="24"/>
        </w:rPr>
        <w:t>(</w:t>
      </w:r>
      <w:r w:rsidR="002813BD">
        <w:rPr>
          <w:rFonts w:hint="eastAsia"/>
          <w:color w:val="000000"/>
          <w:sz w:val="24"/>
        </w:rPr>
        <w:t>以下简称“中信银行”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交银天利宝货币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002889</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10</w:t>
            </w:r>
            <w:r w:rsidRPr="004C79A3">
              <w:rPr>
                <w:sz w:val="24"/>
              </w:rPr>
              <w:t>月</w:t>
            </w:r>
            <w:r w:rsidRPr="004C79A3">
              <w:rPr>
                <w:sz w:val="24"/>
              </w:rPr>
              <w:t>19</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2,392,771,236.93</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交银天利宝货币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交银天利宝货币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002889</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002890</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129,287,148.69</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2,263,484,088.24</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李修滨</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4006800000</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lixiubin@citicbank.com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95558</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010-85230024</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1826"/>
        <w:gridCol w:w="1826"/>
        <w:gridCol w:w="1826"/>
        <w:gridCol w:w="2028"/>
      </w:tblGrid>
      <w:tr w:rsidR="004F75CB" w:rsidRPr="00506D23" w:rsidTr="00DA526C">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center"/>
              <w:rPr>
                <w:b/>
                <w:szCs w:val="21"/>
              </w:rPr>
            </w:pPr>
            <w:r w:rsidRPr="00506D23">
              <w:rPr>
                <w:b/>
                <w:szCs w:val="21"/>
              </w:rPr>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10</w:t>
            </w:r>
            <w:r w:rsidRPr="00506D23">
              <w:rPr>
                <w:rFonts w:hint="eastAsia"/>
                <w:b/>
                <w:szCs w:val="21"/>
              </w:rPr>
              <w:t>月</w:t>
            </w:r>
            <w:r w:rsidRPr="00506D23">
              <w:rPr>
                <w:rFonts w:hint="eastAsia"/>
                <w:b/>
                <w:szCs w:val="21"/>
              </w:rPr>
              <w:t>19</w:t>
            </w:r>
            <w:r w:rsidRPr="00506D23">
              <w:rPr>
                <w:rFonts w:hint="eastAsia"/>
                <w:b/>
                <w:szCs w:val="21"/>
              </w:rPr>
              <w:t>日（基金合同生效日）至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4F75CB" w:rsidRPr="00506D23" w:rsidTr="00DA526C">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Pr>
                <w:rFonts w:hint="eastAsia"/>
                <w:szCs w:val="21"/>
              </w:rPr>
              <w:t>交银天利宝货币</w:t>
            </w:r>
            <w:r>
              <w:rPr>
                <w:rFonts w:hint="eastAsia"/>
                <w:szCs w:val="21"/>
              </w:rPr>
              <w:t>E</w:t>
            </w:r>
          </w:p>
        </w:tc>
      </w:tr>
      <w:tr w:rsidR="004F75CB" w:rsidRPr="00506D23" w:rsidTr="00DA526C">
        <w:tc>
          <w:tcPr>
            <w:tcW w:w="669"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1,518,783.72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Pr>
                <w:rFonts w:hint="eastAsia"/>
                <w:szCs w:val="21"/>
              </w:rPr>
              <w:t>64,622,625.91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2,074.66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2,977,288.39</w:t>
            </w:r>
          </w:p>
        </w:tc>
      </w:tr>
      <w:tr w:rsidR="004F75CB" w:rsidRPr="00506D23" w:rsidTr="00DA526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1,518,783.72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Pr>
                <w:rFonts w:hint="eastAsia"/>
                <w:szCs w:val="21"/>
              </w:rPr>
              <w:t>64,622,625.91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2,074.66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2,977,288.39</w:t>
            </w:r>
          </w:p>
        </w:tc>
      </w:tr>
      <w:tr w:rsidR="004F75CB" w:rsidRPr="00506D23" w:rsidTr="00DA526C">
        <w:tc>
          <w:tcPr>
            <w:tcW w:w="669"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4.01%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Pr>
                <w:rFonts w:hint="eastAsia"/>
                <w:szCs w:val="21"/>
              </w:rPr>
              <w:t>4.26%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0.55%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0.60%</w:t>
            </w:r>
          </w:p>
        </w:tc>
      </w:tr>
      <w:tr w:rsidR="004F75CB" w:rsidRPr="00506D23" w:rsidTr="00DA526C">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center"/>
              <w:rPr>
                <w:b/>
                <w:szCs w:val="21"/>
              </w:rPr>
            </w:pPr>
            <w:r w:rsidRPr="00506D23">
              <w:rPr>
                <w:b/>
                <w:szCs w:val="21"/>
              </w:rPr>
              <w:t>2017</w:t>
            </w:r>
            <w:r w:rsidRPr="00506D23">
              <w:rPr>
                <w:rFonts w:hint="eastAsia"/>
                <w:b/>
                <w:szCs w:val="21"/>
              </w:rPr>
              <w:t>年末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center"/>
              <w:rPr>
                <w:b/>
                <w:szCs w:val="21"/>
              </w:rPr>
            </w:pPr>
            <w:r w:rsidRPr="00506D23">
              <w:rPr>
                <w:b/>
                <w:szCs w:val="21"/>
              </w:rPr>
              <w:t>2016</w:t>
            </w:r>
            <w:r w:rsidRPr="00506D23">
              <w:rPr>
                <w:rFonts w:hint="eastAsia"/>
                <w:b/>
                <w:szCs w:val="21"/>
              </w:rPr>
              <w:t>年末</w:t>
            </w:r>
          </w:p>
        </w:tc>
      </w:tr>
      <w:tr w:rsidR="004F75CB" w:rsidRPr="00506D23" w:rsidTr="00DA526C">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Pr>
                <w:rFonts w:hint="eastAsia"/>
                <w:szCs w:val="21"/>
              </w:rPr>
              <w:t>交银天利宝货币</w:t>
            </w:r>
            <w:r>
              <w:rPr>
                <w:rFonts w:hint="eastAsia"/>
                <w:szCs w:val="21"/>
              </w:rPr>
              <w:t>E</w:t>
            </w:r>
          </w:p>
        </w:tc>
      </w:tr>
      <w:tr w:rsidR="004F75CB" w:rsidRPr="00506D23" w:rsidTr="00DA526C">
        <w:tc>
          <w:tcPr>
            <w:tcW w:w="669"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129,287,148.69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Pr>
                <w:rFonts w:hint="eastAsia"/>
                <w:szCs w:val="21"/>
              </w:rPr>
              <w:t>2,263,484,088.24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2,542,790.45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503,013,014.58</w:t>
            </w:r>
          </w:p>
        </w:tc>
      </w:tr>
      <w:tr w:rsidR="004F75CB" w:rsidRPr="00506D23" w:rsidTr="00DA526C">
        <w:tc>
          <w:tcPr>
            <w:tcW w:w="669"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4F75CB" w:rsidRPr="00506D23" w:rsidRDefault="004F75CB" w:rsidP="00DA526C">
            <w:pPr>
              <w:spacing w:before="29" w:line="288" w:lineRule="auto"/>
              <w:jc w:val="right"/>
              <w:rPr>
                <w:szCs w:val="21"/>
              </w:rPr>
            </w:pPr>
            <w:r w:rsidRPr="00506D23">
              <w:rPr>
                <w:rFonts w:hint="eastAsia"/>
                <w:szCs w:val="21"/>
              </w:rPr>
              <w:t>1.000</w:t>
            </w:r>
          </w:p>
        </w:tc>
      </w:tr>
    </w:tbl>
    <w:p w:rsidR="00454223" w:rsidRDefault="004F75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454223" w:rsidRDefault="004F75CB">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454223" w:rsidRDefault="004F75CB">
      <w:pPr>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w:t>
      </w:r>
      <w:r>
        <w:rPr>
          <w:rFonts w:hint="eastAsia"/>
          <w:kern w:val="0"/>
          <w:sz w:val="24"/>
        </w:rPr>
        <w:lastRenderedPageBreak/>
        <w:t>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454223" w:rsidRDefault="004F75CB">
      <w:pPr>
        <w:spacing w:before="29" w:line="288" w:lineRule="auto"/>
        <w:jc w:val="left"/>
        <w:rPr>
          <w:kern w:val="0"/>
          <w:sz w:val="24"/>
        </w:rPr>
      </w:pPr>
      <w:r>
        <w:rPr>
          <w:rFonts w:hint="eastAsia"/>
          <w:kern w:val="0"/>
          <w:sz w:val="24"/>
        </w:rPr>
        <w:t xml:space="preserve">   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FF3081" w:rsidRPr="007D254C" w:rsidRDefault="00FF3081" w:rsidP="007D254C">
      <w:pPr>
        <w:spacing w:before="29" w:line="288" w:lineRule="auto"/>
        <w:jc w:val="left"/>
        <w:rPr>
          <w:kern w:val="0"/>
          <w:sz w:val="24"/>
        </w:rPr>
      </w:pPr>
      <w:r w:rsidRPr="007D254C">
        <w:rPr>
          <w:rFonts w:hint="eastAsia"/>
          <w:kern w:val="0"/>
          <w:sz w:val="24"/>
        </w:rPr>
        <w:t xml:space="preserve">  </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．交银天利宝货币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454223">
        <w:tc>
          <w:tcPr>
            <w:tcW w:w="1286" w:type="dxa"/>
            <w:vAlign w:val="center"/>
          </w:tcPr>
          <w:p w:rsidR="00454223" w:rsidRDefault="004F75CB">
            <w:pPr>
              <w:jc w:val="left"/>
            </w:pPr>
            <w:r>
              <w:rPr>
                <w:sz w:val="24"/>
              </w:rPr>
              <w:t>过去三个月</w:t>
            </w:r>
          </w:p>
        </w:tc>
        <w:tc>
          <w:tcPr>
            <w:tcW w:w="1286" w:type="dxa"/>
            <w:vAlign w:val="center"/>
          </w:tcPr>
          <w:p w:rsidR="00454223" w:rsidRDefault="004F75CB">
            <w:pPr>
              <w:jc w:val="center"/>
            </w:pPr>
            <w:r>
              <w:rPr>
                <w:sz w:val="24"/>
              </w:rPr>
              <w:t>1.0702%</w:t>
            </w:r>
          </w:p>
        </w:tc>
        <w:tc>
          <w:tcPr>
            <w:tcW w:w="1286" w:type="dxa"/>
            <w:vAlign w:val="center"/>
          </w:tcPr>
          <w:p w:rsidR="00454223" w:rsidRDefault="004F75CB">
            <w:pPr>
              <w:jc w:val="center"/>
            </w:pPr>
            <w:r>
              <w:rPr>
                <w:sz w:val="24"/>
              </w:rPr>
              <w:t>0.0006%</w:t>
            </w:r>
          </w:p>
        </w:tc>
        <w:tc>
          <w:tcPr>
            <w:tcW w:w="1285" w:type="dxa"/>
            <w:vAlign w:val="center"/>
          </w:tcPr>
          <w:p w:rsidR="00454223" w:rsidRDefault="004F75CB">
            <w:pPr>
              <w:jc w:val="center"/>
            </w:pPr>
            <w:r>
              <w:rPr>
                <w:sz w:val="24"/>
              </w:rPr>
              <w:t>0.0882%</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0.9820%</w:t>
            </w:r>
          </w:p>
        </w:tc>
        <w:tc>
          <w:tcPr>
            <w:tcW w:w="1285" w:type="dxa"/>
            <w:vAlign w:val="center"/>
          </w:tcPr>
          <w:p w:rsidR="00454223" w:rsidRDefault="004F75CB">
            <w:pPr>
              <w:jc w:val="center"/>
            </w:pPr>
            <w:r>
              <w:rPr>
                <w:sz w:val="24"/>
              </w:rPr>
              <w:t>0.0006%</w:t>
            </w:r>
          </w:p>
        </w:tc>
      </w:tr>
      <w:tr w:rsidR="00454223">
        <w:tc>
          <w:tcPr>
            <w:tcW w:w="1286" w:type="dxa"/>
            <w:vAlign w:val="center"/>
          </w:tcPr>
          <w:p w:rsidR="00454223" w:rsidRDefault="004F75CB">
            <w:pPr>
              <w:jc w:val="left"/>
            </w:pPr>
            <w:r>
              <w:rPr>
                <w:sz w:val="24"/>
              </w:rPr>
              <w:t>过去六个月</w:t>
            </w:r>
          </w:p>
        </w:tc>
        <w:tc>
          <w:tcPr>
            <w:tcW w:w="1286" w:type="dxa"/>
            <w:vAlign w:val="center"/>
          </w:tcPr>
          <w:p w:rsidR="00454223" w:rsidRDefault="004F75CB">
            <w:pPr>
              <w:jc w:val="center"/>
            </w:pPr>
            <w:r>
              <w:rPr>
                <w:sz w:val="24"/>
              </w:rPr>
              <w:t>2.1128%</w:t>
            </w:r>
          </w:p>
        </w:tc>
        <w:tc>
          <w:tcPr>
            <w:tcW w:w="1286" w:type="dxa"/>
            <w:vAlign w:val="center"/>
          </w:tcPr>
          <w:p w:rsidR="00454223" w:rsidRDefault="004F75CB">
            <w:pPr>
              <w:jc w:val="center"/>
            </w:pPr>
            <w:r>
              <w:rPr>
                <w:sz w:val="24"/>
              </w:rPr>
              <w:t>0.0006%</w:t>
            </w:r>
          </w:p>
        </w:tc>
        <w:tc>
          <w:tcPr>
            <w:tcW w:w="1285" w:type="dxa"/>
            <w:vAlign w:val="center"/>
          </w:tcPr>
          <w:p w:rsidR="00454223" w:rsidRDefault="004F75CB">
            <w:pPr>
              <w:jc w:val="center"/>
            </w:pPr>
            <w:r>
              <w:rPr>
                <w:sz w:val="24"/>
              </w:rPr>
              <w:t>0.1764%</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1.9364%</w:t>
            </w:r>
          </w:p>
        </w:tc>
        <w:tc>
          <w:tcPr>
            <w:tcW w:w="1285" w:type="dxa"/>
            <w:vAlign w:val="center"/>
          </w:tcPr>
          <w:p w:rsidR="00454223" w:rsidRDefault="004F75CB">
            <w:pPr>
              <w:jc w:val="center"/>
            </w:pPr>
            <w:r>
              <w:rPr>
                <w:sz w:val="24"/>
              </w:rPr>
              <w:t>0.0006%</w:t>
            </w:r>
          </w:p>
        </w:tc>
      </w:tr>
      <w:tr w:rsidR="00454223">
        <w:tc>
          <w:tcPr>
            <w:tcW w:w="1286" w:type="dxa"/>
            <w:vAlign w:val="center"/>
          </w:tcPr>
          <w:p w:rsidR="00454223" w:rsidRDefault="004F75CB">
            <w:pPr>
              <w:jc w:val="left"/>
            </w:pPr>
            <w:r>
              <w:rPr>
                <w:sz w:val="24"/>
              </w:rPr>
              <w:t>过去一年</w:t>
            </w:r>
          </w:p>
        </w:tc>
        <w:tc>
          <w:tcPr>
            <w:tcW w:w="1286" w:type="dxa"/>
            <w:vAlign w:val="center"/>
          </w:tcPr>
          <w:p w:rsidR="00454223" w:rsidRDefault="004F75CB">
            <w:pPr>
              <w:jc w:val="center"/>
            </w:pPr>
            <w:r>
              <w:rPr>
                <w:sz w:val="24"/>
              </w:rPr>
              <w:t>4.0107%</w:t>
            </w:r>
          </w:p>
        </w:tc>
        <w:tc>
          <w:tcPr>
            <w:tcW w:w="1286" w:type="dxa"/>
            <w:vAlign w:val="center"/>
          </w:tcPr>
          <w:p w:rsidR="00454223" w:rsidRDefault="004F75CB">
            <w:pPr>
              <w:jc w:val="center"/>
            </w:pPr>
            <w:r>
              <w:rPr>
                <w:sz w:val="24"/>
              </w:rPr>
              <w:t>0.0008%</w:t>
            </w:r>
          </w:p>
        </w:tc>
        <w:tc>
          <w:tcPr>
            <w:tcW w:w="1285" w:type="dxa"/>
            <w:vAlign w:val="center"/>
          </w:tcPr>
          <w:p w:rsidR="00454223" w:rsidRDefault="004F75CB">
            <w:pPr>
              <w:jc w:val="center"/>
            </w:pPr>
            <w:r>
              <w:rPr>
                <w:sz w:val="24"/>
              </w:rPr>
              <w:t>0.3500%</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3.6607%</w:t>
            </w:r>
          </w:p>
        </w:tc>
        <w:tc>
          <w:tcPr>
            <w:tcW w:w="1285" w:type="dxa"/>
            <w:vAlign w:val="center"/>
          </w:tcPr>
          <w:p w:rsidR="00454223" w:rsidRDefault="004F75CB">
            <w:pPr>
              <w:jc w:val="center"/>
            </w:pPr>
            <w:r>
              <w:rPr>
                <w:sz w:val="24"/>
              </w:rPr>
              <w:t>0.0008%</w:t>
            </w:r>
          </w:p>
        </w:tc>
      </w:tr>
      <w:tr w:rsidR="00454223">
        <w:tc>
          <w:tcPr>
            <w:tcW w:w="1286" w:type="dxa"/>
            <w:vAlign w:val="center"/>
          </w:tcPr>
          <w:p w:rsidR="00454223" w:rsidRDefault="004F75CB">
            <w:pPr>
              <w:jc w:val="left"/>
            </w:pPr>
            <w:r>
              <w:rPr>
                <w:sz w:val="24"/>
              </w:rPr>
              <w:t>自基金合同生效起至今</w:t>
            </w:r>
          </w:p>
        </w:tc>
        <w:tc>
          <w:tcPr>
            <w:tcW w:w="1286" w:type="dxa"/>
            <w:vAlign w:val="center"/>
          </w:tcPr>
          <w:p w:rsidR="00454223" w:rsidRDefault="004F75CB">
            <w:pPr>
              <w:jc w:val="center"/>
            </w:pPr>
            <w:r>
              <w:rPr>
                <w:sz w:val="24"/>
              </w:rPr>
              <w:t>4.5824%</w:t>
            </w:r>
          </w:p>
        </w:tc>
        <w:tc>
          <w:tcPr>
            <w:tcW w:w="1286" w:type="dxa"/>
            <w:vAlign w:val="center"/>
          </w:tcPr>
          <w:p w:rsidR="00454223" w:rsidRDefault="004F75CB">
            <w:pPr>
              <w:jc w:val="center"/>
            </w:pPr>
            <w:r>
              <w:rPr>
                <w:sz w:val="24"/>
              </w:rPr>
              <w:t>0.0017%</w:t>
            </w:r>
          </w:p>
        </w:tc>
        <w:tc>
          <w:tcPr>
            <w:tcW w:w="1285" w:type="dxa"/>
            <w:vAlign w:val="center"/>
          </w:tcPr>
          <w:p w:rsidR="00454223" w:rsidRDefault="004F75CB">
            <w:pPr>
              <w:jc w:val="center"/>
            </w:pPr>
            <w:r>
              <w:rPr>
                <w:sz w:val="24"/>
              </w:rPr>
              <w:t>0.4210%</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4.1614%</w:t>
            </w:r>
          </w:p>
        </w:tc>
        <w:tc>
          <w:tcPr>
            <w:tcW w:w="1285" w:type="dxa"/>
            <w:vAlign w:val="center"/>
          </w:tcPr>
          <w:p w:rsidR="00454223" w:rsidRDefault="004F75CB">
            <w:pPr>
              <w:jc w:val="center"/>
            </w:pPr>
            <w:r>
              <w:rPr>
                <w:sz w:val="24"/>
              </w:rPr>
              <w:t>0.0017%</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交银天利宝货币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454223">
        <w:tc>
          <w:tcPr>
            <w:tcW w:w="1286" w:type="dxa"/>
            <w:vAlign w:val="center"/>
          </w:tcPr>
          <w:p w:rsidR="00454223" w:rsidRDefault="004F75CB">
            <w:pPr>
              <w:jc w:val="left"/>
            </w:pPr>
            <w:r>
              <w:rPr>
                <w:sz w:val="24"/>
              </w:rPr>
              <w:t>过去三个月</w:t>
            </w:r>
          </w:p>
        </w:tc>
        <w:tc>
          <w:tcPr>
            <w:tcW w:w="1286" w:type="dxa"/>
            <w:vAlign w:val="center"/>
          </w:tcPr>
          <w:p w:rsidR="00454223" w:rsidRDefault="004F75CB">
            <w:pPr>
              <w:jc w:val="center"/>
            </w:pPr>
            <w:r>
              <w:rPr>
                <w:sz w:val="24"/>
              </w:rPr>
              <w:t>1.1308%</w:t>
            </w:r>
          </w:p>
        </w:tc>
        <w:tc>
          <w:tcPr>
            <w:tcW w:w="1286" w:type="dxa"/>
            <w:vAlign w:val="center"/>
          </w:tcPr>
          <w:p w:rsidR="00454223" w:rsidRDefault="004F75CB">
            <w:pPr>
              <w:jc w:val="center"/>
            </w:pPr>
            <w:r>
              <w:rPr>
                <w:sz w:val="24"/>
              </w:rPr>
              <w:t>0.0006%</w:t>
            </w:r>
          </w:p>
        </w:tc>
        <w:tc>
          <w:tcPr>
            <w:tcW w:w="1285" w:type="dxa"/>
            <w:vAlign w:val="center"/>
          </w:tcPr>
          <w:p w:rsidR="00454223" w:rsidRDefault="004F75CB">
            <w:pPr>
              <w:jc w:val="center"/>
            </w:pPr>
            <w:r>
              <w:rPr>
                <w:sz w:val="24"/>
              </w:rPr>
              <w:t>0.0882%</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1.0426%</w:t>
            </w:r>
          </w:p>
        </w:tc>
        <w:tc>
          <w:tcPr>
            <w:tcW w:w="1285" w:type="dxa"/>
            <w:vAlign w:val="center"/>
          </w:tcPr>
          <w:p w:rsidR="00454223" w:rsidRDefault="004F75CB">
            <w:pPr>
              <w:jc w:val="center"/>
            </w:pPr>
            <w:r>
              <w:rPr>
                <w:sz w:val="24"/>
              </w:rPr>
              <w:t>0.0006%</w:t>
            </w:r>
          </w:p>
        </w:tc>
      </w:tr>
      <w:tr w:rsidR="00454223">
        <w:tc>
          <w:tcPr>
            <w:tcW w:w="1286" w:type="dxa"/>
            <w:vAlign w:val="center"/>
          </w:tcPr>
          <w:p w:rsidR="00454223" w:rsidRDefault="004F75CB">
            <w:pPr>
              <w:jc w:val="left"/>
            </w:pPr>
            <w:r>
              <w:rPr>
                <w:sz w:val="24"/>
              </w:rPr>
              <w:t>过去六个月</w:t>
            </w:r>
          </w:p>
        </w:tc>
        <w:tc>
          <w:tcPr>
            <w:tcW w:w="1286" w:type="dxa"/>
            <w:vAlign w:val="center"/>
          </w:tcPr>
          <w:p w:rsidR="00454223" w:rsidRDefault="004F75CB">
            <w:pPr>
              <w:jc w:val="center"/>
            </w:pPr>
            <w:r>
              <w:rPr>
                <w:sz w:val="24"/>
              </w:rPr>
              <w:t>2.2350%</w:t>
            </w:r>
          </w:p>
        </w:tc>
        <w:tc>
          <w:tcPr>
            <w:tcW w:w="1286" w:type="dxa"/>
            <w:vAlign w:val="center"/>
          </w:tcPr>
          <w:p w:rsidR="00454223" w:rsidRDefault="004F75CB">
            <w:pPr>
              <w:jc w:val="center"/>
            </w:pPr>
            <w:r>
              <w:rPr>
                <w:sz w:val="24"/>
              </w:rPr>
              <w:t>0.0005%</w:t>
            </w:r>
          </w:p>
        </w:tc>
        <w:tc>
          <w:tcPr>
            <w:tcW w:w="1285" w:type="dxa"/>
            <w:vAlign w:val="center"/>
          </w:tcPr>
          <w:p w:rsidR="00454223" w:rsidRDefault="004F75CB">
            <w:pPr>
              <w:jc w:val="center"/>
            </w:pPr>
            <w:r>
              <w:rPr>
                <w:sz w:val="24"/>
              </w:rPr>
              <w:t>0.1764%</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2.0586%</w:t>
            </w:r>
          </w:p>
        </w:tc>
        <w:tc>
          <w:tcPr>
            <w:tcW w:w="1285" w:type="dxa"/>
            <w:vAlign w:val="center"/>
          </w:tcPr>
          <w:p w:rsidR="00454223" w:rsidRDefault="004F75CB">
            <w:pPr>
              <w:jc w:val="center"/>
            </w:pPr>
            <w:r>
              <w:rPr>
                <w:sz w:val="24"/>
              </w:rPr>
              <w:t>0.0005%</w:t>
            </w:r>
          </w:p>
        </w:tc>
      </w:tr>
      <w:tr w:rsidR="00454223">
        <w:tc>
          <w:tcPr>
            <w:tcW w:w="1286" w:type="dxa"/>
            <w:vAlign w:val="center"/>
          </w:tcPr>
          <w:p w:rsidR="00454223" w:rsidRDefault="004F75CB">
            <w:pPr>
              <w:jc w:val="left"/>
            </w:pPr>
            <w:r>
              <w:rPr>
                <w:sz w:val="24"/>
              </w:rPr>
              <w:t>过去一年</w:t>
            </w:r>
          </w:p>
        </w:tc>
        <w:tc>
          <w:tcPr>
            <w:tcW w:w="1286" w:type="dxa"/>
            <w:vAlign w:val="center"/>
          </w:tcPr>
          <w:p w:rsidR="00454223" w:rsidRDefault="004F75CB">
            <w:pPr>
              <w:jc w:val="center"/>
            </w:pPr>
            <w:r>
              <w:rPr>
                <w:sz w:val="24"/>
              </w:rPr>
              <w:t>4.2580%</w:t>
            </w:r>
          </w:p>
        </w:tc>
        <w:tc>
          <w:tcPr>
            <w:tcW w:w="1286" w:type="dxa"/>
            <w:vAlign w:val="center"/>
          </w:tcPr>
          <w:p w:rsidR="00454223" w:rsidRDefault="004F75CB">
            <w:pPr>
              <w:jc w:val="center"/>
            </w:pPr>
            <w:r>
              <w:rPr>
                <w:sz w:val="24"/>
              </w:rPr>
              <w:t>0.0008%</w:t>
            </w:r>
          </w:p>
        </w:tc>
        <w:tc>
          <w:tcPr>
            <w:tcW w:w="1285" w:type="dxa"/>
            <w:vAlign w:val="center"/>
          </w:tcPr>
          <w:p w:rsidR="00454223" w:rsidRDefault="004F75CB">
            <w:pPr>
              <w:jc w:val="center"/>
            </w:pPr>
            <w:r>
              <w:rPr>
                <w:sz w:val="24"/>
              </w:rPr>
              <w:t>0.3500%</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3.9080%</w:t>
            </w:r>
          </w:p>
        </w:tc>
        <w:tc>
          <w:tcPr>
            <w:tcW w:w="1285" w:type="dxa"/>
            <w:vAlign w:val="center"/>
          </w:tcPr>
          <w:p w:rsidR="00454223" w:rsidRDefault="004F75CB">
            <w:pPr>
              <w:jc w:val="center"/>
            </w:pPr>
            <w:r>
              <w:rPr>
                <w:sz w:val="24"/>
              </w:rPr>
              <w:t>0.0008%</w:t>
            </w:r>
          </w:p>
        </w:tc>
      </w:tr>
      <w:tr w:rsidR="00454223">
        <w:tc>
          <w:tcPr>
            <w:tcW w:w="1286" w:type="dxa"/>
            <w:vAlign w:val="center"/>
          </w:tcPr>
          <w:p w:rsidR="00454223" w:rsidRDefault="004F75CB">
            <w:pPr>
              <w:jc w:val="left"/>
            </w:pPr>
            <w:r>
              <w:rPr>
                <w:sz w:val="24"/>
              </w:rPr>
              <w:t>自基金合同生效起</w:t>
            </w:r>
            <w:r>
              <w:rPr>
                <w:sz w:val="24"/>
              </w:rPr>
              <w:lastRenderedPageBreak/>
              <w:t>至今</w:t>
            </w:r>
          </w:p>
        </w:tc>
        <w:tc>
          <w:tcPr>
            <w:tcW w:w="1286" w:type="dxa"/>
            <w:vAlign w:val="center"/>
          </w:tcPr>
          <w:p w:rsidR="00454223" w:rsidRDefault="004F75CB">
            <w:pPr>
              <w:jc w:val="center"/>
            </w:pPr>
            <w:r>
              <w:rPr>
                <w:sz w:val="24"/>
              </w:rPr>
              <w:lastRenderedPageBreak/>
              <w:t>4.8787%</w:t>
            </w:r>
          </w:p>
        </w:tc>
        <w:tc>
          <w:tcPr>
            <w:tcW w:w="1286" w:type="dxa"/>
            <w:vAlign w:val="center"/>
          </w:tcPr>
          <w:p w:rsidR="00454223" w:rsidRDefault="004F75CB">
            <w:pPr>
              <w:jc w:val="center"/>
            </w:pPr>
            <w:r>
              <w:rPr>
                <w:sz w:val="24"/>
              </w:rPr>
              <w:t>0.0017%</w:t>
            </w:r>
          </w:p>
        </w:tc>
        <w:tc>
          <w:tcPr>
            <w:tcW w:w="1285" w:type="dxa"/>
            <w:vAlign w:val="center"/>
          </w:tcPr>
          <w:p w:rsidR="00454223" w:rsidRDefault="004F75CB">
            <w:pPr>
              <w:jc w:val="center"/>
            </w:pPr>
            <w:r>
              <w:rPr>
                <w:sz w:val="24"/>
              </w:rPr>
              <w:t>0.4210%</w:t>
            </w:r>
          </w:p>
        </w:tc>
        <w:tc>
          <w:tcPr>
            <w:tcW w:w="1285" w:type="dxa"/>
            <w:vAlign w:val="center"/>
          </w:tcPr>
          <w:p w:rsidR="00454223" w:rsidRDefault="004F75CB">
            <w:pPr>
              <w:jc w:val="center"/>
            </w:pPr>
            <w:r>
              <w:rPr>
                <w:sz w:val="24"/>
              </w:rPr>
              <w:t>0.0000%</w:t>
            </w:r>
          </w:p>
        </w:tc>
        <w:tc>
          <w:tcPr>
            <w:tcW w:w="1285" w:type="dxa"/>
            <w:vAlign w:val="center"/>
          </w:tcPr>
          <w:p w:rsidR="00454223" w:rsidRDefault="004F75CB">
            <w:pPr>
              <w:jc w:val="center"/>
            </w:pPr>
            <w:r>
              <w:rPr>
                <w:sz w:val="24"/>
              </w:rPr>
              <w:t>4.4577%</w:t>
            </w:r>
          </w:p>
        </w:tc>
        <w:tc>
          <w:tcPr>
            <w:tcW w:w="1285" w:type="dxa"/>
            <w:vAlign w:val="center"/>
          </w:tcPr>
          <w:p w:rsidR="00454223" w:rsidRDefault="004F75CB">
            <w:pPr>
              <w:jc w:val="center"/>
            </w:pPr>
            <w:r>
              <w:rPr>
                <w:sz w:val="24"/>
              </w:rPr>
              <w:t>0.0017%</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、交银天利宝货币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注：本基金基金合同生效日为</w:t>
      </w:r>
      <w:r w:rsidRPr="007D254C">
        <w:rPr>
          <w:rFonts w:hint="eastAsia"/>
          <w:kern w:val="0"/>
          <w:sz w:val="24"/>
        </w:rPr>
        <w:t>2016</w:t>
      </w:r>
      <w:r w:rsidRPr="007D254C">
        <w:rPr>
          <w:rFonts w:hint="eastAsia"/>
          <w:kern w:val="0"/>
          <w:sz w:val="24"/>
        </w:rPr>
        <w:t>年</w:t>
      </w:r>
      <w:r w:rsidRPr="007D254C">
        <w:rPr>
          <w:rFonts w:hint="eastAsia"/>
          <w:kern w:val="0"/>
          <w:sz w:val="24"/>
        </w:rPr>
        <w:t>10</w:t>
      </w:r>
      <w:r w:rsidRPr="007D254C">
        <w:rPr>
          <w:rFonts w:hint="eastAsia"/>
          <w:kern w:val="0"/>
          <w:sz w:val="24"/>
        </w:rPr>
        <w:t>月</w:t>
      </w:r>
      <w:r w:rsidRPr="007D254C">
        <w:rPr>
          <w:rFonts w:hint="eastAsia"/>
          <w:kern w:val="0"/>
          <w:sz w:val="24"/>
        </w:rPr>
        <w:t>19</w:t>
      </w:r>
      <w:r w:rsidRPr="007D254C">
        <w:rPr>
          <w:rFonts w:hint="eastAsia"/>
          <w:kern w:val="0"/>
          <w:sz w:val="24"/>
        </w:rPr>
        <w:t>日，截至报告期期末，本基金已完成建仓但报告期期末距建仓结束未满一年。本基金建仓期为自基金合同生效日起的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交银天利宝货币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注：本基金基金合同生效日为</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日，截至报告期期末，本基金已完成建仓但报告期期末距建仓结束未满一年。本基金建仓期为自基金合同生效日起的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交银天利宝货币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2016</w:t>
      </w:r>
      <w:r w:rsidRPr="007D254C">
        <w:rPr>
          <w:rFonts w:hint="eastAsia"/>
          <w:kern w:val="0"/>
          <w:sz w:val="24"/>
        </w:rPr>
        <w:t>年</w:t>
      </w:r>
      <w:r w:rsidRPr="007D254C">
        <w:rPr>
          <w:rFonts w:hint="eastAsia"/>
          <w:kern w:val="0"/>
          <w:sz w:val="24"/>
        </w:rPr>
        <w:t>10</w:t>
      </w:r>
      <w:r w:rsidRPr="007D254C">
        <w:rPr>
          <w:rFonts w:hint="eastAsia"/>
          <w:kern w:val="0"/>
          <w:sz w:val="24"/>
        </w:rPr>
        <w:t>月</w:t>
      </w:r>
      <w:r w:rsidRPr="007D254C">
        <w:rPr>
          <w:rFonts w:hint="eastAsia"/>
          <w:kern w:val="0"/>
          <w:sz w:val="24"/>
        </w:rPr>
        <w:t>19</w:t>
      </w:r>
      <w:r w:rsidRPr="007D254C">
        <w:rPr>
          <w:rFonts w:hint="eastAsia"/>
          <w:kern w:val="0"/>
          <w:sz w:val="24"/>
        </w:rPr>
        <w:t>日（基金合同生效日）至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w:t>
      </w:r>
      <w:r w:rsidRPr="007D254C">
        <w:rPr>
          <w:rFonts w:hint="eastAsia"/>
          <w:kern w:val="0"/>
          <w:sz w:val="24"/>
        </w:rPr>
        <w:lastRenderedPageBreak/>
        <w:t>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交银天利宝货币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日（基金合同生效日）至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交银天利宝货币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454223">
        <w:tc>
          <w:tcPr>
            <w:tcW w:w="1499" w:type="dxa"/>
            <w:vAlign w:val="center"/>
          </w:tcPr>
          <w:p w:rsidR="00454223" w:rsidRDefault="004F75CB">
            <w:pPr>
              <w:jc w:val="center"/>
            </w:pPr>
            <w:r>
              <w:rPr>
                <w:rFonts w:hint="eastAsia"/>
                <w:color w:val="000000"/>
                <w:sz w:val="24"/>
              </w:rPr>
              <w:t>2017</w:t>
            </w:r>
          </w:p>
        </w:tc>
        <w:tc>
          <w:tcPr>
            <w:tcW w:w="1499" w:type="dxa"/>
            <w:vAlign w:val="center"/>
          </w:tcPr>
          <w:p w:rsidR="00454223" w:rsidRDefault="004F75CB">
            <w:pPr>
              <w:jc w:val="right"/>
            </w:pPr>
            <w:r>
              <w:rPr>
                <w:rFonts w:hint="eastAsia"/>
                <w:color w:val="000000"/>
                <w:sz w:val="24"/>
              </w:rPr>
              <w:t>1,502,679.75</w:t>
            </w:r>
          </w:p>
        </w:tc>
        <w:tc>
          <w:tcPr>
            <w:tcW w:w="1500" w:type="dxa"/>
            <w:vAlign w:val="center"/>
          </w:tcPr>
          <w:p w:rsidR="00454223" w:rsidRDefault="004F75CB">
            <w:pPr>
              <w:jc w:val="right"/>
            </w:pPr>
            <w:r>
              <w:rPr>
                <w:rFonts w:hint="eastAsia"/>
                <w:color w:val="000000"/>
                <w:sz w:val="24"/>
              </w:rPr>
              <w:t>-</w:t>
            </w:r>
          </w:p>
        </w:tc>
        <w:tc>
          <w:tcPr>
            <w:tcW w:w="1500" w:type="dxa"/>
            <w:vAlign w:val="center"/>
          </w:tcPr>
          <w:p w:rsidR="00454223" w:rsidRDefault="004F75CB">
            <w:pPr>
              <w:jc w:val="center"/>
            </w:pPr>
            <w:r>
              <w:rPr>
                <w:rFonts w:hint="eastAsia"/>
                <w:color w:val="000000"/>
                <w:sz w:val="24"/>
              </w:rPr>
              <w:t>16,103.97</w:t>
            </w:r>
          </w:p>
        </w:tc>
        <w:tc>
          <w:tcPr>
            <w:tcW w:w="1500" w:type="dxa"/>
            <w:vAlign w:val="center"/>
          </w:tcPr>
          <w:p w:rsidR="00454223" w:rsidRDefault="004F75CB">
            <w:pPr>
              <w:jc w:val="right"/>
            </w:pPr>
            <w:r>
              <w:rPr>
                <w:rFonts w:hint="eastAsia"/>
                <w:color w:val="000000"/>
                <w:sz w:val="24"/>
              </w:rPr>
              <w:t>1,518,783.72</w:t>
            </w:r>
          </w:p>
        </w:tc>
        <w:tc>
          <w:tcPr>
            <w:tcW w:w="1500" w:type="dxa"/>
            <w:vAlign w:val="center"/>
          </w:tcPr>
          <w:p w:rsidR="00454223" w:rsidRDefault="004F75CB">
            <w:pPr>
              <w:jc w:val="left"/>
            </w:pPr>
            <w:r>
              <w:rPr>
                <w:rFonts w:hint="eastAsia"/>
                <w:color w:val="000000"/>
                <w:sz w:val="24"/>
              </w:rPr>
              <w:t>-</w:t>
            </w:r>
          </w:p>
        </w:tc>
      </w:tr>
      <w:tr w:rsidR="00454223">
        <w:tc>
          <w:tcPr>
            <w:tcW w:w="1499" w:type="dxa"/>
            <w:vAlign w:val="center"/>
          </w:tcPr>
          <w:p w:rsidR="00454223" w:rsidRDefault="004F75CB">
            <w:pPr>
              <w:jc w:val="center"/>
            </w:pPr>
            <w:r>
              <w:rPr>
                <w:rFonts w:hint="eastAsia"/>
                <w:color w:val="000000"/>
                <w:sz w:val="24"/>
              </w:rPr>
              <w:t>2016</w:t>
            </w:r>
          </w:p>
        </w:tc>
        <w:tc>
          <w:tcPr>
            <w:tcW w:w="1499" w:type="dxa"/>
            <w:vAlign w:val="center"/>
          </w:tcPr>
          <w:p w:rsidR="00454223" w:rsidRDefault="004F75CB">
            <w:pPr>
              <w:jc w:val="right"/>
            </w:pPr>
            <w:r>
              <w:rPr>
                <w:rFonts w:hint="eastAsia"/>
                <w:color w:val="000000"/>
                <w:sz w:val="24"/>
              </w:rPr>
              <w:t>1,816.97</w:t>
            </w:r>
          </w:p>
        </w:tc>
        <w:tc>
          <w:tcPr>
            <w:tcW w:w="1500" w:type="dxa"/>
            <w:vAlign w:val="center"/>
          </w:tcPr>
          <w:p w:rsidR="00454223" w:rsidRDefault="004F75CB">
            <w:pPr>
              <w:jc w:val="right"/>
            </w:pPr>
            <w:r>
              <w:rPr>
                <w:rFonts w:hint="eastAsia"/>
                <w:color w:val="000000"/>
                <w:sz w:val="24"/>
              </w:rPr>
              <w:t>-</w:t>
            </w:r>
          </w:p>
        </w:tc>
        <w:tc>
          <w:tcPr>
            <w:tcW w:w="1500" w:type="dxa"/>
            <w:vAlign w:val="center"/>
          </w:tcPr>
          <w:p w:rsidR="00454223" w:rsidRDefault="004F75CB">
            <w:pPr>
              <w:jc w:val="center"/>
            </w:pPr>
            <w:r>
              <w:rPr>
                <w:rFonts w:hint="eastAsia"/>
                <w:color w:val="000000"/>
                <w:sz w:val="24"/>
              </w:rPr>
              <w:t>257.69</w:t>
            </w:r>
          </w:p>
        </w:tc>
        <w:tc>
          <w:tcPr>
            <w:tcW w:w="1500" w:type="dxa"/>
            <w:vAlign w:val="center"/>
          </w:tcPr>
          <w:p w:rsidR="00454223" w:rsidRDefault="004F75CB">
            <w:pPr>
              <w:jc w:val="right"/>
            </w:pPr>
            <w:r>
              <w:rPr>
                <w:rFonts w:hint="eastAsia"/>
                <w:color w:val="000000"/>
                <w:sz w:val="24"/>
              </w:rPr>
              <w:t>2,074.66</w:t>
            </w:r>
          </w:p>
        </w:tc>
        <w:tc>
          <w:tcPr>
            <w:tcW w:w="1500" w:type="dxa"/>
            <w:vAlign w:val="center"/>
          </w:tcPr>
          <w:p w:rsidR="00454223" w:rsidRDefault="004F75CB">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1,504,496.72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16,361.66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1,520,858.38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交银天利宝货币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454223">
        <w:tc>
          <w:tcPr>
            <w:tcW w:w="1499" w:type="dxa"/>
            <w:vAlign w:val="center"/>
          </w:tcPr>
          <w:p w:rsidR="00454223" w:rsidRDefault="004F75CB">
            <w:pPr>
              <w:jc w:val="center"/>
            </w:pPr>
            <w:r>
              <w:rPr>
                <w:rFonts w:hint="eastAsia"/>
                <w:color w:val="000000"/>
                <w:sz w:val="24"/>
              </w:rPr>
              <w:t>2017</w:t>
            </w:r>
          </w:p>
        </w:tc>
        <w:tc>
          <w:tcPr>
            <w:tcW w:w="1499" w:type="dxa"/>
            <w:vAlign w:val="center"/>
          </w:tcPr>
          <w:p w:rsidR="00454223" w:rsidRDefault="004F75CB">
            <w:pPr>
              <w:jc w:val="right"/>
            </w:pPr>
            <w:r>
              <w:rPr>
                <w:rFonts w:hint="eastAsia"/>
                <w:color w:val="000000"/>
                <w:sz w:val="24"/>
              </w:rPr>
              <w:t>64,375,568.0</w:t>
            </w:r>
            <w:r>
              <w:rPr>
                <w:rFonts w:hint="eastAsia"/>
                <w:color w:val="000000"/>
                <w:sz w:val="24"/>
              </w:rPr>
              <w:lastRenderedPageBreak/>
              <w:t>2</w:t>
            </w:r>
          </w:p>
        </w:tc>
        <w:tc>
          <w:tcPr>
            <w:tcW w:w="1500" w:type="dxa"/>
            <w:vAlign w:val="center"/>
          </w:tcPr>
          <w:p w:rsidR="00454223" w:rsidRDefault="004F75CB">
            <w:pPr>
              <w:jc w:val="right"/>
            </w:pPr>
            <w:r>
              <w:rPr>
                <w:rFonts w:hint="eastAsia"/>
                <w:color w:val="000000"/>
                <w:sz w:val="24"/>
              </w:rPr>
              <w:lastRenderedPageBreak/>
              <w:t>-</w:t>
            </w:r>
          </w:p>
        </w:tc>
        <w:tc>
          <w:tcPr>
            <w:tcW w:w="1500" w:type="dxa"/>
            <w:vAlign w:val="center"/>
          </w:tcPr>
          <w:p w:rsidR="00454223" w:rsidRDefault="004F75CB">
            <w:pPr>
              <w:jc w:val="center"/>
            </w:pPr>
            <w:r>
              <w:rPr>
                <w:rFonts w:hint="eastAsia"/>
                <w:color w:val="000000"/>
                <w:sz w:val="24"/>
              </w:rPr>
              <w:t>247,057.89</w:t>
            </w:r>
          </w:p>
        </w:tc>
        <w:tc>
          <w:tcPr>
            <w:tcW w:w="1500" w:type="dxa"/>
            <w:vAlign w:val="center"/>
          </w:tcPr>
          <w:p w:rsidR="00454223" w:rsidRDefault="004F75CB">
            <w:pPr>
              <w:jc w:val="right"/>
            </w:pPr>
            <w:r>
              <w:rPr>
                <w:rFonts w:hint="eastAsia"/>
                <w:color w:val="000000"/>
                <w:sz w:val="24"/>
              </w:rPr>
              <w:t>64,622,625.9</w:t>
            </w:r>
            <w:r>
              <w:rPr>
                <w:rFonts w:hint="eastAsia"/>
                <w:color w:val="000000"/>
                <w:sz w:val="24"/>
              </w:rPr>
              <w:lastRenderedPageBreak/>
              <w:t>1</w:t>
            </w:r>
          </w:p>
        </w:tc>
        <w:tc>
          <w:tcPr>
            <w:tcW w:w="1500" w:type="dxa"/>
            <w:vAlign w:val="center"/>
          </w:tcPr>
          <w:p w:rsidR="00454223" w:rsidRDefault="004F75CB">
            <w:pPr>
              <w:jc w:val="left"/>
            </w:pPr>
            <w:r>
              <w:rPr>
                <w:rFonts w:hint="eastAsia"/>
                <w:color w:val="000000"/>
                <w:sz w:val="24"/>
              </w:rPr>
              <w:lastRenderedPageBreak/>
              <w:t>-</w:t>
            </w:r>
          </w:p>
        </w:tc>
      </w:tr>
      <w:tr w:rsidR="00454223">
        <w:tc>
          <w:tcPr>
            <w:tcW w:w="1499" w:type="dxa"/>
            <w:vAlign w:val="center"/>
          </w:tcPr>
          <w:p w:rsidR="00454223" w:rsidRDefault="004F75CB">
            <w:pPr>
              <w:jc w:val="center"/>
            </w:pPr>
            <w:r>
              <w:rPr>
                <w:rFonts w:hint="eastAsia"/>
                <w:color w:val="000000"/>
                <w:sz w:val="24"/>
              </w:rPr>
              <w:t>2016</w:t>
            </w:r>
          </w:p>
        </w:tc>
        <w:tc>
          <w:tcPr>
            <w:tcW w:w="1499" w:type="dxa"/>
            <w:vAlign w:val="center"/>
          </w:tcPr>
          <w:p w:rsidR="00454223" w:rsidRDefault="004F75CB">
            <w:pPr>
              <w:jc w:val="right"/>
            </w:pPr>
            <w:r>
              <w:rPr>
                <w:rFonts w:hint="eastAsia"/>
                <w:color w:val="000000"/>
                <w:sz w:val="24"/>
              </w:rPr>
              <w:t>2,923,014.58</w:t>
            </w:r>
          </w:p>
        </w:tc>
        <w:tc>
          <w:tcPr>
            <w:tcW w:w="1500" w:type="dxa"/>
            <w:vAlign w:val="center"/>
          </w:tcPr>
          <w:p w:rsidR="00454223" w:rsidRDefault="004F75CB">
            <w:pPr>
              <w:jc w:val="right"/>
            </w:pPr>
            <w:r>
              <w:rPr>
                <w:rFonts w:hint="eastAsia"/>
                <w:color w:val="000000"/>
                <w:sz w:val="24"/>
              </w:rPr>
              <w:t>-</w:t>
            </w:r>
          </w:p>
        </w:tc>
        <w:tc>
          <w:tcPr>
            <w:tcW w:w="1500" w:type="dxa"/>
            <w:vAlign w:val="center"/>
          </w:tcPr>
          <w:p w:rsidR="00454223" w:rsidRDefault="004F75CB">
            <w:pPr>
              <w:jc w:val="center"/>
            </w:pPr>
            <w:r>
              <w:rPr>
                <w:rFonts w:hint="eastAsia"/>
                <w:color w:val="000000"/>
                <w:sz w:val="24"/>
              </w:rPr>
              <w:t>54,273.81</w:t>
            </w:r>
          </w:p>
        </w:tc>
        <w:tc>
          <w:tcPr>
            <w:tcW w:w="1500" w:type="dxa"/>
            <w:vAlign w:val="center"/>
          </w:tcPr>
          <w:p w:rsidR="00454223" w:rsidRDefault="004F75CB">
            <w:pPr>
              <w:jc w:val="right"/>
            </w:pPr>
            <w:r>
              <w:rPr>
                <w:rFonts w:hint="eastAsia"/>
                <w:color w:val="000000"/>
                <w:sz w:val="24"/>
              </w:rPr>
              <w:t>2,977,288.39</w:t>
            </w:r>
          </w:p>
        </w:tc>
        <w:tc>
          <w:tcPr>
            <w:tcW w:w="1500" w:type="dxa"/>
            <w:vAlign w:val="center"/>
          </w:tcPr>
          <w:p w:rsidR="00454223" w:rsidRDefault="004F75CB">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67,298,582.60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301,331.70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67,599,914.30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454223" w:rsidRDefault="004F75CB">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454223">
        <w:tc>
          <w:tcPr>
            <w:tcW w:w="1134" w:type="dxa"/>
            <w:vAlign w:val="center"/>
          </w:tcPr>
          <w:p w:rsidR="00454223" w:rsidRDefault="004F75CB">
            <w:pPr>
              <w:jc w:val="center"/>
            </w:pPr>
            <w:r>
              <w:rPr>
                <w:rFonts w:hint="eastAsia"/>
                <w:sz w:val="24"/>
              </w:rPr>
              <w:t>黄莹洁</w:t>
            </w:r>
          </w:p>
        </w:tc>
        <w:tc>
          <w:tcPr>
            <w:tcW w:w="1134" w:type="dxa"/>
            <w:vAlign w:val="center"/>
          </w:tcPr>
          <w:p w:rsidR="00454223" w:rsidRDefault="004F75CB">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w:t>
            </w:r>
            <w:r>
              <w:rPr>
                <w:rFonts w:hint="eastAsia"/>
                <w:sz w:val="24"/>
              </w:rPr>
              <w:lastRenderedPageBreak/>
              <w:t>活期通货币、交银天利宝货币、交银裕隆纯债债券、交银天鑫宝货币、交银天益宝货币、交银境尚收益债券的基金经理</w:t>
            </w:r>
          </w:p>
        </w:tc>
        <w:tc>
          <w:tcPr>
            <w:tcW w:w="1701" w:type="dxa"/>
            <w:vAlign w:val="center"/>
          </w:tcPr>
          <w:p w:rsidR="00454223" w:rsidRDefault="004F75CB">
            <w:pPr>
              <w:jc w:val="center"/>
            </w:pPr>
            <w:r>
              <w:rPr>
                <w:rFonts w:hint="eastAsia"/>
                <w:sz w:val="24"/>
              </w:rPr>
              <w:lastRenderedPageBreak/>
              <w:t>2016-10-19</w:t>
            </w:r>
          </w:p>
        </w:tc>
        <w:tc>
          <w:tcPr>
            <w:tcW w:w="1560" w:type="dxa"/>
            <w:vAlign w:val="center"/>
          </w:tcPr>
          <w:p w:rsidR="00454223" w:rsidRDefault="004F75CB">
            <w:pPr>
              <w:jc w:val="center"/>
            </w:pPr>
            <w:r>
              <w:rPr>
                <w:rFonts w:hint="eastAsia"/>
                <w:sz w:val="24"/>
              </w:rPr>
              <w:t>-</w:t>
            </w:r>
          </w:p>
        </w:tc>
        <w:tc>
          <w:tcPr>
            <w:tcW w:w="992" w:type="dxa"/>
            <w:vAlign w:val="center"/>
          </w:tcPr>
          <w:p w:rsidR="00454223" w:rsidRDefault="004F75CB">
            <w:pPr>
              <w:jc w:val="center"/>
            </w:pPr>
            <w:r>
              <w:rPr>
                <w:rFonts w:hint="eastAsia"/>
                <w:sz w:val="24"/>
              </w:rPr>
              <w:t>9</w:t>
            </w:r>
            <w:r>
              <w:rPr>
                <w:rFonts w:hint="eastAsia"/>
                <w:sz w:val="24"/>
              </w:rPr>
              <w:t>年</w:t>
            </w:r>
          </w:p>
        </w:tc>
        <w:tc>
          <w:tcPr>
            <w:tcW w:w="2477" w:type="dxa"/>
            <w:vAlign w:val="center"/>
          </w:tcPr>
          <w:p w:rsidR="00454223" w:rsidRDefault="004F75CB">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tc>
      </w:tr>
      <w:tr w:rsidR="00454223">
        <w:tc>
          <w:tcPr>
            <w:tcW w:w="1134" w:type="dxa"/>
            <w:vAlign w:val="center"/>
          </w:tcPr>
          <w:p w:rsidR="00454223" w:rsidRDefault="004F75CB">
            <w:pPr>
              <w:jc w:val="center"/>
            </w:pPr>
            <w:r>
              <w:rPr>
                <w:rFonts w:hint="eastAsia"/>
                <w:sz w:val="24"/>
              </w:rPr>
              <w:t>连端清</w:t>
            </w:r>
          </w:p>
        </w:tc>
        <w:tc>
          <w:tcPr>
            <w:tcW w:w="1134" w:type="dxa"/>
            <w:vAlign w:val="center"/>
          </w:tcPr>
          <w:p w:rsidR="00454223" w:rsidRDefault="004F75CB">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天债券、交银丰盈收益债券、交银现金宝货币、交银丰润收益债券、交银活期通货币、交银天利宝货币、交银裕兴纯债债券、交银裕盈纯债债券、交银裕利纯债债券、交银裕隆纯债债券、交银天鑫宝货</w:t>
            </w:r>
            <w:r>
              <w:rPr>
                <w:rFonts w:hint="eastAsia"/>
                <w:sz w:val="24"/>
              </w:rPr>
              <w:lastRenderedPageBreak/>
              <w:t>币、交银天益宝货币、交银境尚收益债券、交银天运宝货币的基金经理</w:t>
            </w:r>
          </w:p>
        </w:tc>
        <w:tc>
          <w:tcPr>
            <w:tcW w:w="1701" w:type="dxa"/>
            <w:vAlign w:val="center"/>
          </w:tcPr>
          <w:p w:rsidR="00454223" w:rsidRDefault="004F75CB">
            <w:pPr>
              <w:jc w:val="center"/>
            </w:pPr>
            <w:r>
              <w:rPr>
                <w:rFonts w:hint="eastAsia"/>
                <w:sz w:val="24"/>
              </w:rPr>
              <w:lastRenderedPageBreak/>
              <w:t>2016-10-19</w:t>
            </w:r>
          </w:p>
        </w:tc>
        <w:tc>
          <w:tcPr>
            <w:tcW w:w="1560" w:type="dxa"/>
            <w:vAlign w:val="center"/>
          </w:tcPr>
          <w:p w:rsidR="00454223" w:rsidRDefault="004F75CB">
            <w:pPr>
              <w:jc w:val="center"/>
            </w:pPr>
            <w:r>
              <w:rPr>
                <w:rFonts w:hint="eastAsia"/>
                <w:sz w:val="24"/>
              </w:rPr>
              <w:t>-</w:t>
            </w:r>
          </w:p>
        </w:tc>
        <w:tc>
          <w:tcPr>
            <w:tcW w:w="992" w:type="dxa"/>
            <w:vAlign w:val="center"/>
          </w:tcPr>
          <w:p w:rsidR="00454223" w:rsidRDefault="004F75CB">
            <w:pPr>
              <w:jc w:val="center"/>
            </w:pPr>
            <w:r>
              <w:rPr>
                <w:rFonts w:hint="eastAsia"/>
                <w:sz w:val="24"/>
              </w:rPr>
              <w:t>4</w:t>
            </w:r>
            <w:r>
              <w:rPr>
                <w:rFonts w:hint="eastAsia"/>
                <w:sz w:val="24"/>
              </w:rPr>
              <w:t>年</w:t>
            </w:r>
          </w:p>
        </w:tc>
        <w:tc>
          <w:tcPr>
            <w:tcW w:w="2477" w:type="dxa"/>
            <w:vAlign w:val="center"/>
          </w:tcPr>
          <w:p w:rsidR="00454223" w:rsidRDefault="004F75CB">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bl>
    <w:p w:rsidR="00454223" w:rsidRDefault="004F75CB">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454223" w:rsidRDefault="004F75CB">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454223" w:rsidRDefault="004F75CB">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454223" w:rsidRDefault="004F75CB">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54223" w:rsidRDefault="004F75CB">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454223" w:rsidRDefault="004F75CB">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454223" w:rsidRDefault="004F75CB">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w:t>
      </w:r>
      <w:r>
        <w:rPr>
          <w:rFonts w:hint="eastAsia"/>
          <w:color w:val="000000"/>
          <w:sz w:val="24"/>
        </w:rPr>
        <w:lastRenderedPageBreak/>
        <w:t>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454223" w:rsidRDefault="004F75CB">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454223" w:rsidRDefault="004F75CB">
      <w:pPr>
        <w:spacing w:before="29" w:line="288" w:lineRule="auto"/>
        <w:ind w:firstLineChars="200" w:firstLine="480"/>
        <w:rPr>
          <w:color w:val="000000"/>
          <w:sz w:val="24"/>
        </w:rPr>
      </w:pPr>
      <w:r>
        <w:rPr>
          <w:rFonts w:hint="eastAsia"/>
          <w:color w:val="000000"/>
          <w:sz w:val="24"/>
        </w:rPr>
        <w:t>本报告期内，</w:t>
      </w:r>
      <w:r>
        <w:rPr>
          <w:rFonts w:hint="eastAsia"/>
          <w:color w:val="000000"/>
          <w:sz w:val="24"/>
        </w:rPr>
        <w:t>2017</w:t>
      </w:r>
      <w:r>
        <w:rPr>
          <w:rFonts w:hint="eastAsia"/>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color w:val="000000"/>
          <w:sz w:val="24"/>
        </w:rPr>
        <w:t>MPA</w:t>
      </w:r>
      <w:r>
        <w:rPr>
          <w:rFonts w:hint="eastAsia"/>
          <w:color w:val="000000"/>
          <w:sz w:val="24"/>
        </w:rPr>
        <w:t>考核和金融去杠杆政策不时成为主导。十月份公布的流动性新规更是对货币基金的流动性管理提出了更高的要求，使得银行间资金市场发生一定结构性的变化，非银和银行类机构之间的流动性差别进一步扩大。报告期间，三个月上海银行间拆借利率上行</w:t>
      </w:r>
      <w:r>
        <w:rPr>
          <w:rFonts w:hint="eastAsia"/>
          <w:color w:val="000000"/>
          <w:sz w:val="24"/>
        </w:rPr>
        <w:t>164BP</w:t>
      </w:r>
      <w:r>
        <w:rPr>
          <w:rFonts w:hint="eastAsia"/>
          <w:color w:val="000000"/>
          <w:sz w:val="24"/>
        </w:rPr>
        <w:t>到</w:t>
      </w:r>
      <w:r>
        <w:rPr>
          <w:rFonts w:hint="eastAsia"/>
          <w:color w:val="000000"/>
          <w:sz w:val="24"/>
        </w:rPr>
        <w:t>4.9133%</w:t>
      </w:r>
      <w:r>
        <w:rPr>
          <w:rFonts w:hint="eastAsia"/>
          <w:color w:val="000000"/>
          <w:sz w:val="24"/>
        </w:rPr>
        <w:t>。</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基金操作方面，由于基金规模相对稳定，维持了一定的杠杆操作，适当增厚了组合收益。十二月末我们视组合流动性情况适当拉长久期，增配了同业存单、存款等资产。</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本报告期内，本基金</w:t>
      </w:r>
      <w:r w:rsidRPr="00C64C58">
        <w:rPr>
          <w:rFonts w:hint="eastAsia"/>
          <w:color w:val="000000"/>
          <w:sz w:val="24"/>
        </w:rPr>
        <w:t>A</w:t>
      </w:r>
      <w:r w:rsidRPr="00C64C58">
        <w:rPr>
          <w:rFonts w:hint="eastAsia"/>
          <w:color w:val="000000"/>
          <w:sz w:val="24"/>
        </w:rPr>
        <w:t>类基金份额净值收益率为</w:t>
      </w:r>
      <w:r w:rsidRPr="00C64C58">
        <w:rPr>
          <w:rFonts w:hint="eastAsia"/>
          <w:color w:val="000000"/>
          <w:sz w:val="24"/>
        </w:rPr>
        <w:t>4.0107%</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；本基金</w:t>
      </w:r>
      <w:r w:rsidRPr="00C64C58">
        <w:rPr>
          <w:rFonts w:hint="eastAsia"/>
          <w:color w:val="000000"/>
          <w:sz w:val="24"/>
        </w:rPr>
        <w:t>E</w:t>
      </w:r>
      <w:r w:rsidRPr="00C64C58">
        <w:rPr>
          <w:rFonts w:hint="eastAsia"/>
          <w:color w:val="000000"/>
          <w:sz w:val="24"/>
        </w:rPr>
        <w:t>类基金份额净值收益率为</w:t>
      </w:r>
      <w:r w:rsidRPr="00C64C58">
        <w:rPr>
          <w:rFonts w:hint="eastAsia"/>
          <w:color w:val="000000"/>
          <w:sz w:val="24"/>
        </w:rPr>
        <w:t>4.2580%</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454223" w:rsidRDefault="004F75CB">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54223" w:rsidRDefault="004F75CB">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遵照法律法规及基金合同的约定，本基金每日分配收益，按日结转份额。本基金本报告期内利润分配情况参见</w:t>
      </w:r>
      <w:r w:rsidR="00E03C13">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lastRenderedPageBreak/>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作为本基金的托管人，中信银行严格遵守了《证券投资基金法》及其他有关法律法规、基金合同和托管协议的规定，对交银施罗德天利宝货币市场基金</w:t>
      </w:r>
      <w:r w:rsidRPr="00C64C58">
        <w:rPr>
          <w:rFonts w:hint="eastAsia"/>
          <w:color w:val="000000"/>
          <w:sz w:val="24"/>
        </w:rPr>
        <w:t>2017</w:t>
      </w:r>
      <w:r w:rsidRPr="00C64C58">
        <w:rPr>
          <w:rFonts w:hint="eastAsia"/>
          <w:color w:val="000000"/>
          <w:sz w:val="24"/>
        </w:rPr>
        <w:t>年度基金的投资运作，进行了认真、独立的会计核算和必要的投资监督，认真履行了托管人的义务，不存在任何损害基金份额持有人利益的行为。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交银施罗德天利宝货币市场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交银施罗德天利宝货币市场基金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21952</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会计主体：交银施罗德天利宝货币市场基金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753,570,511.01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296,148,475.22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18,181.82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296,139.49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2,459.61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6,772.52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1,117,393,596.74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76,817,409.93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1,117,393,596.74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76,817,409.93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637,927,200.00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162,041,400.00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2,060,695.22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11,065,790.07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1,804,992.98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2,519,977,739.25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539,175,885.36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125,929,758.63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33,299,750.05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lastRenderedPageBreak/>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491,447.64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127,766.26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91,129.05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21,294.37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40,436.19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4,379.86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44,959.39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3,111.95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41,778.06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6,146.34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317,693.36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54,531.50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103,100.00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127,206,502.32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33,620,080.33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2,392,771,236.93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505,555,805.03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2,392,771,236.93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505,555,805.03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2,519,977,739.25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539,175,885.36</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2017</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2,392,771,236.93</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类基金份额总额</w:t>
      </w:r>
      <w:r w:rsidR="00223DFB" w:rsidRPr="005124D4">
        <w:rPr>
          <w:rFonts w:hint="eastAsia"/>
          <w:kern w:val="0"/>
          <w:sz w:val="24"/>
        </w:rPr>
        <w:t>129,287,148.69</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类基金份额总额</w:t>
      </w:r>
      <w:r w:rsidR="00223DFB" w:rsidRPr="005124D4">
        <w:rPr>
          <w:rFonts w:hint="eastAsia"/>
          <w:kern w:val="0"/>
          <w:sz w:val="24"/>
        </w:rPr>
        <w:t>2,263,484,088.24</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会计主体：交银施罗德天利宝货币市场基金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2017</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2017</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10</w:t>
            </w:r>
            <w:r w:rsidRPr="0041404C">
              <w:rPr>
                <w:rFonts w:ascii="Times New Roman" w:hAnsi="Times New Roman" w:hint="eastAsia"/>
                <w:b/>
                <w:color w:val="000000"/>
              </w:rPr>
              <w:t>月</w:t>
            </w:r>
            <w:r w:rsidRPr="0041404C">
              <w:rPr>
                <w:rFonts w:ascii="Times New Roman" w:hAnsi="Times New Roman" w:hint="eastAsia"/>
                <w:b/>
                <w:color w:val="000000"/>
              </w:rPr>
              <w:t>19</w:t>
            </w:r>
            <w:r w:rsidRPr="0041404C">
              <w:rPr>
                <w:rFonts w:ascii="Times New Roman" w:hAnsi="Times New Roman" w:hint="eastAsia"/>
                <w:b/>
                <w:color w:val="000000"/>
              </w:rPr>
              <w:t>日（基金合同生效日）至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78,185,007.83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3,483,150.92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78,172,866.81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3,521,733.64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36,663,440.24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2,177,525.96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33,424,373.40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160,547.23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lastRenderedPageBreak/>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8,085,053.17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1,183,660.45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12,141.02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-38,582.72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12,141.02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-38,582.72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12,043,598.20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503,787.87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4,616,515.65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300,174.22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778,640.33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50,029.01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243,477.44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10,130.42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6,086,513.05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35,293.59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6,086,513.05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35,293.59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318,451.73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108,160.63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66,141,409.63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2,979,363.05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66,141,409.63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2,979,363.05</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会计主体：交银施罗德天利宝货币市场基金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2017</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2017</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lastRenderedPageBreak/>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505,555,805.03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505,555,805.03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1,887,215,431.90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1,887,215,431.90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2,802,024,065.01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2,802,024,065.01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-914,808,633.11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-914,808,633.11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2,392,771,236.93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2,392,771,236.93</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10</w:t>
            </w:r>
            <w:r w:rsidRPr="00A96CD0">
              <w:rPr>
                <w:rFonts w:ascii="Times New Roman" w:hAnsi="Times New Roman" w:hint="eastAsia"/>
                <w:b/>
                <w:kern w:val="2"/>
              </w:rPr>
              <w:t>月</w:t>
            </w:r>
            <w:r w:rsidRPr="00A96CD0">
              <w:rPr>
                <w:rFonts w:ascii="Times New Roman" w:hAnsi="Times New Roman" w:hint="eastAsia"/>
                <w:b/>
                <w:kern w:val="2"/>
              </w:rPr>
              <w:t>19</w:t>
            </w:r>
            <w:r w:rsidRPr="00A96CD0">
              <w:rPr>
                <w:rFonts w:ascii="Times New Roman" w:hAnsi="Times New Roman" w:hint="eastAsia"/>
                <w:b/>
                <w:kern w:val="2"/>
              </w:rPr>
              <w:t>日（基金合同生效日）至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500,103,275.90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500,103,275.90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2,979,363.05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2,979,363.05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5,452,529.13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5,452,529.13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7,038,794.74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7,038,794.74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-1,586,265.61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-1,586,265.61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w:t>
            </w:r>
            <w:r w:rsidRPr="000452E1">
              <w:rPr>
                <w:rFonts w:hint="eastAsia"/>
                <w:sz w:val="24"/>
              </w:rPr>
              <w:lastRenderedPageBreak/>
              <w:t>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lastRenderedPageBreak/>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-2,979,363.05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-2,979,363.05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505,555,805.03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505,555,805.03</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454223" w:rsidRDefault="004F75CB">
      <w:pPr>
        <w:spacing w:before="29" w:line="288" w:lineRule="auto"/>
        <w:ind w:firstLineChars="200" w:firstLine="480"/>
        <w:rPr>
          <w:color w:val="000000"/>
          <w:sz w:val="24"/>
        </w:rPr>
      </w:pPr>
      <w:r>
        <w:rPr>
          <w:rFonts w:hint="eastAsia"/>
          <w:color w:val="000000"/>
          <w:sz w:val="24"/>
        </w:rPr>
        <w:t>交银施罗德天利宝货币市场基金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[2016]1106</w:t>
      </w:r>
      <w:r>
        <w:rPr>
          <w:rFonts w:hint="eastAsia"/>
          <w:color w:val="00000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rFonts w:hint="eastAsia"/>
          <w:color w:val="000000"/>
          <w:sz w:val="24"/>
        </w:rPr>
        <w:t>500,013,273.00</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(2016)</w:t>
      </w:r>
      <w:r>
        <w:rPr>
          <w:rFonts w:hint="eastAsia"/>
          <w:color w:val="000000"/>
          <w:sz w:val="24"/>
        </w:rPr>
        <w:t>第</w:t>
      </w:r>
      <w:r>
        <w:rPr>
          <w:rFonts w:hint="eastAsia"/>
          <w:color w:val="000000"/>
          <w:sz w:val="24"/>
        </w:rPr>
        <w:t>1270</w:t>
      </w:r>
      <w:r>
        <w:rPr>
          <w:rFonts w:hint="eastAsia"/>
          <w:color w:val="000000"/>
          <w:sz w:val="24"/>
        </w:rPr>
        <w:t>号验资报告予以验证。经向中国证监会备案，《交银施罗德天利宝货币市场基金基金合同》于</w:t>
      </w:r>
      <w:r>
        <w:rPr>
          <w:rFonts w:hint="eastAsia"/>
          <w:color w:val="000000"/>
          <w:sz w:val="24"/>
        </w:rPr>
        <w:t>2016</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19</w:t>
      </w:r>
      <w:r>
        <w:rPr>
          <w:rFonts w:hint="eastAsia"/>
          <w:color w:val="000000"/>
          <w:sz w:val="24"/>
        </w:rPr>
        <w:t>日正式生效，基金合同生效日的基金份额总额为</w:t>
      </w:r>
      <w:r>
        <w:rPr>
          <w:rFonts w:hint="eastAsia"/>
          <w:color w:val="000000"/>
          <w:sz w:val="24"/>
        </w:rPr>
        <w:t>500,103,275.90</w:t>
      </w:r>
      <w:r>
        <w:rPr>
          <w:rFonts w:hint="eastAsia"/>
          <w:color w:val="000000"/>
          <w:sz w:val="24"/>
        </w:rPr>
        <w:t>份基金份额，其中认购资金利息折合</w:t>
      </w:r>
      <w:r>
        <w:rPr>
          <w:rFonts w:hint="eastAsia"/>
          <w:color w:val="000000"/>
          <w:sz w:val="24"/>
        </w:rPr>
        <w:t>90,002.90</w:t>
      </w:r>
      <w:r>
        <w:rPr>
          <w:rFonts w:hint="eastAsia"/>
          <w:color w:val="000000"/>
          <w:sz w:val="24"/>
        </w:rPr>
        <w:t>份基金份额。本基金的基金管理人为交银施罗德基金管理有限公司，基金托管人为中信银行股份有限公司。</w:t>
      </w:r>
    </w:p>
    <w:p w:rsidR="00454223" w:rsidRDefault="004F75CB">
      <w:pPr>
        <w:spacing w:before="29" w:line="288" w:lineRule="auto"/>
        <w:ind w:firstLineChars="200" w:firstLine="480"/>
        <w:rPr>
          <w:color w:val="000000"/>
          <w:sz w:val="24"/>
        </w:rPr>
      </w:pPr>
      <w:r>
        <w:rPr>
          <w:rFonts w:hint="eastAsia"/>
          <w:color w:val="000000"/>
          <w:sz w:val="24"/>
        </w:rPr>
        <w:t>根据《交银施罗德天利宝货币市场基金基金合同》和《交银施罗德天利宝货币市场基金招募说明书》的相关规定，本基金根据销售服务费收取方式的不同，将基金份额分为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454223" w:rsidRDefault="004F75CB">
      <w:pPr>
        <w:spacing w:before="29" w:line="288" w:lineRule="auto"/>
        <w:ind w:firstLineChars="200" w:firstLine="480"/>
        <w:rPr>
          <w:color w:val="000000"/>
          <w:sz w:val="24"/>
        </w:rPr>
      </w:pPr>
      <w:r>
        <w:rPr>
          <w:rFonts w:hint="eastAsia"/>
          <w:color w:val="000000"/>
          <w:sz w:val="24"/>
        </w:rPr>
        <w:t>根据《中华人民共和国证券投资基金法》和《交银施罗德天利宝货币市场基金基金合同》的有关规定，本基金的投资范围为具有良好流动性的金融工具，包括现金，期限在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的银行存款、债券回购、中央银行票据、同业存单，剩余期限在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w:t>
      </w:r>
      <w:r>
        <w:rPr>
          <w:rFonts w:hint="eastAsia"/>
          <w:color w:val="000000"/>
          <w:sz w:val="24"/>
        </w:rPr>
        <w:lastRenderedPageBreak/>
        <w:t>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本基金的财务报表按照财政部于</w:t>
      </w:r>
      <w:r w:rsidRPr="00FE0F8A">
        <w:rPr>
          <w:rFonts w:hint="eastAsia"/>
          <w:color w:val="000000"/>
          <w:sz w:val="24"/>
        </w:rPr>
        <w:t>2006</w:t>
      </w:r>
      <w:r w:rsidRPr="00FE0F8A">
        <w:rPr>
          <w:rFonts w:hint="eastAsia"/>
          <w:color w:val="000000"/>
          <w:sz w:val="24"/>
        </w:rPr>
        <w:t>年</w:t>
      </w:r>
      <w:r w:rsidRPr="00FE0F8A">
        <w:rPr>
          <w:rFonts w:hint="eastAsia"/>
          <w:color w:val="000000"/>
          <w:sz w:val="24"/>
        </w:rPr>
        <w:t>2</w:t>
      </w:r>
      <w:r w:rsidRPr="00FE0F8A">
        <w:rPr>
          <w:rFonts w:hint="eastAsia"/>
          <w:color w:val="000000"/>
          <w:sz w:val="24"/>
        </w:rPr>
        <w:t>月</w:t>
      </w:r>
      <w:r w:rsidRPr="00FE0F8A">
        <w:rPr>
          <w:rFonts w:hint="eastAsia"/>
          <w:color w:val="000000"/>
          <w:sz w:val="24"/>
        </w:rPr>
        <w:t>15</w:t>
      </w:r>
      <w:r w:rsidRPr="00FE0F8A">
        <w:rPr>
          <w:rFonts w:hint="eastAsia"/>
          <w:color w:val="000000"/>
          <w:sz w:val="24"/>
        </w:rPr>
        <w:t>日及以后期间颁布的《企业会计准则－基本准则》、各项具体会计准则及相关规定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w:t>
      </w:r>
      <w:r w:rsidRPr="00FE0F8A">
        <w:rPr>
          <w:rFonts w:hint="eastAsia"/>
          <w:color w:val="000000"/>
          <w:sz w:val="24"/>
        </w:rPr>
        <w:t>(</w:t>
      </w:r>
      <w:r w:rsidRPr="00FE0F8A">
        <w:rPr>
          <w:rFonts w:hint="eastAsia"/>
          <w:color w:val="000000"/>
          <w:sz w:val="24"/>
        </w:rPr>
        <w:t>以下简称“中国基金业协会”</w:t>
      </w:r>
      <w:r w:rsidRPr="00FE0F8A">
        <w:rPr>
          <w:rFonts w:hint="eastAsia"/>
          <w:color w:val="000000"/>
          <w:sz w:val="24"/>
        </w:rPr>
        <w:t>)</w:t>
      </w:r>
      <w:r w:rsidRPr="00FE0F8A">
        <w:rPr>
          <w:rFonts w:hint="eastAsia"/>
          <w:color w:val="000000"/>
          <w:sz w:val="24"/>
        </w:rPr>
        <w:t>颁布的《证券投资基金会计核算业务指引》、《交银施罗德天利宝货币市场基金基金合同》和在财务报表附注</w:t>
      </w:r>
      <w:r w:rsidRPr="00FE0F8A">
        <w:rPr>
          <w:rFonts w:hint="eastAsia"/>
          <w:color w:val="000000"/>
          <w:sz w:val="24"/>
        </w:rPr>
        <w:t>7.4.4</w:t>
      </w:r>
      <w:r w:rsidRPr="00FE0F8A">
        <w:rPr>
          <w:rFonts w:hint="eastAsia"/>
          <w:color w:val="000000"/>
          <w:sz w:val="24"/>
        </w:rPr>
        <w:t>所列示的中国证监会、中国基金业协会发布的有关规定及允许的基金行业实务操作编制。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2017</w:t>
      </w:r>
      <w:r w:rsidRPr="00FE0F8A">
        <w:rPr>
          <w:rFonts w:hint="eastAsia"/>
          <w:color w:val="000000"/>
          <w:sz w:val="24"/>
        </w:rPr>
        <w:t>年度的财务报表符合企业会计准则的要求，真实、完整地反映了本基金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D47C7B" w:rsidRDefault="00A76B02" w:rsidP="00A76B02">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A76B02" w:rsidRPr="00A76B02" w:rsidRDefault="00A76B02" w:rsidP="00A76B02">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454223" w:rsidRDefault="004F75CB">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w:t>
      </w:r>
      <w:r>
        <w:rPr>
          <w:rFonts w:hint="eastAsia"/>
          <w:color w:val="000000"/>
          <w:sz w:val="24"/>
        </w:rPr>
        <w:lastRenderedPageBreak/>
        <w:t>列示如下：</w:t>
      </w:r>
    </w:p>
    <w:p w:rsidR="00454223" w:rsidRDefault="004F75CB">
      <w:pPr>
        <w:spacing w:before="29" w:line="288" w:lineRule="auto"/>
        <w:ind w:firstLineChars="200" w:firstLine="480"/>
        <w:rPr>
          <w:color w:val="000000"/>
          <w:sz w:val="24"/>
        </w:rPr>
      </w:pPr>
      <w:r>
        <w:rPr>
          <w:rFonts w:hint="eastAsia"/>
          <w:color w:val="000000"/>
          <w:sz w:val="24"/>
        </w:rPr>
        <w:t>(1)</w:t>
      </w:r>
      <w:r>
        <w:rPr>
          <w:rFonts w:hint="eastAsia"/>
          <w:color w:val="000000"/>
          <w:sz w:val="24"/>
        </w:rPr>
        <w:t>对证券投资基金管理人运用基金买卖债券的转让收入免征增值税，对国债、地方政府债以及金融同业往来利息收入亦免征增值税。</w:t>
      </w:r>
    </w:p>
    <w:p w:rsidR="00454223" w:rsidRDefault="004F75CB">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454223">
        <w:tc>
          <w:tcPr>
            <w:tcW w:w="4499" w:type="dxa"/>
            <w:vAlign w:val="center"/>
          </w:tcPr>
          <w:p w:rsidR="00454223" w:rsidRDefault="004F75CB">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454223" w:rsidRDefault="004F75CB">
            <w:pPr>
              <w:jc w:val="left"/>
            </w:pPr>
            <w:r>
              <w:rPr>
                <w:rFonts w:hint="eastAsia"/>
                <w:color w:val="000000"/>
                <w:sz w:val="24"/>
              </w:rPr>
              <w:t>基金管理人、基金注册登记机构、基金销售机构</w:t>
            </w:r>
          </w:p>
        </w:tc>
      </w:tr>
      <w:tr w:rsidR="00454223">
        <w:tc>
          <w:tcPr>
            <w:tcW w:w="4499" w:type="dxa"/>
            <w:vAlign w:val="center"/>
          </w:tcPr>
          <w:p w:rsidR="00454223" w:rsidRDefault="004F75CB">
            <w:pPr>
              <w:jc w:val="left"/>
            </w:pPr>
            <w:r>
              <w:rPr>
                <w:rFonts w:hint="eastAsia"/>
                <w:color w:val="000000"/>
                <w:sz w:val="24"/>
              </w:rPr>
              <w:t>中信银行股份有限公司</w:t>
            </w:r>
            <w:r>
              <w:rPr>
                <w:rFonts w:hint="eastAsia"/>
                <w:color w:val="000000"/>
                <w:sz w:val="24"/>
              </w:rPr>
              <w:t>(</w:t>
            </w:r>
            <w:r>
              <w:rPr>
                <w:rFonts w:hint="eastAsia"/>
                <w:color w:val="000000"/>
                <w:sz w:val="24"/>
              </w:rPr>
              <w:t>“中信银行”</w:t>
            </w:r>
            <w:r>
              <w:rPr>
                <w:rFonts w:hint="eastAsia"/>
                <w:color w:val="000000"/>
                <w:sz w:val="24"/>
              </w:rPr>
              <w:t>)</w:t>
            </w:r>
          </w:p>
        </w:tc>
        <w:tc>
          <w:tcPr>
            <w:tcW w:w="4499" w:type="dxa"/>
            <w:vAlign w:val="center"/>
          </w:tcPr>
          <w:p w:rsidR="00454223" w:rsidRDefault="004F75CB">
            <w:pPr>
              <w:jc w:val="left"/>
            </w:pPr>
            <w:r>
              <w:rPr>
                <w:rFonts w:hint="eastAsia"/>
                <w:color w:val="000000"/>
                <w:sz w:val="24"/>
              </w:rPr>
              <w:t>基金托管人</w:t>
            </w:r>
          </w:p>
        </w:tc>
      </w:tr>
      <w:tr w:rsidR="00454223">
        <w:tc>
          <w:tcPr>
            <w:tcW w:w="4499" w:type="dxa"/>
            <w:vAlign w:val="center"/>
          </w:tcPr>
          <w:p w:rsidR="00454223" w:rsidRDefault="004F75CB">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454223" w:rsidRDefault="004F75CB">
            <w:pPr>
              <w:jc w:val="left"/>
            </w:pPr>
            <w:r>
              <w:rPr>
                <w:rFonts w:hint="eastAsia"/>
                <w:color w:val="000000"/>
                <w:sz w:val="24"/>
              </w:rPr>
              <w:t>基金管理人的股东</w:t>
            </w:r>
          </w:p>
        </w:tc>
      </w:tr>
      <w:tr w:rsidR="00454223">
        <w:tc>
          <w:tcPr>
            <w:tcW w:w="4499" w:type="dxa"/>
            <w:vAlign w:val="center"/>
          </w:tcPr>
          <w:p w:rsidR="00454223" w:rsidRDefault="004F75CB">
            <w:pPr>
              <w:jc w:val="left"/>
            </w:pPr>
            <w:r>
              <w:rPr>
                <w:rFonts w:hint="eastAsia"/>
                <w:color w:val="000000"/>
                <w:sz w:val="24"/>
              </w:rPr>
              <w:t>施罗德投资管理有限公司</w:t>
            </w:r>
          </w:p>
        </w:tc>
        <w:tc>
          <w:tcPr>
            <w:tcW w:w="4499" w:type="dxa"/>
            <w:vAlign w:val="center"/>
          </w:tcPr>
          <w:p w:rsidR="00454223" w:rsidRDefault="004F75CB">
            <w:pPr>
              <w:jc w:val="left"/>
            </w:pPr>
            <w:r>
              <w:rPr>
                <w:rFonts w:hint="eastAsia"/>
                <w:color w:val="000000"/>
                <w:sz w:val="24"/>
              </w:rPr>
              <w:t>基金管理人的股东</w:t>
            </w:r>
          </w:p>
        </w:tc>
      </w:tr>
      <w:tr w:rsidR="00454223">
        <w:tc>
          <w:tcPr>
            <w:tcW w:w="4499" w:type="dxa"/>
            <w:vAlign w:val="center"/>
          </w:tcPr>
          <w:p w:rsidR="00454223" w:rsidRDefault="004F75CB">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454223" w:rsidRDefault="004F75CB">
            <w:pPr>
              <w:jc w:val="left"/>
            </w:pPr>
            <w:r>
              <w:rPr>
                <w:rFonts w:hint="eastAsia"/>
                <w:color w:val="000000"/>
                <w:sz w:val="24"/>
              </w:rPr>
              <w:t>基金管理人的股东</w:t>
            </w:r>
          </w:p>
        </w:tc>
      </w:tr>
      <w:tr w:rsidR="00454223">
        <w:tc>
          <w:tcPr>
            <w:tcW w:w="4499" w:type="dxa"/>
            <w:vAlign w:val="center"/>
          </w:tcPr>
          <w:p w:rsidR="00454223" w:rsidRDefault="004F75CB">
            <w:pPr>
              <w:jc w:val="left"/>
            </w:pPr>
            <w:r>
              <w:rPr>
                <w:rFonts w:hint="eastAsia"/>
                <w:color w:val="000000"/>
                <w:sz w:val="24"/>
              </w:rPr>
              <w:t>交银施罗德资产管理有限公司</w:t>
            </w:r>
          </w:p>
        </w:tc>
        <w:tc>
          <w:tcPr>
            <w:tcW w:w="4499" w:type="dxa"/>
            <w:vAlign w:val="center"/>
          </w:tcPr>
          <w:p w:rsidR="00454223" w:rsidRDefault="004F75CB">
            <w:pPr>
              <w:jc w:val="left"/>
            </w:pPr>
            <w:r>
              <w:rPr>
                <w:rFonts w:hint="eastAsia"/>
                <w:color w:val="000000"/>
                <w:sz w:val="24"/>
              </w:rPr>
              <w:t>基金管理人的子公司</w:t>
            </w:r>
          </w:p>
        </w:tc>
      </w:tr>
      <w:tr w:rsidR="00454223">
        <w:tc>
          <w:tcPr>
            <w:tcW w:w="4499" w:type="dxa"/>
            <w:vAlign w:val="center"/>
          </w:tcPr>
          <w:p w:rsidR="00454223" w:rsidRDefault="004F75CB">
            <w:pPr>
              <w:jc w:val="left"/>
            </w:pPr>
            <w:r>
              <w:rPr>
                <w:rFonts w:hint="eastAsia"/>
                <w:color w:val="000000"/>
                <w:sz w:val="24"/>
              </w:rPr>
              <w:t>上海直源投资管理有限公司</w:t>
            </w:r>
          </w:p>
        </w:tc>
        <w:tc>
          <w:tcPr>
            <w:tcW w:w="4499" w:type="dxa"/>
            <w:vAlign w:val="center"/>
          </w:tcPr>
          <w:p w:rsidR="00454223" w:rsidRDefault="004F75CB">
            <w:pPr>
              <w:jc w:val="left"/>
            </w:pPr>
            <w:r>
              <w:rPr>
                <w:rFonts w:hint="eastAsia"/>
                <w:color w:val="000000"/>
                <w:sz w:val="24"/>
              </w:rPr>
              <w:t>受基金管理人控制的公司</w:t>
            </w:r>
          </w:p>
        </w:tc>
      </w:tr>
      <w:tr w:rsidR="00454223">
        <w:tc>
          <w:tcPr>
            <w:tcW w:w="4499" w:type="dxa"/>
            <w:vAlign w:val="center"/>
          </w:tcPr>
          <w:p w:rsidR="00454223" w:rsidRDefault="004F75CB">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454223" w:rsidRDefault="004F75CB">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10</w:t>
            </w:r>
            <w:r w:rsidRPr="00251664">
              <w:rPr>
                <w:rFonts w:hint="eastAsia"/>
                <w:bCs/>
                <w:color w:val="000000"/>
                <w:sz w:val="24"/>
              </w:rPr>
              <w:t>月</w:t>
            </w:r>
            <w:r w:rsidRPr="00251664">
              <w:rPr>
                <w:rFonts w:hint="eastAsia"/>
                <w:bCs/>
                <w:color w:val="000000"/>
                <w:sz w:val="24"/>
              </w:rPr>
              <w:t>19</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4,616,515.65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300,174.22</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192.27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1.46</w:t>
            </w:r>
          </w:p>
        </w:tc>
      </w:tr>
    </w:tbl>
    <w:p w:rsidR="00454223" w:rsidRDefault="004F75CB">
      <w:pPr>
        <w:spacing w:before="29" w:line="288" w:lineRule="auto"/>
        <w:jc w:val="left"/>
        <w:rPr>
          <w:kern w:val="0"/>
          <w:sz w:val="24"/>
        </w:rPr>
      </w:pPr>
      <w:r>
        <w:rPr>
          <w:rFonts w:hint="eastAsia"/>
          <w:kern w:val="0"/>
          <w:sz w:val="24"/>
        </w:rPr>
        <w:t>注：自</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w:t>
      </w:r>
      <w:r>
        <w:rPr>
          <w:rFonts w:hint="eastAsia"/>
          <w:kern w:val="0"/>
          <w:sz w:val="24"/>
        </w:rPr>
        <w:t>(</w:t>
      </w:r>
      <w:r>
        <w:rPr>
          <w:rFonts w:hint="eastAsia"/>
          <w:kern w:val="0"/>
          <w:sz w:val="24"/>
        </w:rPr>
        <w:t>基金合同生效日</w:t>
      </w:r>
      <w:r>
        <w:rPr>
          <w:rFonts w:hint="eastAsia"/>
          <w:kern w:val="0"/>
          <w:sz w:val="24"/>
        </w:rPr>
        <w:t>)</w:t>
      </w:r>
      <w:r>
        <w:rPr>
          <w:rFonts w:hint="eastAsia"/>
          <w:kern w:val="0"/>
          <w:sz w:val="24"/>
        </w:rPr>
        <w:t>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日，支付基金管理人的管理人报酬按前一日基金资产净值</w:t>
      </w:r>
      <w:r>
        <w:rPr>
          <w:rFonts w:hint="eastAsia"/>
          <w:kern w:val="0"/>
          <w:sz w:val="24"/>
        </w:rPr>
        <w:t>0.30%</w:t>
      </w:r>
      <w:r>
        <w:rPr>
          <w:rFonts w:hint="eastAsia"/>
          <w:kern w:val="0"/>
          <w:sz w:val="24"/>
        </w:rPr>
        <w:t>的年费率计提，逐日累计至每月月底，按月支</w:t>
      </w:r>
      <w:r>
        <w:rPr>
          <w:rFonts w:hint="eastAsia"/>
          <w:kern w:val="0"/>
          <w:sz w:val="24"/>
        </w:rPr>
        <w:lastRenderedPageBreak/>
        <w:t>付。其计算公式为：</w:t>
      </w:r>
    </w:p>
    <w:p w:rsidR="00454223" w:rsidRDefault="004F75CB">
      <w:pPr>
        <w:spacing w:before="29" w:line="288" w:lineRule="auto"/>
        <w:jc w:val="left"/>
        <w:rPr>
          <w:kern w:val="0"/>
          <w:sz w:val="24"/>
        </w:rPr>
      </w:pPr>
      <w:r>
        <w:rPr>
          <w:rFonts w:hint="eastAsia"/>
          <w:kern w:val="0"/>
          <w:sz w:val="24"/>
        </w:rPr>
        <w:t>日管理人报酬＝前一日基金资产净值</w:t>
      </w:r>
      <w:r>
        <w:rPr>
          <w:rFonts w:hint="eastAsia"/>
          <w:kern w:val="0"/>
          <w:sz w:val="24"/>
        </w:rPr>
        <w:t xml:space="preserve"> </w:t>
      </w:r>
      <w:r>
        <w:rPr>
          <w:rFonts w:hint="eastAsia"/>
          <w:kern w:val="0"/>
          <w:sz w:val="24"/>
        </w:rPr>
        <w:t>×</w:t>
      </w:r>
      <w:r>
        <w:rPr>
          <w:rFonts w:hint="eastAsia"/>
          <w:kern w:val="0"/>
          <w:sz w:val="24"/>
        </w:rPr>
        <w:t xml:space="preserve"> 0.30%/ </w:t>
      </w:r>
      <w:r>
        <w:rPr>
          <w:rFonts w:hint="eastAsia"/>
          <w:kern w:val="0"/>
          <w:sz w:val="24"/>
        </w:rPr>
        <w:t>当年天数。</w:t>
      </w:r>
    </w:p>
    <w:p w:rsidR="00454223" w:rsidRDefault="004F75CB">
      <w:pPr>
        <w:spacing w:before="29" w:line="288" w:lineRule="auto"/>
        <w:jc w:val="left"/>
        <w:rPr>
          <w:kern w:val="0"/>
          <w:sz w:val="24"/>
        </w:rPr>
      </w:pPr>
      <w:r>
        <w:rPr>
          <w:rFonts w:hint="eastAsia"/>
          <w:kern w:val="0"/>
          <w:sz w:val="24"/>
        </w:rPr>
        <w:t>根据基金份额持有人大会表决通过的《交银施罗德基金管理有限公司关于交银施罗德天利宝货币市场基金基金份额持有人大会表决结果暨决议生效的公告》，自</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26</w:t>
      </w:r>
      <w:r>
        <w:rPr>
          <w:rFonts w:hint="eastAsia"/>
          <w:kern w:val="0"/>
          <w:sz w:val="24"/>
        </w:rPr>
        <w:t>日起，支付基金管理人的管理人报酬按前一日基金资产净值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0.15%/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10</w:t>
            </w:r>
            <w:r w:rsidRPr="00251664">
              <w:rPr>
                <w:rFonts w:hint="eastAsia"/>
                <w:bCs/>
                <w:color w:val="000000"/>
                <w:sz w:val="24"/>
              </w:rPr>
              <w:t>月</w:t>
            </w:r>
            <w:r w:rsidRPr="00251664">
              <w:rPr>
                <w:rFonts w:hint="eastAsia"/>
                <w:bCs/>
                <w:color w:val="000000"/>
                <w:sz w:val="24"/>
              </w:rPr>
              <w:t>19</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778,640.33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50,029.01</w:t>
            </w:r>
          </w:p>
        </w:tc>
      </w:tr>
    </w:tbl>
    <w:p w:rsidR="00454223" w:rsidRDefault="004F75CB">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交银天利宝货币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454223">
        <w:tc>
          <w:tcPr>
            <w:tcW w:w="2000" w:type="dxa"/>
            <w:vAlign w:val="center"/>
          </w:tcPr>
          <w:p w:rsidR="00454223" w:rsidRDefault="004F75CB">
            <w:pPr>
              <w:jc w:val="left"/>
            </w:pPr>
            <w:r>
              <w:rPr>
                <w:sz w:val="24"/>
              </w:rPr>
              <w:t>交银施罗德基金公司</w:t>
            </w:r>
          </w:p>
        </w:tc>
        <w:tc>
          <w:tcPr>
            <w:tcW w:w="1766" w:type="dxa"/>
            <w:vAlign w:val="center"/>
          </w:tcPr>
          <w:p w:rsidR="00454223" w:rsidRDefault="004F75CB">
            <w:pPr>
              <w:jc w:val="right"/>
            </w:pPr>
            <w:r>
              <w:rPr>
                <w:sz w:val="24"/>
              </w:rPr>
              <w:t>91,366.86</w:t>
            </w:r>
          </w:p>
        </w:tc>
        <w:tc>
          <w:tcPr>
            <w:tcW w:w="2162" w:type="dxa"/>
            <w:vAlign w:val="center"/>
          </w:tcPr>
          <w:p w:rsidR="00454223" w:rsidRDefault="004F75CB">
            <w:pPr>
              <w:jc w:val="right"/>
            </w:pPr>
            <w:r>
              <w:rPr>
                <w:sz w:val="24"/>
              </w:rPr>
              <w:t>152,051.65</w:t>
            </w:r>
          </w:p>
        </w:tc>
        <w:tc>
          <w:tcPr>
            <w:tcW w:w="3070" w:type="dxa"/>
            <w:vAlign w:val="center"/>
          </w:tcPr>
          <w:p w:rsidR="00454223" w:rsidRDefault="004F75CB">
            <w:pPr>
              <w:jc w:val="right"/>
            </w:pPr>
            <w:r>
              <w:rPr>
                <w:sz w:val="24"/>
              </w:rPr>
              <w:t>243,418.51</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91,366.86</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152,051.65</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243,418.51</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10</w:t>
            </w:r>
            <w:r w:rsidRPr="008D3C85">
              <w:rPr>
                <w:sz w:val="24"/>
              </w:rPr>
              <w:t>月</w:t>
            </w:r>
            <w:r w:rsidRPr="008D3C85">
              <w:rPr>
                <w:sz w:val="24"/>
              </w:rPr>
              <w:t>19</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交银天利宝货币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454223">
        <w:tc>
          <w:tcPr>
            <w:tcW w:w="2000" w:type="dxa"/>
            <w:vAlign w:val="center"/>
          </w:tcPr>
          <w:p w:rsidR="00454223" w:rsidRDefault="004F75CB">
            <w:pPr>
              <w:jc w:val="left"/>
            </w:pPr>
            <w:r>
              <w:rPr>
                <w:sz w:val="24"/>
              </w:rPr>
              <w:t>交银施罗德基金</w:t>
            </w:r>
            <w:r>
              <w:rPr>
                <w:sz w:val="24"/>
              </w:rPr>
              <w:lastRenderedPageBreak/>
              <w:t>公司</w:t>
            </w:r>
          </w:p>
        </w:tc>
        <w:tc>
          <w:tcPr>
            <w:tcW w:w="1766" w:type="dxa"/>
            <w:vAlign w:val="center"/>
          </w:tcPr>
          <w:p w:rsidR="00454223" w:rsidRDefault="004F75CB">
            <w:pPr>
              <w:jc w:val="right"/>
            </w:pPr>
            <w:r>
              <w:rPr>
                <w:sz w:val="24"/>
              </w:rPr>
              <w:lastRenderedPageBreak/>
              <w:t>123.22</w:t>
            </w:r>
          </w:p>
        </w:tc>
        <w:tc>
          <w:tcPr>
            <w:tcW w:w="2162" w:type="dxa"/>
            <w:vAlign w:val="center"/>
          </w:tcPr>
          <w:p w:rsidR="00454223" w:rsidRDefault="004F75CB">
            <w:pPr>
              <w:jc w:val="right"/>
            </w:pPr>
            <w:r>
              <w:rPr>
                <w:sz w:val="24"/>
              </w:rPr>
              <w:t>10,000.30</w:t>
            </w:r>
          </w:p>
        </w:tc>
        <w:tc>
          <w:tcPr>
            <w:tcW w:w="3070" w:type="dxa"/>
            <w:vAlign w:val="center"/>
          </w:tcPr>
          <w:p w:rsidR="00454223" w:rsidRDefault="004F75CB">
            <w:pPr>
              <w:jc w:val="right"/>
            </w:pPr>
            <w:r>
              <w:rPr>
                <w:sz w:val="24"/>
              </w:rPr>
              <w:t>10,123.52</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123.22</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10,000.30</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10,123.52</w:t>
            </w:r>
          </w:p>
        </w:tc>
      </w:tr>
    </w:tbl>
    <w:p w:rsidR="00454223" w:rsidRDefault="004F75CB">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本基金本报告期内及上年度可比期间未发生与关联方进行银行间同业市场的债券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8E17E8" w:rsidRPr="005124D4" w:rsidRDefault="008E17E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Default="00F35CA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8E17E8" w:rsidRPr="005124D4" w:rsidRDefault="008E17E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10</w:t>
            </w:r>
            <w:r w:rsidRPr="00795DF9">
              <w:rPr>
                <w:rFonts w:hint="eastAsia"/>
                <w:bCs/>
                <w:color w:val="000000"/>
                <w:szCs w:val="21"/>
              </w:rPr>
              <w:t>月</w:t>
            </w:r>
            <w:r w:rsidRPr="00795DF9">
              <w:rPr>
                <w:rFonts w:hint="eastAsia"/>
                <w:bCs/>
                <w:color w:val="000000"/>
                <w:szCs w:val="21"/>
              </w:rPr>
              <w:t>19</w:t>
            </w:r>
            <w:r w:rsidRPr="00795DF9">
              <w:rPr>
                <w:rFonts w:hint="eastAsia"/>
                <w:bCs/>
                <w:color w:val="000000"/>
                <w:szCs w:val="21"/>
              </w:rPr>
              <w:t>日（基金合同生效日）至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454223">
        <w:tc>
          <w:tcPr>
            <w:tcW w:w="1799" w:type="dxa"/>
            <w:vAlign w:val="center"/>
          </w:tcPr>
          <w:p w:rsidR="00454223" w:rsidRDefault="004F75CB">
            <w:pPr>
              <w:jc w:val="center"/>
            </w:pPr>
            <w:r>
              <w:rPr>
                <w:rFonts w:hint="eastAsia"/>
                <w:szCs w:val="21"/>
              </w:rPr>
              <w:t>中信银行</w:t>
            </w:r>
            <w:r>
              <w:rPr>
                <w:rFonts w:hint="eastAsia"/>
                <w:szCs w:val="21"/>
              </w:rPr>
              <w:t>-</w:t>
            </w:r>
            <w:r>
              <w:rPr>
                <w:rFonts w:hint="eastAsia"/>
                <w:szCs w:val="21"/>
              </w:rPr>
              <w:t>活期存款</w:t>
            </w:r>
          </w:p>
        </w:tc>
        <w:tc>
          <w:tcPr>
            <w:tcW w:w="1799" w:type="dxa"/>
            <w:vAlign w:val="center"/>
          </w:tcPr>
          <w:p w:rsidR="00454223" w:rsidRDefault="004F75CB">
            <w:pPr>
              <w:jc w:val="center"/>
            </w:pPr>
            <w:r>
              <w:rPr>
                <w:rFonts w:hint="eastAsia"/>
                <w:szCs w:val="21"/>
              </w:rPr>
              <w:t>3,570,511.01</w:t>
            </w:r>
          </w:p>
        </w:tc>
        <w:tc>
          <w:tcPr>
            <w:tcW w:w="1800" w:type="dxa"/>
            <w:vAlign w:val="center"/>
          </w:tcPr>
          <w:p w:rsidR="00454223" w:rsidRDefault="004F75CB">
            <w:pPr>
              <w:jc w:val="center"/>
            </w:pPr>
            <w:r>
              <w:rPr>
                <w:rFonts w:hint="eastAsia"/>
                <w:szCs w:val="21"/>
              </w:rPr>
              <w:t>37,411.64</w:t>
            </w:r>
          </w:p>
        </w:tc>
        <w:tc>
          <w:tcPr>
            <w:tcW w:w="1800" w:type="dxa"/>
            <w:vAlign w:val="center"/>
          </w:tcPr>
          <w:p w:rsidR="00454223" w:rsidRDefault="004F75CB">
            <w:pPr>
              <w:jc w:val="center"/>
            </w:pPr>
            <w:r>
              <w:rPr>
                <w:rFonts w:hint="eastAsia"/>
                <w:szCs w:val="21"/>
              </w:rPr>
              <w:t>1,148,475.22</w:t>
            </w:r>
          </w:p>
        </w:tc>
        <w:tc>
          <w:tcPr>
            <w:tcW w:w="1800" w:type="dxa"/>
            <w:vAlign w:val="center"/>
          </w:tcPr>
          <w:p w:rsidR="00454223" w:rsidRDefault="004F75CB">
            <w:pPr>
              <w:jc w:val="center"/>
            </w:pPr>
            <w:r>
              <w:rPr>
                <w:rFonts w:hint="eastAsia"/>
                <w:szCs w:val="21"/>
              </w:rPr>
              <w:t>26,039.16</w:t>
            </w:r>
          </w:p>
        </w:tc>
      </w:tr>
      <w:tr w:rsidR="00454223">
        <w:tc>
          <w:tcPr>
            <w:tcW w:w="1799" w:type="dxa"/>
            <w:vAlign w:val="center"/>
          </w:tcPr>
          <w:p w:rsidR="00454223" w:rsidRDefault="004F75CB">
            <w:pPr>
              <w:jc w:val="center"/>
            </w:pPr>
            <w:r>
              <w:rPr>
                <w:rFonts w:hint="eastAsia"/>
                <w:szCs w:val="21"/>
              </w:rPr>
              <w:t>中信银行</w:t>
            </w:r>
            <w:r>
              <w:rPr>
                <w:rFonts w:hint="eastAsia"/>
                <w:szCs w:val="21"/>
              </w:rPr>
              <w:t>-</w:t>
            </w:r>
            <w:r>
              <w:rPr>
                <w:rFonts w:hint="eastAsia"/>
                <w:szCs w:val="21"/>
              </w:rPr>
              <w:t>协议存款</w:t>
            </w:r>
          </w:p>
        </w:tc>
        <w:tc>
          <w:tcPr>
            <w:tcW w:w="1799" w:type="dxa"/>
            <w:vAlign w:val="center"/>
          </w:tcPr>
          <w:p w:rsidR="00454223" w:rsidRDefault="004F75CB">
            <w:pPr>
              <w:jc w:val="center"/>
            </w:pPr>
            <w:r>
              <w:rPr>
                <w:rFonts w:hint="eastAsia"/>
                <w:szCs w:val="21"/>
              </w:rPr>
              <w:t>-</w:t>
            </w:r>
          </w:p>
        </w:tc>
        <w:tc>
          <w:tcPr>
            <w:tcW w:w="1800" w:type="dxa"/>
            <w:vAlign w:val="center"/>
          </w:tcPr>
          <w:p w:rsidR="00454223" w:rsidRDefault="004F75CB">
            <w:pPr>
              <w:jc w:val="center"/>
            </w:pPr>
            <w:r>
              <w:rPr>
                <w:rFonts w:hint="eastAsia"/>
                <w:szCs w:val="21"/>
              </w:rPr>
              <w:t>3,830,458.33</w:t>
            </w:r>
          </w:p>
        </w:tc>
        <w:tc>
          <w:tcPr>
            <w:tcW w:w="1800" w:type="dxa"/>
            <w:vAlign w:val="center"/>
          </w:tcPr>
          <w:p w:rsidR="00454223" w:rsidRDefault="004F75CB">
            <w:pPr>
              <w:jc w:val="center"/>
            </w:pPr>
            <w:r>
              <w:rPr>
                <w:rFonts w:hint="eastAsia"/>
                <w:szCs w:val="21"/>
              </w:rPr>
              <w:t>-</w:t>
            </w:r>
          </w:p>
        </w:tc>
        <w:tc>
          <w:tcPr>
            <w:tcW w:w="1800" w:type="dxa"/>
            <w:vAlign w:val="center"/>
          </w:tcPr>
          <w:p w:rsidR="00454223" w:rsidRDefault="004F75CB">
            <w:pPr>
              <w:jc w:val="center"/>
            </w:pPr>
            <w:r>
              <w:rPr>
                <w:rFonts w:hint="eastAsia"/>
                <w:szCs w:val="21"/>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注：本基金的银行活期存款和表格中列示的银行协议存款由基金托管人保管，按银行同业利率或约定利率计息。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本基金本报告期内及上年度可比期间未在承销期内参与关联方承销的证券。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8E17E8" w:rsidRPr="005124D4" w:rsidRDefault="008E17E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8E17E8" w:rsidRPr="005124D4" w:rsidRDefault="008E17E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2017</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125,929,758.63</w:t>
      </w:r>
      <w:r w:rsidRPr="002D470E">
        <w:rPr>
          <w:rFonts w:hint="eastAsia"/>
          <w:color w:val="000000"/>
          <w:sz w:val="24"/>
        </w:rPr>
        <w:t>元，是以如下债券作为质押：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C11DD9">
        <w:tc>
          <w:tcPr>
            <w:tcW w:w="1500" w:type="dxa"/>
            <w:vAlign w:val="center"/>
          </w:tcPr>
          <w:p w:rsidR="00C11DD9" w:rsidRDefault="00C11DD9" w:rsidP="00C11DD9">
            <w:pPr>
              <w:jc w:val="center"/>
            </w:pPr>
            <w:bookmarkStart w:id="10" w:name="_GoBack" w:colFirst="0" w:colLast="0"/>
            <w:r>
              <w:rPr>
                <w:rFonts w:hint="eastAsia"/>
                <w:kern w:val="0"/>
                <w:sz w:val="24"/>
              </w:rPr>
              <w:t>111785367</w:t>
            </w:r>
          </w:p>
        </w:tc>
        <w:tc>
          <w:tcPr>
            <w:tcW w:w="1500" w:type="dxa"/>
            <w:vAlign w:val="center"/>
          </w:tcPr>
          <w:p w:rsidR="00C11DD9" w:rsidRDefault="00C11DD9" w:rsidP="00C11DD9">
            <w:pPr>
              <w:jc w:val="center"/>
            </w:pPr>
            <w:r>
              <w:rPr>
                <w:rFonts w:hint="eastAsia"/>
                <w:sz w:val="24"/>
              </w:rPr>
              <w:t>17</w:t>
            </w:r>
            <w:r>
              <w:rPr>
                <w:rFonts w:hint="eastAsia"/>
                <w:sz w:val="24"/>
              </w:rPr>
              <w:t>广东南粤银行</w:t>
            </w:r>
            <w:r>
              <w:rPr>
                <w:rFonts w:hint="eastAsia"/>
                <w:sz w:val="24"/>
              </w:rPr>
              <w:t>CD111</w:t>
            </w:r>
          </w:p>
        </w:tc>
        <w:tc>
          <w:tcPr>
            <w:tcW w:w="1500" w:type="dxa"/>
            <w:vAlign w:val="center"/>
          </w:tcPr>
          <w:p w:rsidR="00C11DD9" w:rsidRDefault="00C11DD9" w:rsidP="00C11DD9">
            <w:pPr>
              <w:jc w:val="center"/>
            </w:pPr>
            <w:r>
              <w:rPr>
                <w:rFonts w:hint="eastAsia"/>
                <w:sz w:val="24"/>
              </w:rPr>
              <w:t>2018-01-02</w:t>
            </w:r>
          </w:p>
        </w:tc>
        <w:tc>
          <w:tcPr>
            <w:tcW w:w="1260" w:type="dxa"/>
            <w:vAlign w:val="center"/>
          </w:tcPr>
          <w:p w:rsidR="00C11DD9" w:rsidRDefault="00C11DD9" w:rsidP="00C11DD9">
            <w:pPr>
              <w:jc w:val="right"/>
            </w:pPr>
            <w:r>
              <w:rPr>
                <w:rFonts w:hint="eastAsia"/>
                <w:sz w:val="24"/>
              </w:rPr>
              <w:t>99.01</w:t>
            </w:r>
          </w:p>
        </w:tc>
        <w:tc>
          <w:tcPr>
            <w:tcW w:w="1440" w:type="dxa"/>
            <w:vAlign w:val="center"/>
          </w:tcPr>
          <w:p w:rsidR="00C11DD9" w:rsidRDefault="00C11DD9" w:rsidP="00C11DD9">
            <w:pPr>
              <w:jc w:val="right"/>
            </w:pPr>
            <w:r>
              <w:rPr>
                <w:rFonts w:hint="eastAsia"/>
                <w:sz w:val="24"/>
              </w:rPr>
              <w:t>900,000</w:t>
            </w:r>
          </w:p>
        </w:tc>
        <w:tc>
          <w:tcPr>
            <w:tcW w:w="1836" w:type="dxa"/>
            <w:vAlign w:val="center"/>
          </w:tcPr>
          <w:p w:rsidR="00C11DD9" w:rsidRDefault="00C11DD9" w:rsidP="00C11DD9">
            <w:pPr>
              <w:jc w:val="right"/>
            </w:pPr>
            <w:r>
              <w:rPr>
                <w:rFonts w:hint="eastAsia"/>
                <w:sz w:val="24"/>
              </w:rPr>
              <w:t>89,110,849.80</w:t>
            </w:r>
          </w:p>
        </w:tc>
      </w:tr>
      <w:tr w:rsidR="00C11DD9">
        <w:tc>
          <w:tcPr>
            <w:tcW w:w="1500" w:type="dxa"/>
            <w:vAlign w:val="center"/>
          </w:tcPr>
          <w:p w:rsidR="00C11DD9" w:rsidRDefault="00C11DD9" w:rsidP="00C11DD9">
            <w:pPr>
              <w:jc w:val="center"/>
            </w:pPr>
            <w:r>
              <w:rPr>
                <w:rFonts w:hint="eastAsia"/>
                <w:kern w:val="0"/>
                <w:sz w:val="24"/>
              </w:rPr>
              <w:t>111785313</w:t>
            </w:r>
          </w:p>
        </w:tc>
        <w:tc>
          <w:tcPr>
            <w:tcW w:w="1500" w:type="dxa"/>
            <w:vAlign w:val="center"/>
          </w:tcPr>
          <w:p w:rsidR="00C11DD9" w:rsidRDefault="00C11DD9" w:rsidP="00C11DD9">
            <w:pPr>
              <w:jc w:val="center"/>
            </w:pPr>
            <w:r>
              <w:rPr>
                <w:rFonts w:hint="eastAsia"/>
                <w:sz w:val="24"/>
              </w:rPr>
              <w:t>17</w:t>
            </w:r>
            <w:r>
              <w:rPr>
                <w:rFonts w:hint="eastAsia"/>
                <w:sz w:val="24"/>
              </w:rPr>
              <w:t>哈尔滨银行</w:t>
            </w:r>
            <w:r>
              <w:rPr>
                <w:rFonts w:hint="eastAsia"/>
                <w:sz w:val="24"/>
              </w:rPr>
              <w:t>CD184</w:t>
            </w:r>
          </w:p>
        </w:tc>
        <w:tc>
          <w:tcPr>
            <w:tcW w:w="1500" w:type="dxa"/>
            <w:vAlign w:val="center"/>
          </w:tcPr>
          <w:p w:rsidR="00C11DD9" w:rsidRDefault="00C11DD9" w:rsidP="00C11DD9">
            <w:pPr>
              <w:jc w:val="center"/>
            </w:pPr>
            <w:r>
              <w:rPr>
                <w:rFonts w:hint="eastAsia"/>
                <w:sz w:val="24"/>
              </w:rPr>
              <w:t>2018-01-02</w:t>
            </w:r>
          </w:p>
        </w:tc>
        <w:tc>
          <w:tcPr>
            <w:tcW w:w="1260" w:type="dxa"/>
            <w:vAlign w:val="center"/>
          </w:tcPr>
          <w:p w:rsidR="00C11DD9" w:rsidRDefault="00C11DD9" w:rsidP="00C11DD9">
            <w:pPr>
              <w:jc w:val="right"/>
            </w:pPr>
            <w:r>
              <w:rPr>
                <w:rFonts w:hint="eastAsia"/>
                <w:sz w:val="24"/>
              </w:rPr>
              <w:t>99.02</w:t>
            </w:r>
          </w:p>
        </w:tc>
        <w:tc>
          <w:tcPr>
            <w:tcW w:w="1440" w:type="dxa"/>
            <w:vAlign w:val="center"/>
          </w:tcPr>
          <w:p w:rsidR="00C11DD9" w:rsidRDefault="00C11DD9" w:rsidP="00C11DD9">
            <w:pPr>
              <w:jc w:val="right"/>
            </w:pPr>
            <w:r>
              <w:rPr>
                <w:rFonts w:hint="eastAsia"/>
                <w:sz w:val="24"/>
              </w:rPr>
              <w:t>480,000</w:t>
            </w:r>
          </w:p>
        </w:tc>
        <w:tc>
          <w:tcPr>
            <w:tcW w:w="1836" w:type="dxa"/>
            <w:vAlign w:val="center"/>
          </w:tcPr>
          <w:p w:rsidR="00C11DD9" w:rsidRDefault="00C11DD9" w:rsidP="00C11DD9">
            <w:pPr>
              <w:jc w:val="right"/>
            </w:pPr>
            <w:r>
              <w:rPr>
                <w:rFonts w:hint="eastAsia"/>
                <w:sz w:val="24"/>
              </w:rPr>
              <w:t>47,530,753.25</w:t>
            </w:r>
          </w:p>
        </w:tc>
      </w:tr>
      <w:bookmarkEnd w:id="10"/>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1,380,000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136,641,603.05</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454223" w:rsidRDefault="004F75CB">
      <w:pPr>
        <w:spacing w:before="29" w:line="288" w:lineRule="auto"/>
        <w:rPr>
          <w:color w:val="000000"/>
          <w:sz w:val="24"/>
        </w:rPr>
      </w:pPr>
      <w:r>
        <w:rPr>
          <w:rFonts w:hint="eastAsia"/>
          <w:color w:val="000000"/>
          <w:sz w:val="24"/>
        </w:rPr>
        <w:t>(1)</w:t>
      </w:r>
      <w:r>
        <w:rPr>
          <w:rFonts w:hint="eastAsia"/>
          <w:color w:val="000000"/>
          <w:sz w:val="24"/>
        </w:rPr>
        <w:t>公允价值</w:t>
      </w:r>
    </w:p>
    <w:p w:rsidR="00454223" w:rsidRDefault="004F75CB">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454223" w:rsidRDefault="004F75CB">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454223" w:rsidRDefault="004F75CB">
      <w:pPr>
        <w:spacing w:before="29" w:line="288" w:lineRule="auto"/>
        <w:rPr>
          <w:color w:val="000000"/>
          <w:sz w:val="24"/>
        </w:rPr>
      </w:pPr>
      <w:r>
        <w:rPr>
          <w:rFonts w:hint="eastAsia"/>
          <w:color w:val="000000"/>
          <w:sz w:val="24"/>
        </w:rPr>
        <w:t>第一层次：相同资产或负债在活跃市场上未经调整的报价。</w:t>
      </w:r>
    </w:p>
    <w:p w:rsidR="00454223" w:rsidRDefault="004F75CB">
      <w:pPr>
        <w:spacing w:before="29" w:line="288" w:lineRule="auto"/>
        <w:rPr>
          <w:color w:val="000000"/>
          <w:sz w:val="24"/>
        </w:rPr>
      </w:pPr>
      <w:r>
        <w:rPr>
          <w:rFonts w:hint="eastAsia"/>
          <w:color w:val="000000"/>
          <w:sz w:val="24"/>
        </w:rPr>
        <w:t>第二层次：除第一层次输入值外相关资产或负债直接或间接可观察的输入值。</w:t>
      </w:r>
    </w:p>
    <w:p w:rsidR="00454223" w:rsidRDefault="004F75CB">
      <w:pPr>
        <w:spacing w:before="29" w:line="288" w:lineRule="auto"/>
        <w:rPr>
          <w:color w:val="000000"/>
          <w:sz w:val="24"/>
        </w:rPr>
      </w:pPr>
      <w:r>
        <w:rPr>
          <w:rFonts w:hint="eastAsia"/>
          <w:color w:val="000000"/>
          <w:sz w:val="24"/>
        </w:rPr>
        <w:t>第三层次：相关资产或负债的不可观察输入值。</w:t>
      </w:r>
    </w:p>
    <w:p w:rsidR="00454223" w:rsidRDefault="004F75CB">
      <w:pPr>
        <w:spacing w:before="29" w:line="288" w:lineRule="auto"/>
        <w:rPr>
          <w:color w:val="000000"/>
          <w:sz w:val="24"/>
        </w:rPr>
      </w:pPr>
      <w:r>
        <w:rPr>
          <w:rFonts w:hint="eastAsia"/>
          <w:color w:val="000000"/>
          <w:sz w:val="24"/>
        </w:rPr>
        <w:t>(b)</w:t>
      </w:r>
      <w:r>
        <w:rPr>
          <w:rFonts w:hint="eastAsia"/>
          <w:color w:val="000000"/>
          <w:sz w:val="24"/>
        </w:rPr>
        <w:t>持续的以公允价值计量的金融工具</w:t>
      </w:r>
    </w:p>
    <w:p w:rsidR="00454223" w:rsidRDefault="004F75CB">
      <w:pPr>
        <w:spacing w:before="29" w:line="288" w:lineRule="auto"/>
        <w:rPr>
          <w:color w:val="000000"/>
          <w:sz w:val="24"/>
        </w:rPr>
      </w:pPr>
      <w:r>
        <w:rPr>
          <w:rFonts w:hint="eastAsia"/>
          <w:color w:val="000000"/>
          <w:sz w:val="24"/>
        </w:rPr>
        <w:lastRenderedPageBreak/>
        <w:t>(i)</w:t>
      </w:r>
      <w:r>
        <w:rPr>
          <w:rFonts w:hint="eastAsia"/>
          <w:color w:val="000000"/>
          <w:sz w:val="24"/>
        </w:rPr>
        <w:t>各层次金融工具公允价值</w:t>
      </w:r>
    </w:p>
    <w:p w:rsidR="00454223" w:rsidRDefault="004F75CB">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1,117,393,596.74</w:t>
      </w:r>
      <w:r>
        <w:rPr>
          <w:rFonts w:hint="eastAsia"/>
          <w:color w:val="000000"/>
          <w:sz w:val="24"/>
        </w:rPr>
        <w:t>元，无属于第一层次和第三层次的余额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76,817,409.93</w:t>
      </w:r>
      <w:r>
        <w:rPr>
          <w:rFonts w:hint="eastAsia"/>
          <w:color w:val="000000"/>
          <w:sz w:val="24"/>
        </w:rPr>
        <w:t>元，无属于第一层次和第三层次的余额</w:t>
      </w:r>
      <w:r>
        <w:rPr>
          <w:rFonts w:hint="eastAsia"/>
          <w:color w:val="000000"/>
          <w:sz w:val="24"/>
        </w:rPr>
        <w:t>)</w:t>
      </w:r>
      <w:r>
        <w:rPr>
          <w:rFonts w:hint="eastAsia"/>
          <w:color w:val="000000"/>
          <w:sz w:val="24"/>
        </w:rPr>
        <w:t>。</w:t>
      </w:r>
    </w:p>
    <w:p w:rsidR="00454223" w:rsidRDefault="004F75CB">
      <w:pPr>
        <w:spacing w:before="29" w:line="288" w:lineRule="auto"/>
        <w:rPr>
          <w:color w:val="000000"/>
          <w:sz w:val="24"/>
        </w:rPr>
      </w:pPr>
      <w:r>
        <w:rPr>
          <w:rFonts w:hint="eastAsia"/>
          <w:color w:val="000000"/>
          <w:sz w:val="24"/>
        </w:rPr>
        <w:t>(ii)</w:t>
      </w:r>
      <w:r>
        <w:rPr>
          <w:rFonts w:hint="eastAsia"/>
          <w:color w:val="000000"/>
          <w:sz w:val="24"/>
        </w:rPr>
        <w:t>公允价值所属层次间的重大变动</w:t>
      </w:r>
    </w:p>
    <w:p w:rsidR="00454223" w:rsidRDefault="004F75CB">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454223" w:rsidRDefault="004F75CB">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454223" w:rsidRDefault="004F75CB">
      <w:pPr>
        <w:spacing w:before="29" w:line="288" w:lineRule="auto"/>
        <w:rPr>
          <w:color w:val="000000"/>
          <w:sz w:val="24"/>
        </w:rPr>
      </w:pPr>
      <w:r>
        <w:rPr>
          <w:rFonts w:hint="eastAsia"/>
          <w:color w:val="000000"/>
          <w:sz w:val="24"/>
        </w:rPr>
        <w:t>无。</w:t>
      </w:r>
    </w:p>
    <w:p w:rsidR="00454223" w:rsidRDefault="004F75CB">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454223" w:rsidRDefault="004F75CB">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454223" w:rsidRDefault="004F75CB">
      <w:pPr>
        <w:spacing w:before="29" w:line="288" w:lineRule="auto"/>
        <w:rPr>
          <w:color w:val="000000"/>
          <w:sz w:val="24"/>
        </w:rPr>
      </w:pPr>
      <w:r>
        <w:rPr>
          <w:rFonts w:hint="eastAsia"/>
          <w:color w:val="000000"/>
          <w:sz w:val="24"/>
        </w:rPr>
        <w:t>(d)</w:t>
      </w:r>
      <w:r>
        <w:rPr>
          <w:rFonts w:hint="eastAsia"/>
          <w:color w:val="000000"/>
          <w:sz w:val="24"/>
        </w:rPr>
        <w:t>不以公允价值计量的金融工具</w:t>
      </w:r>
    </w:p>
    <w:p w:rsidR="00454223" w:rsidRDefault="004F75CB">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454223" w:rsidRDefault="004F75CB">
      <w:pPr>
        <w:spacing w:before="29" w:line="288" w:lineRule="auto"/>
        <w:rPr>
          <w:color w:val="000000"/>
          <w:sz w:val="24"/>
        </w:rPr>
      </w:pPr>
      <w:r>
        <w:rPr>
          <w:rFonts w:hint="eastAsia"/>
          <w:color w:val="000000"/>
          <w:sz w:val="24"/>
        </w:rPr>
        <w:t>(2)</w:t>
      </w:r>
      <w:r>
        <w:rPr>
          <w:rFonts w:hint="eastAsia"/>
          <w:color w:val="000000"/>
          <w:sz w:val="24"/>
        </w:rPr>
        <w:t>增值税</w:t>
      </w:r>
    </w:p>
    <w:p w:rsidR="00454223" w:rsidRDefault="004F75CB">
      <w:pPr>
        <w:spacing w:before="29" w:line="288" w:lineRule="auto"/>
        <w:rPr>
          <w:color w:val="000000"/>
          <w:sz w:val="24"/>
        </w:rPr>
      </w:pPr>
      <w:r>
        <w:rPr>
          <w:rFonts w:hint="eastAsia"/>
          <w:color w:val="000000"/>
          <w:sz w:val="24"/>
        </w:rPr>
        <w:t>根据财政部、国家税务总局于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21</w:t>
      </w:r>
      <w:r>
        <w:rPr>
          <w:rFonts w:hint="eastAsia"/>
          <w:color w:val="000000"/>
          <w:sz w:val="24"/>
        </w:rPr>
        <w:t>日颁布的财税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教育辅助服务等增值税政策的通知》的规定，资管产品运营过程中发生的增值税应税行为，以资管产品管理人为增值税纳税人。</w:t>
      </w:r>
    </w:p>
    <w:p w:rsidR="00454223" w:rsidRDefault="004F75CB">
      <w:pPr>
        <w:spacing w:before="29" w:line="288" w:lineRule="auto"/>
        <w:rPr>
          <w:color w:val="000000"/>
          <w:sz w:val="24"/>
        </w:rPr>
      </w:pPr>
      <w:r>
        <w:rPr>
          <w:rFonts w:hint="eastAsia"/>
          <w:color w:val="000000"/>
          <w:sz w:val="24"/>
        </w:rPr>
        <w:t>根据财政部、国家税务总局于</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日颁布的财税</w:t>
      </w:r>
      <w:r>
        <w:rPr>
          <w:rFonts w:hint="eastAsia"/>
          <w:color w:val="000000"/>
          <w:sz w:val="24"/>
        </w:rPr>
        <w:t>[2017]56</w:t>
      </w:r>
      <w:r>
        <w:rPr>
          <w:rFonts w:hint="eastAsia"/>
          <w:color w:val="000000"/>
          <w:sz w:val="24"/>
        </w:rPr>
        <w:t>号《关于资管产品增值税有关问题的通知》的规定，资管产品管理人运营资管产品过程中发生的增值税应税行为，暂适用简易计税方法，按照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454223" w:rsidRDefault="004F75CB">
      <w:pPr>
        <w:spacing w:before="29" w:line="288" w:lineRule="auto"/>
        <w:rPr>
          <w:color w:val="000000"/>
          <w:sz w:val="24"/>
        </w:rPr>
      </w:pPr>
      <w:r>
        <w:rPr>
          <w:rFonts w:hint="eastAsia"/>
          <w:color w:val="000000"/>
          <w:sz w:val="24"/>
        </w:rPr>
        <w:t>此外，财政部、国家税务总局于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日颁布的财税</w:t>
      </w:r>
      <w:r>
        <w:rPr>
          <w:rFonts w:hint="eastAsia"/>
          <w:color w:val="000000"/>
          <w:sz w:val="24"/>
        </w:rPr>
        <w:t>[2017]90</w:t>
      </w:r>
      <w:r>
        <w:rPr>
          <w:rFonts w:hint="eastAsia"/>
          <w:color w:val="000000"/>
          <w:sz w:val="24"/>
        </w:rPr>
        <w:t>号《关于租入固定资产进行税额抵扣等增值税政策的通知》对资管产品管理人自</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日起运营资管产品提供的贷款服务、发生的部分金融商品转让业务的销售额确定做出规定。</w:t>
      </w:r>
    </w:p>
    <w:p w:rsidR="00454223" w:rsidRDefault="004F75CB">
      <w:pPr>
        <w:spacing w:before="29" w:line="288" w:lineRule="auto"/>
        <w:rPr>
          <w:color w:val="000000"/>
          <w:sz w:val="24"/>
        </w:rPr>
      </w:pPr>
      <w:r>
        <w:rPr>
          <w:rFonts w:hint="eastAsia"/>
          <w:color w:val="000000"/>
          <w:sz w:val="24"/>
        </w:rPr>
        <w:t>上述税收政策对本基金截至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日止的财务状况和经营成果无影响。</w:t>
      </w:r>
    </w:p>
    <w:p w:rsidR="006D141C" w:rsidRDefault="006D141C" w:rsidP="000A3DDA">
      <w:pPr>
        <w:spacing w:before="29" w:line="288" w:lineRule="auto"/>
        <w:rPr>
          <w:color w:val="000000"/>
          <w:sz w:val="24"/>
        </w:rPr>
      </w:pPr>
      <w:r w:rsidRPr="000A3DDA">
        <w:rPr>
          <w:rFonts w:hint="eastAsia"/>
          <w:color w:val="000000"/>
          <w:sz w:val="24"/>
        </w:rPr>
        <w:t>(3)</w:t>
      </w: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w:t>
            </w:r>
            <w:r w:rsidRPr="002137A0">
              <w:rPr>
                <w:rFonts w:hint="eastAsia"/>
                <w:sz w:val="24"/>
              </w:rPr>
              <w:lastRenderedPageBreak/>
              <w:t>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lastRenderedPageBreak/>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1,117,393,596.74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44.34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1,117,393,596.74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44.34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637,927,200.00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25.31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753,588,692.83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29.90</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11,068,249.68</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0.44</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2,519,977,739.25</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10.32</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0.06</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125,929,758.63</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5.26</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125,929,758.63</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5.26</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44</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lastRenderedPageBreak/>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454223" w:rsidRPr="008E17E8" w:rsidRDefault="004F75CB" w:rsidP="008E17E8">
      <w:pPr>
        <w:spacing w:before="29" w:line="288" w:lineRule="auto"/>
        <w:jc w:val="left"/>
        <w:rPr>
          <w:kern w:val="0"/>
          <w:sz w:val="24"/>
        </w:rPr>
      </w:pPr>
      <w:r>
        <w:rPr>
          <w:kern w:val="0"/>
          <w:sz w:val="24"/>
        </w:rPr>
        <w:t>本基金合同约定：</w:t>
      </w:r>
      <w:r>
        <w:rPr>
          <w:kern w:val="0"/>
          <w:sz w:val="24"/>
        </w:rPr>
        <w:t>“</w:t>
      </w:r>
      <w:r>
        <w:rPr>
          <w:kern w:val="0"/>
          <w:sz w:val="24"/>
        </w:rPr>
        <w:t>本基金投资组合的平均剩余期限在每个交易日均不得超过</w:t>
      </w:r>
      <w:r>
        <w:rPr>
          <w:kern w:val="0"/>
          <w:sz w:val="24"/>
        </w:rPr>
        <w:t>120</w:t>
      </w:r>
      <w:r>
        <w:rPr>
          <w:kern w:val="0"/>
          <w:sz w:val="24"/>
        </w:rPr>
        <w:t>天</w:t>
      </w:r>
      <w:r>
        <w:rPr>
          <w:kern w:val="0"/>
          <w:sz w:val="24"/>
        </w:rPr>
        <w:t>”</w:t>
      </w:r>
      <w:r>
        <w:rPr>
          <w:kern w:val="0"/>
          <w:sz w:val="24"/>
        </w:rPr>
        <w:t>。</w:t>
      </w:r>
    </w:p>
    <w:p w:rsidR="00140036" w:rsidRDefault="00157CB3" w:rsidP="008E17E8">
      <w:pPr>
        <w:spacing w:before="29" w:line="288" w:lineRule="auto"/>
        <w:jc w:val="left"/>
        <w:rPr>
          <w:kern w:val="0"/>
          <w:sz w:val="24"/>
        </w:rPr>
      </w:pPr>
      <w:r w:rsidRPr="00157CB3">
        <w:rPr>
          <w:kern w:val="0"/>
          <w:sz w:val="24"/>
        </w:rPr>
        <w:t>本报告期内，本基金未发生超标情况。</w:t>
      </w:r>
    </w:p>
    <w:p w:rsidR="008E17E8" w:rsidRPr="00157CB3" w:rsidRDefault="008E17E8"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38.50</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5.26</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7.51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54.45</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2.05</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2.34</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104.85</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5.26</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8E17E8">
      <w:pPr>
        <w:spacing w:line="360" w:lineRule="auto"/>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lastRenderedPageBreak/>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1,000,001.17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0.04</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129,030,824.63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5.39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129,030,824.63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5.39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159,971,695.51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6.69</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827,391,075.43</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34.58</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1,117,393,596.74</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46.70</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454223">
        <w:tc>
          <w:tcPr>
            <w:tcW w:w="1493" w:type="dxa"/>
            <w:vAlign w:val="center"/>
          </w:tcPr>
          <w:p w:rsidR="00454223" w:rsidRDefault="004F75CB">
            <w:pPr>
              <w:jc w:val="center"/>
            </w:pPr>
            <w:r>
              <w:rPr>
                <w:rFonts w:hint="eastAsia"/>
                <w:sz w:val="24"/>
              </w:rPr>
              <w:t>1</w:t>
            </w:r>
          </w:p>
        </w:tc>
        <w:tc>
          <w:tcPr>
            <w:tcW w:w="1493" w:type="dxa"/>
            <w:vAlign w:val="center"/>
          </w:tcPr>
          <w:p w:rsidR="00454223" w:rsidRDefault="004F75CB">
            <w:pPr>
              <w:jc w:val="center"/>
            </w:pPr>
            <w:r>
              <w:rPr>
                <w:rFonts w:hint="eastAsia"/>
                <w:sz w:val="24"/>
              </w:rPr>
              <w:t>111785367</w:t>
            </w:r>
          </w:p>
        </w:tc>
        <w:tc>
          <w:tcPr>
            <w:tcW w:w="1503" w:type="dxa"/>
            <w:vAlign w:val="center"/>
          </w:tcPr>
          <w:p w:rsidR="00454223" w:rsidRDefault="004F75CB">
            <w:pPr>
              <w:jc w:val="center"/>
            </w:pPr>
            <w:r>
              <w:rPr>
                <w:rFonts w:hint="eastAsia"/>
                <w:sz w:val="24"/>
              </w:rPr>
              <w:t>17</w:t>
            </w:r>
            <w:r>
              <w:rPr>
                <w:rFonts w:hint="eastAsia"/>
                <w:sz w:val="24"/>
              </w:rPr>
              <w:t>广东南粤银行</w:t>
            </w:r>
            <w:r>
              <w:rPr>
                <w:rFonts w:hint="eastAsia"/>
                <w:sz w:val="24"/>
              </w:rPr>
              <w:t>CD111</w:t>
            </w:r>
          </w:p>
        </w:tc>
        <w:tc>
          <w:tcPr>
            <w:tcW w:w="1503" w:type="dxa"/>
            <w:vAlign w:val="center"/>
          </w:tcPr>
          <w:p w:rsidR="00454223" w:rsidRDefault="004F75CB">
            <w:pPr>
              <w:jc w:val="center"/>
            </w:pPr>
            <w:r>
              <w:rPr>
                <w:rFonts w:hint="eastAsia"/>
                <w:sz w:val="24"/>
              </w:rPr>
              <w:t>900,000</w:t>
            </w:r>
          </w:p>
        </w:tc>
        <w:tc>
          <w:tcPr>
            <w:tcW w:w="1503" w:type="dxa"/>
            <w:vAlign w:val="center"/>
          </w:tcPr>
          <w:p w:rsidR="00454223" w:rsidRDefault="004F75CB">
            <w:pPr>
              <w:jc w:val="center"/>
            </w:pPr>
            <w:r>
              <w:rPr>
                <w:rFonts w:hint="eastAsia"/>
                <w:sz w:val="24"/>
              </w:rPr>
              <w:t>89,110,849.80</w:t>
            </w:r>
          </w:p>
        </w:tc>
        <w:tc>
          <w:tcPr>
            <w:tcW w:w="1503" w:type="dxa"/>
            <w:vAlign w:val="center"/>
          </w:tcPr>
          <w:p w:rsidR="00454223" w:rsidRDefault="004F75CB">
            <w:pPr>
              <w:jc w:val="center"/>
            </w:pPr>
            <w:r>
              <w:rPr>
                <w:rFonts w:hint="eastAsia"/>
                <w:sz w:val="24"/>
              </w:rPr>
              <w:t>3.72</w:t>
            </w:r>
          </w:p>
        </w:tc>
      </w:tr>
      <w:tr w:rsidR="00454223">
        <w:tc>
          <w:tcPr>
            <w:tcW w:w="1493" w:type="dxa"/>
            <w:vAlign w:val="center"/>
          </w:tcPr>
          <w:p w:rsidR="00454223" w:rsidRDefault="004F75CB">
            <w:pPr>
              <w:jc w:val="center"/>
            </w:pPr>
            <w:r>
              <w:rPr>
                <w:rFonts w:hint="eastAsia"/>
                <w:sz w:val="24"/>
              </w:rPr>
              <w:t>2</w:t>
            </w:r>
          </w:p>
        </w:tc>
        <w:tc>
          <w:tcPr>
            <w:tcW w:w="1493" w:type="dxa"/>
            <w:vAlign w:val="center"/>
          </w:tcPr>
          <w:p w:rsidR="00454223" w:rsidRDefault="004F75CB">
            <w:pPr>
              <w:jc w:val="center"/>
            </w:pPr>
            <w:r>
              <w:rPr>
                <w:rFonts w:hint="eastAsia"/>
                <w:sz w:val="24"/>
              </w:rPr>
              <w:t>170203</w:t>
            </w:r>
          </w:p>
        </w:tc>
        <w:tc>
          <w:tcPr>
            <w:tcW w:w="1503" w:type="dxa"/>
            <w:vAlign w:val="center"/>
          </w:tcPr>
          <w:p w:rsidR="00454223" w:rsidRDefault="004F75CB">
            <w:pPr>
              <w:jc w:val="center"/>
            </w:pPr>
            <w:r>
              <w:rPr>
                <w:rFonts w:hint="eastAsia"/>
                <w:sz w:val="24"/>
              </w:rPr>
              <w:t>17</w:t>
            </w:r>
            <w:r>
              <w:rPr>
                <w:rFonts w:hint="eastAsia"/>
                <w:sz w:val="24"/>
              </w:rPr>
              <w:t>国开</w:t>
            </w:r>
            <w:r>
              <w:rPr>
                <w:rFonts w:hint="eastAsia"/>
                <w:sz w:val="24"/>
              </w:rPr>
              <w:t>03</w:t>
            </w:r>
          </w:p>
        </w:tc>
        <w:tc>
          <w:tcPr>
            <w:tcW w:w="1503" w:type="dxa"/>
            <w:vAlign w:val="center"/>
          </w:tcPr>
          <w:p w:rsidR="00454223" w:rsidRDefault="004F75CB">
            <w:pPr>
              <w:jc w:val="center"/>
            </w:pPr>
            <w:r>
              <w:rPr>
                <w:rFonts w:hint="eastAsia"/>
                <w:sz w:val="24"/>
              </w:rPr>
              <w:t>600,000</w:t>
            </w:r>
          </w:p>
        </w:tc>
        <w:tc>
          <w:tcPr>
            <w:tcW w:w="1503" w:type="dxa"/>
            <w:vAlign w:val="center"/>
          </w:tcPr>
          <w:p w:rsidR="00454223" w:rsidRDefault="004F75CB">
            <w:pPr>
              <w:jc w:val="center"/>
            </w:pPr>
            <w:r>
              <w:rPr>
                <w:rFonts w:hint="eastAsia"/>
                <w:sz w:val="24"/>
              </w:rPr>
              <w:t>59,963,133.95</w:t>
            </w:r>
          </w:p>
        </w:tc>
        <w:tc>
          <w:tcPr>
            <w:tcW w:w="1503" w:type="dxa"/>
            <w:vAlign w:val="center"/>
          </w:tcPr>
          <w:p w:rsidR="00454223" w:rsidRDefault="004F75CB">
            <w:pPr>
              <w:jc w:val="center"/>
            </w:pPr>
            <w:r>
              <w:rPr>
                <w:rFonts w:hint="eastAsia"/>
                <w:sz w:val="24"/>
              </w:rPr>
              <w:t>2.51</w:t>
            </w:r>
          </w:p>
        </w:tc>
      </w:tr>
      <w:tr w:rsidR="00454223">
        <w:tc>
          <w:tcPr>
            <w:tcW w:w="1493" w:type="dxa"/>
            <w:vAlign w:val="center"/>
          </w:tcPr>
          <w:p w:rsidR="00454223" w:rsidRDefault="004F75CB">
            <w:pPr>
              <w:jc w:val="center"/>
            </w:pPr>
            <w:r>
              <w:rPr>
                <w:rFonts w:hint="eastAsia"/>
                <w:sz w:val="24"/>
              </w:rPr>
              <w:t>3</w:t>
            </w:r>
          </w:p>
        </w:tc>
        <w:tc>
          <w:tcPr>
            <w:tcW w:w="1493" w:type="dxa"/>
            <w:vAlign w:val="center"/>
          </w:tcPr>
          <w:p w:rsidR="00454223" w:rsidRDefault="004F75CB">
            <w:pPr>
              <w:jc w:val="center"/>
            </w:pPr>
            <w:r>
              <w:rPr>
                <w:rFonts w:hint="eastAsia"/>
                <w:sz w:val="24"/>
              </w:rPr>
              <w:t>011764064</w:t>
            </w:r>
          </w:p>
        </w:tc>
        <w:tc>
          <w:tcPr>
            <w:tcW w:w="1503" w:type="dxa"/>
            <w:vAlign w:val="center"/>
          </w:tcPr>
          <w:p w:rsidR="00454223" w:rsidRDefault="004F75CB">
            <w:pPr>
              <w:jc w:val="center"/>
            </w:pPr>
            <w:r>
              <w:rPr>
                <w:rFonts w:hint="eastAsia"/>
                <w:sz w:val="24"/>
              </w:rPr>
              <w:t>17</w:t>
            </w:r>
            <w:r>
              <w:rPr>
                <w:rFonts w:hint="eastAsia"/>
                <w:sz w:val="24"/>
              </w:rPr>
              <w:t>广州金融</w:t>
            </w:r>
            <w:r>
              <w:rPr>
                <w:rFonts w:hint="eastAsia"/>
                <w:sz w:val="24"/>
              </w:rPr>
              <w:t>SCP002</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49,999,327.96</w:t>
            </w:r>
          </w:p>
        </w:tc>
        <w:tc>
          <w:tcPr>
            <w:tcW w:w="1503" w:type="dxa"/>
            <w:vAlign w:val="center"/>
          </w:tcPr>
          <w:p w:rsidR="00454223" w:rsidRDefault="004F75CB">
            <w:pPr>
              <w:jc w:val="center"/>
            </w:pPr>
            <w:r>
              <w:rPr>
                <w:rFonts w:hint="eastAsia"/>
                <w:sz w:val="24"/>
              </w:rPr>
              <w:t>2.09</w:t>
            </w:r>
          </w:p>
        </w:tc>
      </w:tr>
      <w:tr w:rsidR="00454223">
        <w:tc>
          <w:tcPr>
            <w:tcW w:w="1493" w:type="dxa"/>
            <w:vAlign w:val="center"/>
          </w:tcPr>
          <w:p w:rsidR="00454223" w:rsidRDefault="004F75CB">
            <w:pPr>
              <w:jc w:val="center"/>
            </w:pPr>
            <w:r>
              <w:rPr>
                <w:rFonts w:hint="eastAsia"/>
                <w:sz w:val="24"/>
              </w:rPr>
              <w:t>4</w:t>
            </w:r>
          </w:p>
        </w:tc>
        <w:tc>
          <w:tcPr>
            <w:tcW w:w="1493" w:type="dxa"/>
            <w:vAlign w:val="center"/>
          </w:tcPr>
          <w:p w:rsidR="00454223" w:rsidRDefault="004F75CB">
            <w:pPr>
              <w:jc w:val="center"/>
            </w:pPr>
            <w:r>
              <w:rPr>
                <w:rFonts w:hint="eastAsia"/>
                <w:sz w:val="24"/>
              </w:rPr>
              <w:t>041751019</w:t>
            </w:r>
          </w:p>
        </w:tc>
        <w:tc>
          <w:tcPr>
            <w:tcW w:w="1503" w:type="dxa"/>
            <w:vAlign w:val="center"/>
          </w:tcPr>
          <w:p w:rsidR="00454223" w:rsidRDefault="004F75CB">
            <w:pPr>
              <w:jc w:val="center"/>
            </w:pPr>
            <w:r>
              <w:rPr>
                <w:rFonts w:hint="eastAsia"/>
                <w:sz w:val="24"/>
              </w:rPr>
              <w:t>17</w:t>
            </w:r>
            <w:r>
              <w:rPr>
                <w:rFonts w:hint="eastAsia"/>
                <w:sz w:val="24"/>
              </w:rPr>
              <w:t>扬子国资</w:t>
            </w:r>
            <w:r>
              <w:rPr>
                <w:rFonts w:hint="eastAsia"/>
                <w:sz w:val="24"/>
              </w:rPr>
              <w:t>CP001</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49,978,250.18</w:t>
            </w:r>
          </w:p>
        </w:tc>
        <w:tc>
          <w:tcPr>
            <w:tcW w:w="1503" w:type="dxa"/>
            <w:vAlign w:val="center"/>
          </w:tcPr>
          <w:p w:rsidR="00454223" w:rsidRDefault="004F75CB">
            <w:pPr>
              <w:jc w:val="center"/>
            </w:pPr>
            <w:r>
              <w:rPr>
                <w:rFonts w:hint="eastAsia"/>
                <w:sz w:val="24"/>
              </w:rPr>
              <w:t>2.09</w:t>
            </w:r>
          </w:p>
        </w:tc>
      </w:tr>
      <w:tr w:rsidR="00454223">
        <w:tc>
          <w:tcPr>
            <w:tcW w:w="1493" w:type="dxa"/>
            <w:vAlign w:val="center"/>
          </w:tcPr>
          <w:p w:rsidR="00454223" w:rsidRDefault="004F75CB">
            <w:pPr>
              <w:jc w:val="center"/>
            </w:pPr>
            <w:r>
              <w:rPr>
                <w:rFonts w:hint="eastAsia"/>
                <w:sz w:val="24"/>
              </w:rPr>
              <w:t>5</w:t>
            </w:r>
          </w:p>
        </w:tc>
        <w:tc>
          <w:tcPr>
            <w:tcW w:w="1493" w:type="dxa"/>
            <w:vAlign w:val="center"/>
          </w:tcPr>
          <w:p w:rsidR="00454223" w:rsidRDefault="004F75CB">
            <w:pPr>
              <w:jc w:val="center"/>
            </w:pPr>
            <w:r>
              <w:rPr>
                <w:rFonts w:hint="eastAsia"/>
                <w:sz w:val="24"/>
              </w:rPr>
              <w:t>111781773</w:t>
            </w:r>
          </w:p>
        </w:tc>
        <w:tc>
          <w:tcPr>
            <w:tcW w:w="1503" w:type="dxa"/>
            <w:vAlign w:val="center"/>
          </w:tcPr>
          <w:p w:rsidR="00454223" w:rsidRDefault="004F75CB">
            <w:pPr>
              <w:jc w:val="center"/>
            </w:pPr>
            <w:r>
              <w:rPr>
                <w:rFonts w:hint="eastAsia"/>
                <w:sz w:val="24"/>
              </w:rPr>
              <w:t>17</w:t>
            </w:r>
            <w:r>
              <w:rPr>
                <w:rFonts w:hint="eastAsia"/>
                <w:sz w:val="24"/>
              </w:rPr>
              <w:t>唐山银行</w:t>
            </w:r>
            <w:r>
              <w:rPr>
                <w:rFonts w:hint="eastAsia"/>
                <w:sz w:val="24"/>
              </w:rPr>
              <w:t>CD131</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49,846,173.16</w:t>
            </w:r>
          </w:p>
        </w:tc>
        <w:tc>
          <w:tcPr>
            <w:tcW w:w="1503" w:type="dxa"/>
            <w:vAlign w:val="center"/>
          </w:tcPr>
          <w:p w:rsidR="00454223" w:rsidRDefault="004F75CB">
            <w:pPr>
              <w:jc w:val="center"/>
            </w:pPr>
            <w:r>
              <w:rPr>
                <w:rFonts w:hint="eastAsia"/>
                <w:sz w:val="24"/>
              </w:rPr>
              <w:t>2.08</w:t>
            </w:r>
          </w:p>
        </w:tc>
      </w:tr>
      <w:tr w:rsidR="00454223">
        <w:tc>
          <w:tcPr>
            <w:tcW w:w="1493" w:type="dxa"/>
            <w:vAlign w:val="center"/>
          </w:tcPr>
          <w:p w:rsidR="00454223" w:rsidRDefault="004F75CB">
            <w:pPr>
              <w:jc w:val="center"/>
            </w:pPr>
            <w:r>
              <w:rPr>
                <w:rFonts w:hint="eastAsia"/>
                <w:sz w:val="24"/>
              </w:rPr>
              <w:t>6</w:t>
            </w:r>
          </w:p>
        </w:tc>
        <w:tc>
          <w:tcPr>
            <w:tcW w:w="1493" w:type="dxa"/>
            <w:vAlign w:val="center"/>
          </w:tcPr>
          <w:p w:rsidR="00454223" w:rsidRDefault="004F75CB">
            <w:pPr>
              <w:jc w:val="center"/>
            </w:pPr>
            <w:r>
              <w:rPr>
                <w:rFonts w:hint="eastAsia"/>
                <w:sz w:val="24"/>
              </w:rPr>
              <w:t>111782104</w:t>
            </w:r>
          </w:p>
        </w:tc>
        <w:tc>
          <w:tcPr>
            <w:tcW w:w="1503" w:type="dxa"/>
            <w:vAlign w:val="center"/>
          </w:tcPr>
          <w:p w:rsidR="00454223" w:rsidRDefault="004F75CB">
            <w:pPr>
              <w:jc w:val="center"/>
            </w:pPr>
            <w:r>
              <w:rPr>
                <w:rFonts w:hint="eastAsia"/>
                <w:sz w:val="24"/>
              </w:rPr>
              <w:t>17</w:t>
            </w:r>
            <w:r>
              <w:rPr>
                <w:rFonts w:hint="eastAsia"/>
                <w:sz w:val="24"/>
              </w:rPr>
              <w:t>长安银行</w:t>
            </w:r>
            <w:r>
              <w:rPr>
                <w:rFonts w:hint="eastAsia"/>
                <w:sz w:val="24"/>
              </w:rPr>
              <w:t>CD059</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49,802,335.88</w:t>
            </w:r>
          </w:p>
        </w:tc>
        <w:tc>
          <w:tcPr>
            <w:tcW w:w="1503" w:type="dxa"/>
            <w:vAlign w:val="center"/>
          </w:tcPr>
          <w:p w:rsidR="00454223" w:rsidRDefault="004F75CB">
            <w:pPr>
              <w:jc w:val="center"/>
            </w:pPr>
            <w:r>
              <w:rPr>
                <w:rFonts w:hint="eastAsia"/>
                <w:sz w:val="24"/>
              </w:rPr>
              <w:t>2.08</w:t>
            </w:r>
          </w:p>
        </w:tc>
      </w:tr>
      <w:tr w:rsidR="00454223">
        <w:tc>
          <w:tcPr>
            <w:tcW w:w="1493" w:type="dxa"/>
            <w:vAlign w:val="center"/>
          </w:tcPr>
          <w:p w:rsidR="00454223" w:rsidRDefault="004F75CB">
            <w:pPr>
              <w:jc w:val="center"/>
            </w:pPr>
            <w:r>
              <w:rPr>
                <w:rFonts w:hint="eastAsia"/>
                <w:sz w:val="24"/>
              </w:rPr>
              <w:t>7</w:t>
            </w:r>
          </w:p>
        </w:tc>
        <w:tc>
          <w:tcPr>
            <w:tcW w:w="1493" w:type="dxa"/>
            <w:vAlign w:val="center"/>
          </w:tcPr>
          <w:p w:rsidR="00454223" w:rsidRDefault="004F75CB">
            <w:pPr>
              <w:jc w:val="center"/>
            </w:pPr>
            <w:r>
              <w:rPr>
                <w:rFonts w:hint="eastAsia"/>
                <w:sz w:val="24"/>
              </w:rPr>
              <w:t>111784754</w:t>
            </w:r>
          </w:p>
        </w:tc>
        <w:tc>
          <w:tcPr>
            <w:tcW w:w="1503" w:type="dxa"/>
            <w:vAlign w:val="center"/>
          </w:tcPr>
          <w:p w:rsidR="00454223" w:rsidRDefault="004F75CB">
            <w:pPr>
              <w:jc w:val="center"/>
            </w:pPr>
            <w:r>
              <w:rPr>
                <w:rFonts w:hint="eastAsia"/>
                <w:sz w:val="24"/>
              </w:rPr>
              <w:t>17</w:t>
            </w:r>
            <w:r>
              <w:rPr>
                <w:rFonts w:hint="eastAsia"/>
                <w:sz w:val="24"/>
              </w:rPr>
              <w:t>广东华兴银行</w:t>
            </w:r>
            <w:r>
              <w:rPr>
                <w:rFonts w:hint="eastAsia"/>
                <w:sz w:val="24"/>
              </w:rPr>
              <w:t>CD081</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49,561,113.79</w:t>
            </w:r>
          </w:p>
        </w:tc>
        <w:tc>
          <w:tcPr>
            <w:tcW w:w="1503" w:type="dxa"/>
            <w:vAlign w:val="center"/>
          </w:tcPr>
          <w:p w:rsidR="00454223" w:rsidRDefault="004F75CB">
            <w:pPr>
              <w:jc w:val="center"/>
            </w:pPr>
            <w:r>
              <w:rPr>
                <w:rFonts w:hint="eastAsia"/>
                <w:sz w:val="24"/>
              </w:rPr>
              <w:t>2.07</w:t>
            </w:r>
          </w:p>
        </w:tc>
      </w:tr>
      <w:tr w:rsidR="00454223">
        <w:tc>
          <w:tcPr>
            <w:tcW w:w="1493" w:type="dxa"/>
            <w:vAlign w:val="center"/>
          </w:tcPr>
          <w:p w:rsidR="00454223" w:rsidRDefault="004F75CB">
            <w:pPr>
              <w:jc w:val="center"/>
            </w:pPr>
            <w:r>
              <w:rPr>
                <w:rFonts w:hint="eastAsia"/>
                <w:sz w:val="24"/>
              </w:rPr>
              <w:t>8</w:t>
            </w:r>
          </w:p>
        </w:tc>
        <w:tc>
          <w:tcPr>
            <w:tcW w:w="1493" w:type="dxa"/>
            <w:vAlign w:val="center"/>
          </w:tcPr>
          <w:p w:rsidR="00454223" w:rsidRDefault="004F75CB">
            <w:pPr>
              <w:jc w:val="center"/>
            </w:pPr>
            <w:r>
              <w:rPr>
                <w:rFonts w:hint="eastAsia"/>
                <w:sz w:val="24"/>
              </w:rPr>
              <w:t>111784771</w:t>
            </w:r>
          </w:p>
        </w:tc>
        <w:tc>
          <w:tcPr>
            <w:tcW w:w="1503" w:type="dxa"/>
            <w:vAlign w:val="center"/>
          </w:tcPr>
          <w:p w:rsidR="00454223" w:rsidRDefault="004F75CB">
            <w:pPr>
              <w:jc w:val="center"/>
            </w:pPr>
            <w:r>
              <w:rPr>
                <w:rFonts w:hint="eastAsia"/>
                <w:sz w:val="24"/>
              </w:rPr>
              <w:t>17</w:t>
            </w:r>
            <w:r>
              <w:rPr>
                <w:rFonts w:hint="eastAsia"/>
                <w:sz w:val="24"/>
              </w:rPr>
              <w:t>廊坊银行</w:t>
            </w:r>
            <w:r>
              <w:rPr>
                <w:rFonts w:hint="eastAsia"/>
                <w:sz w:val="24"/>
              </w:rPr>
              <w:t>CD094</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49,536,043.14</w:t>
            </w:r>
          </w:p>
        </w:tc>
        <w:tc>
          <w:tcPr>
            <w:tcW w:w="1503" w:type="dxa"/>
            <w:vAlign w:val="center"/>
          </w:tcPr>
          <w:p w:rsidR="00454223" w:rsidRDefault="004F75CB">
            <w:pPr>
              <w:jc w:val="center"/>
            </w:pPr>
            <w:r>
              <w:rPr>
                <w:rFonts w:hint="eastAsia"/>
                <w:sz w:val="24"/>
              </w:rPr>
              <w:t>2.07</w:t>
            </w:r>
          </w:p>
        </w:tc>
      </w:tr>
      <w:tr w:rsidR="00454223">
        <w:tc>
          <w:tcPr>
            <w:tcW w:w="1493" w:type="dxa"/>
            <w:vAlign w:val="center"/>
          </w:tcPr>
          <w:p w:rsidR="00454223" w:rsidRDefault="004F75CB">
            <w:pPr>
              <w:jc w:val="center"/>
            </w:pPr>
            <w:r>
              <w:rPr>
                <w:rFonts w:hint="eastAsia"/>
                <w:sz w:val="24"/>
              </w:rPr>
              <w:t>9</w:t>
            </w:r>
          </w:p>
        </w:tc>
        <w:tc>
          <w:tcPr>
            <w:tcW w:w="1493" w:type="dxa"/>
            <w:vAlign w:val="center"/>
          </w:tcPr>
          <w:p w:rsidR="00454223" w:rsidRDefault="004F75CB">
            <w:pPr>
              <w:jc w:val="center"/>
            </w:pPr>
            <w:r>
              <w:rPr>
                <w:rFonts w:hint="eastAsia"/>
                <w:sz w:val="24"/>
              </w:rPr>
              <w:t>111785313</w:t>
            </w:r>
          </w:p>
        </w:tc>
        <w:tc>
          <w:tcPr>
            <w:tcW w:w="1503" w:type="dxa"/>
            <w:vAlign w:val="center"/>
          </w:tcPr>
          <w:p w:rsidR="00454223" w:rsidRDefault="004F75CB">
            <w:pPr>
              <w:jc w:val="center"/>
            </w:pPr>
            <w:r>
              <w:rPr>
                <w:rFonts w:hint="eastAsia"/>
                <w:sz w:val="24"/>
              </w:rPr>
              <w:t>17</w:t>
            </w:r>
            <w:r>
              <w:rPr>
                <w:rFonts w:hint="eastAsia"/>
                <w:sz w:val="24"/>
              </w:rPr>
              <w:t>哈尔滨银行</w:t>
            </w:r>
            <w:r>
              <w:rPr>
                <w:rFonts w:hint="eastAsia"/>
                <w:sz w:val="24"/>
              </w:rPr>
              <w:t>CD184</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49,511,201.30</w:t>
            </w:r>
          </w:p>
        </w:tc>
        <w:tc>
          <w:tcPr>
            <w:tcW w:w="1503" w:type="dxa"/>
            <w:vAlign w:val="center"/>
          </w:tcPr>
          <w:p w:rsidR="00454223" w:rsidRDefault="004F75CB">
            <w:pPr>
              <w:jc w:val="center"/>
            </w:pPr>
            <w:r>
              <w:rPr>
                <w:rFonts w:hint="eastAsia"/>
                <w:sz w:val="24"/>
              </w:rPr>
              <w:t>2.07</w:t>
            </w:r>
          </w:p>
        </w:tc>
      </w:tr>
      <w:tr w:rsidR="00454223">
        <w:tc>
          <w:tcPr>
            <w:tcW w:w="1493" w:type="dxa"/>
            <w:vAlign w:val="center"/>
          </w:tcPr>
          <w:p w:rsidR="00454223" w:rsidRDefault="004F75CB">
            <w:pPr>
              <w:jc w:val="center"/>
            </w:pPr>
            <w:r>
              <w:rPr>
                <w:rFonts w:hint="eastAsia"/>
                <w:sz w:val="24"/>
              </w:rPr>
              <w:t>10</w:t>
            </w:r>
          </w:p>
        </w:tc>
        <w:tc>
          <w:tcPr>
            <w:tcW w:w="1493" w:type="dxa"/>
            <w:vAlign w:val="center"/>
          </w:tcPr>
          <w:p w:rsidR="00454223" w:rsidRDefault="004F75CB">
            <w:pPr>
              <w:jc w:val="center"/>
            </w:pPr>
            <w:r>
              <w:rPr>
                <w:rFonts w:hint="eastAsia"/>
                <w:sz w:val="24"/>
              </w:rPr>
              <w:t>111785335</w:t>
            </w:r>
          </w:p>
        </w:tc>
        <w:tc>
          <w:tcPr>
            <w:tcW w:w="1503" w:type="dxa"/>
            <w:vAlign w:val="center"/>
          </w:tcPr>
          <w:p w:rsidR="00454223" w:rsidRDefault="004F75CB">
            <w:pPr>
              <w:jc w:val="center"/>
            </w:pPr>
            <w:r>
              <w:rPr>
                <w:rFonts w:hint="eastAsia"/>
                <w:sz w:val="24"/>
              </w:rPr>
              <w:t>17</w:t>
            </w:r>
            <w:r>
              <w:rPr>
                <w:rFonts w:hint="eastAsia"/>
                <w:sz w:val="24"/>
              </w:rPr>
              <w:t>潍坊银行</w:t>
            </w:r>
            <w:r>
              <w:rPr>
                <w:rFonts w:hint="eastAsia"/>
                <w:sz w:val="24"/>
              </w:rPr>
              <w:t>CD045</w:t>
            </w:r>
          </w:p>
        </w:tc>
        <w:tc>
          <w:tcPr>
            <w:tcW w:w="1503" w:type="dxa"/>
            <w:vAlign w:val="center"/>
          </w:tcPr>
          <w:p w:rsidR="00454223" w:rsidRDefault="004F75CB">
            <w:pPr>
              <w:jc w:val="center"/>
            </w:pPr>
            <w:r>
              <w:rPr>
                <w:rFonts w:hint="eastAsia"/>
                <w:sz w:val="24"/>
              </w:rPr>
              <w:t>500,000</w:t>
            </w:r>
          </w:p>
        </w:tc>
        <w:tc>
          <w:tcPr>
            <w:tcW w:w="1503" w:type="dxa"/>
            <w:vAlign w:val="center"/>
          </w:tcPr>
          <w:p w:rsidR="00454223" w:rsidRDefault="004F75CB">
            <w:pPr>
              <w:jc w:val="center"/>
            </w:pPr>
            <w:r>
              <w:rPr>
                <w:rFonts w:hint="eastAsia"/>
                <w:sz w:val="24"/>
              </w:rPr>
              <w:t>49,503,953.66</w:t>
            </w:r>
          </w:p>
        </w:tc>
        <w:tc>
          <w:tcPr>
            <w:tcW w:w="1503" w:type="dxa"/>
            <w:vAlign w:val="center"/>
          </w:tcPr>
          <w:p w:rsidR="00454223" w:rsidRDefault="004F75CB">
            <w:pPr>
              <w:jc w:val="center"/>
            </w:pPr>
            <w:r>
              <w:rPr>
                <w:rFonts w:hint="eastAsia"/>
                <w:sz w:val="24"/>
              </w:rPr>
              <w:t>2.07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0.0469%</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-0.0725%</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0.0178%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8E17E8">
      <w:pPr>
        <w:autoSpaceDE w:val="0"/>
        <w:autoSpaceDN w:val="0"/>
        <w:adjustRightInd w:val="0"/>
        <w:spacing w:line="360" w:lineRule="auto"/>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8E17E8">
      <w:pPr>
        <w:autoSpaceDE w:val="0"/>
        <w:autoSpaceDN w:val="0"/>
        <w:adjustRightInd w:val="0"/>
        <w:spacing w:line="360" w:lineRule="auto"/>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Default="006D141C" w:rsidP="005124D4">
      <w:pPr>
        <w:spacing w:before="29" w:line="288" w:lineRule="auto"/>
        <w:jc w:val="left"/>
        <w:rPr>
          <w:kern w:val="0"/>
          <w:sz w:val="24"/>
        </w:rPr>
      </w:pPr>
      <w:r w:rsidRPr="005124D4">
        <w:rPr>
          <w:rFonts w:hint="eastAsia"/>
          <w:kern w:val="0"/>
          <w:sz w:val="24"/>
        </w:rPr>
        <w:t>本基金本报告期末未持有资产支持证券。</w:t>
      </w:r>
    </w:p>
    <w:p w:rsidR="008E17E8" w:rsidRPr="00CB1276" w:rsidRDefault="008E17E8" w:rsidP="005124D4">
      <w:pPr>
        <w:spacing w:before="29" w:line="288" w:lineRule="auto"/>
        <w:jc w:val="left"/>
        <w:rPr>
          <w:rFonts w:asciiTheme="minorEastAsia" w:eastAsiaTheme="minorEastAsia" w:hAnsiTheme="minorEastAsia" w:cs="宋体"/>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8E17E8">
      <w:pPr>
        <w:spacing w:before="29" w:line="288" w:lineRule="auto"/>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2,459.61</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11,065,790.07</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lastRenderedPageBreak/>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11,068,249.68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交银天利宝货币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3,732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34,642.86</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504,219.88</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0.39%</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128,782,928.81</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99.61%</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交银天利宝货币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226,348,408.82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2,263,484,088.24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3,742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639,436.46</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2,263,988,308.12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94.62%</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128,782,928.81</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5.38%</w:t>
            </w:r>
          </w:p>
        </w:tc>
      </w:tr>
    </w:tbl>
    <w:p w:rsidR="00A66BB5" w:rsidRPr="00A85DBF" w:rsidRDefault="00A66BB5" w:rsidP="004B36C2">
      <w:pPr>
        <w:spacing w:line="360" w:lineRule="auto"/>
        <w:rPr>
          <w:rFonts w:asciiTheme="minorEastAsia" w:eastAsiaTheme="minorEastAsia" w:hAnsiTheme="minorEastAsia"/>
          <w:szCs w:val="21"/>
        </w:rPr>
      </w:pPr>
    </w:p>
    <w:p w:rsidR="004F75CB" w:rsidRPr="00D84CD9" w:rsidRDefault="004F75CB" w:rsidP="004F75CB">
      <w:pPr>
        <w:pStyle w:val="20"/>
        <w:spacing w:before="29" w:after="0" w:line="288" w:lineRule="auto"/>
        <w:rPr>
          <w:rFonts w:ascii="Times New Roman" w:hAnsi="Times New Roman" w:cs="Times New Roman"/>
          <w:kern w:val="0"/>
          <w:szCs w:val="24"/>
        </w:rPr>
      </w:pPr>
      <w:bookmarkStart w:id="30" w:name="_Toc509688278"/>
      <w:r w:rsidRPr="00D84CD9">
        <w:rPr>
          <w:rFonts w:ascii="Times New Roman" w:hAnsi="Times New Roman" w:cs="Times New Roman"/>
          <w:kern w:val="0"/>
          <w:szCs w:val="24"/>
        </w:rPr>
        <w:t xml:space="preserve">9.2 </w:t>
      </w:r>
      <w:r w:rsidRPr="00D84CD9">
        <w:rPr>
          <w:rFonts w:ascii="Times New Roman" w:hAnsi="Times New Roman" w:cs="Times New Roman" w:hint="eastAsia"/>
          <w:kern w:val="0"/>
          <w:szCs w:val="24"/>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4F75CB" w:rsidRPr="00B076B5" w:rsidTr="00DA526C">
        <w:tc>
          <w:tcPr>
            <w:tcW w:w="2814" w:type="dxa"/>
            <w:tcBorders>
              <w:top w:val="single" w:sz="4" w:space="0" w:color="auto"/>
              <w:left w:val="single" w:sz="4" w:space="0" w:color="auto"/>
              <w:bottom w:val="single" w:sz="4" w:space="0" w:color="auto"/>
              <w:right w:val="single" w:sz="4" w:space="0" w:color="auto"/>
            </w:tcBorders>
            <w:vAlign w:val="center"/>
            <w:hideMark/>
          </w:tcPr>
          <w:p w:rsidR="004F75CB" w:rsidRPr="006540FD" w:rsidRDefault="004F75CB" w:rsidP="00DA526C">
            <w:pPr>
              <w:spacing w:line="276" w:lineRule="auto"/>
              <w:jc w:val="center"/>
              <w:rPr>
                <w:rFonts w:asciiTheme="minorEastAsia" w:eastAsiaTheme="minorEastAsia" w:hAnsiTheme="minorEastAsia"/>
                <w:sz w:val="24"/>
              </w:rPr>
            </w:pPr>
            <w:r w:rsidRPr="006540FD">
              <w:rPr>
                <w:rFonts w:asciiTheme="minorEastAsia" w:eastAsiaTheme="minorEastAsia" w:hAnsiTheme="minorEastAsia"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4F75CB" w:rsidRPr="006540FD" w:rsidRDefault="004F75CB" w:rsidP="00DA526C">
            <w:pPr>
              <w:spacing w:line="276" w:lineRule="auto"/>
              <w:jc w:val="center"/>
              <w:rPr>
                <w:rFonts w:asciiTheme="minorEastAsia" w:eastAsiaTheme="minorEastAsia" w:hAnsiTheme="minorEastAsia"/>
                <w:sz w:val="24"/>
              </w:rPr>
            </w:pPr>
            <w:r w:rsidRPr="006540FD">
              <w:rPr>
                <w:rFonts w:asciiTheme="minorEastAsia" w:eastAsiaTheme="minorEastAsia" w:hAnsiTheme="minorEastAsia"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4F75CB" w:rsidRPr="006540FD" w:rsidRDefault="004F75CB" w:rsidP="00DA526C">
            <w:pPr>
              <w:spacing w:line="276" w:lineRule="auto"/>
              <w:jc w:val="center"/>
              <w:rPr>
                <w:rFonts w:asciiTheme="minorEastAsia" w:eastAsiaTheme="minorEastAsia" w:hAnsiTheme="minorEastAsia"/>
                <w:sz w:val="24"/>
              </w:rPr>
            </w:pPr>
            <w:r w:rsidRPr="006540FD">
              <w:rPr>
                <w:rFonts w:asciiTheme="minorEastAsia" w:eastAsiaTheme="minorEastAsia" w:hAnsiTheme="minorEastAsia"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4F75CB" w:rsidRPr="006540FD" w:rsidRDefault="004F75CB" w:rsidP="00DA526C">
            <w:pPr>
              <w:spacing w:line="276" w:lineRule="auto"/>
              <w:jc w:val="center"/>
              <w:rPr>
                <w:rFonts w:asciiTheme="minorEastAsia" w:eastAsiaTheme="minorEastAsia" w:hAnsiTheme="minorEastAsia"/>
                <w:sz w:val="24"/>
              </w:rPr>
            </w:pPr>
            <w:r w:rsidRPr="006540FD">
              <w:rPr>
                <w:rFonts w:asciiTheme="minorEastAsia" w:eastAsiaTheme="minorEastAsia" w:hAnsiTheme="minorEastAsia" w:hint="eastAsia"/>
                <w:sz w:val="24"/>
              </w:rPr>
              <w:t>占总份额比例</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1</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其他机构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1,358,226,080.00</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56.76%</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2</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其他机构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204,484,887.90</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8.55%</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3</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银行类机构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200,400,442.70</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8.38%</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4</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银行类机构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100,529,300.90</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4.20%</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5</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其他机构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100,212,386.40</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4.19%</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6</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其他机构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100,000,000.00</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4.18%</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7</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其他机构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59,008,097.65</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2.47%</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8</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其他机构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50,013,857.35</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2.09%</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9</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保险类机构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50,000,000.00</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2.09%</w:t>
            </w:r>
          </w:p>
        </w:tc>
      </w:tr>
      <w:tr w:rsidR="004F75CB" w:rsidTr="00DA526C">
        <w:tc>
          <w:tcPr>
            <w:tcW w:w="0" w:type="auto"/>
            <w:vAlign w:val="center"/>
          </w:tcPr>
          <w:p w:rsidR="004F75CB" w:rsidRPr="006540FD" w:rsidRDefault="004F75CB" w:rsidP="00DA526C">
            <w:pPr>
              <w:jc w:val="center"/>
              <w:rPr>
                <w:sz w:val="24"/>
              </w:rPr>
            </w:pPr>
            <w:r w:rsidRPr="006540FD">
              <w:rPr>
                <w:rFonts w:eastAsiaTheme="minorEastAsia"/>
                <w:color w:val="000000" w:themeColor="text1"/>
                <w:sz w:val="24"/>
              </w:rPr>
              <w:t>10</w:t>
            </w:r>
          </w:p>
        </w:tc>
        <w:tc>
          <w:tcPr>
            <w:tcW w:w="0" w:type="auto"/>
            <w:vAlign w:val="center"/>
          </w:tcPr>
          <w:p w:rsidR="004F75CB" w:rsidRPr="006540FD" w:rsidRDefault="004F75CB" w:rsidP="00DA526C">
            <w:pPr>
              <w:jc w:val="center"/>
              <w:rPr>
                <w:sz w:val="24"/>
              </w:rPr>
            </w:pPr>
            <w:r w:rsidRPr="006540FD">
              <w:rPr>
                <w:rFonts w:eastAsiaTheme="minorEastAsia" w:hint="eastAsia"/>
                <w:color w:val="000000" w:themeColor="text1"/>
                <w:sz w:val="24"/>
              </w:rPr>
              <w:t>其他机构</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40,005,489.93</w:t>
            </w:r>
          </w:p>
        </w:tc>
        <w:tc>
          <w:tcPr>
            <w:tcW w:w="0" w:type="auto"/>
            <w:vAlign w:val="center"/>
          </w:tcPr>
          <w:p w:rsidR="004F75CB" w:rsidRPr="006540FD" w:rsidRDefault="004F75CB" w:rsidP="00DA526C">
            <w:pPr>
              <w:jc w:val="right"/>
              <w:rPr>
                <w:sz w:val="24"/>
              </w:rPr>
            </w:pPr>
            <w:r w:rsidRPr="006540FD">
              <w:rPr>
                <w:rFonts w:eastAsiaTheme="minorEastAsia"/>
                <w:color w:val="000000" w:themeColor="text1"/>
                <w:sz w:val="24"/>
              </w:rPr>
              <w:t>1.67%</w:t>
            </w:r>
          </w:p>
        </w:tc>
      </w:tr>
    </w:tbl>
    <w:p w:rsidR="004F75CB" w:rsidRDefault="004F75CB" w:rsidP="004F75CB">
      <w:pPr>
        <w:autoSpaceDE w:val="0"/>
        <w:autoSpaceDN w:val="0"/>
        <w:adjustRightInd w:val="0"/>
        <w:spacing w:before="29" w:line="288" w:lineRule="auto"/>
        <w:rPr>
          <w:sz w:val="24"/>
        </w:rPr>
      </w:pPr>
    </w:p>
    <w:p w:rsidR="004F75CB" w:rsidRPr="00A50B87" w:rsidRDefault="004F75CB" w:rsidP="004F75CB">
      <w:pPr>
        <w:pStyle w:val="20"/>
        <w:spacing w:before="29" w:after="0" w:line="288" w:lineRule="auto"/>
        <w:rPr>
          <w:rFonts w:ascii="Times New Roman" w:hAnsi="Times New Roman" w:cs="Times New Roman"/>
          <w:kern w:val="0"/>
          <w:szCs w:val="24"/>
        </w:rPr>
      </w:pPr>
      <w:bookmarkStart w:id="31" w:name="_Toc331410113"/>
      <w:bookmarkStart w:id="32" w:name="_Toc478463060"/>
      <w:bookmarkStart w:id="33" w:name="_Toc509688279"/>
      <w:r w:rsidRPr="00A50B87">
        <w:rPr>
          <w:rFonts w:ascii="Times New Roman" w:hAnsi="Times New Roman" w:cs="Times New Roman" w:hint="eastAsia"/>
          <w:kern w:val="0"/>
          <w:szCs w:val="24"/>
        </w:rPr>
        <w:lastRenderedPageBreak/>
        <w:t>9.</w:t>
      </w:r>
      <w:r>
        <w:rPr>
          <w:rFonts w:ascii="Times New Roman" w:hAnsi="Times New Roman" w:cs="Times New Roman"/>
          <w:kern w:val="0"/>
          <w:szCs w:val="24"/>
        </w:rPr>
        <w:t>3</w:t>
      </w:r>
      <w:r w:rsidRPr="00A50B87">
        <w:rPr>
          <w:rFonts w:ascii="Times New Roman" w:hAnsi="Times New Roman" w:cs="Times New Roman" w:hint="eastAsia"/>
          <w:kern w:val="0"/>
          <w:szCs w:val="24"/>
        </w:rPr>
        <w:t>期末基金管理人的从业人员持有本基金的情况</w:t>
      </w:r>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4F75CB" w:rsidRPr="00A50B87" w:rsidTr="00DA526C">
        <w:trPr>
          <w:trHeight w:val="285"/>
        </w:trPr>
        <w:tc>
          <w:tcPr>
            <w:tcW w:w="2268" w:type="dxa"/>
            <w:noWrap/>
            <w:vAlign w:val="center"/>
          </w:tcPr>
          <w:p w:rsidR="004F75CB" w:rsidRPr="00A50B87" w:rsidRDefault="004F75CB" w:rsidP="00DA526C">
            <w:pPr>
              <w:widowControl/>
              <w:autoSpaceDE w:val="0"/>
              <w:autoSpaceDN w:val="0"/>
              <w:spacing w:before="29" w:line="288" w:lineRule="auto"/>
              <w:ind w:right="-15"/>
              <w:jc w:val="center"/>
              <w:textAlignment w:val="bottom"/>
              <w:rPr>
                <w:sz w:val="24"/>
              </w:rPr>
            </w:pPr>
            <w:r w:rsidRPr="00A50B87">
              <w:rPr>
                <w:rFonts w:hint="eastAsia"/>
                <w:sz w:val="24"/>
              </w:rPr>
              <w:t>项目</w:t>
            </w:r>
          </w:p>
        </w:tc>
        <w:tc>
          <w:tcPr>
            <w:tcW w:w="2694" w:type="dxa"/>
            <w:vAlign w:val="center"/>
          </w:tcPr>
          <w:p w:rsidR="004F75CB" w:rsidRPr="00A50B87" w:rsidRDefault="004F75CB" w:rsidP="00DA526C">
            <w:pPr>
              <w:widowControl/>
              <w:autoSpaceDE w:val="0"/>
              <w:autoSpaceDN w:val="0"/>
              <w:spacing w:before="29" w:line="288" w:lineRule="auto"/>
              <w:ind w:right="-15"/>
              <w:jc w:val="center"/>
              <w:textAlignment w:val="bottom"/>
              <w:rPr>
                <w:sz w:val="24"/>
              </w:rPr>
            </w:pPr>
            <w:r w:rsidRPr="00A50B87">
              <w:rPr>
                <w:rFonts w:hint="eastAsia"/>
                <w:sz w:val="24"/>
              </w:rPr>
              <w:t>份额级别</w:t>
            </w:r>
          </w:p>
        </w:tc>
        <w:tc>
          <w:tcPr>
            <w:tcW w:w="2126" w:type="dxa"/>
            <w:noWrap/>
            <w:vAlign w:val="center"/>
          </w:tcPr>
          <w:p w:rsidR="004F75CB" w:rsidRPr="00A50B87" w:rsidRDefault="004F75CB" w:rsidP="00DA526C">
            <w:pPr>
              <w:widowControl/>
              <w:autoSpaceDE w:val="0"/>
              <w:autoSpaceDN w:val="0"/>
              <w:spacing w:before="29" w:line="288" w:lineRule="auto"/>
              <w:ind w:right="-15"/>
              <w:jc w:val="center"/>
              <w:textAlignment w:val="bottom"/>
              <w:rPr>
                <w:sz w:val="24"/>
              </w:rPr>
            </w:pPr>
            <w:r w:rsidRPr="00A50B87">
              <w:rPr>
                <w:rFonts w:hint="eastAsia"/>
                <w:sz w:val="24"/>
              </w:rPr>
              <w:t>持有份额总数（份）</w:t>
            </w:r>
          </w:p>
        </w:tc>
        <w:tc>
          <w:tcPr>
            <w:tcW w:w="1910" w:type="dxa"/>
            <w:noWrap/>
            <w:vAlign w:val="center"/>
          </w:tcPr>
          <w:p w:rsidR="004F75CB" w:rsidRPr="00A50B87" w:rsidRDefault="004F75CB" w:rsidP="00DA526C">
            <w:pPr>
              <w:widowControl/>
              <w:autoSpaceDE w:val="0"/>
              <w:autoSpaceDN w:val="0"/>
              <w:spacing w:before="29" w:line="288" w:lineRule="auto"/>
              <w:ind w:right="-15"/>
              <w:jc w:val="center"/>
              <w:textAlignment w:val="bottom"/>
              <w:rPr>
                <w:sz w:val="24"/>
              </w:rPr>
            </w:pPr>
            <w:r w:rsidRPr="00A50B87">
              <w:rPr>
                <w:rFonts w:hint="eastAsia"/>
                <w:sz w:val="24"/>
              </w:rPr>
              <w:t>占基金总份额比例</w:t>
            </w:r>
          </w:p>
        </w:tc>
      </w:tr>
      <w:tr w:rsidR="004F75CB" w:rsidRPr="00A50B87" w:rsidTr="00DA526C">
        <w:trPr>
          <w:trHeight w:val="285"/>
        </w:trPr>
        <w:tc>
          <w:tcPr>
            <w:tcW w:w="2268" w:type="dxa"/>
            <w:vMerge w:val="restart"/>
            <w:noWrap/>
            <w:vAlign w:val="center"/>
          </w:tcPr>
          <w:p w:rsidR="004F75CB" w:rsidRPr="00A50B87" w:rsidRDefault="004F75CB" w:rsidP="00DA526C">
            <w:pPr>
              <w:spacing w:before="29" w:line="288" w:lineRule="auto"/>
              <w:jc w:val="left"/>
              <w:rPr>
                <w:rFonts w:asciiTheme="minorEastAsia" w:eastAsiaTheme="minorEastAsia" w:hAnsiTheme="minorEastAsia"/>
                <w:szCs w:val="21"/>
              </w:rPr>
            </w:pPr>
            <w:r w:rsidRPr="00A50B87">
              <w:rPr>
                <w:rFonts w:hint="eastAsia"/>
                <w:sz w:val="24"/>
              </w:rPr>
              <w:t>基金管理人所有从业人员持有本基金</w:t>
            </w:r>
          </w:p>
        </w:tc>
        <w:tc>
          <w:tcPr>
            <w:tcW w:w="2694" w:type="dxa"/>
            <w:vAlign w:val="center"/>
          </w:tcPr>
          <w:p w:rsidR="004F75CB" w:rsidRPr="00A50B87" w:rsidRDefault="004F75CB" w:rsidP="00DA526C">
            <w:pPr>
              <w:spacing w:before="29" w:line="288" w:lineRule="auto"/>
              <w:rPr>
                <w:sz w:val="24"/>
              </w:rPr>
            </w:pPr>
            <w:r w:rsidRPr="00A50B87">
              <w:rPr>
                <w:rFonts w:hint="eastAsia"/>
                <w:sz w:val="24"/>
              </w:rPr>
              <w:t>交银天利宝货币</w:t>
            </w:r>
            <w:r w:rsidRPr="00A50B87">
              <w:rPr>
                <w:rFonts w:hint="eastAsia"/>
                <w:sz w:val="24"/>
              </w:rPr>
              <w:t>A</w:t>
            </w:r>
          </w:p>
        </w:tc>
        <w:tc>
          <w:tcPr>
            <w:tcW w:w="2126" w:type="dxa"/>
            <w:noWrap/>
            <w:vAlign w:val="center"/>
          </w:tcPr>
          <w:p w:rsidR="004F75CB" w:rsidRPr="00A50B87" w:rsidRDefault="004F75CB" w:rsidP="00DA526C">
            <w:pPr>
              <w:widowControl/>
              <w:spacing w:before="29" w:line="288" w:lineRule="auto"/>
              <w:jc w:val="right"/>
              <w:rPr>
                <w:sz w:val="24"/>
              </w:rPr>
            </w:pPr>
            <w:r w:rsidRPr="00A50B87">
              <w:rPr>
                <w:rFonts w:hint="eastAsia"/>
                <w:sz w:val="24"/>
              </w:rPr>
              <w:t>-</w:t>
            </w:r>
          </w:p>
        </w:tc>
        <w:tc>
          <w:tcPr>
            <w:tcW w:w="1910" w:type="dxa"/>
            <w:noWrap/>
            <w:vAlign w:val="center"/>
          </w:tcPr>
          <w:p w:rsidR="004F75CB" w:rsidRPr="00A50B87" w:rsidRDefault="004F75CB" w:rsidP="00DA526C">
            <w:pPr>
              <w:widowControl/>
              <w:spacing w:before="29" w:line="288" w:lineRule="auto"/>
              <w:jc w:val="right"/>
              <w:rPr>
                <w:sz w:val="24"/>
              </w:rPr>
            </w:pPr>
            <w:r w:rsidRPr="00A50B87">
              <w:rPr>
                <w:rFonts w:hint="eastAsia"/>
                <w:sz w:val="24"/>
              </w:rPr>
              <w:t>-</w:t>
            </w:r>
          </w:p>
        </w:tc>
      </w:tr>
      <w:tr w:rsidR="004F75CB" w:rsidRPr="00A50B87" w:rsidTr="00DA526C">
        <w:trPr>
          <w:trHeight w:val="285"/>
        </w:trPr>
        <w:tc>
          <w:tcPr>
            <w:tcW w:w="2268" w:type="dxa"/>
            <w:vMerge/>
            <w:vAlign w:val="center"/>
          </w:tcPr>
          <w:p w:rsidR="004F75CB" w:rsidRPr="00A50B87" w:rsidRDefault="004F75CB" w:rsidP="00DA526C">
            <w:pPr>
              <w:widowControl/>
              <w:spacing w:line="360" w:lineRule="auto"/>
              <w:jc w:val="left"/>
              <w:rPr>
                <w:rFonts w:asciiTheme="minorEastAsia" w:eastAsiaTheme="minorEastAsia" w:hAnsiTheme="minorEastAsia"/>
                <w:szCs w:val="21"/>
              </w:rPr>
            </w:pPr>
          </w:p>
        </w:tc>
        <w:tc>
          <w:tcPr>
            <w:tcW w:w="2694" w:type="dxa"/>
            <w:vAlign w:val="center"/>
          </w:tcPr>
          <w:p w:rsidR="004F75CB" w:rsidRPr="00A50B87" w:rsidRDefault="004F75CB" w:rsidP="00DA526C">
            <w:pPr>
              <w:spacing w:before="29" w:line="288" w:lineRule="auto"/>
              <w:rPr>
                <w:kern w:val="0"/>
                <w:sz w:val="24"/>
              </w:rPr>
            </w:pPr>
            <w:r w:rsidRPr="00A50B87">
              <w:rPr>
                <w:rFonts w:hint="eastAsia"/>
                <w:sz w:val="24"/>
              </w:rPr>
              <w:t>交银天利宝货币</w:t>
            </w:r>
            <w:r w:rsidRPr="00A50B87">
              <w:rPr>
                <w:rFonts w:hint="eastAsia"/>
                <w:sz w:val="24"/>
              </w:rPr>
              <w:t>E</w:t>
            </w:r>
          </w:p>
        </w:tc>
        <w:tc>
          <w:tcPr>
            <w:tcW w:w="2126" w:type="dxa"/>
            <w:noWrap/>
            <w:vAlign w:val="center"/>
          </w:tcPr>
          <w:p w:rsidR="004F75CB" w:rsidRPr="00A50B87" w:rsidRDefault="004F75CB" w:rsidP="00DA526C">
            <w:pPr>
              <w:widowControl/>
              <w:spacing w:before="29" w:line="288" w:lineRule="auto"/>
              <w:jc w:val="right"/>
              <w:rPr>
                <w:kern w:val="0"/>
                <w:sz w:val="24"/>
              </w:rPr>
            </w:pPr>
            <w:r w:rsidRPr="00A50B87">
              <w:rPr>
                <w:rFonts w:hint="eastAsia"/>
                <w:sz w:val="24"/>
              </w:rPr>
              <w:t>-</w:t>
            </w:r>
          </w:p>
        </w:tc>
        <w:tc>
          <w:tcPr>
            <w:tcW w:w="1910" w:type="dxa"/>
            <w:noWrap/>
            <w:vAlign w:val="center"/>
          </w:tcPr>
          <w:p w:rsidR="004F75CB" w:rsidRPr="00A50B87" w:rsidRDefault="004F75CB" w:rsidP="00DA526C">
            <w:pPr>
              <w:widowControl/>
              <w:spacing w:before="29" w:line="288" w:lineRule="auto"/>
              <w:jc w:val="right"/>
              <w:rPr>
                <w:kern w:val="0"/>
                <w:sz w:val="24"/>
              </w:rPr>
            </w:pPr>
            <w:r w:rsidRPr="00A50B87">
              <w:rPr>
                <w:rFonts w:hint="eastAsia"/>
                <w:sz w:val="24"/>
              </w:rPr>
              <w:t>-</w:t>
            </w:r>
          </w:p>
        </w:tc>
      </w:tr>
      <w:tr w:rsidR="004F75CB" w:rsidRPr="00A50B87" w:rsidTr="00DA526C">
        <w:trPr>
          <w:trHeight w:val="285"/>
        </w:trPr>
        <w:tc>
          <w:tcPr>
            <w:tcW w:w="2268" w:type="dxa"/>
            <w:vMerge/>
            <w:vAlign w:val="center"/>
          </w:tcPr>
          <w:p w:rsidR="004F75CB" w:rsidRPr="00A50B87" w:rsidRDefault="004F75CB" w:rsidP="00DA526C">
            <w:pPr>
              <w:widowControl/>
              <w:spacing w:line="360" w:lineRule="auto"/>
              <w:jc w:val="left"/>
              <w:rPr>
                <w:rFonts w:asciiTheme="minorEastAsia" w:eastAsiaTheme="minorEastAsia" w:hAnsiTheme="minorEastAsia"/>
                <w:szCs w:val="21"/>
              </w:rPr>
            </w:pPr>
          </w:p>
        </w:tc>
        <w:tc>
          <w:tcPr>
            <w:tcW w:w="2694" w:type="dxa"/>
            <w:vAlign w:val="center"/>
          </w:tcPr>
          <w:p w:rsidR="004F75CB" w:rsidRPr="00A50B87" w:rsidRDefault="004F75CB" w:rsidP="00DA526C">
            <w:pPr>
              <w:spacing w:before="29" w:line="288" w:lineRule="auto"/>
              <w:jc w:val="center"/>
              <w:rPr>
                <w:kern w:val="0"/>
                <w:sz w:val="24"/>
              </w:rPr>
            </w:pPr>
            <w:r w:rsidRPr="00A50B87">
              <w:rPr>
                <w:rFonts w:hint="eastAsia"/>
                <w:sz w:val="24"/>
              </w:rPr>
              <w:t>合计</w:t>
            </w:r>
          </w:p>
        </w:tc>
        <w:tc>
          <w:tcPr>
            <w:tcW w:w="2126" w:type="dxa"/>
            <w:noWrap/>
            <w:vAlign w:val="center"/>
          </w:tcPr>
          <w:p w:rsidR="004F75CB" w:rsidRPr="00A50B87" w:rsidRDefault="004F75CB" w:rsidP="00DA526C">
            <w:pPr>
              <w:spacing w:before="29" w:line="288" w:lineRule="auto"/>
              <w:jc w:val="right"/>
              <w:rPr>
                <w:kern w:val="0"/>
                <w:sz w:val="24"/>
              </w:rPr>
            </w:pPr>
            <w:r w:rsidRPr="00A50B87">
              <w:rPr>
                <w:rFonts w:hint="eastAsia"/>
                <w:sz w:val="24"/>
              </w:rPr>
              <w:t>-</w:t>
            </w:r>
          </w:p>
        </w:tc>
        <w:tc>
          <w:tcPr>
            <w:tcW w:w="1910" w:type="dxa"/>
            <w:noWrap/>
            <w:vAlign w:val="center"/>
          </w:tcPr>
          <w:p w:rsidR="004F75CB" w:rsidRPr="00A50B87" w:rsidRDefault="004F75CB" w:rsidP="00DA526C">
            <w:pPr>
              <w:spacing w:before="29" w:line="288" w:lineRule="auto"/>
              <w:jc w:val="right"/>
              <w:rPr>
                <w:kern w:val="0"/>
                <w:sz w:val="24"/>
              </w:rPr>
            </w:pPr>
            <w:r w:rsidRPr="00A50B87">
              <w:rPr>
                <w:sz w:val="24"/>
              </w:rPr>
              <w:t>-</w:t>
            </w:r>
          </w:p>
        </w:tc>
      </w:tr>
    </w:tbl>
    <w:p w:rsidR="004F75CB" w:rsidRDefault="004F75CB" w:rsidP="004F75CB">
      <w:pPr>
        <w:autoSpaceDE w:val="0"/>
        <w:autoSpaceDN w:val="0"/>
        <w:adjustRightInd w:val="0"/>
        <w:spacing w:before="29" w:line="288" w:lineRule="auto"/>
        <w:rPr>
          <w:sz w:val="24"/>
        </w:rPr>
      </w:pPr>
    </w:p>
    <w:p w:rsidR="004F75CB" w:rsidRPr="001A68B1" w:rsidRDefault="004F75CB" w:rsidP="004F75CB">
      <w:pPr>
        <w:pStyle w:val="20"/>
        <w:spacing w:before="29" w:after="0" w:line="288" w:lineRule="auto"/>
        <w:rPr>
          <w:rFonts w:ascii="Times New Roman" w:hAnsi="Times New Roman" w:cs="Times New Roman"/>
          <w:kern w:val="0"/>
          <w:szCs w:val="24"/>
        </w:rPr>
      </w:pPr>
      <w:bookmarkStart w:id="34" w:name="_Toc509688280"/>
      <w:r w:rsidRPr="001A68B1">
        <w:rPr>
          <w:rFonts w:ascii="Times New Roman" w:hAnsi="Times New Roman" w:cs="Times New Roman"/>
          <w:kern w:val="0"/>
          <w:szCs w:val="24"/>
        </w:rPr>
        <w:t>9.</w:t>
      </w:r>
      <w:r>
        <w:rPr>
          <w:rFonts w:ascii="Times New Roman" w:hAnsi="Times New Roman" w:cs="Times New Roman"/>
          <w:kern w:val="0"/>
          <w:szCs w:val="24"/>
        </w:rPr>
        <w:t>4</w:t>
      </w:r>
      <w:r w:rsidRPr="001A68B1">
        <w:rPr>
          <w:rFonts w:ascii="Times New Roman" w:hAnsi="Times New Roman" w:cs="Times New Roman" w:hint="eastAsia"/>
          <w:kern w:val="0"/>
          <w:szCs w:val="24"/>
        </w:rPr>
        <w:t>期末基金管理人的从业人员持有本开放式基金份额总量区间的情况</w:t>
      </w:r>
      <w:bookmarkEnd w:id="34"/>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4F75CB" w:rsidRPr="00CF4F4B" w:rsidTr="00DA526C">
        <w:trPr>
          <w:trHeight w:val="285"/>
        </w:trPr>
        <w:tc>
          <w:tcPr>
            <w:tcW w:w="2416" w:type="dxa"/>
            <w:shd w:val="clear" w:color="auto" w:fill="auto"/>
            <w:tcMar>
              <w:top w:w="0" w:type="dxa"/>
              <w:left w:w="108" w:type="dxa"/>
              <w:bottom w:w="0" w:type="dxa"/>
              <w:right w:w="108" w:type="dxa"/>
            </w:tcMar>
            <w:vAlign w:val="center"/>
            <w:hideMark/>
          </w:tcPr>
          <w:p w:rsidR="004F75CB" w:rsidRPr="00F345FC" w:rsidRDefault="004F75CB" w:rsidP="00DA526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4F75CB" w:rsidRPr="00F345FC" w:rsidRDefault="004F75CB" w:rsidP="00DA526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4F75CB" w:rsidRPr="00F345FC" w:rsidRDefault="004F75CB" w:rsidP="00DA526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4F75CB" w:rsidRPr="00CF4F4B" w:rsidTr="00DA526C">
        <w:trPr>
          <w:trHeight w:val="285"/>
        </w:trPr>
        <w:tc>
          <w:tcPr>
            <w:tcW w:w="2416" w:type="dxa"/>
            <w:vMerge w:val="restart"/>
            <w:shd w:val="clear" w:color="auto" w:fill="auto"/>
            <w:tcMar>
              <w:top w:w="0" w:type="dxa"/>
              <w:left w:w="108" w:type="dxa"/>
              <w:bottom w:w="0" w:type="dxa"/>
              <w:right w:w="108" w:type="dxa"/>
            </w:tcMar>
            <w:vAlign w:val="center"/>
            <w:hideMark/>
          </w:tcPr>
          <w:p w:rsidR="004F75CB" w:rsidRPr="008F4760" w:rsidRDefault="004F75CB" w:rsidP="00DA526C">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right"/>
              <w:rPr>
                <w:sz w:val="24"/>
              </w:rPr>
            </w:pPr>
            <w:r w:rsidRPr="00AE16A0">
              <w:rPr>
                <w:sz w:val="24"/>
              </w:rPr>
              <w:t>0</w:t>
            </w:r>
          </w:p>
        </w:tc>
      </w:tr>
      <w:tr w:rsidR="004F75CB" w:rsidRPr="00CF4F4B" w:rsidTr="00DA526C">
        <w:trPr>
          <w:trHeight w:val="285"/>
        </w:trPr>
        <w:tc>
          <w:tcPr>
            <w:tcW w:w="2416" w:type="dxa"/>
            <w:vMerge/>
            <w:shd w:val="clear" w:color="auto" w:fill="auto"/>
            <w:vAlign w:val="center"/>
            <w:hideMark/>
          </w:tcPr>
          <w:p w:rsidR="004F75CB" w:rsidRPr="008F4760" w:rsidRDefault="004F75CB" w:rsidP="00DA526C">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right"/>
              <w:rPr>
                <w:sz w:val="24"/>
              </w:rPr>
            </w:pPr>
            <w:r w:rsidRPr="00AE16A0">
              <w:rPr>
                <w:sz w:val="24"/>
              </w:rPr>
              <w:t>0</w:t>
            </w:r>
          </w:p>
        </w:tc>
      </w:tr>
      <w:tr w:rsidR="004F75CB" w:rsidRPr="00CF4F4B" w:rsidTr="00DA526C">
        <w:trPr>
          <w:trHeight w:val="285"/>
        </w:trPr>
        <w:tc>
          <w:tcPr>
            <w:tcW w:w="2416" w:type="dxa"/>
            <w:vMerge/>
            <w:shd w:val="clear" w:color="auto" w:fill="auto"/>
            <w:vAlign w:val="center"/>
            <w:hideMark/>
          </w:tcPr>
          <w:p w:rsidR="004F75CB" w:rsidRPr="008F4760" w:rsidRDefault="004F75CB" w:rsidP="00DA526C">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right"/>
              <w:rPr>
                <w:sz w:val="24"/>
              </w:rPr>
            </w:pPr>
            <w:r w:rsidRPr="00AE16A0">
              <w:rPr>
                <w:sz w:val="24"/>
              </w:rPr>
              <w:t>0</w:t>
            </w:r>
          </w:p>
        </w:tc>
      </w:tr>
      <w:tr w:rsidR="004F75CB" w:rsidRPr="00CF4F4B" w:rsidTr="00DA526C">
        <w:trPr>
          <w:trHeight w:val="285"/>
        </w:trPr>
        <w:tc>
          <w:tcPr>
            <w:tcW w:w="2416" w:type="dxa"/>
            <w:vMerge w:val="restart"/>
            <w:shd w:val="clear" w:color="auto" w:fill="auto"/>
            <w:tcMar>
              <w:top w:w="0" w:type="dxa"/>
              <w:left w:w="108" w:type="dxa"/>
              <w:bottom w:w="0" w:type="dxa"/>
              <w:right w:w="108" w:type="dxa"/>
            </w:tcMar>
            <w:vAlign w:val="center"/>
            <w:hideMark/>
          </w:tcPr>
          <w:p w:rsidR="004F75CB" w:rsidRPr="008F4760" w:rsidRDefault="004F75CB" w:rsidP="00DA526C">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right"/>
              <w:rPr>
                <w:sz w:val="24"/>
              </w:rPr>
            </w:pPr>
            <w:r w:rsidRPr="00AE16A0">
              <w:rPr>
                <w:sz w:val="24"/>
              </w:rPr>
              <w:t>0</w:t>
            </w:r>
          </w:p>
        </w:tc>
      </w:tr>
      <w:tr w:rsidR="004F75CB" w:rsidRPr="00CF4F4B" w:rsidTr="00DA526C">
        <w:trPr>
          <w:trHeight w:val="525"/>
        </w:trPr>
        <w:tc>
          <w:tcPr>
            <w:tcW w:w="2416" w:type="dxa"/>
            <w:vMerge/>
            <w:shd w:val="clear" w:color="auto" w:fill="auto"/>
            <w:vAlign w:val="center"/>
            <w:hideMark/>
          </w:tcPr>
          <w:p w:rsidR="004F75CB" w:rsidRPr="00CF4F4B" w:rsidRDefault="004F75CB" w:rsidP="00DA526C">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right"/>
              <w:rPr>
                <w:sz w:val="24"/>
              </w:rPr>
            </w:pPr>
            <w:r w:rsidRPr="00AE16A0">
              <w:rPr>
                <w:sz w:val="24"/>
              </w:rPr>
              <w:t>0</w:t>
            </w:r>
          </w:p>
        </w:tc>
      </w:tr>
      <w:tr w:rsidR="004F75CB" w:rsidRPr="00CF4F4B" w:rsidTr="00DA526C">
        <w:trPr>
          <w:trHeight w:val="653"/>
        </w:trPr>
        <w:tc>
          <w:tcPr>
            <w:tcW w:w="2416" w:type="dxa"/>
            <w:vMerge/>
            <w:shd w:val="clear" w:color="auto" w:fill="auto"/>
            <w:vAlign w:val="center"/>
            <w:hideMark/>
          </w:tcPr>
          <w:p w:rsidR="004F75CB" w:rsidRPr="00CF4F4B" w:rsidRDefault="004F75CB" w:rsidP="00DA526C">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4F75CB" w:rsidRPr="00AE16A0" w:rsidRDefault="004F75CB" w:rsidP="00DA526C">
            <w:pPr>
              <w:spacing w:before="29" w:line="288" w:lineRule="auto"/>
              <w:jc w:val="right"/>
              <w:rPr>
                <w:sz w:val="24"/>
              </w:rPr>
            </w:pPr>
            <w:r w:rsidRPr="00AE16A0">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5" w:name="_Toc331410115"/>
      <w:bookmarkStart w:id="36"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5"/>
      <w:bookmarkEnd w:id="36"/>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交银天利宝货币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交银天利宝货币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10</w:t>
            </w:r>
            <w:r w:rsidRPr="0031518D">
              <w:rPr>
                <w:rFonts w:hint="eastAsia"/>
                <w:sz w:val="24"/>
              </w:rPr>
              <w:t>月</w:t>
            </w:r>
            <w:r w:rsidRPr="0031518D">
              <w:rPr>
                <w:rFonts w:hint="eastAsia"/>
                <w:sz w:val="24"/>
              </w:rPr>
              <w:t>19</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500,090,000.00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2,542,790.45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503,013,014.58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384,633,496.99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2,417,390,568.02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257,889,138.75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656,919,494.36</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129,287,148.69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2,263,484,088.24</w:t>
            </w:r>
          </w:p>
        </w:tc>
      </w:tr>
    </w:tbl>
    <w:p w:rsidR="00454223" w:rsidRDefault="004F75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454223" w:rsidRDefault="004F75CB">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7" w:name="_Toc331410116"/>
      <w:bookmarkStart w:id="38" w:name="_Toc225500054"/>
      <w:r w:rsidRPr="0081565E">
        <w:rPr>
          <w:rFonts w:hint="eastAsia"/>
          <w:b/>
          <w:bCs/>
          <w:szCs w:val="24"/>
          <w:lang w:val="en-US"/>
        </w:rPr>
        <w:lastRenderedPageBreak/>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7"/>
      <w:bookmarkEnd w:id="38"/>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9"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9"/>
    </w:p>
    <w:p w:rsidR="006D141C" w:rsidRDefault="006D141C" w:rsidP="0081565E">
      <w:pPr>
        <w:spacing w:before="29" w:line="288" w:lineRule="auto"/>
        <w:ind w:firstLineChars="200" w:firstLine="480"/>
        <w:rPr>
          <w:color w:val="000000"/>
          <w:sz w:val="24"/>
        </w:rPr>
      </w:pPr>
      <w:bookmarkStart w:id="40" w:name="_Toc331410118"/>
      <w:r w:rsidRPr="0081565E">
        <w:rPr>
          <w:rFonts w:hint="eastAsia"/>
          <w:color w:val="000000"/>
          <w:sz w:val="24"/>
        </w:rPr>
        <w:t>本基金管理人于</w:t>
      </w:r>
      <w:r w:rsidRPr="0081565E">
        <w:rPr>
          <w:rFonts w:hint="eastAsia"/>
          <w:color w:val="000000"/>
          <w:sz w:val="24"/>
        </w:rPr>
        <w:t>2017</w:t>
      </w:r>
      <w:r w:rsidRPr="0081565E">
        <w:rPr>
          <w:rFonts w:hint="eastAsia"/>
          <w:color w:val="000000"/>
          <w:sz w:val="24"/>
        </w:rPr>
        <w:t>年</w:t>
      </w:r>
      <w:r w:rsidRPr="0081565E">
        <w:rPr>
          <w:rFonts w:hint="eastAsia"/>
          <w:color w:val="000000"/>
          <w:sz w:val="24"/>
        </w:rPr>
        <w:t>12</w:t>
      </w:r>
      <w:r w:rsidRPr="0081565E">
        <w:rPr>
          <w:rFonts w:hint="eastAsia"/>
          <w:color w:val="000000"/>
          <w:sz w:val="24"/>
        </w:rPr>
        <w:t>月</w:t>
      </w:r>
      <w:r w:rsidRPr="0081565E">
        <w:rPr>
          <w:rFonts w:hint="eastAsia"/>
          <w:color w:val="000000"/>
          <w:sz w:val="24"/>
        </w:rPr>
        <w:t>2</w:t>
      </w:r>
      <w:r w:rsidRPr="0081565E">
        <w:rPr>
          <w:rFonts w:hint="eastAsia"/>
          <w:color w:val="000000"/>
          <w:sz w:val="24"/>
        </w:rPr>
        <w:t>日起至</w:t>
      </w:r>
      <w:r w:rsidRPr="0081565E">
        <w:rPr>
          <w:rFonts w:hint="eastAsia"/>
          <w:color w:val="000000"/>
          <w:sz w:val="24"/>
        </w:rPr>
        <w:t>2017</w:t>
      </w:r>
      <w:r w:rsidRPr="0081565E">
        <w:rPr>
          <w:rFonts w:hint="eastAsia"/>
          <w:color w:val="000000"/>
          <w:sz w:val="24"/>
        </w:rPr>
        <w:t>年</w:t>
      </w:r>
      <w:r w:rsidRPr="0081565E">
        <w:rPr>
          <w:rFonts w:hint="eastAsia"/>
          <w:color w:val="000000"/>
          <w:sz w:val="24"/>
        </w:rPr>
        <w:t>12</w:t>
      </w:r>
      <w:r w:rsidRPr="0081565E">
        <w:rPr>
          <w:rFonts w:hint="eastAsia"/>
          <w:color w:val="000000"/>
          <w:sz w:val="24"/>
        </w:rPr>
        <w:t>月</w:t>
      </w:r>
      <w:r w:rsidRPr="0081565E">
        <w:rPr>
          <w:rFonts w:hint="eastAsia"/>
          <w:color w:val="000000"/>
          <w:sz w:val="24"/>
        </w:rPr>
        <w:t>24</w:t>
      </w:r>
      <w:r w:rsidRPr="0081565E">
        <w:rPr>
          <w:rFonts w:hint="eastAsia"/>
          <w:color w:val="000000"/>
          <w:sz w:val="24"/>
        </w:rPr>
        <w:t>日</w:t>
      </w:r>
      <w:r w:rsidRPr="0081565E">
        <w:rPr>
          <w:rFonts w:hint="eastAsia"/>
          <w:color w:val="000000"/>
          <w:sz w:val="24"/>
        </w:rPr>
        <w:t>17</w:t>
      </w:r>
      <w:r w:rsidRPr="0081565E">
        <w:rPr>
          <w:rFonts w:hint="eastAsia"/>
          <w:color w:val="000000"/>
          <w:sz w:val="24"/>
        </w:rPr>
        <w:t>：</w:t>
      </w:r>
      <w:r w:rsidRPr="0081565E">
        <w:rPr>
          <w:rFonts w:hint="eastAsia"/>
          <w:color w:val="000000"/>
          <w:sz w:val="24"/>
        </w:rPr>
        <w:t>00</w:t>
      </w:r>
      <w:r w:rsidRPr="0081565E">
        <w:rPr>
          <w:rFonts w:hint="eastAsia"/>
          <w:color w:val="000000"/>
          <w:sz w:val="24"/>
        </w:rPr>
        <w:t>止以通讯方式召开本基金的基金份额持有人大会，就本基金调整管理费率及基金合同修改有关事项的议案进行表决。根据基金份额持有人大会的决议，本基金的管理费由</w:t>
      </w:r>
      <w:r w:rsidRPr="0081565E">
        <w:rPr>
          <w:rFonts w:hint="eastAsia"/>
          <w:color w:val="000000"/>
          <w:sz w:val="24"/>
        </w:rPr>
        <w:t>0.3%</w:t>
      </w:r>
      <w:r w:rsidRPr="0081565E">
        <w:rPr>
          <w:rFonts w:hint="eastAsia"/>
          <w:color w:val="000000"/>
          <w:sz w:val="24"/>
        </w:rPr>
        <w:t>调整为</w:t>
      </w:r>
      <w:r w:rsidRPr="0081565E">
        <w:rPr>
          <w:rFonts w:hint="eastAsia"/>
          <w:color w:val="000000"/>
          <w:sz w:val="24"/>
        </w:rPr>
        <w:t>0.15%</w:t>
      </w:r>
      <w:r w:rsidRPr="0081565E">
        <w:rPr>
          <w:rFonts w:hint="eastAsia"/>
          <w:color w:val="000000"/>
          <w:sz w:val="24"/>
        </w:rPr>
        <w:t>，并相应修改基金合同和托管协议。本次基金份额持有人大会决议于</w:t>
      </w:r>
      <w:r w:rsidRPr="0081565E">
        <w:rPr>
          <w:rFonts w:hint="eastAsia"/>
          <w:color w:val="000000"/>
          <w:sz w:val="24"/>
        </w:rPr>
        <w:t>2017</w:t>
      </w:r>
      <w:r w:rsidRPr="0081565E">
        <w:rPr>
          <w:rFonts w:hint="eastAsia"/>
          <w:color w:val="000000"/>
          <w:sz w:val="24"/>
        </w:rPr>
        <w:t>年</w:t>
      </w:r>
      <w:r w:rsidRPr="0081565E">
        <w:rPr>
          <w:rFonts w:hint="eastAsia"/>
          <w:color w:val="000000"/>
          <w:sz w:val="24"/>
        </w:rPr>
        <w:t>12</w:t>
      </w:r>
      <w:r w:rsidRPr="0081565E">
        <w:rPr>
          <w:rFonts w:hint="eastAsia"/>
          <w:color w:val="000000"/>
          <w:sz w:val="24"/>
        </w:rPr>
        <w:t>月</w:t>
      </w:r>
      <w:r w:rsidRPr="0081565E">
        <w:rPr>
          <w:rFonts w:hint="eastAsia"/>
          <w:color w:val="000000"/>
          <w:sz w:val="24"/>
        </w:rPr>
        <w:t>25</w:t>
      </w:r>
      <w:r w:rsidRPr="0081565E">
        <w:rPr>
          <w:rFonts w:hint="eastAsia"/>
          <w:color w:val="000000"/>
          <w:sz w:val="24"/>
        </w:rPr>
        <w:t>日生效，自本次基金份额持有人大会决议公告之日即</w:t>
      </w:r>
      <w:r w:rsidRPr="0081565E">
        <w:rPr>
          <w:rFonts w:hint="eastAsia"/>
          <w:color w:val="000000"/>
          <w:sz w:val="24"/>
        </w:rPr>
        <w:t>2017</w:t>
      </w:r>
      <w:r w:rsidRPr="0081565E">
        <w:rPr>
          <w:rFonts w:hint="eastAsia"/>
          <w:color w:val="000000"/>
          <w:sz w:val="24"/>
        </w:rPr>
        <w:t>年</w:t>
      </w:r>
      <w:r w:rsidRPr="0081565E">
        <w:rPr>
          <w:rFonts w:hint="eastAsia"/>
          <w:color w:val="000000"/>
          <w:sz w:val="24"/>
        </w:rPr>
        <w:t>12</w:t>
      </w:r>
      <w:r w:rsidRPr="0081565E">
        <w:rPr>
          <w:rFonts w:hint="eastAsia"/>
          <w:color w:val="000000"/>
          <w:sz w:val="24"/>
        </w:rPr>
        <w:t>月</w:t>
      </w:r>
      <w:r w:rsidRPr="0081565E">
        <w:rPr>
          <w:rFonts w:hint="eastAsia"/>
          <w:color w:val="000000"/>
          <w:sz w:val="24"/>
        </w:rPr>
        <w:t>26</w:t>
      </w:r>
      <w:r w:rsidRPr="0081565E">
        <w:rPr>
          <w:rFonts w:hint="eastAsia"/>
          <w:color w:val="000000"/>
          <w:sz w:val="24"/>
        </w:rPr>
        <w:t>日起，本基金执行调整后的管理费率。</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40"/>
    </w:p>
    <w:p w:rsidR="00454223" w:rsidRDefault="004F75CB">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41"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41"/>
    </w:p>
    <w:p w:rsidR="006D141C" w:rsidRDefault="006D141C" w:rsidP="0081565E">
      <w:pPr>
        <w:spacing w:before="29" w:line="288" w:lineRule="auto"/>
        <w:ind w:firstLineChars="200" w:firstLine="480"/>
        <w:rPr>
          <w:color w:val="000000"/>
          <w:sz w:val="24"/>
        </w:rPr>
      </w:pPr>
      <w:bookmarkStart w:id="42"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42"/>
    </w:p>
    <w:p w:rsidR="006D141C" w:rsidRDefault="006D141C" w:rsidP="0081565E">
      <w:pPr>
        <w:spacing w:before="29" w:line="288" w:lineRule="auto"/>
        <w:ind w:firstLineChars="200" w:firstLine="480"/>
        <w:rPr>
          <w:color w:val="000000"/>
          <w:sz w:val="24"/>
        </w:rPr>
      </w:pPr>
      <w:bookmarkStart w:id="43"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3"/>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4" w:name="OLE_LINK3"/>
      <w:bookmarkStart w:id="45"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70,000.00</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4"/>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5"/>
    </w:p>
    <w:p w:rsidR="00454223" w:rsidRDefault="004F75CB">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454223" w:rsidRDefault="004F75CB">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54223" w:rsidRDefault="004F75CB">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6"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6"/>
    </w:p>
    <w:p w:rsidR="006D141C" w:rsidRPr="00FB19E8" w:rsidRDefault="00EE1CF9" w:rsidP="00FB19E8">
      <w:pPr>
        <w:pStyle w:val="20"/>
        <w:spacing w:before="29" w:after="0" w:line="288" w:lineRule="auto"/>
        <w:rPr>
          <w:rFonts w:ascii="Times New Roman" w:hAnsi="Times New Roman" w:cs="Times New Roman"/>
          <w:kern w:val="0"/>
          <w:szCs w:val="24"/>
        </w:rPr>
      </w:pPr>
      <w:bookmarkStart w:id="47"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7"/>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8"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454223">
        <w:tc>
          <w:tcPr>
            <w:tcW w:w="1286" w:type="dxa"/>
            <w:vAlign w:val="center"/>
          </w:tcPr>
          <w:p w:rsidR="00454223" w:rsidRDefault="004F75CB">
            <w:pPr>
              <w:jc w:val="center"/>
            </w:pPr>
            <w:r>
              <w:rPr>
                <w:rFonts w:hint="eastAsia"/>
                <w:szCs w:val="21"/>
              </w:rPr>
              <w:t>安信证券股份有限公司</w:t>
            </w:r>
          </w:p>
        </w:tc>
        <w:tc>
          <w:tcPr>
            <w:tcW w:w="1286" w:type="dxa"/>
            <w:vAlign w:val="center"/>
          </w:tcPr>
          <w:p w:rsidR="00454223" w:rsidRDefault="004F75CB">
            <w:pPr>
              <w:jc w:val="right"/>
            </w:pPr>
            <w:r>
              <w:rPr>
                <w:rFonts w:hint="eastAsia"/>
                <w:szCs w:val="21"/>
              </w:rPr>
              <w:t>2</w:t>
            </w:r>
          </w:p>
        </w:tc>
        <w:tc>
          <w:tcPr>
            <w:tcW w:w="1286"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left"/>
            </w:pPr>
            <w:r>
              <w:rPr>
                <w:rFonts w:hint="eastAsia"/>
                <w:szCs w:val="21"/>
              </w:rPr>
              <w:t>-</w:t>
            </w:r>
          </w:p>
        </w:tc>
      </w:tr>
      <w:tr w:rsidR="00454223">
        <w:tc>
          <w:tcPr>
            <w:tcW w:w="1286" w:type="dxa"/>
            <w:vAlign w:val="center"/>
          </w:tcPr>
          <w:p w:rsidR="00454223" w:rsidRDefault="004F75CB">
            <w:pPr>
              <w:jc w:val="center"/>
            </w:pPr>
            <w:r>
              <w:rPr>
                <w:rFonts w:hint="eastAsia"/>
                <w:szCs w:val="21"/>
              </w:rPr>
              <w:t>国金证券股份有限公司</w:t>
            </w:r>
          </w:p>
        </w:tc>
        <w:tc>
          <w:tcPr>
            <w:tcW w:w="1286" w:type="dxa"/>
            <w:vAlign w:val="center"/>
          </w:tcPr>
          <w:p w:rsidR="00454223" w:rsidRDefault="004F75CB">
            <w:pPr>
              <w:jc w:val="right"/>
            </w:pPr>
            <w:r>
              <w:rPr>
                <w:rFonts w:hint="eastAsia"/>
                <w:szCs w:val="21"/>
              </w:rPr>
              <w:t>2</w:t>
            </w:r>
          </w:p>
        </w:tc>
        <w:tc>
          <w:tcPr>
            <w:tcW w:w="1286"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left"/>
            </w:pPr>
            <w:r>
              <w:rPr>
                <w:rFonts w:hint="eastAsia"/>
                <w:szCs w:val="21"/>
              </w:rPr>
              <w:t>-</w:t>
            </w:r>
          </w:p>
        </w:tc>
      </w:tr>
      <w:tr w:rsidR="00454223">
        <w:tc>
          <w:tcPr>
            <w:tcW w:w="1286" w:type="dxa"/>
            <w:vAlign w:val="center"/>
          </w:tcPr>
          <w:p w:rsidR="00454223" w:rsidRDefault="004F75CB">
            <w:pPr>
              <w:jc w:val="center"/>
            </w:pPr>
            <w:r>
              <w:rPr>
                <w:rFonts w:hint="eastAsia"/>
                <w:szCs w:val="21"/>
              </w:rPr>
              <w:t>中泰证券股份有限公司</w:t>
            </w:r>
          </w:p>
        </w:tc>
        <w:tc>
          <w:tcPr>
            <w:tcW w:w="1286" w:type="dxa"/>
            <w:vAlign w:val="center"/>
          </w:tcPr>
          <w:p w:rsidR="00454223" w:rsidRDefault="004F75CB">
            <w:pPr>
              <w:jc w:val="right"/>
            </w:pPr>
            <w:r>
              <w:rPr>
                <w:rFonts w:hint="eastAsia"/>
                <w:szCs w:val="21"/>
              </w:rPr>
              <w:t>2</w:t>
            </w:r>
          </w:p>
        </w:tc>
        <w:tc>
          <w:tcPr>
            <w:tcW w:w="1286"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8"/>
    </w:p>
    <w:p w:rsidR="006D141C" w:rsidRPr="006A1080" w:rsidRDefault="00644AB5" w:rsidP="006A1080">
      <w:pPr>
        <w:spacing w:before="29" w:line="288" w:lineRule="auto"/>
        <w:ind w:right="105"/>
        <w:jc w:val="right"/>
        <w:rPr>
          <w:color w:val="000000"/>
          <w:sz w:val="24"/>
        </w:rPr>
      </w:pPr>
      <w:bookmarkStart w:id="49" w:name="_Toc249707408"/>
      <w:r w:rsidRPr="006A1080">
        <w:rPr>
          <w:rFonts w:hint="eastAsia"/>
          <w:color w:val="000000"/>
          <w:sz w:val="24"/>
        </w:rPr>
        <w:t>金额单位</w:t>
      </w:r>
      <w:r w:rsidR="006D141C" w:rsidRPr="006A1080">
        <w:rPr>
          <w:rFonts w:hint="eastAsia"/>
          <w:color w:val="000000"/>
          <w:sz w:val="24"/>
        </w:rPr>
        <w:t>：人民币元</w:t>
      </w:r>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454223">
        <w:tc>
          <w:tcPr>
            <w:tcW w:w="1286" w:type="dxa"/>
            <w:vAlign w:val="center"/>
          </w:tcPr>
          <w:p w:rsidR="00454223" w:rsidRDefault="004F75CB">
            <w:pPr>
              <w:jc w:val="left"/>
            </w:pPr>
            <w:r>
              <w:rPr>
                <w:rFonts w:hint="eastAsia"/>
                <w:szCs w:val="21"/>
              </w:rPr>
              <w:t>安信证券股份有限公司</w:t>
            </w:r>
          </w:p>
        </w:tc>
        <w:tc>
          <w:tcPr>
            <w:tcW w:w="1286" w:type="dxa"/>
            <w:vAlign w:val="center"/>
          </w:tcPr>
          <w:p w:rsidR="00454223" w:rsidRDefault="004F75CB">
            <w:pPr>
              <w:jc w:val="right"/>
            </w:pPr>
            <w:r>
              <w:rPr>
                <w:rFonts w:hint="eastAsia"/>
                <w:szCs w:val="21"/>
              </w:rPr>
              <w:t>123,613,804.95</w:t>
            </w:r>
          </w:p>
        </w:tc>
        <w:tc>
          <w:tcPr>
            <w:tcW w:w="1286" w:type="dxa"/>
            <w:vAlign w:val="center"/>
          </w:tcPr>
          <w:p w:rsidR="00454223" w:rsidRDefault="004F75CB">
            <w:pPr>
              <w:jc w:val="right"/>
            </w:pPr>
            <w:r>
              <w:rPr>
                <w:rFonts w:hint="eastAsia"/>
                <w:szCs w:val="21"/>
              </w:rPr>
              <w:t>100.00%</w:t>
            </w:r>
          </w:p>
        </w:tc>
        <w:tc>
          <w:tcPr>
            <w:tcW w:w="1285" w:type="dxa"/>
            <w:vAlign w:val="center"/>
          </w:tcPr>
          <w:p w:rsidR="00454223" w:rsidRDefault="004F75CB">
            <w:pPr>
              <w:jc w:val="right"/>
            </w:pPr>
            <w:r>
              <w:rPr>
                <w:rFonts w:hint="eastAsia"/>
                <w:szCs w:val="21"/>
              </w:rPr>
              <w:t>10,158,800,000.00</w:t>
            </w:r>
          </w:p>
        </w:tc>
        <w:tc>
          <w:tcPr>
            <w:tcW w:w="1285" w:type="dxa"/>
            <w:vAlign w:val="center"/>
          </w:tcPr>
          <w:p w:rsidR="00454223" w:rsidRDefault="004F75CB">
            <w:pPr>
              <w:jc w:val="right"/>
            </w:pPr>
            <w:r>
              <w:rPr>
                <w:rFonts w:hint="eastAsia"/>
                <w:szCs w:val="21"/>
              </w:rPr>
              <w:t>100.00%</w:t>
            </w:r>
          </w:p>
        </w:tc>
        <w:tc>
          <w:tcPr>
            <w:tcW w:w="1285" w:type="dxa"/>
            <w:vAlign w:val="center"/>
          </w:tcPr>
          <w:p w:rsidR="00454223" w:rsidRDefault="004F75CB">
            <w:pPr>
              <w:jc w:val="right"/>
            </w:pPr>
            <w:r>
              <w:rPr>
                <w:rFonts w:hint="eastAsia"/>
                <w:szCs w:val="21"/>
              </w:rPr>
              <w:t>-</w:t>
            </w:r>
          </w:p>
        </w:tc>
        <w:tc>
          <w:tcPr>
            <w:tcW w:w="1285" w:type="dxa"/>
            <w:vAlign w:val="center"/>
          </w:tcPr>
          <w:p w:rsidR="00454223" w:rsidRDefault="004F75CB">
            <w:pPr>
              <w:jc w:val="right"/>
            </w:pPr>
            <w:r>
              <w:rPr>
                <w:rFonts w:hint="eastAsia"/>
                <w:szCs w:val="21"/>
              </w:rPr>
              <w:t>-</w:t>
            </w:r>
          </w:p>
        </w:tc>
      </w:tr>
    </w:tbl>
    <w:p w:rsidR="00454223" w:rsidRDefault="004F75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、报告期内，本基金新增加国金证券股份有限公司、中泰证券股份有限公司，其它交易单元未发生变化；</w:t>
      </w:r>
    </w:p>
    <w:p w:rsidR="00454223" w:rsidRDefault="004F75CB">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A93376" w:rsidP="005124D4">
      <w:pPr>
        <w:spacing w:before="29" w:line="288" w:lineRule="auto"/>
        <w:jc w:val="left"/>
        <w:rPr>
          <w:kern w:val="0"/>
          <w:sz w:val="24"/>
        </w:rPr>
      </w:pPr>
      <w:r>
        <w:rPr>
          <w:rFonts w:hint="eastAsia"/>
          <w:kern w:val="0"/>
          <w:sz w:val="24"/>
        </w:rPr>
        <w:t xml:space="preserve">    </w:t>
      </w:r>
      <w:r w:rsidR="006D141C" w:rsidRPr="005124D4">
        <w:rPr>
          <w:rFonts w:hint="eastAsia"/>
          <w:kern w:val="0"/>
          <w:sz w:val="24"/>
        </w:rPr>
        <w:t>3</w:t>
      </w:r>
      <w:r w:rsidR="006D141C"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DA526C" w:rsidRDefault="00DA526C" w:rsidP="00254408">
      <w:pPr>
        <w:pStyle w:val="1"/>
        <w:keepNext/>
        <w:keepLines/>
        <w:widowControl w:val="0"/>
        <w:spacing w:beforeLines="100" w:before="312" w:afterLines="100" w:after="312" w:line="360" w:lineRule="auto"/>
        <w:jc w:val="center"/>
        <w:rPr>
          <w:rFonts w:eastAsiaTheme="minorEastAsia"/>
          <w:b/>
          <w:bCs/>
          <w:szCs w:val="24"/>
          <w:lang w:val="en-US"/>
        </w:rPr>
      </w:pPr>
      <w:bookmarkStart w:id="50" w:name="_Toc374532345"/>
      <w:r w:rsidRPr="00DA526C">
        <w:rPr>
          <w:rFonts w:hint="eastAsia"/>
          <w:b/>
          <w:bCs/>
          <w:szCs w:val="24"/>
          <w:lang w:val="en-US"/>
        </w:rPr>
        <w:lastRenderedPageBreak/>
        <w:t>§</w:t>
      </w:r>
      <w:r w:rsidR="00254408" w:rsidRPr="00DA526C">
        <w:rPr>
          <w:rFonts w:eastAsiaTheme="minorEastAsia"/>
          <w:b/>
          <w:bCs/>
          <w:szCs w:val="24"/>
          <w:lang w:val="en-US"/>
        </w:rPr>
        <w:t xml:space="preserve">12  </w:t>
      </w:r>
      <w:r w:rsidR="00254408" w:rsidRPr="00DA526C">
        <w:rPr>
          <w:rFonts w:eastAsiaTheme="minorEastAsia"/>
          <w:b/>
          <w:bCs/>
          <w:szCs w:val="24"/>
          <w:lang w:val="en-US"/>
        </w:rPr>
        <w:t>影响投资者决策的其他重要信息</w:t>
      </w:r>
      <w:bookmarkEnd w:id="50"/>
    </w:p>
    <w:p w:rsidR="00254408" w:rsidRPr="00DA526C" w:rsidRDefault="00254408" w:rsidP="00254408">
      <w:pPr>
        <w:autoSpaceDE w:val="0"/>
        <w:autoSpaceDN w:val="0"/>
        <w:adjustRightInd w:val="0"/>
        <w:spacing w:line="360" w:lineRule="auto"/>
        <w:jc w:val="left"/>
        <w:rPr>
          <w:b/>
          <w:bCs/>
          <w:color w:val="000000"/>
          <w:kern w:val="0"/>
          <w:sz w:val="24"/>
        </w:rPr>
      </w:pPr>
      <w:r w:rsidRPr="00DA526C">
        <w:rPr>
          <w:b/>
          <w:bCs/>
          <w:color w:val="000000"/>
          <w:kern w:val="0"/>
          <w:sz w:val="24"/>
        </w:rPr>
        <w:t xml:space="preserve">12.1 </w:t>
      </w:r>
      <w:r w:rsidRPr="00DA526C">
        <w:rPr>
          <w:b/>
          <w:bCs/>
          <w:color w:val="000000"/>
          <w:kern w:val="0"/>
          <w:sz w:val="24"/>
        </w:rPr>
        <w:t>报告期内单一投资者持有基金份额比例达到或超过</w:t>
      </w:r>
      <w:r w:rsidRPr="00DA526C">
        <w:rPr>
          <w:b/>
          <w:bCs/>
          <w:color w:val="000000"/>
          <w:kern w:val="0"/>
          <w:sz w:val="24"/>
        </w:rPr>
        <w:t>20%</w:t>
      </w:r>
      <w:r w:rsidRPr="00DA526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DA526C">
        <w:tc>
          <w:tcPr>
            <w:tcW w:w="993" w:type="dxa"/>
            <w:vMerge w:val="restart"/>
            <w:vAlign w:val="center"/>
          </w:tcPr>
          <w:p w:rsidR="00254408" w:rsidRPr="004F0662" w:rsidRDefault="00254408" w:rsidP="00DA526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DA526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DA526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DA526C">
        <w:tc>
          <w:tcPr>
            <w:tcW w:w="993" w:type="dxa"/>
            <w:vMerge/>
            <w:vAlign w:val="center"/>
          </w:tcPr>
          <w:p w:rsidR="00254408" w:rsidRPr="004F0662" w:rsidRDefault="00254408" w:rsidP="00DA526C">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DA526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DA526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DA526C">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DA526C">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DA526C">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DA526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DA526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54223">
        <w:tc>
          <w:tcPr>
            <w:tcW w:w="993" w:type="dxa"/>
            <w:vMerge w:val="restart"/>
          </w:tcPr>
          <w:p w:rsidR="00454223" w:rsidRDefault="00454223"/>
          <w:p w:rsidR="00454223" w:rsidRDefault="004F75CB">
            <w:r>
              <w:rPr>
                <w:rFonts w:ascii="宋体" w:hAnsi="宋体" w:hint="eastAsia"/>
                <w:bCs/>
                <w:color w:val="000000"/>
                <w:kern w:val="0"/>
                <w:szCs w:val="21"/>
              </w:rPr>
              <w:t>机构</w:t>
            </w:r>
          </w:p>
        </w:tc>
        <w:tc>
          <w:tcPr>
            <w:tcW w:w="992" w:type="dxa"/>
            <w:vAlign w:val="center"/>
          </w:tcPr>
          <w:p w:rsidR="00454223" w:rsidRDefault="004F75CB">
            <w:pPr>
              <w:jc w:val="center"/>
            </w:pPr>
            <w:r>
              <w:rPr>
                <w:rFonts w:ascii="宋体" w:hAnsi="宋体"/>
                <w:color w:val="000000"/>
                <w:kern w:val="0"/>
                <w:szCs w:val="21"/>
              </w:rPr>
              <w:t>1</w:t>
            </w:r>
          </w:p>
        </w:tc>
        <w:tc>
          <w:tcPr>
            <w:tcW w:w="1843" w:type="dxa"/>
            <w:vAlign w:val="center"/>
          </w:tcPr>
          <w:p w:rsidR="00454223" w:rsidRDefault="004F75CB">
            <w:pPr>
              <w:jc w:val="center"/>
            </w:pPr>
            <w:r>
              <w:rPr>
                <w:rFonts w:ascii="宋体" w:hAnsi="宋体"/>
                <w:color w:val="000000"/>
                <w:kern w:val="0"/>
                <w:szCs w:val="21"/>
              </w:rPr>
              <w:t>2017/1/1-2017/12/31</w:t>
            </w:r>
          </w:p>
        </w:tc>
        <w:tc>
          <w:tcPr>
            <w:tcW w:w="851" w:type="dxa"/>
            <w:vAlign w:val="center"/>
          </w:tcPr>
          <w:p w:rsidR="00454223" w:rsidRDefault="004F75CB">
            <w:pPr>
              <w:jc w:val="center"/>
            </w:pPr>
            <w:r>
              <w:rPr>
                <w:rFonts w:ascii="宋体" w:hAnsi="宋体"/>
                <w:color w:val="000000"/>
                <w:kern w:val="0"/>
                <w:szCs w:val="21"/>
              </w:rPr>
              <w:t>502,959,912.48</w:t>
            </w:r>
          </w:p>
        </w:tc>
        <w:tc>
          <w:tcPr>
            <w:tcW w:w="850" w:type="dxa"/>
            <w:vAlign w:val="center"/>
          </w:tcPr>
          <w:p w:rsidR="00454223" w:rsidRDefault="004F75CB">
            <w:pPr>
              <w:jc w:val="center"/>
            </w:pPr>
            <w:r>
              <w:rPr>
                <w:rFonts w:ascii="宋体" w:hAnsi="宋体"/>
                <w:color w:val="000000"/>
                <w:kern w:val="0"/>
                <w:szCs w:val="21"/>
              </w:rPr>
              <w:t>1,055,266,167.02</w:t>
            </w:r>
          </w:p>
        </w:tc>
        <w:tc>
          <w:tcPr>
            <w:tcW w:w="1134" w:type="dxa"/>
            <w:vAlign w:val="center"/>
          </w:tcPr>
          <w:p w:rsidR="00454223" w:rsidRDefault="004F75CB">
            <w:pPr>
              <w:jc w:val="center"/>
            </w:pPr>
            <w:r>
              <w:rPr>
                <w:rFonts w:ascii="宋体" w:hAnsi="宋体"/>
                <w:color w:val="000000"/>
                <w:kern w:val="0"/>
                <w:szCs w:val="21"/>
              </w:rPr>
              <w:t>200,000,000.00</w:t>
            </w:r>
          </w:p>
        </w:tc>
        <w:tc>
          <w:tcPr>
            <w:tcW w:w="1419" w:type="dxa"/>
            <w:vAlign w:val="center"/>
          </w:tcPr>
          <w:p w:rsidR="00454223" w:rsidRDefault="004F75CB">
            <w:pPr>
              <w:jc w:val="center"/>
            </w:pPr>
            <w:r>
              <w:rPr>
                <w:rFonts w:ascii="宋体" w:hAnsi="宋体"/>
                <w:color w:val="000000"/>
                <w:kern w:val="0"/>
                <w:szCs w:val="21"/>
              </w:rPr>
              <w:t>1,358,226,079.50</w:t>
            </w:r>
          </w:p>
        </w:tc>
        <w:tc>
          <w:tcPr>
            <w:tcW w:w="1130" w:type="dxa"/>
            <w:vAlign w:val="center"/>
          </w:tcPr>
          <w:p w:rsidR="00454223" w:rsidRDefault="007F0BE3">
            <w:pPr>
              <w:jc w:val="center"/>
            </w:pPr>
            <w:r>
              <w:rPr>
                <w:rFonts w:ascii="宋体" w:hAnsi="宋体"/>
                <w:color w:val="000000"/>
                <w:kern w:val="0"/>
                <w:szCs w:val="21"/>
              </w:rPr>
              <w:t>56.76</w:t>
            </w:r>
            <w:r w:rsidR="004F75CB">
              <w:rPr>
                <w:rFonts w:ascii="宋体" w:hAnsi="宋体"/>
                <w:color w:val="000000"/>
                <w:kern w:val="0"/>
                <w:szCs w:val="21"/>
              </w:rPr>
              <w:t>%</w:t>
            </w:r>
          </w:p>
        </w:tc>
      </w:tr>
      <w:tr w:rsidR="00254408" w:rsidRPr="004F0662" w:rsidTr="00DA526C">
        <w:tc>
          <w:tcPr>
            <w:tcW w:w="9212" w:type="dxa"/>
            <w:gridSpan w:val="8"/>
            <w:vAlign w:val="center"/>
          </w:tcPr>
          <w:p w:rsidR="00254408" w:rsidRPr="004F0662" w:rsidRDefault="00254408" w:rsidP="00DA526C">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DA526C">
        <w:tc>
          <w:tcPr>
            <w:tcW w:w="9212" w:type="dxa"/>
            <w:gridSpan w:val="8"/>
            <w:vAlign w:val="center"/>
          </w:tcPr>
          <w:p w:rsidR="00254408" w:rsidRPr="004F0662" w:rsidRDefault="00254408" w:rsidP="00DA526C">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526C" w:rsidRDefault="00DA526C" w:rsidP="00254408">
      <w:pPr>
        <w:autoSpaceDE w:val="0"/>
        <w:autoSpaceDN w:val="0"/>
        <w:adjustRightInd w:val="0"/>
        <w:spacing w:line="360" w:lineRule="auto"/>
        <w:jc w:val="left"/>
        <w:rPr>
          <w:rFonts w:ascii="宋体" w:hAnsi="宋体"/>
          <w:b/>
          <w:bCs/>
          <w:color w:val="000000"/>
          <w:kern w:val="0"/>
          <w:szCs w:val="21"/>
        </w:rPr>
      </w:pPr>
    </w:p>
    <w:p w:rsidR="00254408" w:rsidRPr="00DA526C" w:rsidRDefault="00254408" w:rsidP="00254408">
      <w:pPr>
        <w:autoSpaceDE w:val="0"/>
        <w:autoSpaceDN w:val="0"/>
        <w:adjustRightInd w:val="0"/>
        <w:spacing w:line="360" w:lineRule="auto"/>
        <w:jc w:val="left"/>
        <w:rPr>
          <w:b/>
          <w:bCs/>
          <w:color w:val="000000"/>
          <w:kern w:val="0"/>
          <w:sz w:val="24"/>
        </w:rPr>
      </w:pPr>
      <w:r w:rsidRPr="00DA526C">
        <w:rPr>
          <w:rFonts w:hint="eastAsia"/>
          <w:b/>
          <w:bCs/>
          <w:color w:val="000000"/>
          <w:kern w:val="0"/>
          <w:sz w:val="24"/>
        </w:rPr>
        <w:t xml:space="preserve">12.2 </w:t>
      </w:r>
      <w:r w:rsidRPr="00DA526C">
        <w:rPr>
          <w:rFonts w:hint="eastAsia"/>
          <w:b/>
          <w:bCs/>
          <w:color w:val="000000"/>
          <w:kern w:val="0"/>
          <w:sz w:val="24"/>
        </w:rPr>
        <w:t>影响投资者决策的其他重要信息</w:t>
      </w:r>
    </w:p>
    <w:p w:rsidR="00254408" w:rsidRPr="00A93376" w:rsidRDefault="00254408" w:rsidP="00A93376">
      <w:pPr>
        <w:spacing w:before="29" w:line="288" w:lineRule="auto"/>
        <w:ind w:firstLineChars="200" w:firstLine="480"/>
        <w:rPr>
          <w:kern w:val="0"/>
          <w:sz w:val="24"/>
        </w:rPr>
      </w:pPr>
      <w:r w:rsidRPr="00A93376">
        <w:rPr>
          <w:kern w:val="0"/>
          <w:sz w:val="24"/>
        </w:rPr>
        <w:t>本基金管理人于</w:t>
      </w:r>
      <w:r w:rsidRPr="00A93376">
        <w:rPr>
          <w:kern w:val="0"/>
          <w:sz w:val="24"/>
        </w:rPr>
        <w:t>2017</w:t>
      </w:r>
      <w:r w:rsidRPr="00A93376">
        <w:rPr>
          <w:kern w:val="0"/>
          <w:sz w:val="24"/>
        </w:rPr>
        <w:t>年</w:t>
      </w:r>
      <w:r w:rsidRPr="00A93376">
        <w:rPr>
          <w:kern w:val="0"/>
          <w:sz w:val="24"/>
        </w:rPr>
        <w:t>12</w:t>
      </w:r>
      <w:r w:rsidRPr="00A93376">
        <w:rPr>
          <w:kern w:val="0"/>
          <w:sz w:val="24"/>
        </w:rPr>
        <w:t>月</w:t>
      </w:r>
      <w:r w:rsidRPr="00A93376">
        <w:rPr>
          <w:kern w:val="0"/>
          <w:sz w:val="24"/>
        </w:rPr>
        <w:t>2</w:t>
      </w:r>
      <w:r w:rsidRPr="00A93376">
        <w:rPr>
          <w:kern w:val="0"/>
          <w:sz w:val="24"/>
        </w:rPr>
        <w:t>日起至</w:t>
      </w:r>
      <w:r w:rsidRPr="00A93376">
        <w:rPr>
          <w:kern w:val="0"/>
          <w:sz w:val="24"/>
        </w:rPr>
        <w:t>2017</w:t>
      </w:r>
      <w:r w:rsidRPr="00A93376">
        <w:rPr>
          <w:kern w:val="0"/>
          <w:sz w:val="24"/>
        </w:rPr>
        <w:t>年</w:t>
      </w:r>
      <w:r w:rsidRPr="00A93376">
        <w:rPr>
          <w:kern w:val="0"/>
          <w:sz w:val="24"/>
        </w:rPr>
        <w:t>12</w:t>
      </w:r>
      <w:r w:rsidRPr="00A93376">
        <w:rPr>
          <w:kern w:val="0"/>
          <w:sz w:val="24"/>
        </w:rPr>
        <w:t>月</w:t>
      </w:r>
      <w:r w:rsidRPr="00A93376">
        <w:rPr>
          <w:kern w:val="0"/>
          <w:sz w:val="24"/>
        </w:rPr>
        <w:t>24</w:t>
      </w:r>
      <w:r w:rsidRPr="00A93376">
        <w:rPr>
          <w:kern w:val="0"/>
          <w:sz w:val="24"/>
        </w:rPr>
        <w:t>日</w:t>
      </w:r>
      <w:r w:rsidRPr="00A93376">
        <w:rPr>
          <w:kern w:val="0"/>
          <w:sz w:val="24"/>
        </w:rPr>
        <w:t>17</w:t>
      </w:r>
      <w:r w:rsidRPr="00A93376">
        <w:rPr>
          <w:kern w:val="0"/>
          <w:sz w:val="24"/>
        </w:rPr>
        <w:t>：</w:t>
      </w:r>
      <w:r w:rsidRPr="00A93376">
        <w:rPr>
          <w:kern w:val="0"/>
          <w:sz w:val="24"/>
        </w:rPr>
        <w:t>00</w:t>
      </w:r>
      <w:r w:rsidRPr="00A93376">
        <w:rPr>
          <w:kern w:val="0"/>
          <w:sz w:val="24"/>
        </w:rPr>
        <w:t>止以通讯方式召开本基金的基金份额持有人大会，就本基金调整管理费率及基金合同修改有关事项的议案进行表决。根据基金份额持有人大会的决议，本基金的管理费由</w:t>
      </w:r>
      <w:r w:rsidRPr="00A93376">
        <w:rPr>
          <w:kern w:val="0"/>
          <w:sz w:val="24"/>
        </w:rPr>
        <w:t>0.3%</w:t>
      </w:r>
      <w:r w:rsidRPr="00A93376">
        <w:rPr>
          <w:kern w:val="0"/>
          <w:sz w:val="24"/>
        </w:rPr>
        <w:t>调整为</w:t>
      </w:r>
      <w:r w:rsidRPr="00A93376">
        <w:rPr>
          <w:kern w:val="0"/>
          <w:sz w:val="24"/>
        </w:rPr>
        <w:t>0.15%</w:t>
      </w:r>
      <w:r w:rsidRPr="00A93376">
        <w:rPr>
          <w:kern w:val="0"/>
          <w:sz w:val="24"/>
        </w:rPr>
        <w:t>，并相应修改基金合同和托管协议。本基金管理人将在更新基金招募说明书时，对上述相关内容进行相应修订。本次基金份额持有人大会决议于</w:t>
      </w:r>
      <w:r w:rsidRPr="00A93376">
        <w:rPr>
          <w:kern w:val="0"/>
          <w:sz w:val="24"/>
        </w:rPr>
        <w:t>2017</w:t>
      </w:r>
      <w:r w:rsidRPr="00A93376">
        <w:rPr>
          <w:kern w:val="0"/>
          <w:sz w:val="24"/>
        </w:rPr>
        <w:t>年</w:t>
      </w:r>
      <w:r w:rsidRPr="00A93376">
        <w:rPr>
          <w:kern w:val="0"/>
          <w:sz w:val="24"/>
        </w:rPr>
        <w:t>12</w:t>
      </w:r>
      <w:r w:rsidRPr="00A93376">
        <w:rPr>
          <w:kern w:val="0"/>
          <w:sz w:val="24"/>
        </w:rPr>
        <w:t>月</w:t>
      </w:r>
      <w:r w:rsidRPr="00A93376">
        <w:rPr>
          <w:kern w:val="0"/>
          <w:sz w:val="24"/>
        </w:rPr>
        <w:t>25</w:t>
      </w:r>
      <w:r w:rsidRPr="00A93376">
        <w:rPr>
          <w:kern w:val="0"/>
          <w:sz w:val="24"/>
        </w:rPr>
        <w:t>日生效，自本次基金份额持有人大会决议公告之日即</w:t>
      </w:r>
      <w:r w:rsidRPr="00A93376">
        <w:rPr>
          <w:kern w:val="0"/>
          <w:sz w:val="24"/>
        </w:rPr>
        <w:t>2017</w:t>
      </w:r>
      <w:r w:rsidRPr="00A93376">
        <w:rPr>
          <w:kern w:val="0"/>
          <w:sz w:val="24"/>
        </w:rPr>
        <w:t>年</w:t>
      </w:r>
      <w:r w:rsidRPr="00A93376">
        <w:rPr>
          <w:kern w:val="0"/>
          <w:sz w:val="24"/>
        </w:rPr>
        <w:t>12</w:t>
      </w:r>
      <w:r w:rsidRPr="00A93376">
        <w:rPr>
          <w:kern w:val="0"/>
          <w:sz w:val="24"/>
        </w:rPr>
        <w:t>月</w:t>
      </w:r>
      <w:r w:rsidRPr="00A93376">
        <w:rPr>
          <w:kern w:val="0"/>
          <w:sz w:val="24"/>
        </w:rPr>
        <w:t>26</w:t>
      </w:r>
      <w:r w:rsidRPr="00A93376">
        <w:rPr>
          <w:kern w:val="0"/>
          <w:sz w:val="24"/>
        </w:rPr>
        <w:t>日起，本基金执行调整后的管理费率。详情请查阅本基金管理人于</w:t>
      </w:r>
      <w:r w:rsidRPr="00A93376">
        <w:rPr>
          <w:kern w:val="0"/>
          <w:sz w:val="24"/>
        </w:rPr>
        <w:t>2017</w:t>
      </w:r>
      <w:r w:rsidRPr="00A93376">
        <w:rPr>
          <w:kern w:val="0"/>
          <w:sz w:val="24"/>
        </w:rPr>
        <w:t>年</w:t>
      </w:r>
      <w:r w:rsidRPr="00A93376">
        <w:rPr>
          <w:kern w:val="0"/>
          <w:sz w:val="24"/>
        </w:rPr>
        <w:t>12</w:t>
      </w:r>
      <w:r w:rsidRPr="00A93376">
        <w:rPr>
          <w:kern w:val="0"/>
          <w:sz w:val="24"/>
        </w:rPr>
        <w:t>月</w:t>
      </w:r>
      <w:r w:rsidRPr="00A93376">
        <w:rPr>
          <w:kern w:val="0"/>
          <w:sz w:val="24"/>
        </w:rPr>
        <w:t>26</w:t>
      </w:r>
      <w:r w:rsidRPr="00A93376">
        <w:rPr>
          <w:kern w:val="0"/>
          <w:sz w:val="24"/>
        </w:rPr>
        <w:t>日发布的《交银施罗德基金管理有限公司关于交银施罗德天利宝货币市场基金基金份额持有人大会表决结果暨决议生效的公告》。</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D5" w:rsidRDefault="00393BD5">
      <w:r>
        <w:separator/>
      </w:r>
    </w:p>
  </w:endnote>
  <w:endnote w:type="continuationSeparator" w:id="0">
    <w:p w:rsidR="00393BD5" w:rsidRDefault="0039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6C" w:rsidRDefault="00DA526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526C" w:rsidRDefault="00DA526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6C" w:rsidRDefault="00DA526C"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11DD9">
      <w:rPr>
        <w:noProof/>
        <w:kern w:val="0"/>
        <w:szCs w:val="21"/>
      </w:rPr>
      <w:t>24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11DD9">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D5" w:rsidRDefault="00393BD5">
      <w:r>
        <w:separator/>
      </w:r>
    </w:p>
  </w:footnote>
  <w:footnote w:type="continuationSeparator" w:id="0">
    <w:p w:rsidR="00393BD5" w:rsidRDefault="00393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6C" w:rsidRPr="00F163BF" w:rsidRDefault="00DA526C"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BD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4223"/>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60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5CB"/>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0BE3"/>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17E8"/>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6B02"/>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376"/>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1DD9"/>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C7B"/>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526C"/>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3C13"/>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19D"/>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B69C3A-43DD-475D-960A-ACBA9FCA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69277558">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BE47-11B8-4714-AC49-E6DFAF07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34</Pages>
  <Words>3541</Words>
  <Characters>20187</Characters>
  <Application>Microsoft Office Word</Application>
  <DocSecurity>0</DocSecurity>
  <Lines>168</Lines>
  <Paragraphs>47</Paragraphs>
  <ScaleCrop>false</ScaleCrop>
  <Company/>
  <LinksUpToDate>false</LinksUpToDate>
  <CharactersWithSpaces>23681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张婉婧</cp:lastModifiedBy>
  <cp:revision>733</cp:revision>
  <cp:lastPrinted>2007-07-19T00:46:00Z</cp:lastPrinted>
  <dcterms:created xsi:type="dcterms:W3CDTF">2013-06-22T02:32:00Z</dcterms:created>
  <dcterms:modified xsi:type="dcterms:W3CDTF">2018-03-30T07:00:00Z</dcterms:modified>
</cp:coreProperties>
</file>