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w:t>
      </w:r>
      <w:proofErr w:type="gramStart"/>
      <w:r w:rsidRPr="004D2C6A">
        <w:rPr>
          <w:rFonts w:hint="eastAsia"/>
          <w:b/>
          <w:sz w:val="36"/>
          <w:szCs w:val="36"/>
        </w:rPr>
        <w:t>鑫</w:t>
      </w:r>
      <w:proofErr w:type="gramEnd"/>
      <w:r w:rsidRPr="004D2C6A">
        <w:rPr>
          <w:rFonts w:hint="eastAsia"/>
          <w:b/>
          <w:sz w:val="36"/>
          <w:szCs w:val="36"/>
        </w:rPr>
        <w:t>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基金托管人：兴业银行股份有限公司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兴业银行股份有限公司</w:t>
      </w:r>
      <w:r w:rsidR="002813BD">
        <w:rPr>
          <w:rFonts w:hint="eastAsia"/>
          <w:color w:val="000000"/>
          <w:sz w:val="24"/>
        </w:rPr>
        <w:t>(</w:t>
      </w:r>
      <w:r w:rsidR="002813BD">
        <w:rPr>
          <w:rFonts w:hint="eastAsia"/>
          <w:color w:val="000000"/>
          <w:sz w:val="24"/>
        </w:rPr>
        <w:t>以下简称“兴业银行”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proofErr w:type="gramStart"/>
      <w:r w:rsidR="00B42C09" w:rsidRPr="00F834A5">
        <w:rPr>
          <w:rFonts w:hint="eastAsia"/>
          <w:color w:val="000000"/>
          <w:sz w:val="24"/>
        </w:rPr>
        <w:t>作</w:t>
      </w:r>
      <w:r w:rsidRPr="00F834A5">
        <w:rPr>
          <w:rFonts w:hint="eastAsia"/>
          <w:color w:val="000000"/>
          <w:sz w:val="24"/>
        </w:rPr>
        <w:t>出</w:t>
      </w:r>
      <w:proofErr w:type="gramEnd"/>
      <w:r w:rsidRPr="00F834A5">
        <w:rPr>
          <w:rFonts w:hint="eastAsia"/>
          <w:color w:val="000000"/>
          <w:sz w:val="24"/>
        </w:rPr>
        <w:t>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w:t>
            </w:r>
            <w:proofErr w:type="gramStart"/>
            <w:r w:rsidRPr="004C79A3">
              <w:rPr>
                <w:rFonts w:hint="eastAsia"/>
                <w:sz w:val="24"/>
              </w:rPr>
              <w:t>鑫宝货币</w:t>
            </w:r>
            <w:proofErr w:type="gramEnd"/>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003482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12</w:t>
            </w:r>
            <w:r w:rsidRPr="004C79A3">
              <w:rPr>
                <w:sz w:val="24"/>
              </w:rPr>
              <w:t>月</w:t>
            </w:r>
            <w:r w:rsidRPr="004C79A3">
              <w:rPr>
                <w:sz w:val="24"/>
              </w:rPr>
              <w:t>7</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兴业银行股份有限公司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23,545,451,800.45</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w:t>
            </w:r>
            <w:proofErr w:type="gramStart"/>
            <w:r w:rsidRPr="004C79A3">
              <w:rPr>
                <w:rFonts w:hint="eastAsia"/>
                <w:sz w:val="24"/>
              </w:rPr>
              <w:t>鑫宝货币</w:t>
            </w:r>
            <w:proofErr w:type="gramEnd"/>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w:t>
            </w:r>
            <w:proofErr w:type="gramStart"/>
            <w:r>
              <w:rPr>
                <w:rFonts w:hint="eastAsia"/>
                <w:sz w:val="24"/>
              </w:rPr>
              <w:t>鑫宝货币</w:t>
            </w:r>
            <w:proofErr w:type="gramEnd"/>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003482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003483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94,716,926.30</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23,450,734,874.15</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兴业银行股份有限公司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吴玉婷</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021-52629999-212052</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015289@cib.com.cn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95561</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021-62535823</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41"/>
        <w:gridCol w:w="1941"/>
        <w:gridCol w:w="1941"/>
        <w:gridCol w:w="1937"/>
      </w:tblGrid>
      <w:tr w:rsidR="004623B3" w:rsidRPr="00AC0191" w:rsidTr="004623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7</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4623B3" w:rsidRPr="00AC0191" w:rsidTr="004623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w:t>
            </w:r>
            <w:proofErr w:type="gramStart"/>
            <w:r w:rsidRPr="00AC0191">
              <w:rPr>
                <w:rFonts w:hint="eastAsia"/>
                <w:szCs w:val="21"/>
              </w:rPr>
              <w:t>鑫宝货币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w:t>
            </w:r>
            <w:proofErr w:type="gramStart"/>
            <w:r>
              <w:rPr>
                <w:rFonts w:hint="eastAsia"/>
                <w:szCs w:val="21"/>
              </w:rPr>
              <w:t>鑫宝货币</w:t>
            </w:r>
            <w:proofErr w:type="gramEnd"/>
            <w:r>
              <w:rPr>
                <w:rFonts w:hint="eastAsia"/>
                <w:szCs w:val="21"/>
              </w:rPr>
              <w:t>E</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w:t>
            </w:r>
            <w:proofErr w:type="gramStart"/>
            <w:r w:rsidRPr="00AC0191">
              <w:rPr>
                <w:rFonts w:hint="eastAsia"/>
                <w:szCs w:val="21"/>
              </w:rPr>
              <w:t>鑫宝货币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w:t>
            </w:r>
            <w:proofErr w:type="gramStart"/>
            <w:r>
              <w:rPr>
                <w:rFonts w:hint="eastAsia"/>
                <w:szCs w:val="21"/>
              </w:rPr>
              <w:t>鑫宝货币</w:t>
            </w:r>
            <w:proofErr w:type="gramEnd"/>
            <w:r>
              <w:rPr>
                <w:rFonts w:hint="eastAsia"/>
                <w:szCs w:val="21"/>
              </w:rPr>
              <w:t>E</w:t>
            </w:r>
          </w:p>
        </w:tc>
      </w:tr>
      <w:tr w:rsidR="004623B3" w:rsidRPr="00AC0191" w:rsidTr="004623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1,793,801.73</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287,693,721.79</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343.85</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427,202.30</w:t>
            </w:r>
          </w:p>
        </w:tc>
      </w:tr>
      <w:tr w:rsidR="004623B3" w:rsidRPr="00AC0191" w:rsidTr="004623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1,793,801.73</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287,693,721.79</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343.85</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427,202.30</w:t>
            </w:r>
          </w:p>
        </w:tc>
      </w:tr>
      <w:tr w:rsidR="004623B3" w:rsidRPr="00AC0191" w:rsidTr="004623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3.71%</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3.96%</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0.20%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0.21%</w:t>
            </w:r>
          </w:p>
        </w:tc>
      </w:tr>
      <w:tr w:rsidR="004623B3" w:rsidRPr="00AC0191" w:rsidTr="004623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center"/>
              <w:rPr>
                <w:b/>
                <w:szCs w:val="21"/>
              </w:rPr>
            </w:pPr>
            <w:r w:rsidRPr="00AC0191">
              <w:rPr>
                <w:b/>
                <w:szCs w:val="21"/>
              </w:rPr>
              <w:t>2016</w:t>
            </w:r>
            <w:r w:rsidRPr="00AC0191">
              <w:rPr>
                <w:rFonts w:hint="eastAsia"/>
                <w:b/>
                <w:szCs w:val="21"/>
              </w:rPr>
              <w:t>年末</w:t>
            </w:r>
          </w:p>
        </w:tc>
      </w:tr>
      <w:tr w:rsidR="004623B3" w:rsidRPr="00AC0191" w:rsidTr="004623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E65B4">
            <w:pPr>
              <w:widowControl/>
              <w:spacing w:line="360" w:lineRule="auto"/>
              <w:jc w:val="left"/>
              <w:rPr>
                <w:rFonts w:asciiTheme="minorEastAsia" w:eastAsiaTheme="minorEastAsia" w:hAnsiTheme="minorEastAsia"/>
                <w:b/>
                <w:szCs w:val="21"/>
              </w:rPr>
            </w:pP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542B23">
            <w:pPr>
              <w:spacing w:before="29" w:line="288" w:lineRule="auto"/>
              <w:rPr>
                <w:szCs w:val="21"/>
              </w:rPr>
            </w:pPr>
            <w:r w:rsidRPr="00AC0191">
              <w:rPr>
                <w:rFonts w:hint="eastAsia"/>
                <w:szCs w:val="21"/>
              </w:rPr>
              <w:t>交银天</w:t>
            </w:r>
            <w:proofErr w:type="gramStart"/>
            <w:r w:rsidRPr="00AC0191">
              <w:rPr>
                <w:rFonts w:hint="eastAsia"/>
                <w:szCs w:val="21"/>
              </w:rPr>
              <w:t>鑫宝货币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542B23">
            <w:pPr>
              <w:spacing w:before="29" w:line="288" w:lineRule="auto"/>
              <w:rPr>
                <w:szCs w:val="21"/>
              </w:rPr>
            </w:pPr>
            <w:r>
              <w:rPr>
                <w:rFonts w:hint="eastAsia"/>
                <w:szCs w:val="21"/>
              </w:rPr>
              <w:t>交银天</w:t>
            </w:r>
            <w:proofErr w:type="gramStart"/>
            <w:r>
              <w:rPr>
                <w:rFonts w:hint="eastAsia"/>
                <w:szCs w:val="21"/>
              </w:rPr>
              <w:t>鑫宝货币</w:t>
            </w:r>
            <w:proofErr w:type="gramEnd"/>
            <w:r>
              <w:rPr>
                <w:rFonts w:hint="eastAsia"/>
                <w:szCs w:val="21"/>
              </w:rPr>
              <w:t>E</w:t>
            </w:r>
          </w:p>
        </w:tc>
        <w:tc>
          <w:tcPr>
            <w:tcW w:w="1045" w:type="pct"/>
            <w:tcBorders>
              <w:top w:val="single" w:sz="4" w:space="0" w:color="000000"/>
              <w:left w:val="single" w:sz="4" w:space="0" w:color="000000"/>
              <w:right w:val="single" w:sz="4" w:space="0" w:color="000000"/>
            </w:tcBorders>
            <w:vAlign w:val="center"/>
            <w:hideMark/>
          </w:tcPr>
          <w:p w:rsidR="004623B3" w:rsidRPr="00AC0191" w:rsidRDefault="004623B3" w:rsidP="004623B3">
            <w:pPr>
              <w:spacing w:before="29" w:line="288" w:lineRule="auto"/>
              <w:rPr>
                <w:szCs w:val="21"/>
              </w:rPr>
            </w:pPr>
            <w:r w:rsidRPr="00AC0191">
              <w:rPr>
                <w:rFonts w:hint="eastAsia"/>
                <w:szCs w:val="21"/>
              </w:rPr>
              <w:t>交银天</w:t>
            </w:r>
            <w:proofErr w:type="gramStart"/>
            <w:r w:rsidRPr="00AC0191">
              <w:rPr>
                <w:rFonts w:hint="eastAsia"/>
                <w:szCs w:val="21"/>
              </w:rPr>
              <w:t>鑫宝货币</w:t>
            </w:r>
            <w:proofErr w:type="gramEnd"/>
            <w:r w:rsidRPr="00AC0191">
              <w:rPr>
                <w:rFonts w:hint="eastAsia"/>
                <w:szCs w:val="21"/>
              </w:rPr>
              <w:t>A</w:t>
            </w:r>
          </w:p>
        </w:tc>
        <w:tc>
          <w:tcPr>
            <w:tcW w:w="1045" w:type="pct"/>
            <w:tcBorders>
              <w:top w:val="single" w:sz="4" w:space="0" w:color="000000"/>
              <w:left w:val="single" w:sz="4" w:space="0" w:color="000000"/>
              <w:right w:val="single" w:sz="4" w:space="0" w:color="000000"/>
            </w:tcBorders>
            <w:vAlign w:val="center"/>
          </w:tcPr>
          <w:p w:rsidR="004623B3" w:rsidRPr="00AC0191" w:rsidRDefault="004623B3" w:rsidP="004E65B4">
            <w:pPr>
              <w:spacing w:before="29" w:line="288" w:lineRule="auto"/>
              <w:jc w:val="right"/>
              <w:rPr>
                <w:szCs w:val="21"/>
              </w:rPr>
            </w:pPr>
            <w:r>
              <w:rPr>
                <w:rFonts w:hint="eastAsia"/>
                <w:szCs w:val="21"/>
              </w:rPr>
              <w:t>交银天</w:t>
            </w:r>
            <w:proofErr w:type="gramStart"/>
            <w:r>
              <w:rPr>
                <w:rFonts w:hint="eastAsia"/>
                <w:szCs w:val="21"/>
              </w:rPr>
              <w:t>鑫宝货币</w:t>
            </w:r>
            <w:proofErr w:type="gramEnd"/>
            <w:r>
              <w:rPr>
                <w:rFonts w:hint="eastAsia"/>
                <w:szCs w:val="21"/>
              </w:rPr>
              <w:t>E</w:t>
            </w:r>
          </w:p>
        </w:tc>
      </w:tr>
      <w:tr w:rsidR="004623B3" w:rsidRPr="00AC0191" w:rsidTr="004623B3">
        <w:tc>
          <w:tcPr>
            <w:tcW w:w="822"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rPr>
                <w:szCs w:val="21"/>
              </w:rPr>
            </w:pPr>
            <w:r w:rsidRPr="00AC0191">
              <w:rPr>
                <w:rFonts w:hint="eastAsia"/>
                <w:szCs w:val="21"/>
              </w:rPr>
              <w:t>期末基金资产净值</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right"/>
              <w:rPr>
                <w:szCs w:val="21"/>
              </w:rPr>
            </w:pPr>
            <w:r w:rsidRPr="00AC0191">
              <w:rPr>
                <w:rFonts w:hint="eastAsia"/>
                <w:szCs w:val="21"/>
              </w:rPr>
              <w:t>94,716,926.30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right"/>
              <w:rPr>
                <w:szCs w:val="21"/>
              </w:rPr>
            </w:pPr>
            <w:r>
              <w:rPr>
                <w:rFonts w:hint="eastAsia"/>
                <w:szCs w:val="21"/>
              </w:rPr>
              <w:t>23,450,734,874.15</w:t>
            </w:r>
          </w:p>
        </w:tc>
        <w:tc>
          <w:tcPr>
            <w:tcW w:w="1045" w:type="pct"/>
            <w:tcBorders>
              <w:left w:val="single" w:sz="4" w:space="0" w:color="000000"/>
              <w:right w:val="single" w:sz="4" w:space="0" w:color="000000"/>
            </w:tcBorders>
            <w:vAlign w:val="center"/>
            <w:hideMark/>
          </w:tcPr>
          <w:p w:rsidR="004623B3" w:rsidRPr="00506D23" w:rsidRDefault="004623B3" w:rsidP="004623B3">
            <w:pPr>
              <w:spacing w:before="29" w:line="288" w:lineRule="auto"/>
              <w:jc w:val="right"/>
              <w:rPr>
                <w:szCs w:val="21"/>
              </w:rPr>
            </w:pPr>
            <w:r w:rsidRPr="00506D23">
              <w:rPr>
                <w:rFonts w:hint="eastAsia"/>
                <w:szCs w:val="21"/>
              </w:rPr>
              <w:t>230,120.24</w:t>
            </w:r>
          </w:p>
        </w:tc>
        <w:tc>
          <w:tcPr>
            <w:tcW w:w="1045" w:type="pct"/>
            <w:tcBorders>
              <w:left w:val="single" w:sz="4" w:space="0" w:color="000000"/>
              <w:right w:val="single" w:sz="4" w:space="0" w:color="000000"/>
            </w:tcBorders>
            <w:vAlign w:val="center"/>
          </w:tcPr>
          <w:p w:rsidR="004623B3" w:rsidRPr="00506D23" w:rsidRDefault="004623B3" w:rsidP="004623B3">
            <w:pPr>
              <w:spacing w:before="29" w:line="288" w:lineRule="auto"/>
              <w:jc w:val="right"/>
              <w:rPr>
                <w:szCs w:val="21"/>
              </w:rPr>
            </w:pPr>
            <w:r w:rsidRPr="00506D23">
              <w:rPr>
                <w:rFonts w:hint="eastAsia"/>
                <w:szCs w:val="21"/>
              </w:rPr>
              <w:t>200,444,301.68</w:t>
            </w:r>
          </w:p>
        </w:tc>
      </w:tr>
      <w:tr w:rsidR="004623B3" w:rsidRPr="00AC0191" w:rsidTr="004623B3">
        <w:tc>
          <w:tcPr>
            <w:tcW w:w="822"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rPr>
                <w:szCs w:val="21"/>
              </w:rPr>
            </w:pPr>
            <w:r w:rsidRPr="00AC0191">
              <w:rPr>
                <w:rFonts w:hint="eastAsia"/>
                <w:szCs w:val="21"/>
              </w:rPr>
              <w:t>期末基金份额净值</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right"/>
              <w:rPr>
                <w:szCs w:val="21"/>
              </w:rPr>
            </w:pPr>
            <w:r w:rsidRPr="00AC0191">
              <w:rPr>
                <w:rFonts w:hint="eastAsia"/>
                <w:szCs w:val="21"/>
              </w:rPr>
              <w:t>1.000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right"/>
              <w:rPr>
                <w:szCs w:val="21"/>
              </w:rPr>
            </w:pPr>
            <w:r>
              <w:rPr>
                <w:rFonts w:hint="eastAsia"/>
                <w:szCs w:val="21"/>
              </w:rPr>
              <w:t>1.000</w:t>
            </w:r>
          </w:p>
        </w:tc>
        <w:tc>
          <w:tcPr>
            <w:tcW w:w="1045" w:type="pct"/>
            <w:tcBorders>
              <w:left w:val="single" w:sz="4" w:space="0" w:color="000000"/>
              <w:bottom w:val="single" w:sz="4" w:space="0" w:color="000000"/>
              <w:right w:val="single" w:sz="4" w:space="0" w:color="000000"/>
            </w:tcBorders>
            <w:vAlign w:val="center"/>
            <w:hideMark/>
          </w:tcPr>
          <w:p w:rsidR="004623B3" w:rsidRPr="00AC0191" w:rsidRDefault="004623B3" w:rsidP="004623B3">
            <w:pPr>
              <w:spacing w:before="29" w:line="288" w:lineRule="auto"/>
              <w:jc w:val="right"/>
              <w:rPr>
                <w:szCs w:val="21"/>
              </w:rPr>
            </w:pPr>
            <w:r w:rsidRPr="00AC0191">
              <w:rPr>
                <w:rFonts w:hint="eastAsia"/>
                <w:szCs w:val="21"/>
              </w:rPr>
              <w:t>1.000</w:t>
            </w:r>
          </w:p>
        </w:tc>
        <w:tc>
          <w:tcPr>
            <w:tcW w:w="1045" w:type="pct"/>
            <w:tcBorders>
              <w:left w:val="single" w:sz="4" w:space="0" w:color="000000"/>
              <w:bottom w:val="single" w:sz="4" w:space="0" w:color="000000"/>
              <w:right w:val="single" w:sz="4" w:space="0" w:color="000000"/>
            </w:tcBorders>
            <w:vAlign w:val="center"/>
          </w:tcPr>
          <w:p w:rsidR="004623B3" w:rsidRPr="00AC0191" w:rsidRDefault="004623B3" w:rsidP="004623B3">
            <w:pPr>
              <w:spacing w:before="29" w:line="288" w:lineRule="auto"/>
              <w:jc w:val="right"/>
              <w:rPr>
                <w:szCs w:val="21"/>
              </w:rPr>
            </w:pPr>
            <w:r>
              <w:rPr>
                <w:rFonts w:hint="eastAsia"/>
                <w:szCs w:val="21"/>
              </w:rPr>
              <w:t>1.000</w:t>
            </w:r>
          </w:p>
        </w:tc>
      </w:tr>
    </w:tbl>
    <w:p w:rsidR="00990C7B" w:rsidRDefault="000C485A">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r>
        <w:rPr>
          <w:rFonts w:hint="eastAsia"/>
          <w:kern w:val="0"/>
          <w:sz w:val="24"/>
        </w:rPr>
        <w:t xml:space="preserve">  </w:t>
      </w:r>
    </w:p>
    <w:p w:rsidR="00990C7B" w:rsidRDefault="000C485A">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990C7B" w:rsidRDefault="000C485A">
      <w:pPr>
        <w:spacing w:before="29" w:line="288" w:lineRule="auto"/>
        <w:jc w:val="left"/>
        <w:rPr>
          <w:kern w:val="0"/>
          <w:sz w:val="24"/>
        </w:rPr>
      </w:pPr>
      <w:r>
        <w:rPr>
          <w:rFonts w:hint="eastAsia"/>
          <w:kern w:val="0"/>
          <w:sz w:val="24"/>
        </w:rPr>
        <w:lastRenderedPageBreak/>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7D254C">
        <w:rPr>
          <w:rFonts w:hint="eastAsia"/>
          <w:kern w:val="0"/>
          <w:sz w:val="24"/>
        </w:rPr>
        <w:t>余成本</w:t>
      </w:r>
      <w:proofErr w:type="gramEnd"/>
      <w:r w:rsidRPr="007D254C">
        <w:rPr>
          <w:rFonts w:hint="eastAsia"/>
          <w:kern w:val="0"/>
          <w:sz w:val="24"/>
        </w:rPr>
        <w:t>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w:t>
      </w:r>
      <w:proofErr w:type="gramStart"/>
      <w:r w:rsidRPr="00703593">
        <w:rPr>
          <w:rFonts w:ascii="Times New Roman" w:hAnsi="Times New Roman" w:hint="eastAsia"/>
          <w:b/>
          <w:color w:val="auto"/>
        </w:rPr>
        <w:t>鑫宝货币</w:t>
      </w:r>
      <w:proofErr w:type="gramEnd"/>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90C7B">
        <w:tc>
          <w:tcPr>
            <w:tcW w:w="1286" w:type="dxa"/>
            <w:vAlign w:val="center"/>
          </w:tcPr>
          <w:p w:rsidR="00990C7B" w:rsidRDefault="000C485A">
            <w:pPr>
              <w:jc w:val="left"/>
            </w:pPr>
            <w:r>
              <w:rPr>
                <w:sz w:val="24"/>
              </w:rPr>
              <w:t>过去三个月</w:t>
            </w:r>
          </w:p>
        </w:tc>
        <w:tc>
          <w:tcPr>
            <w:tcW w:w="1286" w:type="dxa"/>
            <w:vAlign w:val="center"/>
          </w:tcPr>
          <w:p w:rsidR="00990C7B" w:rsidRDefault="000C485A">
            <w:pPr>
              <w:jc w:val="center"/>
            </w:pPr>
            <w:r>
              <w:rPr>
                <w:sz w:val="24"/>
              </w:rPr>
              <w:t>1.0395%</w:t>
            </w:r>
          </w:p>
        </w:tc>
        <w:tc>
          <w:tcPr>
            <w:tcW w:w="1286" w:type="dxa"/>
            <w:vAlign w:val="center"/>
          </w:tcPr>
          <w:p w:rsidR="00990C7B" w:rsidRDefault="000C485A">
            <w:pPr>
              <w:jc w:val="center"/>
            </w:pPr>
            <w:r>
              <w:rPr>
                <w:sz w:val="24"/>
              </w:rPr>
              <w:t>0.0006%</w:t>
            </w:r>
          </w:p>
        </w:tc>
        <w:tc>
          <w:tcPr>
            <w:tcW w:w="1285" w:type="dxa"/>
            <w:vAlign w:val="center"/>
          </w:tcPr>
          <w:p w:rsidR="00990C7B" w:rsidRDefault="000C485A">
            <w:pPr>
              <w:jc w:val="center"/>
            </w:pPr>
            <w:r>
              <w:rPr>
                <w:sz w:val="24"/>
              </w:rPr>
              <w:t>0.0882%</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0.9513%</w:t>
            </w:r>
          </w:p>
        </w:tc>
        <w:tc>
          <w:tcPr>
            <w:tcW w:w="1285" w:type="dxa"/>
            <w:vAlign w:val="center"/>
          </w:tcPr>
          <w:p w:rsidR="00990C7B" w:rsidRDefault="000C485A">
            <w:pPr>
              <w:jc w:val="center"/>
            </w:pPr>
            <w:r>
              <w:rPr>
                <w:sz w:val="24"/>
              </w:rPr>
              <w:t>0.0006%</w:t>
            </w:r>
          </w:p>
        </w:tc>
      </w:tr>
      <w:tr w:rsidR="00990C7B">
        <w:tc>
          <w:tcPr>
            <w:tcW w:w="1286" w:type="dxa"/>
            <w:vAlign w:val="center"/>
          </w:tcPr>
          <w:p w:rsidR="00990C7B" w:rsidRDefault="000C485A">
            <w:pPr>
              <w:jc w:val="left"/>
            </w:pPr>
            <w:r>
              <w:rPr>
                <w:sz w:val="24"/>
              </w:rPr>
              <w:t>过去六个月</w:t>
            </w:r>
          </w:p>
        </w:tc>
        <w:tc>
          <w:tcPr>
            <w:tcW w:w="1286" w:type="dxa"/>
            <w:vAlign w:val="center"/>
          </w:tcPr>
          <w:p w:rsidR="00990C7B" w:rsidRDefault="000C485A">
            <w:pPr>
              <w:jc w:val="center"/>
            </w:pPr>
            <w:r>
              <w:rPr>
                <w:sz w:val="24"/>
              </w:rPr>
              <w:t>2.0745%</w:t>
            </w:r>
          </w:p>
        </w:tc>
        <w:tc>
          <w:tcPr>
            <w:tcW w:w="1286" w:type="dxa"/>
            <w:vAlign w:val="center"/>
          </w:tcPr>
          <w:p w:rsidR="00990C7B" w:rsidRDefault="000C485A">
            <w:pPr>
              <w:jc w:val="center"/>
            </w:pPr>
            <w:r>
              <w:rPr>
                <w:sz w:val="24"/>
              </w:rPr>
              <w:t>0.0013%</w:t>
            </w:r>
          </w:p>
        </w:tc>
        <w:tc>
          <w:tcPr>
            <w:tcW w:w="1285" w:type="dxa"/>
            <w:vAlign w:val="center"/>
          </w:tcPr>
          <w:p w:rsidR="00990C7B" w:rsidRDefault="000C485A">
            <w:pPr>
              <w:jc w:val="center"/>
            </w:pPr>
            <w:r>
              <w:rPr>
                <w:sz w:val="24"/>
              </w:rPr>
              <w:t>0.1764%</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1.8981%</w:t>
            </w:r>
          </w:p>
        </w:tc>
        <w:tc>
          <w:tcPr>
            <w:tcW w:w="1285" w:type="dxa"/>
            <w:vAlign w:val="center"/>
          </w:tcPr>
          <w:p w:rsidR="00990C7B" w:rsidRDefault="000C485A">
            <w:pPr>
              <w:jc w:val="center"/>
            </w:pPr>
            <w:r>
              <w:rPr>
                <w:sz w:val="24"/>
              </w:rPr>
              <w:t>0.0013%</w:t>
            </w:r>
          </w:p>
        </w:tc>
      </w:tr>
      <w:tr w:rsidR="00990C7B">
        <w:tc>
          <w:tcPr>
            <w:tcW w:w="1286" w:type="dxa"/>
            <w:vAlign w:val="center"/>
          </w:tcPr>
          <w:p w:rsidR="00990C7B" w:rsidRDefault="000C485A">
            <w:pPr>
              <w:jc w:val="left"/>
            </w:pPr>
            <w:r>
              <w:rPr>
                <w:sz w:val="24"/>
              </w:rPr>
              <w:t>过去一年</w:t>
            </w:r>
          </w:p>
        </w:tc>
        <w:tc>
          <w:tcPr>
            <w:tcW w:w="1286" w:type="dxa"/>
            <w:vAlign w:val="center"/>
          </w:tcPr>
          <w:p w:rsidR="00990C7B" w:rsidRDefault="000C485A">
            <w:pPr>
              <w:jc w:val="center"/>
            </w:pPr>
            <w:r>
              <w:rPr>
                <w:sz w:val="24"/>
              </w:rPr>
              <w:t>3.7108%</w:t>
            </w:r>
          </w:p>
        </w:tc>
        <w:tc>
          <w:tcPr>
            <w:tcW w:w="1286" w:type="dxa"/>
            <w:vAlign w:val="center"/>
          </w:tcPr>
          <w:p w:rsidR="00990C7B" w:rsidRDefault="000C485A">
            <w:pPr>
              <w:jc w:val="center"/>
            </w:pPr>
            <w:r>
              <w:rPr>
                <w:sz w:val="24"/>
              </w:rPr>
              <w:t>0.0031%</w:t>
            </w:r>
          </w:p>
        </w:tc>
        <w:tc>
          <w:tcPr>
            <w:tcW w:w="1285" w:type="dxa"/>
            <w:vAlign w:val="center"/>
          </w:tcPr>
          <w:p w:rsidR="00990C7B" w:rsidRDefault="000C485A">
            <w:pPr>
              <w:jc w:val="center"/>
            </w:pPr>
            <w:r>
              <w:rPr>
                <w:sz w:val="24"/>
              </w:rPr>
              <w:t>0.3500%</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3.3608%</w:t>
            </w:r>
          </w:p>
        </w:tc>
        <w:tc>
          <w:tcPr>
            <w:tcW w:w="1285" w:type="dxa"/>
            <w:vAlign w:val="center"/>
          </w:tcPr>
          <w:p w:rsidR="00990C7B" w:rsidRDefault="000C485A">
            <w:pPr>
              <w:jc w:val="center"/>
            </w:pPr>
            <w:r>
              <w:rPr>
                <w:sz w:val="24"/>
              </w:rPr>
              <w:t>0.0031%</w:t>
            </w:r>
          </w:p>
        </w:tc>
      </w:tr>
      <w:tr w:rsidR="00990C7B">
        <w:tc>
          <w:tcPr>
            <w:tcW w:w="1286" w:type="dxa"/>
            <w:vAlign w:val="center"/>
          </w:tcPr>
          <w:p w:rsidR="00990C7B" w:rsidRDefault="000C485A">
            <w:pPr>
              <w:jc w:val="left"/>
            </w:pPr>
            <w:r>
              <w:rPr>
                <w:sz w:val="24"/>
              </w:rPr>
              <w:t>自基金合同生效起至今</w:t>
            </w:r>
          </w:p>
        </w:tc>
        <w:tc>
          <w:tcPr>
            <w:tcW w:w="1286" w:type="dxa"/>
            <w:vAlign w:val="center"/>
          </w:tcPr>
          <w:p w:rsidR="00990C7B" w:rsidRDefault="000C485A">
            <w:pPr>
              <w:jc w:val="center"/>
            </w:pPr>
            <w:r>
              <w:rPr>
                <w:sz w:val="24"/>
              </w:rPr>
              <w:t>3.9164%</w:t>
            </w:r>
          </w:p>
        </w:tc>
        <w:tc>
          <w:tcPr>
            <w:tcW w:w="1286" w:type="dxa"/>
            <w:vAlign w:val="center"/>
          </w:tcPr>
          <w:p w:rsidR="00990C7B" w:rsidRDefault="000C485A">
            <w:pPr>
              <w:jc w:val="center"/>
            </w:pPr>
            <w:r>
              <w:rPr>
                <w:sz w:val="24"/>
              </w:rPr>
              <w:t>0.0033%</w:t>
            </w:r>
          </w:p>
        </w:tc>
        <w:tc>
          <w:tcPr>
            <w:tcW w:w="1285" w:type="dxa"/>
            <w:vAlign w:val="center"/>
          </w:tcPr>
          <w:p w:rsidR="00990C7B" w:rsidRDefault="000C485A">
            <w:pPr>
              <w:jc w:val="center"/>
            </w:pPr>
            <w:r>
              <w:rPr>
                <w:sz w:val="24"/>
              </w:rPr>
              <w:t>0.3740%</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3.5424%</w:t>
            </w:r>
          </w:p>
        </w:tc>
        <w:tc>
          <w:tcPr>
            <w:tcW w:w="1285" w:type="dxa"/>
            <w:vAlign w:val="center"/>
          </w:tcPr>
          <w:p w:rsidR="00990C7B" w:rsidRDefault="000C485A">
            <w:pPr>
              <w:jc w:val="center"/>
            </w:pPr>
            <w:r>
              <w:rPr>
                <w:sz w:val="24"/>
              </w:rPr>
              <w:t>0.0033%</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w:t>
      </w:r>
      <w:proofErr w:type="gramStart"/>
      <w:r w:rsidR="004E65B4">
        <w:rPr>
          <w:rFonts w:ascii="Times New Roman" w:hAnsi="Times New Roman" w:hint="eastAsia"/>
          <w:b/>
          <w:color w:val="auto"/>
        </w:rPr>
        <w:t>鑫宝货币</w:t>
      </w:r>
      <w:proofErr w:type="gramEnd"/>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90C7B">
        <w:tc>
          <w:tcPr>
            <w:tcW w:w="1286" w:type="dxa"/>
            <w:vAlign w:val="center"/>
          </w:tcPr>
          <w:p w:rsidR="00990C7B" w:rsidRDefault="000C485A">
            <w:pPr>
              <w:jc w:val="left"/>
            </w:pPr>
            <w:r>
              <w:rPr>
                <w:sz w:val="24"/>
              </w:rPr>
              <w:t>过去三个月</w:t>
            </w:r>
          </w:p>
        </w:tc>
        <w:tc>
          <w:tcPr>
            <w:tcW w:w="1286" w:type="dxa"/>
            <w:vAlign w:val="center"/>
          </w:tcPr>
          <w:p w:rsidR="00990C7B" w:rsidRDefault="000C485A">
            <w:pPr>
              <w:jc w:val="center"/>
            </w:pPr>
            <w:r>
              <w:rPr>
                <w:sz w:val="24"/>
              </w:rPr>
              <w:t>1.1004%</w:t>
            </w:r>
          </w:p>
        </w:tc>
        <w:tc>
          <w:tcPr>
            <w:tcW w:w="1286" w:type="dxa"/>
            <w:vAlign w:val="center"/>
          </w:tcPr>
          <w:p w:rsidR="00990C7B" w:rsidRDefault="000C485A">
            <w:pPr>
              <w:jc w:val="center"/>
            </w:pPr>
            <w:r>
              <w:rPr>
                <w:sz w:val="24"/>
              </w:rPr>
              <w:t>0.0006%</w:t>
            </w:r>
          </w:p>
        </w:tc>
        <w:tc>
          <w:tcPr>
            <w:tcW w:w="1285" w:type="dxa"/>
            <w:vAlign w:val="center"/>
          </w:tcPr>
          <w:p w:rsidR="00990C7B" w:rsidRDefault="000C485A">
            <w:pPr>
              <w:jc w:val="center"/>
            </w:pPr>
            <w:r>
              <w:rPr>
                <w:sz w:val="24"/>
              </w:rPr>
              <w:t>0.0882%</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1.0122%</w:t>
            </w:r>
          </w:p>
        </w:tc>
        <w:tc>
          <w:tcPr>
            <w:tcW w:w="1285" w:type="dxa"/>
            <w:vAlign w:val="center"/>
          </w:tcPr>
          <w:p w:rsidR="00990C7B" w:rsidRDefault="000C485A">
            <w:pPr>
              <w:jc w:val="center"/>
            </w:pPr>
            <w:r>
              <w:rPr>
                <w:sz w:val="24"/>
              </w:rPr>
              <w:t>0.0006%</w:t>
            </w:r>
          </w:p>
        </w:tc>
      </w:tr>
      <w:tr w:rsidR="00990C7B">
        <w:tc>
          <w:tcPr>
            <w:tcW w:w="1286" w:type="dxa"/>
            <w:vAlign w:val="center"/>
          </w:tcPr>
          <w:p w:rsidR="00990C7B" w:rsidRDefault="000C485A">
            <w:pPr>
              <w:jc w:val="left"/>
            </w:pPr>
            <w:r>
              <w:rPr>
                <w:sz w:val="24"/>
              </w:rPr>
              <w:t>过去六个月</w:t>
            </w:r>
          </w:p>
        </w:tc>
        <w:tc>
          <w:tcPr>
            <w:tcW w:w="1286" w:type="dxa"/>
            <w:vAlign w:val="center"/>
          </w:tcPr>
          <w:p w:rsidR="00990C7B" w:rsidRDefault="000C485A">
            <w:pPr>
              <w:jc w:val="center"/>
            </w:pPr>
            <w:r>
              <w:rPr>
                <w:sz w:val="24"/>
              </w:rPr>
              <w:t>2.1976%</w:t>
            </w:r>
          </w:p>
        </w:tc>
        <w:tc>
          <w:tcPr>
            <w:tcW w:w="1286" w:type="dxa"/>
            <w:vAlign w:val="center"/>
          </w:tcPr>
          <w:p w:rsidR="00990C7B" w:rsidRDefault="000C485A">
            <w:pPr>
              <w:jc w:val="center"/>
            </w:pPr>
            <w:r>
              <w:rPr>
                <w:sz w:val="24"/>
              </w:rPr>
              <w:t>0.0013%</w:t>
            </w:r>
          </w:p>
        </w:tc>
        <w:tc>
          <w:tcPr>
            <w:tcW w:w="1285" w:type="dxa"/>
            <w:vAlign w:val="center"/>
          </w:tcPr>
          <w:p w:rsidR="00990C7B" w:rsidRDefault="000C485A">
            <w:pPr>
              <w:jc w:val="center"/>
            </w:pPr>
            <w:r>
              <w:rPr>
                <w:sz w:val="24"/>
              </w:rPr>
              <w:t>0.1764%</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2.0212%</w:t>
            </w:r>
          </w:p>
        </w:tc>
        <w:tc>
          <w:tcPr>
            <w:tcW w:w="1285" w:type="dxa"/>
            <w:vAlign w:val="center"/>
          </w:tcPr>
          <w:p w:rsidR="00990C7B" w:rsidRDefault="000C485A">
            <w:pPr>
              <w:jc w:val="center"/>
            </w:pPr>
            <w:r>
              <w:rPr>
                <w:sz w:val="24"/>
              </w:rPr>
              <w:t>0.0013%</w:t>
            </w:r>
          </w:p>
        </w:tc>
      </w:tr>
      <w:tr w:rsidR="00990C7B">
        <w:tc>
          <w:tcPr>
            <w:tcW w:w="1286" w:type="dxa"/>
            <w:vAlign w:val="center"/>
          </w:tcPr>
          <w:p w:rsidR="00990C7B" w:rsidRDefault="000C485A">
            <w:pPr>
              <w:jc w:val="left"/>
            </w:pPr>
            <w:r>
              <w:rPr>
                <w:sz w:val="24"/>
              </w:rPr>
              <w:t>过去一年</w:t>
            </w:r>
          </w:p>
        </w:tc>
        <w:tc>
          <w:tcPr>
            <w:tcW w:w="1286" w:type="dxa"/>
            <w:vAlign w:val="center"/>
          </w:tcPr>
          <w:p w:rsidR="00990C7B" w:rsidRDefault="000C485A">
            <w:pPr>
              <w:jc w:val="center"/>
            </w:pPr>
            <w:r>
              <w:rPr>
                <w:sz w:val="24"/>
              </w:rPr>
              <w:t>3.9592%</w:t>
            </w:r>
          </w:p>
        </w:tc>
        <w:tc>
          <w:tcPr>
            <w:tcW w:w="1286" w:type="dxa"/>
            <w:vAlign w:val="center"/>
          </w:tcPr>
          <w:p w:rsidR="00990C7B" w:rsidRDefault="000C485A">
            <w:pPr>
              <w:jc w:val="center"/>
            </w:pPr>
            <w:r>
              <w:rPr>
                <w:sz w:val="24"/>
              </w:rPr>
              <w:t>0.0031%</w:t>
            </w:r>
          </w:p>
        </w:tc>
        <w:tc>
          <w:tcPr>
            <w:tcW w:w="1285" w:type="dxa"/>
            <w:vAlign w:val="center"/>
          </w:tcPr>
          <w:p w:rsidR="00990C7B" w:rsidRDefault="000C485A">
            <w:pPr>
              <w:jc w:val="center"/>
            </w:pPr>
            <w:r>
              <w:rPr>
                <w:sz w:val="24"/>
              </w:rPr>
              <w:t>0.3500%</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3.6092%</w:t>
            </w:r>
          </w:p>
        </w:tc>
        <w:tc>
          <w:tcPr>
            <w:tcW w:w="1285" w:type="dxa"/>
            <w:vAlign w:val="center"/>
          </w:tcPr>
          <w:p w:rsidR="00990C7B" w:rsidRDefault="000C485A">
            <w:pPr>
              <w:jc w:val="center"/>
            </w:pPr>
            <w:r>
              <w:rPr>
                <w:sz w:val="24"/>
              </w:rPr>
              <w:t>0.0031%</w:t>
            </w:r>
          </w:p>
        </w:tc>
      </w:tr>
      <w:tr w:rsidR="00990C7B">
        <w:tc>
          <w:tcPr>
            <w:tcW w:w="1286" w:type="dxa"/>
            <w:vAlign w:val="center"/>
          </w:tcPr>
          <w:p w:rsidR="00990C7B" w:rsidRDefault="000C485A">
            <w:pPr>
              <w:jc w:val="left"/>
            </w:pPr>
            <w:r>
              <w:rPr>
                <w:sz w:val="24"/>
              </w:rPr>
              <w:t>自基金合同生效起至今</w:t>
            </w:r>
          </w:p>
        </w:tc>
        <w:tc>
          <w:tcPr>
            <w:tcW w:w="1286" w:type="dxa"/>
            <w:vAlign w:val="center"/>
          </w:tcPr>
          <w:p w:rsidR="00990C7B" w:rsidRDefault="000C485A">
            <w:pPr>
              <w:jc w:val="center"/>
            </w:pPr>
            <w:r>
              <w:rPr>
                <w:sz w:val="24"/>
              </w:rPr>
              <w:t>4.1813%</w:t>
            </w:r>
          </w:p>
        </w:tc>
        <w:tc>
          <w:tcPr>
            <w:tcW w:w="1286" w:type="dxa"/>
            <w:vAlign w:val="center"/>
          </w:tcPr>
          <w:p w:rsidR="00990C7B" w:rsidRDefault="000C485A">
            <w:pPr>
              <w:jc w:val="center"/>
            </w:pPr>
            <w:r>
              <w:rPr>
                <w:sz w:val="24"/>
              </w:rPr>
              <w:t>0.0032%</w:t>
            </w:r>
          </w:p>
        </w:tc>
        <w:tc>
          <w:tcPr>
            <w:tcW w:w="1285" w:type="dxa"/>
            <w:vAlign w:val="center"/>
          </w:tcPr>
          <w:p w:rsidR="00990C7B" w:rsidRDefault="000C485A">
            <w:pPr>
              <w:jc w:val="center"/>
            </w:pPr>
            <w:r>
              <w:rPr>
                <w:sz w:val="24"/>
              </w:rPr>
              <w:t>0.3740%</w:t>
            </w:r>
          </w:p>
        </w:tc>
        <w:tc>
          <w:tcPr>
            <w:tcW w:w="1285" w:type="dxa"/>
            <w:vAlign w:val="center"/>
          </w:tcPr>
          <w:p w:rsidR="00990C7B" w:rsidRDefault="000C485A">
            <w:pPr>
              <w:jc w:val="center"/>
            </w:pPr>
            <w:r>
              <w:rPr>
                <w:sz w:val="24"/>
              </w:rPr>
              <w:t>0.0000%</w:t>
            </w:r>
          </w:p>
        </w:tc>
        <w:tc>
          <w:tcPr>
            <w:tcW w:w="1285" w:type="dxa"/>
            <w:vAlign w:val="center"/>
          </w:tcPr>
          <w:p w:rsidR="00990C7B" w:rsidRDefault="000C485A">
            <w:pPr>
              <w:jc w:val="center"/>
            </w:pPr>
            <w:r>
              <w:rPr>
                <w:sz w:val="24"/>
              </w:rPr>
              <w:t>3.8073%</w:t>
            </w:r>
          </w:p>
        </w:tc>
        <w:tc>
          <w:tcPr>
            <w:tcW w:w="1285" w:type="dxa"/>
            <w:vAlign w:val="center"/>
          </w:tcPr>
          <w:p w:rsidR="00990C7B" w:rsidRDefault="000C485A">
            <w:pPr>
              <w:jc w:val="center"/>
            </w:pPr>
            <w:r>
              <w:rPr>
                <w:sz w:val="24"/>
              </w:rPr>
              <w:t>0.0032%</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w:t>
      </w:r>
      <w:proofErr w:type="gramStart"/>
      <w:r w:rsidRPr="003449F7">
        <w:rPr>
          <w:rFonts w:hint="eastAsia"/>
          <w:color w:val="000000"/>
          <w:sz w:val="24"/>
        </w:rPr>
        <w:t>鑫宝货币</w:t>
      </w:r>
      <w:proofErr w:type="gramEnd"/>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w:t>
      </w:r>
      <w:proofErr w:type="gramStart"/>
      <w:r w:rsidRPr="007D254C">
        <w:rPr>
          <w:rFonts w:hint="eastAsia"/>
          <w:kern w:val="0"/>
          <w:sz w:val="24"/>
        </w:rPr>
        <w:t>基金基金</w:t>
      </w:r>
      <w:proofErr w:type="gramEnd"/>
      <w:r w:rsidRPr="007D254C">
        <w:rPr>
          <w:rFonts w:hint="eastAsia"/>
          <w:kern w:val="0"/>
          <w:sz w:val="24"/>
        </w:rPr>
        <w:t>合同生效日为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7</w:t>
      </w:r>
      <w:r w:rsidRPr="007D254C">
        <w:rPr>
          <w:rFonts w:hint="eastAsia"/>
          <w:kern w:val="0"/>
          <w:sz w:val="24"/>
        </w:rPr>
        <w:t>日，截至报告期期末，本基金已完成</w:t>
      </w:r>
      <w:proofErr w:type="gramStart"/>
      <w:r w:rsidRPr="007D254C">
        <w:rPr>
          <w:rFonts w:hint="eastAsia"/>
          <w:kern w:val="0"/>
          <w:sz w:val="24"/>
        </w:rPr>
        <w:t>建仓但</w:t>
      </w:r>
      <w:proofErr w:type="gramEnd"/>
      <w:r w:rsidRPr="007D254C">
        <w:rPr>
          <w:rFonts w:hint="eastAsia"/>
          <w:kern w:val="0"/>
          <w:sz w:val="24"/>
        </w:rPr>
        <w:t>报告期期末距建仓结束未满一年。本基金建仓期为自基金合同生效日起的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w:t>
      </w:r>
      <w:proofErr w:type="gramStart"/>
      <w:r w:rsidR="004E65B4">
        <w:rPr>
          <w:rFonts w:hint="eastAsia"/>
          <w:color w:val="000000"/>
          <w:sz w:val="24"/>
        </w:rPr>
        <w:t>鑫宝货币</w:t>
      </w:r>
      <w:proofErr w:type="gramEnd"/>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w:t>
      </w:r>
      <w:proofErr w:type="gramStart"/>
      <w:r>
        <w:rPr>
          <w:rFonts w:hint="eastAsia"/>
          <w:kern w:val="0"/>
          <w:sz w:val="24"/>
        </w:rPr>
        <w:t>基金基金</w:t>
      </w:r>
      <w:proofErr w:type="gramEnd"/>
      <w:r>
        <w:rPr>
          <w:rFonts w:hint="eastAsia"/>
          <w:kern w:val="0"/>
          <w:sz w:val="24"/>
        </w:rPr>
        <w:t>合同生效日为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日，截至报告期期末，本基金已完成</w:t>
      </w:r>
      <w:proofErr w:type="gramStart"/>
      <w:r>
        <w:rPr>
          <w:rFonts w:hint="eastAsia"/>
          <w:kern w:val="0"/>
          <w:sz w:val="24"/>
        </w:rPr>
        <w:t>建仓但</w:t>
      </w:r>
      <w:proofErr w:type="gramEnd"/>
      <w:r>
        <w:rPr>
          <w:rFonts w:hint="eastAsia"/>
          <w:kern w:val="0"/>
          <w:sz w:val="24"/>
        </w:rPr>
        <w:t>报告期期末距建仓结束未满一年。本基金建仓期为自基金合同生效日起的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w:t>
      </w:r>
      <w:proofErr w:type="gramStart"/>
      <w:r w:rsidR="00223DFB" w:rsidRPr="00644949">
        <w:rPr>
          <w:rFonts w:hint="eastAsia"/>
          <w:color w:val="000000"/>
          <w:sz w:val="24"/>
        </w:rPr>
        <w:t>鑫宝货币</w:t>
      </w:r>
      <w:proofErr w:type="gramEnd"/>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lastRenderedPageBreak/>
        <w:t>注：图示日期为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7</w:t>
      </w:r>
      <w:r w:rsidRPr="007D254C">
        <w:rPr>
          <w:rFonts w:hint="eastAsia"/>
          <w:kern w:val="0"/>
          <w:sz w:val="24"/>
        </w:rPr>
        <w:t>日（基金合同生效日）至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w:t>
      </w:r>
      <w:proofErr w:type="gramStart"/>
      <w:r w:rsidR="004E65B4">
        <w:rPr>
          <w:rFonts w:hint="eastAsia"/>
          <w:color w:val="000000"/>
          <w:sz w:val="24"/>
        </w:rPr>
        <w:t>鑫宝货币</w:t>
      </w:r>
      <w:proofErr w:type="gramEnd"/>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日（基金合同生效日）至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w:t>
      </w:r>
      <w:proofErr w:type="gramStart"/>
      <w:r w:rsidRPr="0036012E">
        <w:rPr>
          <w:rFonts w:hint="eastAsia"/>
          <w:color w:val="000000"/>
          <w:sz w:val="24"/>
        </w:rPr>
        <w:t>鑫宝货币</w:t>
      </w:r>
      <w:proofErr w:type="gramEnd"/>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90C7B">
        <w:tc>
          <w:tcPr>
            <w:tcW w:w="1499" w:type="dxa"/>
            <w:vAlign w:val="center"/>
          </w:tcPr>
          <w:p w:rsidR="00990C7B" w:rsidRDefault="000C485A">
            <w:pPr>
              <w:jc w:val="center"/>
            </w:pPr>
            <w:r>
              <w:rPr>
                <w:rFonts w:hint="eastAsia"/>
                <w:color w:val="000000"/>
                <w:sz w:val="24"/>
              </w:rPr>
              <w:t>2017</w:t>
            </w:r>
            <w:r>
              <w:rPr>
                <w:rFonts w:hint="eastAsia"/>
                <w:color w:val="000000"/>
                <w:sz w:val="24"/>
              </w:rPr>
              <w:t>年</w:t>
            </w:r>
          </w:p>
        </w:tc>
        <w:tc>
          <w:tcPr>
            <w:tcW w:w="1499" w:type="dxa"/>
            <w:vAlign w:val="center"/>
          </w:tcPr>
          <w:p w:rsidR="00990C7B" w:rsidRDefault="000C485A">
            <w:pPr>
              <w:jc w:val="right"/>
            </w:pPr>
            <w:r>
              <w:rPr>
                <w:rFonts w:hint="eastAsia"/>
                <w:color w:val="000000"/>
                <w:sz w:val="24"/>
              </w:rPr>
              <w:t>1,781,543.98</w:t>
            </w:r>
          </w:p>
        </w:tc>
        <w:tc>
          <w:tcPr>
            <w:tcW w:w="1500" w:type="dxa"/>
            <w:vAlign w:val="center"/>
          </w:tcPr>
          <w:p w:rsidR="00990C7B" w:rsidRDefault="000C485A">
            <w:pPr>
              <w:jc w:val="right"/>
            </w:pPr>
            <w:r>
              <w:rPr>
                <w:rFonts w:hint="eastAsia"/>
                <w:color w:val="000000"/>
                <w:sz w:val="24"/>
              </w:rPr>
              <w:t>-</w:t>
            </w:r>
          </w:p>
        </w:tc>
        <w:tc>
          <w:tcPr>
            <w:tcW w:w="1500" w:type="dxa"/>
            <w:vAlign w:val="center"/>
          </w:tcPr>
          <w:p w:rsidR="00990C7B" w:rsidRDefault="000C485A">
            <w:pPr>
              <w:jc w:val="center"/>
            </w:pPr>
            <w:r>
              <w:rPr>
                <w:rFonts w:hint="eastAsia"/>
                <w:color w:val="000000"/>
                <w:sz w:val="24"/>
              </w:rPr>
              <w:t>12,257.75</w:t>
            </w:r>
          </w:p>
        </w:tc>
        <w:tc>
          <w:tcPr>
            <w:tcW w:w="1500" w:type="dxa"/>
            <w:vAlign w:val="center"/>
          </w:tcPr>
          <w:p w:rsidR="00990C7B" w:rsidRDefault="000C485A">
            <w:pPr>
              <w:jc w:val="right"/>
            </w:pPr>
            <w:r>
              <w:rPr>
                <w:rFonts w:hint="eastAsia"/>
                <w:color w:val="000000"/>
                <w:sz w:val="24"/>
              </w:rPr>
              <w:t>1,793,801.73</w:t>
            </w:r>
          </w:p>
        </w:tc>
        <w:tc>
          <w:tcPr>
            <w:tcW w:w="1500" w:type="dxa"/>
            <w:vAlign w:val="center"/>
          </w:tcPr>
          <w:p w:rsidR="00990C7B" w:rsidRDefault="000C485A">
            <w:pPr>
              <w:jc w:val="left"/>
            </w:pPr>
            <w:r>
              <w:rPr>
                <w:rFonts w:hint="eastAsia"/>
                <w:color w:val="000000"/>
                <w:sz w:val="24"/>
              </w:rPr>
              <w:t>-</w:t>
            </w:r>
          </w:p>
        </w:tc>
      </w:tr>
      <w:tr w:rsidR="00990C7B">
        <w:tc>
          <w:tcPr>
            <w:tcW w:w="1499" w:type="dxa"/>
            <w:vAlign w:val="center"/>
          </w:tcPr>
          <w:p w:rsidR="00990C7B" w:rsidRDefault="000C485A">
            <w:pPr>
              <w:jc w:val="center"/>
            </w:pPr>
            <w:r>
              <w:rPr>
                <w:rFonts w:hint="eastAsia"/>
                <w:color w:val="000000"/>
                <w:sz w:val="24"/>
              </w:rPr>
              <w:t>2016</w:t>
            </w:r>
            <w:r>
              <w:rPr>
                <w:rFonts w:hint="eastAsia"/>
                <w:color w:val="000000"/>
                <w:sz w:val="24"/>
              </w:rPr>
              <w:t>年</w:t>
            </w:r>
          </w:p>
        </w:tc>
        <w:tc>
          <w:tcPr>
            <w:tcW w:w="1499" w:type="dxa"/>
            <w:vAlign w:val="center"/>
          </w:tcPr>
          <w:p w:rsidR="00990C7B" w:rsidRDefault="000C485A">
            <w:pPr>
              <w:jc w:val="right"/>
            </w:pPr>
            <w:r>
              <w:rPr>
                <w:rFonts w:hint="eastAsia"/>
                <w:color w:val="000000"/>
                <w:sz w:val="24"/>
              </w:rPr>
              <w:t>333.99</w:t>
            </w:r>
          </w:p>
        </w:tc>
        <w:tc>
          <w:tcPr>
            <w:tcW w:w="1500" w:type="dxa"/>
            <w:vAlign w:val="center"/>
          </w:tcPr>
          <w:p w:rsidR="00990C7B" w:rsidRDefault="000C485A">
            <w:pPr>
              <w:jc w:val="right"/>
            </w:pPr>
            <w:r>
              <w:rPr>
                <w:rFonts w:hint="eastAsia"/>
                <w:color w:val="000000"/>
                <w:sz w:val="24"/>
              </w:rPr>
              <w:t>-</w:t>
            </w:r>
          </w:p>
        </w:tc>
        <w:tc>
          <w:tcPr>
            <w:tcW w:w="1500" w:type="dxa"/>
            <w:vAlign w:val="center"/>
          </w:tcPr>
          <w:p w:rsidR="00990C7B" w:rsidRDefault="000C485A">
            <w:pPr>
              <w:jc w:val="center"/>
            </w:pPr>
            <w:r>
              <w:rPr>
                <w:rFonts w:hint="eastAsia"/>
                <w:color w:val="000000"/>
                <w:sz w:val="24"/>
              </w:rPr>
              <w:t>9.86</w:t>
            </w:r>
          </w:p>
        </w:tc>
        <w:tc>
          <w:tcPr>
            <w:tcW w:w="1500" w:type="dxa"/>
            <w:vAlign w:val="center"/>
          </w:tcPr>
          <w:p w:rsidR="00990C7B" w:rsidRDefault="000C485A">
            <w:pPr>
              <w:jc w:val="right"/>
            </w:pPr>
            <w:r>
              <w:rPr>
                <w:rFonts w:hint="eastAsia"/>
                <w:color w:val="000000"/>
                <w:sz w:val="24"/>
              </w:rPr>
              <w:t>343.85</w:t>
            </w:r>
          </w:p>
        </w:tc>
        <w:tc>
          <w:tcPr>
            <w:tcW w:w="1500" w:type="dxa"/>
            <w:vAlign w:val="center"/>
          </w:tcPr>
          <w:p w:rsidR="00990C7B" w:rsidRDefault="000C485A">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1,781,877.97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12,267.61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1,794,145.58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w:t>
      </w:r>
      <w:proofErr w:type="gramStart"/>
      <w:r>
        <w:rPr>
          <w:rFonts w:hint="eastAsia"/>
          <w:color w:val="000000"/>
          <w:sz w:val="24"/>
        </w:rPr>
        <w:t>鑫宝货币</w:t>
      </w:r>
      <w:proofErr w:type="gramEnd"/>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w:t>
            </w:r>
            <w:r w:rsidRPr="00681B42">
              <w:rPr>
                <w:rFonts w:hint="eastAsia"/>
                <w:color w:val="000000"/>
                <w:sz w:val="24"/>
              </w:rPr>
              <w:lastRenderedPageBreak/>
              <w:t>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lastRenderedPageBreak/>
              <w:t>直接通过应付</w:t>
            </w:r>
            <w:proofErr w:type="gramStart"/>
            <w:r w:rsidRPr="00681B42">
              <w:rPr>
                <w:rFonts w:hint="eastAsia"/>
                <w:color w:val="000000"/>
                <w:sz w:val="24"/>
              </w:rPr>
              <w:t>赎回款</w:t>
            </w:r>
            <w:proofErr w:type="gramEnd"/>
            <w:r w:rsidRPr="00681B42">
              <w:rPr>
                <w:rFonts w:hint="eastAsia"/>
                <w:color w:val="000000"/>
                <w:sz w:val="24"/>
              </w:rPr>
              <w:t>转</w:t>
            </w:r>
            <w:r w:rsidRPr="00681B42">
              <w:rPr>
                <w:rFonts w:hint="eastAsia"/>
                <w:color w:val="000000"/>
                <w:sz w:val="24"/>
              </w:rPr>
              <w:lastRenderedPageBreak/>
              <w:t>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lastRenderedPageBreak/>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90C7B">
        <w:tc>
          <w:tcPr>
            <w:tcW w:w="1499" w:type="dxa"/>
            <w:vAlign w:val="center"/>
          </w:tcPr>
          <w:p w:rsidR="00990C7B" w:rsidRDefault="000C485A">
            <w:pPr>
              <w:jc w:val="center"/>
            </w:pPr>
            <w:r>
              <w:rPr>
                <w:rFonts w:hint="eastAsia"/>
                <w:color w:val="000000"/>
                <w:sz w:val="24"/>
              </w:rPr>
              <w:t>2017</w:t>
            </w:r>
            <w:r>
              <w:rPr>
                <w:rFonts w:hint="eastAsia"/>
                <w:color w:val="000000"/>
                <w:sz w:val="24"/>
              </w:rPr>
              <w:t>年</w:t>
            </w:r>
          </w:p>
        </w:tc>
        <w:tc>
          <w:tcPr>
            <w:tcW w:w="1499" w:type="dxa"/>
            <w:vAlign w:val="center"/>
          </w:tcPr>
          <w:p w:rsidR="00990C7B" w:rsidRDefault="000C485A">
            <w:pPr>
              <w:jc w:val="right"/>
            </w:pPr>
            <w:r>
              <w:rPr>
                <w:rFonts w:hint="eastAsia"/>
                <w:color w:val="000000"/>
                <w:sz w:val="24"/>
              </w:rPr>
              <w:t>284,512,137.09</w:t>
            </w:r>
          </w:p>
        </w:tc>
        <w:tc>
          <w:tcPr>
            <w:tcW w:w="1500" w:type="dxa"/>
            <w:vAlign w:val="center"/>
          </w:tcPr>
          <w:p w:rsidR="00990C7B" w:rsidRDefault="000C485A">
            <w:pPr>
              <w:jc w:val="right"/>
            </w:pPr>
            <w:r>
              <w:rPr>
                <w:rFonts w:hint="eastAsia"/>
                <w:color w:val="000000"/>
                <w:sz w:val="24"/>
              </w:rPr>
              <w:t>-</w:t>
            </w:r>
          </w:p>
        </w:tc>
        <w:tc>
          <w:tcPr>
            <w:tcW w:w="1500" w:type="dxa"/>
            <w:vAlign w:val="center"/>
          </w:tcPr>
          <w:p w:rsidR="00990C7B" w:rsidRDefault="000C485A">
            <w:pPr>
              <w:jc w:val="center"/>
            </w:pPr>
            <w:r>
              <w:rPr>
                <w:rFonts w:hint="eastAsia"/>
                <w:color w:val="000000"/>
                <w:sz w:val="24"/>
              </w:rPr>
              <w:t>3,181,584.70</w:t>
            </w:r>
          </w:p>
        </w:tc>
        <w:tc>
          <w:tcPr>
            <w:tcW w:w="1500" w:type="dxa"/>
            <w:vAlign w:val="center"/>
          </w:tcPr>
          <w:p w:rsidR="00990C7B" w:rsidRDefault="000C485A">
            <w:pPr>
              <w:jc w:val="right"/>
            </w:pPr>
            <w:r>
              <w:rPr>
                <w:rFonts w:hint="eastAsia"/>
                <w:color w:val="000000"/>
                <w:sz w:val="24"/>
              </w:rPr>
              <w:t>287,693,721.79</w:t>
            </w:r>
          </w:p>
        </w:tc>
        <w:tc>
          <w:tcPr>
            <w:tcW w:w="1500" w:type="dxa"/>
            <w:vAlign w:val="center"/>
          </w:tcPr>
          <w:p w:rsidR="00990C7B" w:rsidRDefault="000C485A">
            <w:pPr>
              <w:jc w:val="left"/>
            </w:pPr>
            <w:r>
              <w:rPr>
                <w:rFonts w:hint="eastAsia"/>
                <w:color w:val="000000"/>
                <w:sz w:val="24"/>
              </w:rPr>
              <w:t>-</w:t>
            </w:r>
          </w:p>
        </w:tc>
      </w:tr>
      <w:tr w:rsidR="00990C7B">
        <w:tc>
          <w:tcPr>
            <w:tcW w:w="1499" w:type="dxa"/>
            <w:vAlign w:val="center"/>
          </w:tcPr>
          <w:p w:rsidR="00990C7B" w:rsidRDefault="000C485A">
            <w:pPr>
              <w:jc w:val="center"/>
            </w:pPr>
            <w:r>
              <w:rPr>
                <w:rFonts w:hint="eastAsia"/>
                <w:color w:val="000000"/>
                <w:sz w:val="24"/>
              </w:rPr>
              <w:t>2016</w:t>
            </w:r>
            <w:r>
              <w:rPr>
                <w:rFonts w:hint="eastAsia"/>
                <w:color w:val="000000"/>
                <w:sz w:val="24"/>
              </w:rPr>
              <w:t>年</w:t>
            </w:r>
          </w:p>
        </w:tc>
        <w:tc>
          <w:tcPr>
            <w:tcW w:w="1499" w:type="dxa"/>
            <w:vAlign w:val="center"/>
          </w:tcPr>
          <w:p w:rsidR="00990C7B" w:rsidRDefault="000C485A">
            <w:pPr>
              <w:jc w:val="right"/>
            </w:pPr>
            <w:r>
              <w:rPr>
                <w:rFonts w:hint="eastAsia"/>
                <w:color w:val="000000"/>
                <w:sz w:val="24"/>
              </w:rPr>
              <w:t>417,301.68</w:t>
            </w:r>
          </w:p>
        </w:tc>
        <w:tc>
          <w:tcPr>
            <w:tcW w:w="1500" w:type="dxa"/>
            <w:vAlign w:val="center"/>
          </w:tcPr>
          <w:p w:rsidR="00990C7B" w:rsidRDefault="000C485A">
            <w:pPr>
              <w:jc w:val="right"/>
            </w:pPr>
            <w:r>
              <w:rPr>
                <w:rFonts w:hint="eastAsia"/>
                <w:color w:val="000000"/>
                <w:sz w:val="24"/>
              </w:rPr>
              <w:t>-</w:t>
            </w:r>
          </w:p>
        </w:tc>
        <w:tc>
          <w:tcPr>
            <w:tcW w:w="1500" w:type="dxa"/>
            <w:vAlign w:val="center"/>
          </w:tcPr>
          <w:p w:rsidR="00990C7B" w:rsidRDefault="000C485A">
            <w:pPr>
              <w:jc w:val="center"/>
            </w:pPr>
            <w:r>
              <w:rPr>
                <w:rFonts w:hint="eastAsia"/>
                <w:color w:val="000000"/>
                <w:sz w:val="24"/>
              </w:rPr>
              <w:t>9,900.62</w:t>
            </w:r>
          </w:p>
        </w:tc>
        <w:tc>
          <w:tcPr>
            <w:tcW w:w="1500" w:type="dxa"/>
            <w:vAlign w:val="center"/>
          </w:tcPr>
          <w:p w:rsidR="00990C7B" w:rsidRDefault="000C485A">
            <w:pPr>
              <w:jc w:val="right"/>
            </w:pPr>
            <w:r>
              <w:rPr>
                <w:rFonts w:hint="eastAsia"/>
                <w:color w:val="000000"/>
                <w:sz w:val="24"/>
              </w:rPr>
              <w:t>427,202.30</w:t>
            </w:r>
          </w:p>
        </w:tc>
        <w:tc>
          <w:tcPr>
            <w:tcW w:w="1500" w:type="dxa"/>
            <w:vAlign w:val="center"/>
          </w:tcPr>
          <w:p w:rsidR="00990C7B" w:rsidRDefault="000C485A">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284,929,438.77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3,191,485.32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288,120,924.09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990C7B" w:rsidRDefault="000C485A">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任本基金</w:t>
            </w:r>
            <w:proofErr w:type="gramEnd"/>
            <w:r w:rsidRPr="00681B42">
              <w:rPr>
                <w:rFonts w:hint="eastAsia"/>
                <w:color w:val="000000"/>
                <w:sz w:val="24"/>
              </w:rPr>
              <w:t>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990C7B">
        <w:tc>
          <w:tcPr>
            <w:tcW w:w="1134" w:type="dxa"/>
            <w:vAlign w:val="center"/>
          </w:tcPr>
          <w:p w:rsidR="00990C7B" w:rsidRDefault="000C485A">
            <w:pPr>
              <w:jc w:val="center"/>
            </w:pPr>
            <w:r>
              <w:rPr>
                <w:rFonts w:hint="eastAsia"/>
                <w:sz w:val="24"/>
              </w:rPr>
              <w:t>黄莹洁</w:t>
            </w:r>
          </w:p>
        </w:tc>
        <w:tc>
          <w:tcPr>
            <w:tcW w:w="1134" w:type="dxa"/>
            <w:vAlign w:val="center"/>
          </w:tcPr>
          <w:p w:rsidR="00990C7B" w:rsidRDefault="000C485A">
            <w:pPr>
              <w:jc w:val="center"/>
            </w:pPr>
            <w:r>
              <w:rPr>
                <w:rFonts w:hint="eastAsia"/>
                <w:sz w:val="24"/>
              </w:rPr>
              <w:t>交银货币、交银理财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lastRenderedPageBreak/>
              <w:t>银裕通纯债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收益债券的基金经理</w:t>
            </w:r>
          </w:p>
        </w:tc>
        <w:tc>
          <w:tcPr>
            <w:tcW w:w="1701" w:type="dxa"/>
            <w:vAlign w:val="center"/>
          </w:tcPr>
          <w:p w:rsidR="00990C7B" w:rsidRDefault="000C485A">
            <w:pPr>
              <w:jc w:val="center"/>
            </w:pPr>
            <w:r>
              <w:rPr>
                <w:rFonts w:hint="eastAsia"/>
                <w:sz w:val="24"/>
              </w:rPr>
              <w:lastRenderedPageBreak/>
              <w:t>2016-12-07</w:t>
            </w:r>
          </w:p>
        </w:tc>
        <w:tc>
          <w:tcPr>
            <w:tcW w:w="1560" w:type="dxa"/>
            <w:vAlign w:val="center"/>
          </w:tcPr>
          <w:p w:rsidR="00990C7B" w:rsidRDefault="000C485A">
            <w:pPr>
              <w:jc w:val="center"/>
            </w:pPr>
            <w:r>
              <w:rPr>
                <w:rFonts w:hint="eastAsia"/>
                <w:sz w:val="24"/>
              </w:rPr>
              <w:t>-</w:t>
            </w:r>
          </w:p>
        </w:tc>
        <w:tc>
          <w:tcPr>
            <w:tcW w:w="992" w:type="dxa"/>
            <w:vAlign w:val="center"/>
          </w:tcPr>
          <w:p w:rsidR="00990C7B" w:rsidRDefault="000C485A">
            <w:pPr>
              <w:jc w:val="center"/>
            </w:pPr>
            <w:r>
              <w:rPr>
                <w:rFonts w:hint="eastAsia"/>
                <w:sz w:val="24"/>
              </w:rPr>
              <w:t>9</w:t>
            </w:r>
            <w:r>
              <w:rPr>
                <w:rFonts w:hint="eastAsia"/>
                <w:sz w:val="24"/>
              </w:rPr>
              <w:t>年</w:t>
            </w:r>
          </w:p>
        </w:tc>
        <w:tc>
          <w:tcPr>
            <w:tcW w:w="2477" w:type="dxa"/>
            <w:vAlign w:val="center"/>
          </w:tcPr>
          <w:p w:rsidR="00990C7B" w:rsidRDefault="000C485A">
            <w:r>
              <w:rPr>
                <w:rFonts w:hint="eastAsia"/>
                <w:sz w:val="24"/>
              </w:rPr>
              <w:t>黄莹洁女士，香港大学工商管理硕士、北京大学经济学、管理学双学士。历任中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tc>
      </w:tr>
      <w:tr w:rsidR="00990C7B">
        <w:tc>
          <w:tcPr>
            <w:tcW w:w="1134" w:type="dxa"/>
            <w:vAlign w:val="center"/>
          </w:tcPr>
          <w:p w:rsidR="00990C7B" w:rsidRDefault="000C485A">
            <w:pPr>
              <w:jc w:val="center"/>
            </w:pPr>
            <w:r>
              <w:rPr>
                <w:rFonts w:hint="eastAsia"/>
                <w:sz w:val="24"/>
              </w:rPr>
              <w:t>连端清</w:t>
            </w:r>
          </w:p>
        </w:tc>
        <w:tc>
          <w:tcPr>
            <w:tcW w:w="1134" w:type="dxa"/>
            <w:vAlign w:val="center"/>
          </w:tcPr>
          <w:p w:rsidR="00990C7B" w:rsidRDefault="000C485A">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银裕兴纯债</w:t>
            </w:r>
            <w:proofErr w:type="gramEnd"/>
            <w:r>
              <w:rPr>
                <w:rFonts w:hint="eastAsia"/>
                <w:sz w:val="24"/>
              </w:rPr>
              <w:t>债券、交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w:t>
            </w:r>
            <w:r>
              <w:rPr>
                <w:rFonts w:hint="eastAsia"/>
                <w:sz w:val="24"/>
              </w:rPr>
              <w:lastRenderedPageBreak/>
              <w:t>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tc>
        <w:tc>
          <w:tcPr>
            <w:tcW w:w="1701" w:type="dxa"/>
            <w:vAlign w:val="center"/>
          </w:tcPr>
          <w:p w:rsidR="00990C7B" w:rsidRDefault="000C485A">
            <w:pPr>
              <w:jc w:val="center"/>
            </w:pPr>
            <w:r>
              <w:rPr>
                <w:rFonts w:hint="eastAsia"/>
                <w:sz w:val="24"/>
              </w:rPr>
              <w:lastRenderedPageBreak/>
              <w:t>2016-12-07</w:t>
            </w:r>
          </w:p>
        </w:tc>
        <w:tc>
          <w:tcPr>
            <w:tcW w:w="1560" w:type="dxa"/>
            <w:vAlign w:val="center"/>
          </w:tcPr>
          <w:p w:rsidR="00990C7B" w:rsidRDefault="000C485A">
            <w:pPr>
              <w:jc w:val="center"/>
            </w:pPr>
            <w:r>
              <w:rPr>
                <w:rFonts w:hint="eastAsia"/>
                <w:sz w:val="24"/>
              </w:rPr>
              <w:t>-</w:t>
            </w:r>
          </w:p>
        </w:tc>
        <w:tc>
          <w:tcPr>
            <w:tcW w:w="992" w:type="dxa"/>
            <w:vAlign w:val="center"/>
          </w:tcPr>
          <w:p w:rsidR="00990C7B" w:rsidRDefault="000C485A">
            <w:pPr>
              <w:jc w:val="center"/>
            </w:pPr>
            <w:r>
              <w:rPr>
                <w:rFonts w:hint="eastAsia"/>
                <w:sz w:val="24"/>
              </w:rPr>
              <w:t>4</w:t>
            </w:r>
            <w:r>
              <w:rPr>
                <w:rFonts w:hint="eastAsia"/>
                <w:sz w:val="24"/>
              </w:rPr>
              <w:t>年</w:t>
            </w:r>
          </w:p>
        </w:tc>
        <w:tc>
          <w:tcPr>
            <w:tcW w:w="2477" w:type="dxa"/>
            <w:vAlign w:val="center"/>
          </w:tcPr>
          <w:p w:rsidR="00990C7B" w:rsidRDefault="000C485A">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990C7B">
        <w:tc>
          <w:tcPr>
            <w:tcW w:w="1134" w:type="dxa"/>
            <w:vAlign w:val="center"/>
          </w:tcPr>
          <w:p w:rsidR="00990C7B" w:rsidRDefault="000C485A">
            <w:pPr>
              <w:jc w:val="center"/>
            </w:pPr>
            <w:r>
              <w:rPr>
                <w:rFonts w:hint="eastAsia"/>
                <w:sz w:val="24"/>
              </w:rPr>
              <w:t>季参平</w:t>
            </w:r>
          </w:p>
        </w:tc>
        <w:tc>
          <w:tcPr>
            <w:tcW w:w="1134" w:type="dxa"/>
            <w:vAlign w:val="center"/>
          </w:tcPr>
          <w:p w:rsidR="00990C7B" w:rsidRDefault="000C485A">
            <w:pPr>
              <w:jc w:val="center"/>
            </w:pPr>
            <w:r>
              <w:rPr>
                <w:rFonts w:hint="eastAsia"/>
                <w:sz w:val="24"/>
              </w:rPr>
              <w:t>交银货币、交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宝货币、交银瑞</w:t>
            </w:r>
            <w:proofErr w:type="gramStart"/>
            <w:r>
              <w:rPr>
                <w:rFonts w:hint="eastAsia"/>
                <w:sz w:val="24"/>
              </w:rPr>
              <w:t>鑫</w:t>
            </w:r>
            <w:proofErr w:type="gramEnd"/>
            <w:r>
              <w:rPr>
                <w:rFonts w:hint="eastAsia"/>
                <w:sz w:val="24"/>
              </w:rPr>
              <w:t>定期开放灵活配置混合、</w:t>
            </w:r>
            <w:proofErr w:type="gramStart"/>
            <w:r>
              <w:rPr>
                <w:rFonts w:hint="eastAsia"/>
                <w:sz w:val="24"/>
              </w:rPr>
              <w:t>交银瑞景</w:t>
            </w:r>
            <w:proofErr w:type="gramEnd"/>
            <w:r>
              <w:rPr>
                <w:rFonts w:hint="eastAsia"/>
                <w:sz w:val="24"/>
              </w:rPr>
              <w:t>定期开放灵活配置混合、</w:t>
            </w:r>
            <w:proofErr w:type="gramStart"/>
            <w:r>
              <w:rPr>
                <w:rFonts w:hint="eastAsia"/>
                <w:sz w:val="24"/>
              </w:rPr>
              <w:t>交银瑞利</w:t>
            </w:r>
            <w:proofErr w:type="gramEnd"/>
            <w:r>
              <w:rPr>
                <w:rFonts w:hint="eastAsia"/>
                <w:sz w:val="24"/>
              </w:rPr>
              <w:t>定期开放灵活配置混合的基金经理助理</w:t>
            </w:r>
          </w:p>
        </w:tc>
        <w:tc>
          <w:tcPr>
            <w:tcW w:w="1701" w:type="dxa"/>
            <w:vAlign w:val="center"/>
          </w:tcPr>
          <w:p w:rsidR="00990C7B" w:rsidRDefault="000C485A">
            <w:pPr>
              <w:jc w:val="center"/>
            </w:pPr>
            <w:r>
              <w:rPr>
                <w:rFonts w:hint="eastAsia"/>
                <w:sz w:val="24"/>
              </w:rPr>
              <w:t>2017-09-19</w:t>
            </w:r>
          </w:p>
        </w:tc>
        <w:tc>
          <w:tcPr>
            <w:tcW w:w="1560" w:type="dxa"/>
            <w:vAlign w:val="center"/>
          </w:tcPr>
          <w:p w:rsidR="00990C7B" w:rsidRDefault="000C485A">
            <w:pPr>
              <w:jc w:val="center"/>
            </w:pPr>
            <w:r>
              <w:rPr>
                <w:rFonts w:hint="eastAsia"/>
                <w:sz w:val="24"/>
              </w:rPr>
              <w:t>-</w:t>
            </w:r>
          </w:p>
        </w:tc>
        <w:tc>
          <w:tcPr>
            <w:tcW w:w="992" w:type="dxa"/>
            <w:vAlign w:val="center"/>
          </w:tcPr>
          <w:p w:rsidR="00990C7B" w:rsidRDefault="000C485A">
            <w:pPr>
              <w:jc w:val="center"/>
            </w:pPr>
            <w:r>
              <w:rPr>
                <w:rFonts w:hint="eastAsia"/>
                <w:sz w:val="24"/>
              </w:rPr>
              <w:t>6</w:t>
            </w:r>
            <w:r>
              <w:rPr>
                <w:rFonts w:hint="eastAsia"/>
                <w:sz w:val="24"/>
              </w:rPr>
              <w:t>年</w:t>
            </w:r>
          </w:p>
        </w:tc>
        <w:tc>
          <w:tcPr>
            <w:tcW w:w="2477" w:type="dxa"/>
            <w:vAlign w:val="center"/>
          </w:tcPr>
          <w:p w:rsidR="00990C7B" w:rsidRDefault="000C485A">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p>
        </w:tc>
      </w:tr>
    </w:tbl>
    <w:p w:rsidR="00990C7B" w:rsidRDefault="000C485A">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990C7B" w:rsidRDefault="000C485A">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 xml:space="preserve">4.2 </w:t>
      </w:r>
      <w:r w:rsidRPr="006B06B5">
        <w:rPr>
          <w:rFonts w:ascii="Times New Roman" w:hAnsi="Times New Roman" w:cs="Times New Roman" w:hint="eastAsia"/>
          <w:kern w:val="0"/>
          <w:szCs w:val="24"/>
        </w:rPr>
        <w:t>管理人对报告期内本基金运作遵规守信情况的说明</w:t>
      </w:r>
    </w:p>
    <w:p w:rsidR="00990C7B" w:rsidRDefault="000C485A">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w:t>
      </w:r>
      <w:proofErr w:type="gramStart"/>
      <w:r w:rsidRPr="0016562D">
        <w:rPr>
          <w:rFonts w:hint="eastAsia"/>
          <w:color w:val="000000"/>
          <w:sz w:val="24"/>
        </w:rPr>
        <w:t>规</w:t>
      </w:r>
      <w:proofErr w:type="gramEnd"/>
      <w:r w:rsidRPr="0016562D">
        <w:rPr>
          <w:rFonts w:hint="eastAsia"/>
          <w:color w:val="000000"/>
          <w:sz w:val="24"/>
        </w:rPr>
        <w:t>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990C7B" w:rsidRDefault="000C485A">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w:t>
      </w:r>
      <w:r w:rsidRPr="00C64C58">
        <w:rPr>
          <w:rFonts w:hint="eastAsia"/>
          <w:color w:val="000000"/>
          <w:sz w:val="24"/>
        </w:rPr>
        <w:lastRenderedPageBreak/>
        <w:t>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990C7B" w:rsidRDefault="000C485A">
      <w:pPr>
        <w:spacing w:before="29" w:line="288" w:lineRule="auto"/>
        <w:ind w:firstLineChars="200" w:firstLine="480"/>
        <w:rPr>
          <w:color w:val="000000"/>
          <w:sz w:val="24"/>
        </w:rPr>
      </w:pPr>
      <w:r>
        <w:rPr>
          <w:rFonts w:hint="eastAsia"/>
          <w:color w:val="000000"/>
          <w:sz w:val="24"/>
        </w:rPr>
        <w:t>本报告期内，</w:t>
      </w:r>
      <w:r>
        <w:rPr>
          <w:rFonts w:hint="eastAsia"/>
          <w:color w:val="000000"/>
          <w:sz w:val="24"/>
        </w:rPr>
        <w:t>2017</w:t>
      </w:r>
      <w:r>
        <w:rPr>
          <w:rFonts w:hint="eastAsia"/>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rFonts w:hint="eastAsia"/>
          <w:color w:val="000000"/>
          <w:sz w:val="24"/>
        </w:rPr>
        <w:t>特朗普</w:t>
      </w:r>
      <w:proofErr w:type="gramEnd"/>
      <w:r>
        <w:rPr>
          <w:rFonts w:hint="eastAsia"/>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color w:val="000000"/>
          <w:sz w:val="24"/>
        </w:rPr>
        <w:t>MPA</w:t>
      </w:r>
      <w:r>
        <w:rPr>
          <w:rFonts w:hint="eastAsia"/>
          <w:color w:val="000000"/>
          <w:sz w:val="24"/>
        </w:rPr>
        <w:t>考核和金融去杠杆政策不时成为主导。十月份公布的流动性新</w:t>
      </w:r>
      <w:proofErr w:type="gramStart"/>
      <w:r>
        <w:rPr>
          <w:rFonts w:hint="eastAsia"/>
          <w:color w:val="000000"/>
          <w:sz w:val="24"/>
        </w:rPr>
        <w:t>规</w:t>
      </w:r>
      <w:proofErr w:type="gramEnd"/>
      <w:r>
        <w:rPr>
          <w:rFonts w:hint="eastAsia"/>
          <w:color w:val="000000"/>
          <w:sz w:val="24"/>
        </w:rPr>
        <w:t>更是对货币基金的流动性管理提出了更高的要求，使得银行间资金市场发生一定结构性的变化，非银和银行类机构之间的流动性差别进一步扩大。报告期间，三个月上海银行间拆借利率上行</w:t>
      </w:r>
      <w:r>
        <w:rPr>
          <w:rFonts w:hint="eastAsia"/>
          <w:color w:val="000000"/>
          <w:sz w:val="24"/>
        </w:rPr>
        <w:t>164BP</w:t>
      </w:r>
      <w:r>
        <w:rPr>
          <w:rFonts w:hint="eastAsia"/>
          <w:color w:val="000000"/>
          <w:sz w:val="24"/>
        </w:rPr>
        <w:t>到</w:t>
      </w:r>
      <w:r>
        <w:rPr>
          <w:rFonts w:hint="eastAsia"/>
          <w:color w:val="000000"/>
          <w:sz w:val="24"/>
        </w:rPr>
        <w:t>4.9133%</w:t>
      </w:r>
      <w:r>
        <w:rPr>
          <w:rFonts w:hint="eastAsia"/>
          <w:color w:val="000000"/>
          <w:sz w:val="24"/>
        </w:rPr>
        <w:t>。</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基金操作方面，组合规模有所增长，十二月末我们视组合流动性和市场情况，择机配置了估值波动下的银行存款和有流动性溢价的同业存单，提高了组合收益。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本报告期内，交银天</w:t>
      </w:r>
      <w:proofErr w:type="gramStart"/>
      <w:r w:rsidRPr="00C64C58">
        <w:rPr>
          <w:rFonts w:hint="eastAsia"/>
          <w:color w:val="000000"/>
          <w:sz w:val="24"/>
        </w:rPr>
        <w:t>鑫</w:t>
      </w:r>
      <w:proofErr w:type="gramEnd"/>
      <w:r w:rsidRPr="00C64C58">
        <w:rPr>
          <w:rFonts w:hint="eastAsia"/>
          <w:color w:val="000000"/>
          <w:sz w:val="24"/>
        </w:rPr>
        <w:t>宝</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3.7108%</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；交银天</w:t>
      </w:r>
      <w:proofErr w:type="gramStart"/>
      <w:r w:rsidRPr="00C64C58">
        <w:rPr>
          <w:rFonts w:hint="eastAsia"/>
          <w:color w:val="000000"/>
          <w:sz w:val="24"/>
        </w:rPr>
        <w:t>鑫</w:t>
      </w:r>
      <w:proofErr w:type="gramEnd"/>
      <w:r w:rsidRPr="00C64C58">
        <w:rPr>
          <w:rFonts w:hint="eastAsia"/>
          <w:color w:val="000000"/>
          <w:sz w:val="24"/>
        </w:rPr>
        <w:t>宝</w:t>
      </w:r>
      <w:r w:rsidRPr="00C64C58">
        <w:rPr>
          <w:rFonts w:hint="eastAsia"/>
          <w:color w:val="000000"/>
          <w:sz w:val="24"/>
        </w:rPr>
        <w:t>E</w:t>
      </w:r>
      <w:r w:rsidRPr="00C64C58">
        <w:rPr>
          <w:rFonts w:hint="eastAsia"/>
          <w:color w:val="000000"/>
          <w:sz w:val="24"/>
        </w:rPr>
        <w:t>净值收益率为</w:t>
      </w:r>
      <w:r w:rsidRPr="00C64C58">
        <w:rPr>
          <w:rFonts w:hint="eastAsia"/>
          <w:color w:val="000000"/>
          <w:sz w:val="24"/>
        </w:rPr>
        <w:t>3.9592%</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w:t>
      </w:r>
      <w:proofErr w:type="gramStart"/>
      <w:r w:rsidRPr="00C64C58">
        <w:rPr>
          <w:rFonts w:hint="eastAsia"/>
          <w:color w:val="000000"/>
          <w:sz w:val="24"/>
        </w:rPr>
        <w:t>的久期管理</w:t>
      </w:r>
      <w:proofErr w:type="gramEnd"/>
      <w:r w:rsidRPr="00C64C58">
        <w:rPr>
          <w:rFonts w:hint="eastAsia"/>
          <w:color w:val="000000"/>
          <w:sz w:val="24"/>
        </w:rPr>
        <w:t>，力求严格控制信用风险、流动性风险和利率风险，努力为持有人创造稳健的收益。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lastRenderedPageBreak/>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990C7B" w:rsidRDefault="000C485A">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990C7B" w:rsidRDefault="000C485A">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w:t>
      </w:r>
      <w:proofErr w:type="gramStart"/>
      <w:r w:rsidRPr="00C64C58">
        <w:rPr>
          <w:rFonts w:hint="eastAsia"/>
          <w:color w:val="000000"/>
          <w:sz w:val="24"/>
        </w:rPr>
        <w:t>内利润</w:t>
      </w:r>
      <w:proofErr w:type="gramEnd"/>
      <w:r w:rsidRPr="00C64C58">
        <w:rPr>
          <w:rFonts w:hint="eastAsia"/>
          <w:color w:val="000000"/>
          <w:sz w:val="24"/>
        </w:rPr>
        <w:t>分配情况参见</w:t>
      </w:r>
      <w:r w:rsidRPr="00C64C58">
        <w:rPr>
          <w:rFonts w:hint="eastAsia"/>
          <w:color w:val="000000"/>
          <w:sz w:val="24"/>
        </w:rPr>
        <w:t>7.4.11</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w:t>
      </w:r>
      <w:r w:rsidRPr="00C64C58">
        <w:rPr>
          <w:rFonts w:hint="eastAsia"/>
          <w:color w:val="000000"/>
          <w:sz w:val="24"/>
        </w:rPr>
        <w:lastRenderedPageBreak/>
        <w:t>行为；基金管理人在报告期内，严格遵守了《证券投资基金法》等有关法律法规，在各重要方面的运作严格按照基金合同的规定进行。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本托管人认真复核了本年度报告中的财务指标、净值表现、收益分配情况、财务会计报告、投资组合报告等内容，认为其真实、准确和完整，不存在虚假记载、误导性陈述或者重大遗漏。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Pr="001B72C1" w:rsidRDefault="004D46CD" w:rsidP="004D46CD">
      <w:pPr>
        <w:spacing w:before="29" w:line="288" w:lineRule="auto"/>
        <w:ind w:firstLineChars="200" w:firstLine="480"/>
        <w:rPr>
          <w:color w:val="000000"/>
          <w:sz w:val="24"/>
        </w:rPr>
      </w:pPr>
      <w:r w:rsidRPr="001B72C1">
        <w:rPr>
          <w:color w:val="000000"/>
          <w:sz w:val="24"/>
        </w:rPr>
        <w:t>普华永道中天会计师事务所</w:t>
      </w:r>
      <w:r w:rsidRPr="001B72C1">
        <w:rPr>
          <w:color w:val="000000"/>
          <w:sz w:val="24"/>
        </w:rPr>
        <w:t>(</w:t>
      </w:r>
      <w:r w:rsidRPr="001B72C1">
        <w:rPr>
          <w:color w:val="000000"/>
          <w:sz w:val="24"/>
        </w:rPr>
        <w:t>特殊普通合伙</w:t>
      </w:r>
      <w:r w:rsidRPr="001B72C1">
        <w:rPr>
          <w:color w:val="000000"/>
          <w:sz w:val="24"/>
        </w:rPr>
        <w:t>)</w:t>
      </w:r>
      <w:r w:rsidRPr="001B72C1">
        <w:rPr>
          <w:color w:val="000000"/>
          <w:sz w:val="24"/>
        </w:rPr>
        <w:t>对交银施罗德天</w:t>
      </w:r>
      <w:proofErr w:type="gramStart"/>
      <w:r w:rsidRPr="001B72C1">
        <w:rPr>
          <w:color w:val="000000"/>
          <w:sz w:val="24"/>
        </w:rPr>
        <w:t>鑫</w:t>
      </w:r>
      <w:proofErr w:type="gramEnd"/>
      <w:r w:rsidRPr="001B72C1">
        <w:rPr>
          <w:color w:val="000000"/>
          <w:sz w:val="24"/>
        </w:rPr>
        <w:t>宝货币市场基金</w:t>
      </w:r>
      <w:r w:rsidR="001B72C1" w:rsidRPr="001B72C1">
        <w:rPr>
          <w:noProof/>
          <w:sz w:val="24"/>
        </w:rPr>
        <w:t>2017</w:t>
      </w:r>
      <w:r w:rsidR="001B72C1" w:rsidRPr="001B72C1">
        <w:rPr>
          <w:noProof/>
          <w:sz w:val="24"/>
        </w:rPr>
        <w:t>年</w:t>
      </w:r>
      <w:r w:rsidR="001B72C1" w:rsidRPr="001B72C1">
        <w:rPr>
          <w:noProof/>
          <w:sz w:val="24"/>
        </w:rPr>
        <w:t>12</w:t>
      </w:r>
      <w:r w:rsidR="001B72C1" w:rsidRPr="001B72C1">
        <w:rPr>
          <w:noProof/>
          <w:sz w:val="24"/>
        </w:rPr>
        <w:t>月</w:t>
      </w:r>
      <w:r w:rsidR="001B72C1" w:rsidRPr="001B72C1">
        <w:rPr>
          <w:noProof/>
          <w:sz w:val="24"/>
        </w:rPr>
        <w:t>31</w:t>
      </w:r>
      <w:r w:rsidR="001B72C1" w:rsidRPr="001B72C1">
        <w:rPr>
          <w:noProof/>
          <w:sz w:val="24"/>
        </w:rPr>
        <w:t>日和</w:t>
      </w:r>
      <w:r w:rsidR="001B72C1" w:rsidRPr="001B72C1">
        <w:rPr>
          <w:noProof/>
          <w:sz w:val="24"/>
        </w:rPr>
        <w:t>2016</w:t>
      </w:r>
      <w:r w:rsidR="001B72C1" w:rsidRPr="001B72C1">
        <w:rPr>
          <w:noProof/>
          <w:sz w:val="24"/>
        </w:rPr>
        <w:t>年</w:t>
      </w:r>
      <w:r w:rsidR="001B72C1" w:rsidRPr="001B72C1">
        <w:rPr>
          <w:noProof/>
          <w:sz w:val="24"/>
        </w:rPr>
        <w:t>12</w:t>
      </w:r>
      <w:r w:rsidR="001B72C1" w:rsidRPr="001B72C1">
        <w:rPr>
          <w:noProof/>
          <w:sz w:val="24"/>
        </w:rPr>
        <w:t>月</w:t>
      </w:r>
      <w:r w:rsidR="001B72C1" w:rsidRPr="001B72C1">
        <w:rPr>
          <w:noProof/>
          <w:sz w:val="24"/>
        </w:rPr>
        <w:t>31</w:t>
      </w:r>
      <w:r w:rsidR="001B72C1" w:rsidRPr="001B72C1">
        <w:rPr>
          <w:noProof/>
          <w:sz w:val="24"/>
        </w:rPr>
        <w:t>日</w:t>
      </w:r>
      <w:r w:rsidR="001B72C1" w:rsidRPr="001B72C1">
        <w:rPr>
          <w:sz w:val="24"/>
        </w:rPr>
        <w:t>的资产负债表，</w:t>
      </w:r>
      <w:r w:rsidR="001B72C1" w:rsidRPr="001B72C1">
        <w:rPr>
          <w:noProof/>
          <w:sz w:val="24"/>
        </w:rPr>
        <w:t>2017</w:t>
      </w:r>
      <w:r w:rsidR="001B72C1" w:rsidRPr="001B72C1">
        <w:rPr>
          <w:noProof/>
          <w:sz w:val="24"/>
        </w:rPr>
        <w:t>年度和</w:t>
      </w:r>
      <w:r w:rsidR="001B72C1" w:rsidRPr="001B72C1">
        <w:rPr>
          <w:noProof/>
          <w:sz w:val="24"/>
        </w:rPr>
        <w:t>2016</w:t>
      </w:r>
      <w:r w:rsidR="001B72C1" w:rsidRPr="001B72C1">
        <w:rPr>
          <w:noProof/>
          <w:sz w:val="24"/>
        </w:rPr>
        <w:t>年</w:t>
      </w:r>
      <w:r w:rsidR="001B72C1" w:rsidRPr="001B72C1">
        <w:rPr>
          <w:noProof/>
          <w:sz w:val="24"/>
        </w:rPr>
        <w:t>12</w:t>
      </w:r>
      <w:r w:rsidR="001B72C1" w:rsidRPr="001B72C1">
        <w:rPr>
          <w:noProof/>
          <w:sz w:val="24"/>
        </w:rPr>
        <w:t>月</w:t>
      </w:r>
      <w:r w:rsidR="001B72C1" w:rsidRPr="001B72C1">
        <w:rPr>
          <w:noProof/>
          <w:sz w:val="24"/>
        </w:rPr>
        <w:t>7</w:t>
      </w:r>
      <w:r w:rsidR="001B72C1" w:rsidRPr="001B72C1">
        <w:rPr>
          <w:noProof/>
          <w:sz w:val="24"/>
        </w:rPr>
        <w:t>日</w:t>
      </w:r>
      <w:r w:rsidR="001B72C1" w:rsidRPr="001B72C1">
        <w:rPr>
          <w:noProof/>
          <w:sz w:val="24"/>
        </w:rPr>
        <w:t>(</w:t>
      </w:r>
      <w:r w:rsidR="001B72C1" w:rsidRPr="001B72C1">
        <w:rPr>
          <w:noProof/>
          <w:sz w:val="24"/>
        </w:rPr>
        <w:t>基金合同生效日</w:t>
      </w:r>
      <w:r w:rsidR="001B72C1" w:rsidRPr="001B72C1">
        <w:rPr>
          <w:noProof/>
          <w:sz w:val="24"/>
        </w:rPr>
        <w:t>)</w:t>
      </w:r>
      <w:r w:rsidR="001B72C1" w:rsidRPr="001B72C1">
        <w:rPr>
          <w:noProof/>
          <w:sz w:val="24"/>
        </w:rPr>
        <w:t>至</w:t>
      </w:r>
      <w:r w:rsidR="001B72C1" w:rsidRPr="001B72C1">
        <w:rPr>
          <w:noProof/>
          <w:sz w:val="24"/>
        </w:rPr>
        <w:t>2016</w:t>
      </w:r>
      <w:r w:rsidR="001B72C1" w:rsidRPr="001B72C1">
        <w:rPr>
          <w:noProof/>
          <w:sz w:val="24"/>
        </w:rPr>
        <w:t>年</w:t>
      </w:r>
      <w:r w:rsidR="001B72C1" w:rsidRPr="001B72C1">
        <w:rPr>
          <w:noProof/>
          <w:sz w:val="24"/>
        </w:rPr>
        <w:t>12</w:t>
      </w:r>
      <w:r w:rsidR="001B72C1" w:rsidRPr="001B72C1">
        <w:rPr>
          <w:noProof/>
          <w:sz w:val="24"/>
        </w:rPr>
        <w:t>月</w:t>
      </w:r>
      <w:r w:rsidR="001B72C1" w:rsidRPr="001B72C1">
        <w:rPr>
          <w:noProof/>
          <w:sz w:val="24"/>
        </w:rPr>
        <w:t>31</w:t>
      </w:r>
      <w:r w:rsidR="001B72C1" w:rsidRPr="001B72C1">
        <w:rPr>
          <w:noProof/>
          <w:sz w:val="24"/>
        </w:rPr>
        <w:t>日止期间</w:t>
      </w:r>
      <w:r w:rsidR="001B72C1" w:rsidRPr="001B72C1">
        <w:rPr>
          <w:sz w:val="24"/>
        </w:rPr>
        <w:t>的利润表和所有者权益</w:t>
      </w:r>
      <w:r w:rsidR="001B72C1" w:rsidRPr="001B72C1">
        <w:rPr>
          <w:sz w:val="24"/>
        </w:rPr>
        <w:t>(</w:t>
      </w:r>
      <w:r w:rsidR="001B72C1" w:rsidRPr="001B72C1">
        <w:rPr>
          <w:sz w:val="24"/>
        </w:rPr>
        <w:t>基金净值</w:t>
      </w:r>
      <w:r w:rsidR="001B72C1" w:rsidRPr="001B72C1">
        <w:rPr>
          <w:sz w:val="24"/>
        </w:rPr>
        <w:t>)</w:t>
      </w:r>
      <w:r w:rsidR="001B72C1" w:rsidRPr="001B72C1">
        <w:rPr>
          <w:sz w:val="24"/>
        </w:rPr>
        <w:t>变动表以及财务报表附注</w:t>
      </w:r>
      <w:r w:rsidRPr="001B72C1">
        <w:rPr>
          <w:color w:val="000000"/>
          <w:sz w:val="24"/>
        </w:rPr>
        <w:t>出具了标准无保留意见的审计报告</w:t>
      </w:r>
      <w:r w:rsidR="00726E40" w:rsidRPr="001B72C1">
        <w:rPr>
          <w:color w:val="000000"/>
          <w:sz w:val="24"/>
        </w:rPr>
        <w:t>【</w:t>
      </w:r>
      <w:r w:rsidRPr="001B72C1">
        <w:rPr>
          <w:color w:val="000000"/>
          <w:sz w:val="24"/>
        </w:rPr>
        <w:t>普华永道中天审字</w:t>
      </w:r>
      <w:r w:rsidRPr="001B72C1">
        <w:rPr>
          <w:color w:val="000000"/>
          <w:sz w:val="24"/>
        </w:rPr>
        <w:t>(2018)</w:t>
      </w:r>
      <w:r w:rsidRPr="001B72C1">
        <w:rPr>
          <w:color w:val="000000"/>
          <w:sz w:val="24"/>
        </w:rPr>
        <w:t>第</w:t>
      </w:r>
      <w:r w:rsidRPr="001B72C1">
        <w:rPr>
          <w:color w:val="000000"/>
          <w:sz w:val="24"/>
        </w:rPr>
        <w:t>21993</w:t>
      </w:r>
      <w:r w:rsidRPr="001B72C1">
        <w:rPr>
          <w:color w:val="000000"/>
          <w:sz w:val="24"/>
        </w:rPr>
        <w:t>号</w:t>
      </w:r>
      <w:r w:rsidR="00726E40" w:rsidRPr="001B72C1">
        <w:rPr>
          <w:color w:val="000000"/>
          <w:sz w:val="24"/>
        </w:rPr>
        <w:t>】</w:t>
      </w:r>
      <w:r w:rsidRPr="001B72C1">
        <w:rPr>
          <w:color w:val="000000"/>
          <w:sz w:val="24"/>
        </w:rPr>
        <w:t>。投资者可通过本基金年度报告正文查看该审计报告全文。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w:t>
      </w:r>
      <w:proofErr w:type="gramStart"/>
      <w:r w:rsidRPr="00E67124">
        <w:rPr>
          <w:rFonts w:hint="eastAsia"/>
          <w:color w:val="000000"/>
          <w:sz w:val="24"/>
        </w:rPr>
        <w:t>鑫</w:t>
      </w:r>
      <w:proofErr w:type="gramEnd"/>
      <w:r w:rsidRPr="00E67124">
        <w:rPr>
          <w:rFonts w:hint="eastAsia"/>
          <w:color w:val="000000"/>
          <w:sz w:val="24"/>
        </w:rPr>
        <w:t>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5,955,626,483.40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52,625,821.79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7,756,263,607.37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7,756,263,607.37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lastRenderedPageBreak/>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9,752,662,836.71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148,000,000.00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15,732.28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60,874,030.42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75,474.01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26,265,454.76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23,551,692,412.66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200,717,028.08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w:t>
            </w:r>
            <w:proofErr w:type="gramStart"/>
            <w:r w:rsidRPr="00B07174">
              <w:rPr>
                <w:rFonts w:hint="eastAsia"/>
                <w:color w:val="000000"/>
                <w:sz w:val="24"/>
              </w:rPr>
              <w:t>赎回款</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1,927,764.43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19,707.28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642,588.16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6,569.09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146,058.72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1,338.56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79,034.00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3,203,752.93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9,910.48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241,413.97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5,080.75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6,240,612.21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42,606.16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23,545,451,800.45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200,674,421.92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23,545,451,800.45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200,674,421.92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23,551,692,412.66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200,717,028.08</w:t>
            </w:r>
          </w:p>
        </w:tc>
      </w:tr>
    </w:tbl>
    <w:p w:rsidR="00990C7B" w:rsidRDefault="00990C7B">
      <w:pPr>
        <w:spacing w:before="29" w:line="288" w:lineRule="auto"/>
        <w:jc w:val="left"/>
        <w:rPr>
          <w:kern w:val="0"/>
          <w:sz w:val="24"/>
        </w:rPr>
      </w:pPr>
    </w:p>
    <w:p w:rsidR="00A50572" w:rsidRDefault="00DA7531" w:rsidP="005124D4">
      <w:pPr>
        <w:spacing w:before="29" w:line="288" w:lineRule="auto"/>
        <w:jc w:val="left"/>
        <w:rPr>
          <w:kern w:val="0"/>
          <w:sz w:val="24"/>
        </w:rPr>
      </w:pPr>
      <w:r>
        <w:rPr>
          <w:rFonts w:hint="eastAsia"/>
          <w:kern w:val="0"/>
          <w:sz w:val="24"/>
        </w:rPr>
        <w:t>注：</w:t>
      </w:r>
      <w:r w:rsidR="00A50572">
        <w:rPr>
          <w:rFonts w:hint="eastAsia"/>
          <w:kern w:val="0"/>
          <w:sz w:val="24"/>
        </w:rPr>
        <w:t>1</w:t>
      </w:r>
      <w:r w:rsidR="00A50572">
        <w:rPr>
          <w:rFonts w:hint="eastAsia"/>
          <w:kern w:val="0"/>
          <w:sz w:val="24"/>
        </w:rPr>
        <w:t>、报告截止日</w:t>
      </w:r>
      <w:r w:rsidR="00A50572">
        <w:rPr>
          <w:rFonts w:hint="eastAsia"/>
          <w:kern w:val="0"/>
          <w:sz w:val="24"/>
        </w:rPr>
        <w:t>2017</w:t>
      </w:r>
      <w:r w:rsidR="00A50572">
        <w:rPr>
          <w:rFonts w:hint="eastAsia"/>
          <w:kern w:val="0"/>
          <w:sz w:val="24"/>
        </w:rPr>
        <w:t>年</w:t>
      </w:r>
      <w:r w:rsidR="00A50572">
        <w:rPr>
          <w:rFonts w:hint="eastAsia"/>
          <w:kern w:val="0"/>
          <w:sz w:val="24"/>
        </w:rPr>
        <w:t>12</w:t>
      </w:r>
      <w:r w:rsidR="00A50572">
        <w:rPr>
          <w:rFonts w:hint="eastAsia"/>
          <w:kern w:val="0"/>
          <w:sz w:val="24"/>
        </w:rPr>
        <w:t>月</w:t>
      </w:r>
      <w:r w:rsidR="00A50572">
        <w:rPr>
          <w:rFonts w:hint="eastAsia"/>
          <w:kern w:val="0"/>
          <w:sz w:val="24"/>
        </w:rPr>
        <w:t>31</w:t>
      </w:r>
      <w:r w:rsidR="00A50572">
        <w:rPr>
          <w:rFonts w:hint="eastAsia"/>
          <w:kern w:val="0"/>
          <w:sz w:val="24"/>
        </w:rPr>
        <w:t>日，基金份额净值</w:t>
      </w:r>
      <w:r w:rsidR="00A50572">
        <w:rPr>
          <w:rFonts w:hint="eastAsia"/>
          <w:kern w:val="0"/>
          <w:sz w:val="24"/>
        </w:rPr>
        <w:t>1.0000</w:t>
      </w:r>
      <w:r w:rsidR="00A50572">
        <w:rPr>
          <w:rFonts w:hint="eastAsia"/>
          <w:kern w:val="0"/>
          <w:sz w:val="24"/>
        </w:rPr>
        <w:t>元，基金份额总额</w:t>
      </w:r>
      <w:r w:rsidR="00A50572">
        <w:rPr>
          <w:rFonts w:hint="eastAsia"/>
          <w:kern w:val="0"/>
          <w:sz w:val="24"/>
        </w:rPr>
        <w:t>23,545,451,800.45</w:t>
      </w:r>
      <w:r w:rsidR="00A50572">
        <w:rPr>
          <w:rFonts w:hint="eastAsia"/>
          <w:kern w:val="0"/>
          <w:sz w:val="24"/>
        </w:rPr>
        <w:t>份，其中</w:t>
      </w:r>
      <w:r w:rsidR="00A50572">
        <w:rPr>
          <w:rFonts w:hint="eastAsia"/>
          <w:kern w:val="0"/>
          <w:sz w:val="24"/>
        </w:rPr>
        <w:t>A</w:t>
      </w:r>
      <w:r w:rsidR="00A50572">
        <w:rPr>
          <w:rFonts w:hint="eastAsia"/>
          <w:kern w:val="0"/>
          <w:sz w:val="24"/>
        </w:rPr>
        <w:t>类基金份额总额</w:t>
      </w:r>
      <w:r w:rsidR="00A50572">
        <w:rPr>
          <w:rFonts w:hint="eastAsia"/>
          <w:kern w:val="0"/>
          <w:sz w:val="24"/>
        </w:rPr>
        <w:t>94,716,926.30</w:t>
      </w:r>
      <w:r w:rsidR="00A50572">
        <w:rPr>
          <w:rFonts w:hint="eastAsia"/>
          <w:kern w:val="0"/>
          <w:sz w:val="24"/>
        </w:rPr>
        <w:t>份，</w:t>
      </w:r>
      <w:r w:rsidR="00A50572">
        <w:rPr>
          <w:rFonts w:hint="eastAsia"/>
          <w:kern w:val="0"/>
          <w:sz w:val="24"/>
        </w:rPr>
        <w:t>E</w:t>
      </w:r>
      <w:r w:rsidR="00A50572">
        <w:rPr>
          <w:rFonts w:hint="eastAsia"/>
          <w:kern w:val="0"/>
          <w:sz w:val="24"/>
        </w:rPr>
        <w:t>类基金份额总额</w:t>
      </w:r>
      <w:r w:rsidR="00A50572">
        <w:rPr>
          <w:rFonts w:hint="eastAsia"/>
          <w:kern w:val="0"/>
          <w:sz w:val="24"/>
        </w:rPr>
        <w:t>23,450,734,874.15</w:t>
      </w:r>
      <w:r w:rsidR="00A50572">
        <w:rPr>
          <w:rFonts w:hint="eastAsia"/>
          <w:kern w:val="0"/>
          <w:sz w:val="24"/>
        </w:rPr>
        <w:t>份。</w:t>
      </w:r>
    </w:p>
    <w:p w:rsidR="00223DFB" w:rsidRPr="005124D4" w:rsidRDefault="00223DFB" w:rsidP="005124D4">
      <w:pPr>
        <w:spacing w:before="29" w:line="288" w:lineRule="auto"/>
        <w:jc w:val="left"/>
        <w:rPr>
          <w:kern w:val="0"/>
          <w:sz w:val="24"/>
        </w:rPr>
      </w:pPr>
      <w:r w:rsidRPr="005124D4">
        <w:rPr>
          <w:rFonts w:hint="eastAsia"/>
          <w:kern w:val="0"/>
          <w:sz w:val="24"/>
        </w:rPr>
        <w:t>2</w:t>
      </w:r>
      <w:r w:rsidRPr="005124D4">
        <w:rPr>
          <w:rFonts w:hint="eastAsia"/>
          <w:kern w:val="0"/>
          <w:sz w:val="24"/>
        </w:rPr>
        <w:t>、本财务报表的实际编制期间为</w:t>
      </w:r>
      <w:r w:rsidRPr="005124D4">
        <w:rPr>
          <w:rFonts w:hint="eastAsia"/>
          <w:kern w:val="0"/>
          <w:sz w:val="24"/>
        </w:rPr>
        <w:t>2017</w:t>
      </w:r>
      <w:r w:rsidRPr="005124D4">
        <w:rPr>
          <w:rFonts w:hint="eastAsia"/>
          <w:kern w:val="0"/>
          <w:sz w:val="24"/>
        </w:rPr>
        <w:t>年度和</w:t>
      </w:r>
      <w:r w:rsidRPr="005124D4">
        <w:rPr>
          <w:rFonts w:hint="eastAsia"/>
          <w:kern w:val="0"/>
          <w:sz w:val="24"/>
        </w:rPr>
        <w:t>2016</w:t>
      </w:r>
      <w:r w:rsidRPr="005124D4">
        <w:rPr>
          <w:rFonts w:hint="eastAsia"/>
          <w:kern w:val="0"/>
          <w:sz w:val="24"/>
        </w:rPr>
        <w:t>年</w:t>
      </w:r>
      <w:r w:rsidRPr="005124D4">
        <w:rPr>
          <w:rFonts w:hint="eastAsia"/>
          <w:kern w:val="0"/>
          <w:sz w:val="24"/>
        </w:rPr>
        <w:t>12</w:t>
      </w:r>
      <w:r w:rsidRPr="005124D4">
        <w:rPr>
          <w:rFonts w:hint="eastAsia"/>
          <w:kern w:val="0"/>
          <w:sz w:val="24"/>
        </w:rPr>
        <w:t>月</w:t>
      </w:r>
      <w:r w:rsidRPr="005124D4">
        <w:rPr>
          <w:rFonts w:hint="eastAsia"/>
          <w:kern w:val="0"/>
          <w:sz w:val="24"/>
        </w:rPr>
        <w:t>7</w:t>
      </w:r>
      <w:r w:rsidRPr="005124D4">
        <w:rPr>
          <w:rFonts w:hint="eastAsia"/>
          <w:kern w:val="0"/>
          <w:sz w:val="24"/>
        </w:rPr>
        <w:t>日</w:t>
      </w:r>
      <w:r w:rsidRPr="005124D4">
        <w:rPr>
          <w:rFonts w:hint="eastAsia"/>
          <w:kern w:val="0"/>
          <w:sz w:val="24"/>
        </w:rPr>
        <w:t>(</w:t>
      </w:r>
      <w:r w:rsidRPr="005124D4">
        <w:rPr>
          <w:rFonts w:hint="eastAsia"/>
          <w:kern w:val="0"/>
          <w:sz w:val="24"/>
        </w:rPr>
        <w:t>基金合同生效日</w:t>
      </w:r>
      <w:r w:rsidRPr="005124D4">
        <w:rPr>
          <w:rFonts w:hint="eastAsia"/>
          <w:kern w:val="0"/>
          <w:sz w:val="24"/>
        </w:rPr>
        <w:t>)</w:t>
      </w:r>
      <w:r w:rsidRPr="005124D4">
        <w:rPr>
          <w:rFonts w:hint="eastAsia"/>
          <w:kern w:val="0"/>
          <w:sz w:val="24"/>
        </w:rPr>
        <w:t>至</w:t>
      </w:r>
      <w:r w:rsidRPr="005124D4">
        <w:rPr>
          <w:rFonts w:hint="eastAsia"/>
          <w:kern w:val="0"/>
          <w:sz w:val="24"/>
        </w:rPr>
        <w:t>2016</w:t>
      </w:r>
      <w:r w:rsidRPr="005124D4">
        <w:rPr>
          <w:rFonts w:hint="eastAsia"/>
          <w:kern w:val="0"/>
          <w:sz w:val="24"/>
        </w:rPr>
        <w:t>年</w:t>
      </w:r>
      <w:r w:rsidRPr="005124D4">
        <w:rPr>
          <w:rFonts w:hint="eastAsia"/>
          <w:kern w:val="0"/>
          <w:sz w:val="24"/>
        </w:rPr>
        <w:t>12</w:t>
      </w:r>
      <w:r w:rsidRPr="005124D4">
        <w:rPr>
          <w:rFonts w:hint="eastAsia"/>
          <w:kern w:val="0"/>
          <w:sz w:val="24"/>
        </w:rPr>
        <w:t>月</w:t>
      </w:r>
      <w:r w:rsidRPr="005124D4">
        <w:rPr>
          <w:rFonts w:hint="eastAsia"/>
          <w:kern w:val="0"/>
          <w:sz w:val="24"/>
        </w:rPr>
        <w:t>31</w:t>
      </w:r>
      <w:r w:rsidRPr="005124D4">
        <w:rPr>
          <w:rFonts w:hint="eastAsia"/>
          <w:kern w:val="0"/>
          <w:sz w:val="24"/>
        </w:rPr>
        <w:t>日。</w:t>
      </w:r>
    </w:p>
    <w:p w:rsidR="00223DFB" w:rsidRDefault="00A50572" w:rsidP="00DA7531">
      <w:pPr>
        <w:spacing w:line="360" w:lineRule="auto"/>
        <w:ind w:firstLineChars="200" w:firstLine="480"/>
        <w:rPr>
          <w:kern w:val="0"/>
          <w:sz w:val="24"/>
        </w:rPr>
      </w:pPr>
      <w:r>
        <w:rPr>
          <w:kern w:val="0"/>
          <w:sz w:val="24"/>
        </w:rPr>
        <w:t>3</w:t>
      </w:r>
      <w:r w:rsidR="00DA7531"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w:t>
      </w:r>
      <w:proofErr w:type="gramStart"/>
      <w:r w:rsidRPr="007172E2">
        <w:rPr>
          <w:rFonts w:hint="eastAsia"/>
          <w:color w:val="000000"/>
          <w:sz w:val="24"/>
        </w:rPr>
        <w:t>鑫</w:t>
      </w:r>
      <w:proofErr w:type="gramEnd"/>
      <w:r w:rsidRPr="007172E2">
        <w:rPr>
          <w:rFonts w:hint="eastAsia"/>
          <w:color w:val="000000"/>
          <w:sz w:val="24"/>
        </w:rPr>
        <w:t>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7</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308,430,439.91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460,641.83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307,928,665.17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460,641.83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139,724,466.06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306,173.22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126,363,262.78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41,840,936.33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154,468.61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501,774.74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501,774.74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lastRenderedPageBreak/>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18,942,916.39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33,095.68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10,096,968.21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19,707.28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3,365,656.13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6,569.09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779,498.22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1,338.56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4,388,077.49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4,388,077.49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312,716.34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5,480.75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289,487,523.52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427,546.15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289,487,523.52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427,546.15</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w:t>
      </w:r>
      <w:proofErr w:type="gramStart"/>
      <w:r w:rsidRPr="000452E1">
        <w:rPr>
          <w:rFonts w:hint="eastAsia"/>
          <w:sz w:val="24"/>
        </w:rPr>
        <w:t>鑫</w:t>
      </w:r>
      <w:proofErr w:type="gramEnd"/>
      <w:r w:rsidRPr="000452E1">
        <w:rPr>
          <w:rFonts w:hint="eastAsia"/>
          <w:sz w:val="24"/>
        </w:rPr>
        <w:t>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23,344,777,378.53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23,344,777,378.53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40,014,174,673.39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40,014,174,673.39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-16,669,397,294.86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-16,669,397,294.86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lastRenderedPageBreak/>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7</w:t>
            </w:r>
            <w:r w:rsidRPr="00A96CD0">
              <w:rPr>
                <w:rFonts w:ascii="Times New Roman" w:hAnsi="Times New Roman" w:hint="eastAsia"/>
                <w:b/>
                <w:kern w:val="2"/>
              </w:rPr>
              <w:t>日（基金合同生效日）至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200,085,851.09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200,085,851.09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427,546.15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427,546.15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588,570.83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588,570.83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763,312.01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763,312.01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-174,741.18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-174,741.18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-427,546.15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-427,546.15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w:t>
      </w:r>
      <w:proofErr w:type="gramStart"/>
      <w:r w:rsidR="005D28AC" w:rsidRPr="00A96CD0">
        <w:rPr>
          <w:rFonts w:hint="eastAsia"/>
          <w:sz w:val="24"/>
        </w:rPr>
        <w:t>夏华龙</w:t>
      </w:r>
      <w:proofErr w:type="gramEnd"/>
      <w:r w:rsidR="005D28AC" w:rsidRPr="00A96CD0">
        <w:rPr>
          <w:rFonts w:hint="eastAsia"/>
          <w:sz w:val="24"/>
        </w:rPr>
        <w:t>，会计机构负责人：单江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lastRenderedPageBreak/>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990C7B" w:rsidRDefault="000C485A">
      <w:pPr>
        <w:spacing w:before="29" w:line="288" w:lineRule="auto"/>
        <w:ind w:firstLineChars="200" w:firstLine="480"/>
        <w:rPr>
          <w:color w:val="000000"/>
          <w:sz w:val="24"/>
        </w:rPr>
      </w:pPr>
      <w:r>
        <w:rPr>
          <w:rFonts w:hint="eastAsia"/>
          <w:color w:val="000000"/>
          <w:sz w:val="24"/>
        </w:rPr>
        <w:t>交银施罗德天</w:t>
      </w:r>
      <w:proofErr w:type="gramStart"/>
      <w:r>
        <w:rPr>
          <w:rFonts w:hint="eastAsia"/>
          <w:color w:val="000000"/>
          <w:sz w:val="24"/>
        </w:rPr>
        <w:t>鑫</w:t>
      </w:r>
      <w:proofErr w:type="gramEnd"/>
      <w:r>
        <w:rPr>
          <w:rFonts w:hint="eastAsia"/>
          <w:color w:val="000000"/>
          <w:sz w:val="24"/>
        </w:rPr>
        <w:t>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[2016]2172</w:t>
      </w:r>
      <w:r>
        <w:rPr>
          <w:rFonts w:hint="eastAsia"/>
          <w:color w:val="00000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color w:val="000000"/>
          <w:sz w:val="24"/>
        </w:rPr>
        <w:t>200,058,842.96</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w:t>
      </w:r>
      <w:proofErr w:type="gramStart"/>
      <w:r>
        <w:rPr>
          <w:rFonts w:hint="eastAsia"/>
          <w:color w:val="000000"/>
          <w:sz w:val="24"/>
        </w:rPr>
        <w:t>中天验字</w:t>
      </w:r>
      <w:proofErr w:type="gramEnd"/>
      <w:r>
        <w:rPr>
          <w:rFonts w:hint="eastAsia"/>
          <w:color w:val="000000"/>
          <w:sz w:val="24"/>
        </w:rPr>
        <w:t>(2016)</w:t>
      </w:r>
      <w:r>
        <w:rPr>
          <w:rFonts w:hint="eastAsia"/>
          <w:color w:val="000000"/>
          <w:sz w:val="24"/>
        </w:rPr>
        <w:t>第</w:t>
      </w:r>
      <w:r>
        <w:rPr>
          <w:rFonts w:hint="eastAsia"/>
          <w:color w:val="000000"/>
          <w:sz w:val="24"/>
        </w:rPr>
        <w:t>1597</w:t>
      </w:r>
      <w:r>
        <w:rPr>
          <w:rFonts w:hint="eastAsia"/>
          <w:color w:val="000000"/>
          <w:sz w:val="24"/>
        </w:rPr>
        <w:t>号验资报告予以验证。经向中国证监会备案，《交银施罗德天鑫宝货币市场基金基金合同》于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7</w:t>
      </w:r>
      <w:r>
        <w:rPr>
          <w:rFonts w:hint="eastAsia"/>
          <w:color w:val="000000"/>
          <w:sz w:val="24"/>
        </w:rPr>
        <w:t>日正式生效，基金合同生效日的基金份额总额为</w:t>
      </w:r>
      <w:r>
        <w:rPr>
          <w:rFonts w:hint="eastAsia"/>
          <w:color w:val="000000"/>
          <w:sz w:val="24"/>
        </w:rPr>
        <w:t>200,085,851.09</w:t>
      </w:r>
      <w:r>
        <w:rPr>
          <w:rFonts w:hint="eastAsia"/>
          <w:color w:val="000000"/>
          <w:sz w:val="24"/>
        </w:rPr>
        <w:t>份基金份额，其中认购资金利息折合</w:t>
      </w:r>
      <w:r>
        <w:rPr>
          <w:rFonts w:hint="eastAsia"/>
          <w:color w:val="000000"/>
          <w:sz w:val="24"/>
        </w:rPr>
        <w:t>27,008.13</w:t>
      </w:r>
      <w:r>
        <w:rPr>
          <w:rFonts w:hint="eastAsia"/>
          <w:color w:val="000000"/>
          <w:sz w:val="24"/>
        </w:rPr>
        <w:t>份基金份额。本基金的基金管理人为交银施罗德基金管理有限公司，基金托管人为兴业银行股份有限公司。</w:t>
      </w:r>
    </w:p>
    <w:p w:rsidR="00990C7B" w:rsidRDefault="000C485A">
      <w:pPr>
        <w:spacing w:before="29" w:line="288" w:lineRule="auto"/>
        <w:ind w:firstLineChars="200" w:firstLine="480"/>
        <w:rPr>
          <w:color w:val="000000"/>
          <w:sz w:val="24"/>
        </w:rPr>
      </w:pPr>
      <w:r>
        <w:rPr>
          <w:rFonts w:hint="eastAsia"/>
          <w:color w:val="000000"/>
          <w:sz w:val="24"/>
        </w:rPr>
        <w:t>根据《交银施罗德天鑫宝货币市场基金基金合同》和《交银施罗德天鑫宝货币市场基金招募说明书》的相关规定，本基金根据销售服务费收取方式的不同，将基金份额分为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w:t>
      </w:r>
      <w:proofErr w:type="gramStart"/>
      <w:r>
        <w:rPr>
          <w:rFonts w:hint="eastAsia"/>
          <w:color w:val="000000"/>
          <w:sz w:val="24"/>
        </w:rPr>
        <w:t>七日年化收益率</w:t>
      </w:r>
      <w:proofErr w:type="gramEnd"/>
      <w:r>
        <w:rPr>
          <w:rFonts w:hint="eastAsia"/>
          <w:color w:val="000000"/>
          <w:sz w:val="24"/>
        </w:rPr>
        <w:t>。投资者可自行选择认购的基金份额类别，除非基金管理人在未来另行公告开通相关业务，本基金不同基金份额类别之间不得互相转换。</w:t>
      </w:r>
    </w:p>
    <w:p w:rsidR="00990C7B" w:rsidRDefault="000C485A">
      <w:pPr>
        <w:spacing w:before="29" w:line="288" w:lineRule="auto"/>
        <w:ind w:firstLineChars="200" w:firstLine="480"/>
        <w:rPr>
          <w:color w:val="000000"/>
          <w:sz w:val="24"/>
        </w:rPr>
      </w:pPr>
      <w:r>
        <w:rPr>
          <w:rFonts w:hint="eastAsia"/>
          <w:color w:val="000000"/>
          <w:sz w:val="24"/>
        </w:rPr>
        <w:t>根据《中华人民共和国证券投资基金法》和《交银施罗德天鑫宝货币市场基金基金合同》的有关规定，本基金的投资范围为具有良好流动性的金融工具，包括现金，期限在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年以内（含</w:t>
      </w:r>
      <w:r>
        <w:rPr>
          <w:rFonts w:hint="eastAsia"/>
          <w:color w:val="000000"/>
          <w:sz w:val="24"/>
        </w:rPr>
        <w:t>1</w:t>
      </w:r>
      <w:r>
        <w:rPr>
          <w:rFonts w:hint="eastAsia"/>
          <w:color w:val="000000"/>
          <w:sz w:val="24"/>
        </w:rPr>
        <w:t>年）的银行存款、债券回购、中央银行票据、同业存单，剩余期限在</w:t>
      </w:r>
      <w:r>
        <w:rPr>
          <w:rFonts w:hint="eastAsia"/>
          <w:color w:val="000000"/>
          <w:sz w:val="24"/>
        </w:rPr>
        <w:t>397</w:t>
      </w:r>
      <w:r>
        <w:rPr>
          <w:rFonts w:hint="eastAsia"/>
          <w:color w:val="000000"/>
          <w:sz w:val="24"/>
        </w:rPr>
        <w:t>天以内（含</w:t>
      </w:r>
      <w:r>
        <w:rPr>
          <w:rFonts w:hint="eastAsia"/>
          <w:color w:val="000000"/>
          <w:sz w:val="24"/>
        </w:rPr>
        <w:t>397</w:t>
      </w:r>
      <w:r>
        <w:rPr>
          <w:rFonts w:hint="eastAsia"/>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w:t>
      </w:r>
      <w:r w:rsidRPr="00FE0F8A">
        <w:rPr>
          <w:rFonts w:hint="eastAsia"/>
          <w:color w:val="000000"/>
          <w:sz w:val="24"/>
        </w:rPr>
        <w:t>(</w:t>
      </w:r>
      <w:r w:rsidRPr="00FE0F8A">
        <w:rPr>
          <w:rFonts w:hint="eastAsia"/>
          <w:color w:val="000000"/>
          <w:sz w:val="24"/>
        </w:rPr>
        <w:t>以下简称“中国基金业协会”</w:t>
      </w:r>
      <w:r w:rsidRPr="00FE0F8A">
        <w:rPr>
          <w:rFonts w:hint="eastAsia"/>
          <w:color w:val="000000"/>
          <w:sz w:val="24"/>
        </w:rPr>
        <w:t>)</w:t>
      </w:r>
      <w:r w:rsidRPr="00FE0F8A">
        <w:rPr>
          <w:rFonts w:hint="eastAsia"/>
          <w:color w:val="000000"/>
          <w:sz w:val="24"/>
        </w:rPr>
        <w:t>颁布的《证券投资基金会计核算业务指引》、《交银施罗德天鑫宝货币市场基金基金合同》和在财务报表附注</w:t>
      </w:r>
      <w:r w:rsidRPr="00FE0F8A">
        <w:rPr>
          <w:rFonts w:hint="eastAsia"/>
          <w:color w:val="000000"/>
          <w:sz w:val="24"/>
        </w:rPr>
        <w:t>7.4.4</w:t>
      </w:r>
      <w:r w:rsidRPr="00FE0F8A">
        <w:rPr>
          <w:rFonts w:hint="eastAsia"/>
          <w:color w:val="000000"/>
          <w:sz w:val="24"/>
        </w:rPr>
        <w:t>所列示的中国证监会、中国基金业协会发布的有关规定及允许的基金行业实务操作编制。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日及</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重要会计政策和会计估计</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 </w:t>
      </w:r>
      <w:r w:rsidRPr="006B06B5">
        <w:rPr>
          <w:rFonts w:ascii="Times New Roman" w:hAnsi="Times New Roman" w:cs="Times New Roman" w:hint="eastAsia"/>
          <w:kern w:val="0"/>
          <w:szCs w:val="24"/>
        </w:rPr>
        <w:t>会计年度</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本基金会计年度为公历</w:t>
      </w:r>
      <w:r w:rsidRPr="00FE0F8A">
        <w:rPr>
          <w:rFonts w:hint="eastAsia"/>
          <w:color w:val="000000"/>
          <w:sz w:val="24"/>
        </w:rPr>
        <w:t>1</w:t>
      </w:r>
      <w:r w:rsidRPr="00FE0F8A">
        <w:rPr>
          <w:rFonts w:hint="eastAsia"/>
          <w:color w:val="000000"/>
          <w:sz w:val="24"/>
        </w:rPr>
        <w:t>月</w:t>
      </w:r>
      <w:r w:rsidRPr="00FE0F8A">
        <w:rPr>
          <w:rFonts w:hint="eastAsia"/>
          <w:color w:val="000000"/>
          <w:sz w:val="24"/>
        </w:rPr>
        <w:t>1</w:t>
      </w:r>
      <w:r w:rsidRPr="00FE0F8A">
        <w:rPr>
          <w:rFonts w:hint="eastAsia"/>
          <w:color w:val="000000"/>
          <w:sz w:val="24"/>
        </w:rPr>
        <w:t>日起至</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日止。本财务报表的实际编制期间为</w:t>
      </w:r>
      <w:r w:rsidRPr="00FE0F8A">
        <w:rPr>
          <w:rFonts w:hint="eastAsia"/>
          <w:color w:val="000000"/>
          <w:sz w:val="24"/>
        </w:rPr>
        <w:t>2017</w:t>
      </w:r>
      <w:r w:rsidRPr="00FE0F8A">
        <w:rPr>
          <w:rFonts w:hint="eastAsia"/>
          <w:color w:val="000000"/>
          <w:sz w:val="24"/>
        </w:rPr>
        <w:t>年度</w:t>
      </w:r>
      <w:r w:rsidRPr="00FE0F8A">
        <w:rPr>
          <w:rFonts w:hint="eastAsia"/>
          <w:color w:val="000000"/>
          <w:sz w:val="24"/>
        </w:rPr>
        <w:t xml:space="preserve"> </w:t>
      </w:r>
      <w:r w:rsidRPr="00FE0F8A">
        <w:rPr>
          <w:rFonts w:hint="eastAsia"/>
          <w:color w:val="000000"/>
          <w:sz w:val="24"/>
        </w:rPr>
        <w:t>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w:t>
      </w:r>
    </w:p>
    <w:p w:rsidR="00223DFB" w:rsidRPr="00CB1276" w:rsidRDefault="00223DFB" w:rsidP="00CB1276">
      <w:pPr>
        <w:spacing w:line="360"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7.4.4.2 </w:t>
      </w:r>
      <w:r w:rsidRPr="006B06B5">
        <w:rPr>
          <w:rFonts w:ascii="Times New Roman" w:hAnsi="Times New Roman" w:cs="Times New Roman" w:hint="eastAsia"/>
          <w:kern w:val="0"/>
          <w:szCs w:val="24"/>
        </w:rPr>
        <w:t>记账本位币</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本基金的记账本位币为人民币。</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7.4.4.3 </w:t>
      </w:r>
      <w:r w:rsidRPr="006B06B5">
        <w:rPr>
          <w:rFonts w:ascii="Times New Roman" w:hAnsi="Times New Roman" w:cs="Times New Roman" w:hint="eastAsia"/>
          <w:kern w:val="0"/>
          <w:szCs w:val="24"/>
        </w:rPr>
        <w:t>金融资产和金融负债的分类</w:t>
      </w:r>
    </w:p>
    <w:p w:rsidR="00990C7B" w:rsidRDefault="000C485A">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金融资产的分类</w:t>
      </w:r>
    </w:p>
    <w:p w:rsidR="00990C7B" w:rsidRDefault="000C485A">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90C7B" w:rsidRDefault="000C485A">
      <w:pPr>
        <w:spacing w:before="29" w:line="288" w:lineRule="auto"/>
        <w:ind w:firstLineChars="200" w:firstLine="480"/>
        <w:rPr>
          <w:color w:val="000000"/>
          <w:sz w:val="24"/>
        </w:rPr>
      </w:pPr>
      <w:r>
        <w:rPr>
          <w:rFonts w:hint="eastAsia"/>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990C7B" w:rsidRDefault="000C485A">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90C7B" w:rsidRDefault="000C485A">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金融负债的分类</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7.4.4.4 </w:t>
      </w:r>
      <w:r w:rsidRPr="006B06B5">
        <w:rPr>
          <w:rFonts w:ascii="Times New Roman" w:hAnsi="Times New Roman" w:cs="Times New Roman" w:hint="eastAsia"/>
          <w:kern w:val="0"/>
          <w:szCs w:val="24"/>
        </w:rPr>
        <w:t>金融资产和金融负债的初始确认、后续计量和终止确认</w:t>
      </w:r>
    </w:p>
    <w:p w:rsidR="00990C7B" w:rsidRDefault="000C485A">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w:t>
      </w:r>
      <w:r>
        <w:rPr>
          <w:rFonts w:hint="eastAsia"/>
          <w:color w:val="000000"/>
          <w:sz w:val="24"/>
        </w:rPr>
        <w:lastRenderedPageBreak/>
        <w:t>表内确认。对于取得债券投资或资产支持证券投资支付的价款中包含的债券起息日或上次除息日至购买日止的利息，单独确认为应收项目。应收款项和其他金融负债的相关交易费用计入初始确认金额。</w:t>
      </w:r>
    </w:p>
    <w:p w:rsidR="00990C7B" w:rsidRDefault="000C485A">
      <w:pPr>
        <w:spacing w:before="29" w:line="288" w:lineRule="auto"/>
        <w:ind w:firstLineChars="200" w:firstLine="480"/>
        <w:rPr>
          <w:color w:val="000000"/>
          <w:sz w:val="24"/>
        </w:rPr>
      </w:pPr>
      <w:r>
        <w:rPr>
          <w:rFonts w:hint="eastAsia"/>
          <w:color w:val="000000"/>
          <w:sz w:val="24"/>
        </w:rPr>
        <w:t>债券投资和资产支持证券按票面利率或商定利率每日计提应收利息，按实际利率法在其剩余期限内摊销其买入时的溢价或折价；同时于每一计价日计算影子价格，以避免债券投资和资产支持证券的账面价值与公允价值的差异导致基金资产净值发生重大偏离。对于应收款项和其他金融负债采用实际利率法，以摊</w:t>
      </w:r>
      <w:proofErr w:type="gramStart"/>
      <w:r>
        <w:rPr>
          <w:rFonts w:hint="eastAsia"/>
          <w:color w:val="000000"/>
          <w:sz w:val="24"/>
        </w:rPr>
        <w:t>余成本</w:t>
      </w:r>
      <w:proofErr w:type="gramEnd"/>
      <w:r>
        <w:rPr>
          <w:rFonts w:hint="eastAsia"/>
          <w:color w:val="000000"/>
          <w:sz w:val="24"/>
        </w:rPr>
        <w:t>进行后续计量。</w:t>
      </w:r>
    </w:p>
    <w:p w:rsidR="00990C7B" w:rsidRDefault="000C485A">
      <w:pPr>
        <w:spacing w:before="29" w:line="288" w:lineRule="auto"/>
        <w:ind w:firstLineChars="200" w:firstLine="480"/>
        <w:rPr>
          <w:color w:val="000000"/>
          <w:sz w:val="24"/>
        </w:rPr>
      </w:pPr>
      <w:r>
        <w:rPr>
          <w:rFonts w:hint="eastAsia"/>
          <w:color w:val="000000"/>
          <w:sz w:val="24"/>
        </w:rPr>
        <w:t>金融资产满足下列条件之一的，予以终止确认：</w:t>
      </w:r>
      <w:r>
        <w:rPr>
          <w:rFonts w:hint="eastAsia"/>
          <w:color w:val="000000"/>
          <w:sz w:val="24"/>
        </w:rPr>
        <w:t xml:space="preserve">(1) </w:t>
      </w:r>
      <w:r>
        <w:rPr>
          <w:rFonts w:hint="eastAsia"/>
          <w:color w:val="000000"/>
          <w:sz w:val="24"/>
        </w:rPr>
        <w:t>收取该金融资产现金流量的合同权利终止；</w:t>
      </w:r>
      <w:r>
        <w:rPr>
          <w:rFonts w:hint="eastAsia"/>
          <w:color w:val="000000"/>
          <w:sz w:val="24"/>
        </w:rPr>
        <w:t xml:space="preserve">(2) </w:t>
      </w:r>
      <w:r>
        <w:rPr>
          <w:rFonts w:hint="eastAsia"/>
          <w:color w:val="000000"/>
          <w:sz w:val="24"/>
        </w:rPr>
        <w:t>该金融资产已转移，且本基金将金融资产所有权上几乎所有的风险和报酬转移给转入方；或者</w:t>
      </w:r>
      <w:r>
        <w:rPr>
          <w:rFonts w:hint="eastAsia"/>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990C7B" w:rsidRDefault="000C485A">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7.4.4.5 </w:t>
      </w:r>
      <w:r w:rsidRPr="006B06B5">
        <w:rPr>
          <w:rFonts w:ascii="Times New Roman" w:hAnsi="Times New Roman" w:cs="Times New Roman" w:hint="eastAsia"/>
          <w:kern w:val="0"/>
          <w:szCs w:val="24"/>
        </w:rPr>
        <w:t>金融资产和金融负债的估值原则</w:t>
      </w:r>
    </w:p>
    <w:p w:rsidR="00990C7B" w:rsidRDefault="000C485A">
      <w:pPr>
        <w:spacing w:before="29" w:line="288" w:lineRule="auto"/>
        <w:ind w:firstLineChars="200" w:firstLine="480"/>
        <w:rPr>
          <w:color w:val="000000"/>
          <w:sz w:val="24"/>
        </w:rPr>
      </w:pPr>
      <w:r>
        <w:rPr>
          <w:rFonts w:hint="eastAsia"/>
          <w:color w:val="000000"/>
          <w:sz w:val="24"/>
        </w:rPr>
        <w:t>为了避免投资组合的账面价值与公允价值的差异导致基金资产净值发生重大偏离，从而对基金持有人的利益产生稀释或不公平的结果，基金管理人于每一计价</w:t>
      </w:r>
      <w:proofErr w:type="gramStart"/>
      <w:r>
        <w:rPr>
          <w:rFonts w:hint="eastAsia"/>
          <w:color w:val="000000"/>
          <w:sz w:val="24"/>
        </w:rPr>
        <w:t>日采用</w:t>
      </w:r>
      <w:proofErr w:type="gramEnd"/>
      <w:r>
        <w:rPr>
          <w:rFonts w:hint="eastAsia"/>
          <w:color w:val="000000"/>
          <w:sz w:val="24"/>
        </w:rPr>
        <w:t>投资组合的公允价值计算影子价格。当影子价格确定的基金资产净值与摊</w:t>
      </w:r>
      <w:proofErr w:type="gramStart"/>
      <w:r>
        <w:rPr>
          <w:rFonts w:hint="eastAsia"/>
          <w:color w:val="000000"/>
          <w:sz w:val="24"/>
        </w:rPr>
        <w:t>余成本</w:t>
      </w:r>
      <w:proofErr w:type="gramEnd"/>
      <w:r>
        <w:rPr>
          <w:rFonts w:hint="eastAsia"/>
          <w:color w:val="000000"/>
          <w:sz w:val="24"/>
        </w:rPr>
        <w:t>法计算的基金资产净值的负偏离度的绝对值达到或超过</w:t>
      </w:r>
      <w:r>
        <w:rPr>
          <w:rFonts w:hint="eastAsia"/>
          <w:color w:val="000000"/>
          <w:sz w:val="24"/>
        </w:rPr>
        <w:t>0.25%</w:t>
      </w:r>
      <w:r>
        <w:rPr>
          <w:rFonts w:hint="eastAsia"/>
          <w:color w:val="000000"/>
          <w:sz w:val="24"/>
        </w:rPr>
        <w:t>，或正偏离度绝对值达到或超过</w:t>
      </w:r>
      <w:r>
        <w:rPr>
          <w:rFonts w:hint="eastAsia"/>
          <w:color w:val="000000"/>
          <w:sz w:val="24"/>
        </w:rPr>
        <w:t>0.5%</w:t>
      </w:r>
      <w:r>
        <w:rPr>
          <w:rFonts w:hint="eastAsia"/>
          <w:color w:val="000000"/>
          <w:sz w:val="24"/>
        </w:rPr>
        <w:t>时，基金管理人应根据相关法律法规采取相应措施，使基金资产净值更能公允地反映基金投资组合价值。</w:t>
      </w:r>
    </w:p>
    <w:p w:rsidR="00990C7B" w:rsidRDefault="000C485A">
      <w:pPr>
        <w:spacing w:before="29" w:line="288" w:lineRule="auto"/>
        <w:ind w:firstLineChars="200" w:firstLine="480"/>
        <w:rPr>
          <w:color w:val="000000"/>
          <w:sz w:val="24"/>
        </w:rPr>
      </w:pPr>
      <w:r>
        <w:rPr>
          <w:rFonts w:hint="eastAsia"/>
          <w:color w:val="000000"/>
          <w:sz w:val="24"/>
        </w:rPr>
        <w:t>计算影子价格时按如下原则确定债券投资和资产支持证券投资的公允价值：</w:t>
      </w:r>
    </w:p>
    <w:p w:rsidR="00990C7B" w:rsidRDefault="000C485A">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存在活跃市场的金融工具按其估值日的市场交易价格确定公允价值；估值日无交易且最近交易日后未发生影响公允价值计量的</w:t>
      </w:r>
      <w:proofErr w:type="gramStart"/>
      <w:r>
        <w:rPr>
          <w:rFonts w:hint="eastAsia"/>
          <w:color w:val="000000"/>
          <w:sz w:val="24"/>
        </w:rPr>
        <w:t>的</w:t>
      </w:r>
      <w:proofErr w:type="gramEnd"/>
      <w:r>
        <w:rPr>
          <w:rFonts w:hint="eastAsia"/>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90C7B" w:rsidRDefault="000C485A">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如经济环境发生重大变化或证券发行人发生影响金融工具价格的重大事件，应</w:t>
      </w:r>
      <w:r w:rsidRPr="00FE0F8A">
        <w:rPr>
          <w:rFonts w:hint="eastAsia"/>
          <w:color w:val="000000"/>
          <w:sz w:val="24"/>
        </w:rPr>
        <w:lastRenderedPageBreak/>
        <w:t>对估值进行调整并确定公允价值。</w:t>
      </w:r>
    </w:p>
    <w:p w:rsidR="00223DFB" w:rsidRPr="00CB1276" w:rsidRDefault="00223DFB" w:rsidP="00CB1276">
      <w:pPr>
        <w:autoSpaceDE w:val="0"/>
        <w:autoSpaceDN w:val="0"/>
        <w:adjustRightInd w:val="0"/>
        <w:spacing w:line="360" w:lineRule="auto"/>
        <w:jc w:val="left"/>
        <w:rPr>
          <w:rFonts w:asciiTheme="minorEastAsia" w:eastAsiaTheme="minorEastAsia" w:hAnsiTheme="minorEastAsia"/>
          <w:b/>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7.4.4.6 </w:t>
      </w:r>
      <w:r w:rsidRPr="006B06B5">
        <w:rPr>
          <w:rFonts w:ascii="Times New Roman" w:hAnsi="Times New Roman" w:cs="Times New Roman" w:hint="eastAsia"/>
          <w:kern w:val="0"/>
          <w:szCs w:val="24"/>
        </w:rPr>
        <w:t>金融资产和金融负债的</w:t>
      </w:r>
      <w:proofErr w:type="gramStart"/>
      <w:r w:rsidRPr="006B06B5">
        <w:rPr>
          <w:rFonts w:ascii="Times New Roman" w:hAnsi="Times New Roman" w:cs="Times New Roman" w:hint="eastAsia"/>
          <w:kern w:val="0"/>
          <w:szCs w:val="24"/>
        </w:rPr>
        <w:t>抵销</w:t>
      </w:r>
      <w:proofErr w:type="gramEnd"/>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本基金持有的资产和承担的负债基本为金融资产和金融负债。当本基金</w:t>
      </w:r>
      <w:r w:rsidRPr="00FE0F8A">
        <w:rPr>
          <w:rFonts w:hint="eastAsia"/>
          <w:color w:val="000000"/>
          <w:sz w:val="24"/>
        </w:rPr>
        <w:t xml:space="preserve">1) </w:t>
      </w:r>
      <w:r w:rsidRPr="00FE0F8A">
        <w:rPr>
          <w:rFonts w:hint="eastAsia"/>
          <w:color w:val="000000"/>
          <w:sz w:val="24"/>
        </w:rPr>
        <w:t>具有</w:t>
      </w:r>
      <w:proofErr w:type="gramStart"/>
      <w:r w:rsidRPr="00FE0F8A">
        <w:rPr>
          <w:rFonts w:hint="eastAsia"/>
          <w:color w:val="000000"/>
          <w:sz w:val="24"/>
        </w:rPr>
        <w:t>抵销</w:t>
      </w:r>
      <w:proofErr w:type="gramEnd"/>
      <w:r w:rsidRPr="00FE0F8A">
        <w:rPr>
          <w:rFonts w:hint="eastAsia"/>
          <w:color w:val="000000"/>
          <w:sz w:val="24"/>
        </w:rPr>
        <w:t>已确认金额的法定权利且该种法定权利现在是可执行的；且</w:t>
      </w:r>
      <w:r w:rsidRPr="00FE0F8A">
        <w:rPr>
          <w:rFonts w:hint="eastAsia"/>
          <w:color w:val="000000"/>
          <w:sz w:val="24"/>
        </w:rPr>
        <w:t xml:space="preserve">2) </w:t>
      </w:r>
      <w:r w:rsidRPr="00FE0F8A">
        <w:rPr>
          <w:rFonts w:hint="eastAsia"/>
          <w:color w:val="000000"/>
          <w:sz w:val="24"/>
        </w:rPr>
        <w:t>交易双方准备按净额结算时，金融资产与金融负债按</w:t>
      </w:r>
      <w:proofErr w:type="gramStart"/>
      <w:r w:rsidRPr="00FE0F8A">
        <w:rPr>
          <w:rFonts w:hint="eastAsia"/>
          <w:color w:val="000000"/>
          <w:sz w:val="24"/>
        </w:rPr>
        <w:t>抵销</w:t>
      </w:r>
      <w:proofErr w:type="gramEnd"/>
      <w:r w:rsidRPr="00FE0F8A">
        <w:rPr>
          <w:rFonts w:hint="eastAsia"/>
          <w:color w:val="000000"/>
          <w:sz w:val="24"/>
        </w:rPr>
        <w:t>后的净额在资产负债表中列示。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7.4.4.7 </w:t>
      </w:r>
      <w:r w:rsidRPr="006B06B5">
        <w:rPr>
          <w:rFonts w:ascii="Times New Roman" w:hAnsi="Times New Roman" w:cs="Times New Roman" w:hint="eastAsia"/>
          <w:kern w:val="0"/>
          <w:szCs w:val="24"/>
        </w:rPr>
        <w:t>实收基金</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实收基金为对外发行基金份额所募集的总金额。每份基金份额面值为</w:t>
      </w:r>
      <w:r w:rsidRPr="00FE0F8A">
        <w:rPr>
          <w:rFonts w:hint="eastAsia"/>
          <w:color w:val="000000"/>
          <w:sz w:val="24"/>
        </w:rPr>
        <w:t>1.00</w:t>
      </w:r>
      <w:r w:rsidRPr="00FE0F8A">
        <w:rPr>
          <w:rFonts w:hint="eastAsia"/>
          <w:color w:val="000000"/>
          <w:sz w:val="24"/>
        </w:rPr>
        <w:t>元。由于申购和赎回引起的实收基金变动分别于基金申购确认日及基金赎回确认</w:t>
      </w:r>
      <w:proofErr w:type="gramStart"/>
      <w:r w:rsidRPr="00FE0F8A">
        <w:rPr>
          <w:rFonts w:hint="eastAsia"/>
          <w:color w:val="000000"/>
          <w:sz w:val="24"/>
        </w:rPr>
        <w:t>日认列</w:t>
      </w:r>
      <w:proofErr w:type="gramEnd"/>
      <w:r w:rsidRPr="00FE0F8A">
        <w:rPr>
          <w:rFonts w:hint="eastAsia"/>
          <w:color w:val="000000"/>
          <w:sz w:val="24"/>
        </w:rPr>
        <w:t>。上述申购和赎回分别包括基金转换所引起的转入基金的实收基金增加和转出基金的实收基金减少。</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7.4.4.8 </w:t>
      </w:r>
      <w:r w:rsidRPr="006B06B5">
        <w:rPr>
          <w:rFonts w:ascii="Times New Roman" w:hAnsi="Times New Roman" w:cs="Times New Roman" w:hint="eastAsia"/>
          <w:kern w:val="0"/>
          <w:szCs w:val="24"/>
        </w:rPr>
        <w:t>收入</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损失</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的确认和计量</w:t>
      </w:r>
    </w:p>
    <w:p w:rsidR="00990C7B" w:rsidRDefault="000C485A">
      <w:pPr>
        <w:spacing w:before="29" w:line="288" w:lineRule="auto"/>
        <w:ind w:firstLineChars="200" w:firstLine="480"/>
        <w:rPr>
          <w:color w:val="000000"/>
          <w:sz w:val="24"/>
        </w:rPr>
      </w:pPr>
      <w:r>
        <w:rPr>
          <w:rFonts w:hint="eastAsia"/>
          <w:color w:val="000000"/>
          <w:sz w:val="24"/>
        </w:rPr>
        <w:t>债券投资和资产支持证券投资在持有期间按实际利率计算确定的金额扣除在适用情况下由债券发行企业代扣代缴的个人所得税后的净额确认为利息收入。</w:t>
      </w:r>
    </w:p>
    <w:p w:rsidR="00990C7B" w:rsidRDefault="000C485A">
      <w:pPr>
        <w:spacing w:before="29" w:line="288" w:lineRule="auto"/>
        <w:ind w:firstLineChars="200" w:firstLine="480"/>
        <w:rPr>
          <w:color w:val="000000"/>
          <w:sz w:val="24"/>
        </w:rPr>
      </w:pPr>
      <w:r>
        <w:rPr>
          <w:rFonts w:hint="eastAsia"/>
          <w:color w:val="000000"/>
          <w:sz w:val="24"/>
        </w:rPr>
        <w:t>债券投资处置时其处置价格扣除相关交易费用后的净额与账面价值之间的差额确认为投资收益。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应收款项在持有期间确认的利息收入按实际利率法计算，实际利率法与直线法差异较小的则按直线法计算。</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7.4.4.9 </w:t>
      </w:r>
      <w:r w:rsidRPr="006B06B5">
        <w:rPr>
          <w:rFonts w:ascii="Times New Roman" w:hAnsi="Times New Roman" w:cs="Times New Roman" w:hint="eastAsia"/>
          <w:kern w:val="0"/>
          <w:szCs w:val="24"/>
        </w:rPr>
        <w:t>费用的确认和计量</w:t>
      </w:r>
    </w:p>
    <w:p w:rsidR="00990C7B" w:rsidRDefault="000C485A">
      <w:pPr>
        <w:spacing w:before="29" w:line="288" w:lineRule="auto"/>
        <w:ind w:firstLineChars="200" w:firstLine="480"/>
        <w:rPr>
          <w:color w:val="000000"/>
          <w:sz w:val="24"/>
        </w:rPr>
      </w:pPr>
      <w:r>
        <w:rPr>
          <w:rFonts w:hint="eastAsia"/>
          <w:color w:val="000000"/>
          <w:sz w:val="24"/>
        </w:rPr>
        <w:t>本基金的管理人报酬、托管费和销售服务费在费用涵盖期间按基金合同约定的费率和计算方法逐日确认。</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其他金融负债在持有期间确认的利息支出按实际利率法计算，实际利率法与直线法差异较小的则按直线法计算。</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7.4.4.10 </w:t>
      </w:r>
      <w:r w:rsidRPr="006B06B5">
        <w:rPr>
          <w:rFonts w:ascii="Times New Roman" w:hAnsi="Times New Roman" w:cs="Times New Roman" w:hint="eastAsia"/>
          <w:kern w:val="0"/>
          <w:szCs w:val="24"/>
        </w:rPr>
        <w:t>基金的收益分配政策</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本基金同一类别的每一基金份额享有同等分配权。申购的基金份额享有确认当日的分红权益，而赎回的基金份额不享有确认当日的分红权益。本基金以份额面值</w:t>
      </w:r>
      <w:r w:rsidRPr="00FE0F8A">
        <w:rPr>
          <w:rFonts w:hint="eastAsia"/>
          <w:color w:val="000000"/>
          <w:sz w:val="24"/>
        </w:rPr>
        <w:t>1.00</w:t>
      </w:r>
      <w:r w:rsidRPr="00FE0F8A">
        <w:rPr>
          <w:rFonts w:hint="eastAsia"/>
          <w:color w:val="000000"/>
          <w:sz w:val="24"/>
        </w:rPr>
        <w:t>元固定份额净值交易方式，每日计算当日收益并全部分配结转至应付收益科目，且每日进行支付。</w:t>
      </w:r>
      <w:r w:rsidRPr="00FE0F8A">
        <w:rPr>
          <w:rFonts w:hint="eastAsia"/>
          <w:color w:val="000000"/>
          <w:sz w:val="24"/>
        </w:rPr>
        <w:t xml:space="preserve"> </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7.4.4.11 </w:t>
      </w:r>
      <w:r w:rsidRPr="006B06B5">
        <w:rPr>
          <w:rFonts w:ascii="Times New Roman" w:hAnsi="Times New Roman" w:cs="Times New Roman" w:hint="eastAsia"/>
          <w:kern w:val="0"/>
          <w:szCs w:val="24"/>
        </w:rPr>
        <w:t>分部报告</w:t>
      </w:r>
    </w:p>
    <w:p w:rsidR="00990C7B" w:rsidRDefault="000C485A">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w:t>
      </w:r>
      <w:r>
        <w:rPr>
          <w:rFonts w:hint="eastAsia"/>
          <w:color w:val="000000"/>
          <w:sz w:val="24"/>
        </w:rPr>
        <w:lastRenderedPageBreak/>
        <w:t>部为基础确定报告分部并披露分部信息。</w:t>
      </w:r>
    </w:p>
    <w:p w:rsidR="00990C7B" w:rsidRDefault="000C485A">
      <w:pPr>
        <w:spacing w:before="29" w:line="288" w:lineRule="auto"/>
        <w:ind w:firstLineChars="200" w:firstLine="480"/>
        <w:rPr>
          <w:color w:val="000000"/>
          <w:sz w:val="24"/>
        </w:rPr>
      </w:pPr>
      <w:r>
        <w:rPr>
          <w:rFonts w:hint="eastAsia"/>
          <w:color w:val="000000"/>
          <w:sz w:val="24"/>
        </w:rPr>
        <w:t>经营分部是指本基金内同时满足下列条件的组成部分：</w:t>
      </w:r>
      <w:r>
        <w:rPr>
          <w:rFonts w:hint="eastAsia"/>
          <w:color w:val="000000"/>
          <w:sz w:val="24"/>
        </w:rPr>
        <w:t xml:space="preserve">(1) </w:t>
      </w:r>
      <w:r>
        <w:rPr>
          <w:rFonts w:hint="eastAsia"/>
          <w:color w:val="000000"/>
          <w:sz w:val="24"/>
        </w:rPr>
        <w:t>该组成部分能够在日常活动中产生收入、发生费用；</w:t>
      </w:r>
      <w:r>
        <w:rPr>
          <w:rFonts w:hint="eastAsia"/>
          <w:color w:val="000000"/>
          <w:sz w:val="24"/>
        </w:rPr>
        <w:t xml:space="preserve">(2) </w:t>
      </w:r>
      <w:r>
        <w:rPr>
          <w:rFonts w:hint="eastAsia"/>
          <w:color w:val="000000"/>
          <w:sz w:val="24"/>
        </w:rPr>
        <w:t>本基金的基金管理人能够定期评价该组成部分的经营成果，以决定向其配置资源、评价其业绩；</w:t>
      </w:r>
      <w:r>
        <w:rPr>
          <w:rFonts w:hint="eastAsia"/>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本基金目前以一个单一的经营分部运作，不需要披露分部信息。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7.4.4.12 </w:t>
      </w:r>
      <w:r w:rsidRPr="006B06B5">
        <w:rPr>
          <w:rFonts w:ascii="Times New Roman" w:hAnsi="Times New Roman" w:cs="Times New Roman" w:hint="eastAsia"/>
          <w:kern w:val="0"/>
          <w:szCs w:val="24"/>
        </w:rPr>
        <w:t>其他重要的会计政策和会计估计</w:t>
      </w:r>
    </w:p>
    <w:p w:rsidR="00990C7B" w:rsidRDefault="000C485A">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根据本基金的估值原则和中国证监会允许的基金行业估值实务操作，本基金计算影子价格过程中确定债券投资的公允价值时采用的估值方法及其关键假设如下：</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对于在证券交易所上市或挂牌转让的固定收益品种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及在银行间同业市场交易的固定收益品种，根据中国证监会公告</w:t>
      </w:r>
      <w:r w:rsidRPr="00FE0F8A">
        <w:rPr>
          <w:rFonts w:hint="eastAsia"/>
          <w:color w:val="000000"/>
          <w:sz w:val="24"/>
        </w:rPr>
        <w:t>[2017]13</w:t>
      </w:r>
      <w:r w:rsidRPr="00FE0F8A">
        <w:rPr>
          <w:rFonts w:hint="eastAsia"/>
          <w:color w:val="000000"/>
          <w:sz w:val="24"/>
        </w:rPr>
        <w:t>号《中国证监会关于证券投资基金估值业务的指导意见》及《中国证券投资基金业协会估值核算工作小组关于</w:t>
      </w:r>
      <w:r w:rsidRPr="00FE0F8A">
        <w:rPr>
          <w:rFonts w:hint="eastAsia"/>
          <w:color w:val="000000"/>
          <w:sz w:val="24"/>
        </w:rPr>
        <w:t>2015</w:t>
      </w:r>
      <w:r w:rsidRPr="00FE0F8A">
        <w:rPr>
          <w:rFonts w:hint="eastAsia"/>
          <w:color w:val="000000"/>
          <w:sz w:val="24"/>
        </w:rPr>
        <w:t>年</w:t>
      </w:r>
      <w:r w:rsidRPr="00FE0F8A">
        <w:rPr>
          <w:rFonts w:hint="eastAsia"/>
          <w:color w:val="000000"/>
          <w:sz w:val="24"/>
        </w:rPr>
        <w:t>1</w:t>
      </w:r>
      <w:r w:rsidRPr="00FE0F8A">
        <w:rPr>
          <w:rFonts w:hint="eastAsia"/>
          <w:color w:val="000000"/>
          <w:sz w:val="24"/>
        </w:rPr>
        <w:t>季度固定收益品种的估值处理标准》采用估值技术确定公允价值。本基金持有的证券交易所上市或挂牌转让的固定收益品种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CB1276" w:rsidRDefault="00223DFB" w:rsidP="00FE0F8A">
      <w:pPr>
        <w:spacing w:before="29" w:line="288"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990C7B" w:rsidRDefault="000C485A">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w:t>
      </w:r>
      <w:r>
        <w:rPr>
          <w:rFonts w:hint="eastAsia"/>
          <w:color w:val="000000"/>
          <w:sz w:val="24"/>
        </w:rPr>
        <w:lastRenderedPageBreak/>
        <w:t>列示如下：</w:t>
      </w:r>
    </w:p>
    <w:p w:rsidR="00990C7B" w:rsidRDefault="000C485A">
      <w:pPr>
        <w:spacing w:before="29" w:line="288" w:lineRule="auto"/>
        <w:ind w:firstLineChars="200" w:firstLine="480"/>
        <w:rPr>
          <w:color w:val="000000"/>
          <w:sz w:val="24"/>
        </w:rPr>
      </w:pPr>
      <w:r>
        <w:rPr>
          <w:rFonts w:hint="eastAsia"/>
          <w:color w:val="000000"/>
          <w:sz w:val="24"/>
        </w:rPr>
        <w:t>(1)</w:t>
      </w:r>
      <w:r>
        <w:rPr>
          <w:rFonts w:hint="eastAsia"/>
          <w:color w:val="000000"/>
          <w:sz w:val="24"/>
        </w:rPr>
        <w:t>对证券投资基金管理人运用基金买卖债券的转让收入免征增值税，对国债、地方政府债以及金融同业往来利息收入亦免征增值税</w:t>
      </w:r>
      <w:r>
        <w:rPr>
          <w:rFonts w:hint="eastAsia"/>
          <w:color w:val="000000"/>
          <w:sz w:val="24"/>
        </w:rPr>
        <w:t xml:space="preserve"> </w:t>
      </w:r>
      <w:r>
        <w:rPr>
          <w:rFonts w:hint="eastAsia"/>
          <w:color w:val="000000"/>
          <w:sz w:val="24"/>
        </w:rPr>
        <w:t>。</w:t>
      </w:r>
    </w:p>
    <w:p w:rsidR="00990C7B" w:rsidRDefault="000C485A">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990C7B">
        <w:tc>
          <w:tcPr>
            <w:tcW w:w="4499" w:type="dxa"/>
            <w:vAlign w:val="center"/>
          </w:tcPr>
          <w:p w:rsidR="00990C7B" w:rsidRDefault="000C485A">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990C7B" w:rsidRDefault="000C485A">
            <w:pPr>
              <w:jc w:val="left"/>
            </w:pPr>
            <w:r>
              <w:rPr>
                <w:rFonts w:hint="eastAsia"/>
                <w:color w:val="000000"/>
                <w:sz w:val="24"/>
              </w:rPr>
              <w:t>基金管理人、基金注册登记机构、基金销售机构</w:t>
            </w:r>
          </w:p>
        </w:tc>
      </w:tr>
      <w:tr w:rsidR="00990C7B">
        <w:tc>
          <w:tcPr>
            <w:tcW w:w="4499" w:type="dxa"/>
            <w:vAlign w:val="center"/>
          </w:tcPr>
          <w:p w:rsidR="00990C7B" w:rsidRDefault="000C485A">
            <w:pPr>
              <w:jc w:val="left"/>
            </w:pPr>
            <w:r>
              <w:rPr>
                <w:rFonts w:hint="eastAsia"/>
                <w:color w:val="000000"/>
                <w:sz w:val="24"/>
              </w:rPr>
              <w:t>兴业银行股份有限公司</w:t>
            </w:r>
            <w:r>
              <w:rPr>
                <w:rFonts w:hint="eastAsia"/>
                <w:color w:val="000000"/>
                <w:sz w:val="24"/>
              </w:rPr>
              <w:t>(</w:t>
            </w:r>
            <w:r>
              <w:rPr>
                <w:rFonts w:hint="eastAsia"/>
                <w:color w:val="000000"/>
                <w:sz w:val="24"/>
              </w:rPr>
              <w:t>“兴业银行”</w:t>
            </w:r>
            <w:r>
              <w:rPr>
                <w:rFonts w:hint="eastAsia"/>
                <w:color w:val="000000"/>
                <w:sz w:val="24"/>
              </w:rPr>
              <w:t>)</w:t>
            </w:r>
          </w:p>
        </w:tc>
        <w:tc>
          <w:tcPr>
            <w:tcW w:w="4499" w:type="dxa"/>
            <w:vAlign w:val="center"/>
          </w:tcPr>
          <w:p w:rsidR="00990C7B" w:rsidRDefault="000C485A">
            <w:pPr>
              <w:jc w:val="left"/>
            </w:pPr>
            <w:r>
              <w:rPr>
                <w:rFonts w:hint="eastAsia"/>
                <w:color w:val="000000"/>
                <w:sz w:val="24"/>
              </w:rPr>
              <w:t>基金托管人</w:t>
            </w:r>
          </w:p>
        </w:tc>
      </w:tr>
      <w:tr w:rsidR="00990C7B">
        <w:tc>
          <w:tcPr>
            <w:tcW w:w="4499" w:type="dxa"/>
            <w:vAlign w:val="center"/>
          </w:tcPr>
          <w:p w:rsidR="00990C7B" w:rsidRDefault="000C485A">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990C7B" w:rsidRDefault="000C485A">
            <w:pPr>
              <w:jc w:val="left"/>
            </w:pPr>
            <w:r>
              <w:rPr>
                <w:rFonts w:hint="eastAsia"/>
                <w:color w:val="000000"/>
                <w:sz w:val="24"/>
              </w:rPr>
              <w:t>基金管理人的股东、基金销售机构</w:t>
            </w:r>
          </w:p>
        </w:tc>
      </w:tr>
      <w:tr w:rsidR="00990C7B">
        <w:tc>
          <w:tcPr>
            <w:tcW w:w="4499" w:type="dxa"/>
            <w:vAlign w:val="center"/>
          </w:tcPr>
          <w:p w:rsidR="00990C7B" w:rsidRDefault="000C485A">
            <w:pPr>
              <w:jc w:val="left"/>
            </w:pPr>
            <w:r>
              <w:rPr>
                <w:rFonts w:hint="eastAsia"/>
                <w:color w:val="000000"/>
                <w:sz w:val="24"/>
              </w:rPr>
              <w:t>施罗德投资管理有限公司</w:t>
            </w:r>
          </w:p>
        </w:tc>
        <w:tc>
          <w:tcPr>
            <w:tcW w:w="4499" w:type="dxa"/>
            <w:vAlign w:val="center"/>
          </w:tcPr>
          <w:p w:rsidR="00990C7B" w:rsidRDefault="000C485A">
            <w:pPr>
              <w:jc w:val="left"/>
            </w:pPr>
            <w:r>
              <w:rPr>
                <w:rFonts w:hint="eastAsia"/>
                <w:color w:val="000000"/>
                <w:sz w:val="24"/>
              </w:rPr>
              <w:t>基金管理人的股东</w:t>
            </w:r>
          </w:p>
        </w:tc>
      </w:tr>
      <w:tr w:rsidR="00990C7B">
        <w:tc>
          <w:tcPr>
            <w:tcW w:w="4499" w:type="dxa"/>
            <w:vAlign w:val="center"/>
          </w:tcPr>
          <w:p w:rsidR="00990C7B" w:rsidRDefault="000C485A">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990C7B" w:rsidRDefault="000C485A">
            <w:pPr>
              <w:jc w:val="left"/>
            </w:pPr>
            <w:r>
              <w:rPr>
                <w:rFonts w:hint="eastAsia"/>
                <w:color w:val="000000"/>
                <w:sz w:val="24"/>
              </w:rPr>
              <w:t>基金管理人的股东</w:t>
            </w:r>
          </w:p>
        </w:tc>
      </w:tr>
      <w:tr w:rsidR="00990C7B">
        <w:tc>
          <w:tcPr>
            <w:tcW w:w="4499" w:type="dxa"/>
            <w:vAlign w:val="center"/>
          </w:tcPr>
          <w:p w:rsidR="00990C7B" w:rsidRDefault="000C485A">
            <w:pPr>
              <w:jc w:val="left"/>
            </w:pPr>
            <w:r>
              <w:rPr>
                <w:rFonts w:hint="eastAsia"/>
                <w:color w:val="000000"/>
                <w:sz w:val="24"/>
              </w:rPr>
              <w:t>交银施罗德资产管理有限公司</w:t>
            </w:r>
          </w:p>
        </w:tc>
        <w:tc>
          <w:tcPr>
            <w:tcW w:w="4499" w:type="dxa"/>
            <w:vAlign w:val="center"/>
          </w:tcPr>
          <w:p w:rsidR="00990C7B" w:rsidRDefault="000C485A">
            <w:pPr>
              <w:jc w:val="left"/>
            </w:pPr>
            <w:r>
              <w:rPr>
                <w:rFonts w:hint="eastAsia"/>
                <w:color w:val="000000"/>
                <w:sz w:val="24"/>
              </w:rPr>
              <w:t>基金管理人的子公司</w:t>
            </w:r>
          </w:p>
        </w:tc>
      </w:tr>
      <w:tr w:rsidR="00990C7B">
        <w:tc>
          <w:tcPr>
            <w:tcW w:w="4499" w:type="dxa"/>
            <w:vAlign w:val="center"/>
          </w:tcPr>
          <w:p w:rsidR="00990C7B" w:rsidRDefault="000C485A">
            <w:pPr>
              <w:jc w:val="left"/>
            </w:pPr>
            <w:r>
              <w:rPr>
                <w:rFonts w:hint="eastAsia"/>
                <w:color w:val="000000"/>
                <w:sz w:val="24"/>
              </w:rPr>
              <w:t>上海直源投资管理有限公司</w:t>
            </w:r>
          </w:p>
        </w:tc>
        <w:tc>
          <w:tcPr>
            <w:tcW w:w="4499" w:type="dxa"/>
            <w:vAlign w:val="center"/>
          </w:tcPr>
          <w:p w:rsidR="00990C7B" w:rsidRDefault="000C485A">
            <w:pPr>
              <w:jc w:val="left"/>
            </w:pPr>
            <w:r>
              <w:rPr>
                <w:rFonts w:hint="eastAsia"/>
                <w:color w:val="000000"/>
                <w:sz w:val="24"/>
              </w:rPr>
              <w:t>受基金管理人控制的公司</w:t>
            </w:r>
          </w:p>
        </w:tc>
      </w:tr>
      <w:tr w:rsidR="00990C7B">
        <w:tc>
          <w:tcPr>
            <w:tcW w:w="4499" w:type="dxa"/>
            <w:vAlign w:val="center"/>
          </w:tcPr>
          <w:p w:rsidR="00990C7B" w:rsidRDefault="000C485A">
            <w:pPr>
              <w:jc w:val="left"/>
            </w:pPr>
            <w:r>
              <w:rPr>
                <w:rFonts w:hint="eastAsia"/>
                <w:color w:val="000000"/>
                <w:sz w:val="24"/>
              </w:rPr>
              <w:t>交</w:t>
            </w:r>
            <w:proofErr w:type="gramStart"/>
            <w:r>
              <w:rPr>
                <w:rFonts w:hint="eastAsia"/>
                <w:color w:val="000000"/>
                <w:sz w:val="24"/>
              </w:rPr>
              <w:t>烨</w:t>
            </w:r>
            <w:proofErr w:type="gramEnd"/>
            <w:r>
              <w:rPr>
                <w:rFonts w:hint="eastAsia"/>
                <w:color w:val="000000"/>
                <w:sz w:val="24"/>
              </w:rPr>
              <w:t>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990C7B" w:rsidRDefault="000C485A">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w:t>
      </w:r>
      <w:proofErr w:type="gramStart"/>
      <w:r w:rsidRPr="00A6019D">
        <w:rPr>
          <w:rFonts w:hint="eastAsia"/>
          <w:color w:val="000000"/>
          <w:sz w:val="24"/>
        </w:rPr>
        <w:t>无通过</w:t>
      </w:r>
      <w:proofErr w:type="gramEnd"/>
      <w:r w:rsidRPr="00A6019D">
        <w:rPr>
          <w:rFonts w:hint="eastAsia"/>
          <w:color w:val="000000"/>
          <w:sz w:val="24"/>
        </w:rPr>
        <w:t>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10,096,968.21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19,707.28</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26,295.60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2.16</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0.15%</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w:t>
      </w:r>
      <w:r w:rsidRPr="005124D4">
        <w:rPr>
          <w:rFonts w:hint="eastAsia"/>
          <w:kern w:val="0"/>
          <w:sz w:val="24"/>
        </w:rPr>
        <w:lastRenderedPageBreak/>
        <w:t>值×</w:t>
      </w:r>
      <w:r w:rsidRPr="005124D4">
        <w:rPr>
          <w:rFonts w:hint="eastAsia"/>
          <w:kern w:val="0"/>
          <w:sz w:val="24"/>
        </w:rPr>
        <w:t>0.15%</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3,365,656.13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6,569.09</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注：支付基金托管人的基金托管费按前一日基金资产净值</w:t>
      </w:r>
      <w:r w:rsidRPr="005124D4">
        <w:rPr>
          <w:rFonts w:hint="eastAsia"/>
          <w:kern w:val="0"/>
          <w:sz w:val="24"/>
        </w:rPr>
        <w:t>0.05%</w:t>
      </w:r>
      <w:r w:rsidRPr="005124D4">
        <w:rPr>
          <w:rFonts w:hint="eastAsia"/>
          <w:kern w:val="0"/>
          <w:sz w:val="24"/>
        </w:rPr>
        <w:t>的年费率计提，逐日累计至每月月底，按月支付。其计算公式为：日基金托管费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0.05%</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w:t>
            </w:r>
            <w:proofErr w:type="gramStart"/>
            <w:r w:rsidRPr="008D3C85">
              <w:rPr>
                <w:sz w:val="24"/>
              </w:rPr>
              <w:t>鑫宝货币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w:t>
            </w:r>
            <w:proofErr w:type="gramStart"/>
            <w:r>
              <w:rPr>
                <w:sz w:val="24"/>
              </w:rPr>
              <w:t>鑫宝货币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990C7B">
        <w:tc>
          <w:tcPr>
            <w:tcW w:w="2000" w:type="dxa"/>
            <w:vAlign w:val="center"/>
          </w:tcPr>
          <w:p w:rsidR="00990C7B" w:rsidRDefault="000C485A">
            <w:pPr>
              <w:jc w:val="left"/>
            </w:pPr>
            <w:r>
              <w:rPr>
                <w:sz w:val="24"/>
              </w:rPr>
              <w:t>交银施罗德基金公司</w:t>
            </w:r>
          </w:p>
        </w:tc>
        <w:tc>
          <w:tcPr>
            <w:tcW w:w="1766" w:type="dxa"/>
            <w:vAlign w:val="center"/>
          </w:tcPr>
          <w:p w:rsidR="00990C7B" w:rsidRDefault="000C485A">
            <w:pPr>
              <w:jc w:val="right"/>
            </w:pPr>
            <w:r>
              <w:rPr>
                <w:sz w:val="24"/>
              </w:rPr>
              <w:t>1,234.52</w:t>
            </w:r>
          </w:p>
        </w:tc>
        <w:tc>
          <w:tcPr>
            <w:tcW w:w="2162" w:type="dxa"/>
            <w:vAlign w:val="center"/>
          </w:tcPr>
          <w:p w:rsidR="00990C7B" w:rsidRDefault="000C485A">
            <w:pPr>
              <w:jc w:val="right"/>
            </w:pPr>
            <w:r>
              <w:rPr>
                <w:sz w:val="24"/>
              </w:rPr>
              <w:t>668,645.46</w:t>
            </w:r>
          </w:p>
        </w:tc>
        <w:tc>
          <w:tcPr>
            <w:tcW w:w="3070" w:type="dxa"/>
            <w:vAlign w:val="center"/>
          </w:tcPr>
          <w:p w:rsidR="00990C7B" w:rsidRDefault="000C485A">
            <w:pPr>
              <w:jc w:val="right"/>
            </w:pPr>
            <w:r>
              <w:rPr>
                <w:sz w:val="24"/>
              </w:rPr>
              <w:t>669,879.98</w:t>
            </w:r>
          </w:p>
        </w:tc>
      </w:tr>
      <w:tr w:rsidR="00990C7B">
        <w:tc>
          <w:tcPr>
            <w:tcW w:w="2000" w:type="dxa"/>
            <w:vAlign w:val="center"/>
          </w:tcPr>
          <w:p w:rsidR="00990C7B" w:rsidRDefault="000C485A">
            <w:pPr>
              <w:jc w:val="left"/>
            </w:pPr>
            <w:r>
              <w:rPr>
                <w:sz w:val="24"/>
              </w:rPr>
              <w:t>交通银行</w:t>
            </w:r>
          </w:p>
        </w:tc>
        <w:tc>
          <w:tcPr>
            <w:tcW w:w="1766" w:type="dxa"/>
            <w:vAlign w:val="center"/>
          </w:tcPr>
          <w:p w:rsidR="00990C7B" w:rsidRDefault="000C485A">
            <w:pPr>
              <w:jc w:val="right"/>
            </w:pPr>
            <w:r>
              <w:rPr>
                <w:sz w:val="24"/>
              </w:rPr>
              <w:t>109,564.49</w:t>
            </w:r>
          </w:p>
        </w:tc>
        <w:tc>
          <w:tcPr>
            <w:tcW w:w="2162" w:type="dxa"/>
            <w:vAlign w:val="center"/>
          </w:tcPr>
          <w:p w:rsidR="00990C7B" w:rsidRDefault="000C485A">
            <w:pPr>
              <w:jc w:val="right"/>
            </w:pPr>
            <w:r>
              <w:rPr>
                <w:sz w:val="24"/>
              </w:rPr>
              <w:t>-</w:t>
            </w:r>
          </w:p>
        </w:tc>
        <w:tc>
          <w:tcPr>
            <w:tcW w:w="3070" w:type="dxa"/>
            <w:vAlign w:val="center"/>
          </w:tcPr>
          <w:p w:rsidR="00990C7B" w:rsidRDefault="000C485A">
            <w:pPr>
              <w:jc w:val="right"/>
            </w:pPr>
            <w:r>
              <w:rPr>
                <w:sz w:val="24"/>
              </w:rPr>
              <w:t>109,564.49</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110,799.01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668,645.46</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779,444.47</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12</w:t>
            </w:r>
            <w:r w:rsidRPr="008D3C85">
              <w:rPr>
                <w:sz w:val="24"/>
              </w:rPr>
              <w:t>月</w:t>
            </w:r>
            <w:r w:rsidRPr="008D3C85">
              <w:rPr>
                <w:sz w:val="24"/>
              </w:rPr>
              <w:t>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w:t>
            </w:r>
            <w:proofErr w:type="gramStart"/>
            <w:r w:rsidRPr="008D3C85">
              <w:rPr>
                <w:sz w:val="24"/>
              </w:rPr>
              <w:t>鑫宝货币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w:t>
            </w:r>
            <w:proofErr w:type="gramStart"/>
            <w:r>
              <w:rPr>
                <w:sz w:val="24"/>
              </w:rPr>
              <w:t>鑫宝货币</w:t>
            </w:r>
            <w:proofErr w:type="gramEnd"/>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990C7B">
        <w:tc>
          <w:tcPr>
            <w:tcW w:w="2000" w:type="dxa"/>
            <w:vAlign w:val="center"/>
          </w:tcPr>
          <w:p w:rsidR="00990C7B" w:rsidRDefault="000C485A">
            <w:pPr>
              <w:jc w:val="left"/>
            </w:pPr>
            <w:r>
              <w:rPr>
                <w:sz w:val="24"/>
              </w:rPr>
              <w:t>交银施罗德基金公司</w:t>
            </w:r>
          </w:p>
        </w:tc>
        <w:tc>
          <w:tcPr>
            <w:tcW w:w="1766" w:type="dxa"/>
            <w:vAlign w:val="center"/>
          </w:tcPr>
          <w:p w:rsidR="00990C7B" w:rsidRDefault="000C485A">
            <w:pPr>
              <w:jc w:val="right"/>
            </w:pPr>
            <w:r>
              <w:rPr>
                <w:sz w:val="24"/>
              </w:rPr>
              <w:t>16.71</w:t>
            </w:r>
          </w:p>
        </w:tc>
        <w:tc>
          <w:tcPr>
            <w:tcW w:w="2162" w:type="dxa"/>
            <w:vAlign w:val="center"/>
          </w:tcPr>
          <w:p w:rsidR="00990C7B" w:rsidRDefault="000C485A">
            <w:pPr>
              <w:jc w:val="right"/>
            </w:pPr>
            <w:r>
              <w:rPr>
                <w:sz w:val="24"/>
              </w:rPr>
              <w:t>1,312.79</w:t>
            </w:r>
          </w:p>
        </w:tc>
        <w:tc>
          <w:tcPr>
            <w:tcW w:w="3070" w:type="dxa"/>
            <w:vAlign w:val="center"/>
          </w:tcPr>
          <w:p w:rsidR="00990C7B" w:rsidRDefault="000C485A">
            <w:pPr>
              <w:jc w:val="right"/>
            </w:pPr>
            <w:r>
              <w:rPr>
                <w:sz w:val="24"/>
              </w:rPr>
              <w:t>1,329.50</w:t>
            </w:r>
          </w:p>
        </w:tc>
      </w:tr>
      <w:tr w:rsidR="00990C7B">
        <w:tc>
          <w:tcPr>
            <w:tcW w:w="2000" w:type="dxa"/>
            <w:vAlign w:val="center"/>
          </w:tcPr>
          <w:p w:rsidR="00990C7B" w:rsidRDefault="000C485A">
            <w:pPr>
              <w:jc w:val="left"/>
            </w:pPr>
            <w:r>
              <w:rPr>
                <w:sz w:val="24"/>
              </w:rPr>
              <w:t>交通银行</w:t>
            </w:r>
          </w:p>
        </w:tc>
        <w:tc>
          <w:tcPr>
            <w:tcW w:w="1766" w:type="dxa"/>
            <w:vAlign w:val="center"/>
          </w:tcPr>
          <w:p w:rsidR="00990C7B" w:rsidRDefault="000C485A">
            <w:pPr>
              <w:jc w:val="right"/>
            </w:pPr>
            <w:r>
              <w:rPr>
                <w:sz w:val="24"/>
              </w:rPr>
              <w:t>9.06</w:t>
            </w:r>
          </w:p>
        </w:tc>
        <w:tc>
          <w:tcPr>
            <w:tcW w:w="2162" w:type="dxa"/>
            <w:vAlign w:val="center"/>
          </w:tcPr>
          <w:p w:rsidR="00990C7B" w:rsidRDefault="000C485A">
            <w:pPr>
              <w:jc w:val="right"/>
            </w:pPr>
            <w:r>
              <w:rPr>
                <w:sz w:val="24"/>
              </w:rPr>
              <w:t>-</w:t>
            </w:r>
          </w:p>
        </w:tc>
        <w:tc>
          <w:tcPr>
            <w:tcW w:w="3070" w:type="dxa"/>
            <w:vAlign w:val="center"/>
          </w:tcPr>
          <w:p w:rsidR="00990C7B" w:rsidRDefault="000C485A">
            <w:pPr>
              <w:jc w:val="right"/>
            </w:pPr>
            <w:r>
              <w:rPr>
                <w:sz w:val="24"/>
              </w:rPr>
              <w:t>9.06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25.77</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1,312.79</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1,338.56</w:t>
            </w:r>
          </w:p>
        </w:tc>
      </w:tr>
    </w:tbl>
    <w:p w:rsidR="00990C7B" w:rsidRDefault="000C485A">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w:t>
      </w:r>
      <w:r>
        <w:rPr>
          <w:kern w:val="0"/>
          <w:sz w:val="24"/>
        </w:rPr>
        <w:lastRenderedPageBreak/>
        <w:t>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990C7B">
        <w:tc>
          <w:tcPr>
            <w:tcW w:w="1422" w:type="dxa"/>
            <w:vAlign w:val="center"/>
          </w:tcPr>
          <w:p w:rsidR="00990C7B" w:rsidRDefault="000C485A">
            <w:pPr>
              <w:jc w:val="left"/>
            </w:pPr>
            <w:r>
              <w:rPr>
                <w:bCs/>
                <w:sz w:val="24"/>
              </w:rPr>
              <w:t>兴业银行</w:t>
            </w:r>
          </w:p>
        </w:tc>
        <w:tc>
          <w:tcPr>
            <w:tcW w:w="1818" w:type="dxa"/>
            <w:vAlign w:val="center"/>
          </w:tcPr>
          <w:p w:rsidR="00990C7B" w:rsidRDefault="000C485A">
            <w:pPr>
              <w:jc w:val="right"/>
            </w:pPr>
            <w:r>
              <w:rPr>
                <w:bCs/>
                <w:sz w:val="24"/>
              </w:rPr>
              <w:t>129,179,634.95</w:t>
            </w:r>
          </w:p>
        </w:tc>
        <w:tc>
          <w:tcPr>
            <w:tcW w:w="1260"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080" w:type="dxa"/>
            <w:vAlign w:val="center"/>
          </w:tcPr>
          <w:p w:rsidR="00990C7B" w:rsidRDefault="000C485A">
            <w:pPr>
              <w:jc w:val="right"/>
            </w:pPr>
            <w:r>
              <w:rPr>
                <w:bCs/>
                <w:sz w:val="24"/>
              </w:rPr>
              <w:t>-</w:t>
            </w:r>
          </w:p>
        </w:tc>
        <w:tc>
          <w:tcPr>
            <w:tcW w:w="1512" w:type="dxa"/>
            <w:vAlign w:val="center"/>
          </w:tcPr>
          <w:p w:rsidR="00990C7B" w:rsidRDefault="000C485A">
            <w:pPr>
              <w:jc w:val="right"/>
            </w:pPr>
            <w:r>
              <w:rPr>
                <w:bCs/>
                <w:sz w:val="24"/>
              </w:rPr>
              <w:t>595,800,000.00</w:t>
            </w:r>
          </w:p>
        </w:tc>
        <w:tc>
          <w:tcPr>
            <w:tcW w:w="1083" w:type="dxa"/>
            <w:vAlign w:val="center"/>
          </w:tcPr>
          <w:p w:rsidR="00990C7B" w:rsidRDefault="000C485A">
            <w:pPr>
              <w:jc w:val="right"/>
            </w:pPr>
            <w:r>
              <w:rPr>
                <w:bCs/>
                <w:sz w:val="24"/>
              </w:rPr>
              <w:t>49,096.06</w:t>
            </w:r>
          </w:p>
        </w:tc>
      </w:tr>
      <w:tr w:rsidR="00990C7B">
        <w:tc>
          <w:tcPr>
            <w:tcW w:w="1422" w:type="dxa"/>
            <w:vAlign w:val="center"/>
          </w:tcPr>
          <w:p w:rsidR="00990C7B" w:rsidRDefault="000C485A">
            <w:pPr>
              <w:jc w:val="left"/>
            </w:pPr>
            <w:r>
              <w:rPr>
                <w:bCs/>
                <w:sz w:val="24"/>
              </w:rPr>
              <w:t>交通银行</w:t>
            </w:r>
          </w:p>
        </w:tc>
        <w:tc>
          <w:tcPr>
            <w:tcW w:w="1818"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080" w:type="dxa"/>
            <w:vAlign w:val="center"/>
          </w:tcPr>
          <w:p w:rsidR="00990C7B" w:rsidRDefault="000C485A">
            <w:pPr>
              <w:jc w:val="right"/>
            </w:pPr>
            <w:r>
              <w:rPr>
                <w:bCs/>
                <w:sz w:val="24"/>
              </w:rPr>
              <w:t>-</w:t>
            </w:r>
          </w:p>
        </w:tc>
        <w:tc>
          <w:tcPr>
            <w:tcW w:w="1512" w:type="dxa"/>
            <w:vAlign w:val="center"/>
          </w:tcPr>
          <w:p w:rsidR="00990C7B" w:rsidRDefault="000C485A">
            <w:pPr>
              <w:jc w:val="right"/>
            </w:pPr>
            <w:r>
              <w:rPr>
                <w:bCs/>
                <w:sz w:val="24"/>
              </w:rPr>
              <w:t>-</w:t>
            </w:r>
          </w:p>
        </w:tc>
        <w:tc>
          <w:tcPr>
            <w:tcW w:w="1083" w:type="dxa"/>
            <w:vAlign w:val="center"/>
          </w:tcPr>
          <w:p w:rsidR="00990C7B" w:rsidRDefault="000C485A">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7</w:t>
            </w:r>
            <w:r w:rsidRPr="00251664">
              <w:rPr>
                <w:bCs/>
                <w:color w:val="000000"/>
                <w:sz w:val="24"/>
              </w:rPr>
              <w:t>日（基金合同生效日）至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990C7B">
        <w:tc>
          <w:tcPr>
            <w:tcW w:w="1422" w:type="dxa"/>
            <w:vAlign w:val="center"/>
          </w:tcPr>
          <w:p w:rsidR="00990C7B" w:rsidRDefault="000C485A">
            <w:pPr>
              <w:jc w:val="left"/>
            </w:pPr>
            <w:r>
              <w:rPr>
                <w:bCs/>
                <w:sz w:val="24"/>
              </w:rPr>
              <w:t>兴业银行</w:t>
            </w:r>
          </w:p>
        </w:tc>
        <w:tc>
          <w:tcPr>
            <w:tcW w:w="1818"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080" w:type="dxa"/>
            <w:vAlign w:val="center"/>
          </w:tcPr>
          <w:p w:rsidR="00990C7B" w:rsidRDefault="000C485A">
            <w:pPr>
              <w:jc w:val="right"/>
            </w:pPr>
            <w:r>
              <w:rPr>
                <w:bCs/>
                <w:sz w:val="24"/>
              </w:rPr>
              <w:t>-</w:t>
            </w:r>
          </w:p>
        </w:tc>
        <w:tc>
          <w:tcPr>
            <w:tcW w:w="1512" w:type="dxa"/>
            <w:vAlign w:val="center"/>
          </w:tcPr>
          <w:p w:rsidR="00990C7B" w:rsidRDefault="000C485A">
            <w:pPr>
              <w:jc w:val="right"/>
            </w:pPr>
            <w:r>
              <w:rPr>
                <w:bCs/>
                <w:sz w:val="24"/>
              </w:rPr>
              <w:t>-</w:t>
            </w:r>
          </w:p>
        </w:tc>
        <w:tc>
          <w:tcPr>
            <w:tcW w:w="1083" w:type="dxa"/>
            <w:vAlign w:val="center"/>
          </w:tcPr>
          <w:p w:rsidR="00990C7B" w:rsidRDefault="000C485A">
            <w:pPr>
              <w:jc w:val="right"/>
            </w:pPr>
            <w:r>
              <w:rPr>
                <w:bCs/>
                <w:sz w:val="24"/>
              </w:rPr>
              <w:t>-</w:t>
            </w:r>
          </w:p>
        </w:tc>
      </w:tr>
      <w:tr w:rsidR="00990C7B">
        <w:tc>
          <w:tcPr>
            <w:tcW w:w="1422" w:type="dxa"/>
            <w:vAlign w:val="center"/>
          </w:tcPr>
          <w:p w:rsidR="00990C7B" w:rsidRDefault="000C485A">
            <w:pPr>
              <w:jc w:val="left"/>
            </w:pPr>
            <w:r>
              <w:rPr>
                <w:bCs/>
                <w:sz w:val="24"/>
              </w:rPr>
              <w:t>交通银行</w:t>
            </w:r>
          </w:p>
        </w:tc>
        <w:tc>
          <w:tcPr>
            <w:tcW w:w="1818"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260" w:type="dxa"/>
            <w:vAlign w:val="center"/>
          </w:tcPr>
          <w:p w:rsidR="00990C7B" w:rsidRDefault="000C485A">
            <w:pPr>
              <w:jc w:val="right"/>
            </w:pPr>
            <w:r>
              <w:rPr>
                <w:bCs/>
                <w:sz w:val="24"/>
              </w:rPr>
              <w:t>-</w:t>
            </w:r>
          </w:p>
        </w:tc>
        <w:tc>
          <w:tcPr>
            <w:tcW w:w="1080" w:type="dxa"/>
            <w:vAlign w:val="center"/>
          </w:tcPr>
          <w:p w:rsidR="00990C7B" w:rsidRDefault="000C485A">
            <w:pPr>
              <w:jc w:val="right"/>
            </w:pPr>
            <w:r>
              <w:rPr>
                <w:bCs/>
                <w:sz w:val="24"/>
              </w:rPr>
              <w:t>-</w:t>
            </w:r>
          </w:p>
        </w:tc>
        <w:tc>
          <w:tcPr>
            <w:tcW w:w="1512" w:type="dxa"/>
            <w:vAlign w:val="center"/>
          </w:tcPr>
          <w:p w:rsidR="00990C7B" w:rsidRDefault="000C485A">
            <w:pPr>
              <w:jc w:val="right"/>
            </w:pPr>
            <w:r>
              <w:rPr>
                <w:bCs/>
                <w:sz w:val="24"/>
              </w:rPr>
              <w:t>-</w:t>
            </w:r>
          </w:p>
        </w:tc>
        <w:tc>
          <w:tcPr>
            <w:tcW w:w="1083" w:type="dxa"/>
            <w:vAlign w:val="center"/>
          </w:tcPr>
          <w:p w:rsidR="00990C7B" w:rsidRDefault="000C485A">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proofErr w:type="gramStart"/>
      <w:r w:rsidRPr="00FB19E8">
        <w:rPr>
          <w:rFonts w:ascii="Times New Roman" w:hAnsi="Times New Roman" w:cs="Times New Roman" w:hint="eastAsia"/>
          <w:kern w:val="0"/>
          <w:szCs w:val="24"/>
        </w:rPr>
        <w:t>各</w:t>
      </w:r>
      <w:proofErr w:type="gramEnd"/>
      <w:r w:rsidRPr="00FB19E8">
        <w:rPr>
          <w:rFonts w:ascii="Times New Roman" w:hAnsi="Times New Roman" w:cs="Times New Roman" w:hint="eastAsia"/>
          <w:kern w:val="0"/>
          <w:szCs w:val="24"/>
        </w:rPr>
        <w:t>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w:t>
      </w:r>
      <w:proofErr w:type="gramStart"/>
      <w:r w:rsidRPr="00FB19E8">
        <w:rPr>
          <w:rFonts w:ascii="Times New Roman" w:hAnsi="Times New Roman" w:cs="Times New Roman" w:hint="eastAsia"/>
          <w:kern w:val="0"/>
          <w:szCs w:val="24"/>
        </w:rPr>
        <w:t>固有资金</w:t>
      </w:r>
      <w:proofErr w:type="gramEnd"/>
      <w:r w:rsidRPr="00FB19E8">
        <w:rPr>
          <w:rFonts w:ascii="Times New Roman" w:hAnsi="Times New Roman" w:cs="Times New Roman" w:hint="eastAsia"/>
          <w:kern w:val="0"/>
          <w:szCs w:val="24"/>
        </w:rPr>
        <w:t>投资本基金的情况</w:t>
      </w:r>
    </w:p>
    <w:p w:rsidR="006D141C"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w:t>
      </w:r>
      <w:proofErr w:type="gramStart"/>
      <w:r w:rsidRPr="005124D4">
        <w:rPr>
          <w:rFonts w:hint="eastAsia"/>
          <w:kern w:val="0"/>
          <w:sz w:val="24"/>
        </w:rPr>
        <w:t>固有资金</w:t>
      </w:r>
      <w:proofErr w:type="gramEnd"/>
      <w:r w:rsidRPr="005124D4">
        <w:rPr>
          <w:rFonts w:hint="eastAsia"/>
          <w:kern w:val="0"/>
          <w:sz w:val="24"/>
        </w:rPr>
        <w:t>投资本基金的情况。</w:t>
      </w:r>
    </w:p>
    <w:p w:rsidR="00190B4B" w:rsidRPr="005124D4" w:rsidRDefault="00190B4B" w:rsidP="005124D4">
      <w:pPr>
        <w:spacing w:before="29" w:line="288" w:lineRule="auto"/>
        <w:jc w:val="left"/>
        <w:rPr>
          <w:rFonts w:hint="eastAsia"/>
          <w:kern w:val="0"/>
          <w:sz w:val="24"/>
        </w:rPr>
      </w:pPr>
    </w:p>
    <w:p w:rsidR="00190B4B" w:rsidRDefault="006D141C" w:rsidP="00190B4B">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190B4B" w:rsidRPr="00190B4B" w:rsidRDefault="00190B4B" w:rsidP="00190B4B">
      <w:pPr>
        <w:rPr>
          <w:rFonts w:hint="eastAsia"/>
          <w:kern w:val="0"/>
        </w:rPr>
      </w:pPr>
      <w:r>
        <w:rPr>
          <w:rFonts w:hint="eastAsia"/>
        </w:rPr>
        <w:t>交银天</w:t>
      </w:r>
      <w:proofErr w:type="gramStart"/>
      <w:r>
        <w:rPr>
          <w:rFonts w:hint="eastAsia"/>
        </w:rPr>
        <w:t>鑫宝货币</w:t>
      </w:r>
      <w:proofErr w:type="gramEnd"/>
      <w:r>
        <w:rPr>
          <w:rFonts w:hint="eastAsia"/>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w:t>
            </w:r>
            <w:proofErr w:type="gramStart"/>
            <w:r>
              <w:rPr>
                <w:rFonts w:hint="eastAsia"/>
                <w:bCs/>
                <w:color w:val="000000"/>
                <w:sz w:val="24"/>
              </w:rPr>
              <w:t>鑫宝货币</w:t>
            </w:r>
            <w:proofErr w:type="gramEnd"/>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w:t>
            </w:r>
            <w:proofErr w:type="gramStart"/>
            <w:r>
              <w:rPr>
                <w:rFonts w:hint="eastAsia"/>
                <w:bCs/>
                <w:color w:val="000000"/>
                <w:sz w:val="24"/>
              </w:rPr>
              <w:t>鑫宝货币</w:t>
            </w:r>
            <w:proofErr w:type="gramEnd"/>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990C7B">
        <w:tc>
          <w:tcPr>
            <w:tcW w:w="1799" w:type="dxa"/>
            <w:vAlign w:val="center"/>
          </w:tcPr>
          <w:p w:rsidR="00990C7B" w:rsidRDefault="000C485A">
            <w:pPr>
              <w:jc w:val="center"/>
            </w:pPr>
            <w:r>
              <w:rPr>
                <w:rFonts w:hint="eastAsia"/>
                <w:sz w:val="24"/>
              </w:rPr>
              <w:t>交通银行股份有限公司</w:t>
            </w:r>
          </w:p>
        </w:tc>
        <w:tc>
          <w:tcPr>
            <w:tcW w:w="1799" w:type="dxa"/>
            <w:vAlign w:val="center"/>
          </w:tcPr>
          <w:p w:rsidR="00990C7B" w:rsidRDefault="000C485A">
            <w:pPr>
              <w:jc w:val="center"/>
            </w:pPr>
            <w:r>
              <w:rPr>
                <w:rFonts w:hint="eastAsia"/>
                <w:sz w:val="24"/>
              </w:rPr>
              <w:t>7,008,112,585.21</w:t>
            </w:r>
          </w:p>
        </w:tc>
        <w:tc>
          <w:tcPr>
            <w:tcW w:w="1800" w:type="dxa"/>
            <w:vAlign w:val="center"/>
          </w:tcPr>
          <w:p w:rsidR="00990C7B" w:rsidRDefault="000C485A">
            <w:pPr>
              <w:jc w:val="center"/>
            </w:pPr>
            <w:r>
              <w:rPr>
                <w:rFonts w:hint="eastAsia"/>
                <w:sz w:val="24"/>
              </w:rPr>
              <w:t>29.76%</w:t>
            </w:r>
          </w:p>
        </w:tc>
        <w:tc>
          <w:tcPr>
            <w:tcW w:w="1800" w:type="dxa"/>
            <w:vAlign w:val="center"/>
          </w:tcPr>
          <w:p w:rsidR="00990C7B" w:rsidRDefault="000C485A">
            <w:pPr>
              <w:jc w:val="center"/>
            </w:pPr>
            <w:r>
              <w:rPr>
                <w:rFonts w:hint="eastAsia"/>
                <w:sz w:val="24"/>
              </w:rPr>
              <w:t>-</w:t>
            </w:r>
          </w:p>
        </w:tc>
        <w:tc>
          <w:tcPr>
            <w:tcW w:w="1800" w:type="dxa"/>
            <w:vAlign w:val="center"/>
          </w:tcPr>
          <w:p w:rsidR="00990C7B" w:rsidRDefault="000C485A">
            <w:pPr>
              <w:jc w:val="center"/>
            </w:pPr>
            <w:r>
              <w:rPr>
                <w:rFonts w:hint="eastAsia"/>
                <w:sz w:val="24"/>
              </w:rPr>
              <w:t>-</w:t>
            </w:r>
          </w:p>
        </w:tc>
      </w:tr>
      <w:tr w:rsidR="00990C7B">
        <w:tc>
          <w:tcPr>
            <w:tcW w:w="1799" w:type="dxa"/>
            <w:vAlign w:val="center"/>
          </w:tcPr>
          <w:p w:rsidR="00990C7B" w:rsidRDefault="000C485A">
            <w:pPr>
              <w:jc w:val="center"/>
            </w:pPr>
            <w:r>
              <w:rPr>
                <w:rFonts w:hint="eastAsia"/>
                <w:sz w:val="24"/>
              </w:rPr>
              <w:t>交银施罗德资产管理有限公</w:t>
            </w:r>
            <w:r>
              <w:rPr>
                <w:rFonts w:hint="eastAsia"/>
                <w:sz w:val="24"/>
              </w:rPr>
              <w:lastRenderedPageBreak/>
              <w:t>司</w:t>
            </w:r>
          </w:p>
        </w:tc>
        <w:tc>
          <w:tcPr>
            <w:tcW w:w="1799" w:type="dxa"/>
            <w:vAlign w:val="center"/>
          </w:tcPr>
          <w:p w:rsidR="00990C7B" w:rsidRDefault="000C485A">
            <w:pPr>
              <w:jc w:val="center"/>
            </w:pPr>
            <w:r>
              <w:rPr>
                <w:rFonts w:hint="eastAsia"/>
                <w:sz w:val="24"/>
              </w:rPr>
              <w:lastRenderedPageBreak/>
              <w:t>200,027,432.89</w:t>
            </w:r>
          </w:p>
        </w:tc>
        <w:tc>
          <w:tcPr>
            <w:tcW w:w="1800" w:type="dxa"/>
            <w:vAlign w:val="center"/>
          </w:tcPr>
          <w:p w:rsidR="00990C7B" w:rsidRDefault="000C485A">
            <w:pPr>
              <w:jc w:val="center"/>
            </w:pPr>
            <w:r>
              <w:rPr>
                <w:rFonts w:hint="eastAsia"/>
                <w:sz w:val="24"/>
              </w:rPr>
              <w:t>0.85%</w:t>
            </w:r>
          </w:p>
        </w:tc>
        <w:tc>
          <w:tcPr>
            <w:tcW w:w="1800" w:type="dxa"/>
            <w:vAlign w:val="center"/>
          </w:tcPr>
          <w:p w:rsidR="00990C7B" w:rsidRDefault="000C485A">
            <w:pPr>
              <w:jc w:val="center"/>
            </w:pPr>
            <w:r>
              <w:rPr>
                <w:rFonts w:hint="eastAsia"/>
                <w:sz w:val="24"/>
              </w:rPr>
              <w:t>-</w:t>
            </w:r>
          </w:p>
        </w:tc>
        <w:tc>
          <w:tcPr>
            <w:tcW w:w="1800" w:type="dxa"/>
            <w:vAlign w:val="center"/>
          </w:tcPr>
          <w:p w:rsidR="00990C7B" w:rsidRDefault="000C485A">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7</w:t>
            </w:r>
            <w:r w:rsidRPr="00795DF9">
              <w:rPr>
                <w:rFonts w:hint="eastAsia"/>
                <w:bCs/>
                <w:color w:val="000000"/>
                <w:szCs w:val="21"/>
              </w:rPr>
              <w:t>日（基金合同生效日）至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990C7B">
        <w:tc>
          <w:tcPr>
            <w:tcW w:w="1799" w:type="dxa"/>
            <w:vAlign w:val="center"/>
          </w:tcPr>
          <w:p w:rsidR="00990C7B" w:rsidRDefault="000C485A">
            <w:pPr>
              <w:jc w:val="center"/>
            </w:pPr>
            <w:r>
              <w:rPr>
                <w:rFonts w:hint="eastAsia"/>
                <w:szCs w:val="21"/>
              </w:rPr>
              <w:t>兴业银行</w:t>
            </w:r>
            <w:r>
              <w:rPr>
                <w:rFonts w:hint="eastAsia"/>
                <w:szCs w:val="21"/>
              </w:rPr>
              <w:t>-</w:t>
            </w:r>
            <w:r>
              <w:rPr>
                <w:rFonts w:hint="eastAsia"/>
                <w:szCs w:val="21"/>
              </w:rPr>
              <w:t>活期存款</w:t>
            </w:r>
          </w:p>
        </w:tc>
        <w:tc>
          <w:tcPr>
            <w:tcW w:w="1799" w:type="dxa"/>
            <w:vAlign w:val="center"/>
          </w:tcPr>
          <w:p w:rsidR="00990C7B" w:rsidRDefault="000C485A">
            <w:pPr>
              <w:jc w:val="center"/>
            </w:pPr>
            <w:r>
              <w:rPr>
                <w:rFonts w:hint="eastAsia"/>
                <w:szCs w:val="21"/>
              </w:rPr>
              <w:t>626,483.40</w:t>
            </w:r>
          </w:p>
        </w:tc>
        <w:tc>
          <w:tcPr>
            <w:tcW w:w="1800" w:type="dxa"/>
            <w:vAlign w:val="center"/>
          </w:tcPr>
          <w:p w:rsidR="00990C7B" w:rsidRDefault="000C485A">
            <w:pPr>
              <w:jc w:val="center"/>
            </w:pPr>
            <w:r>
              <w:rPr>
                <w:rFonts w:hint="eastAsia"/>
                <w:szCs w:val="21"/>
              </w:rPr>
              <w:t>337,305.91</w:t>
            </w:r>
          </w:p>
        </w:tc>
        <w:tc>
          <w:tcPr>
            <w:tcW w:w="1800" w:type="dxa"/>
            <w:vAlign w:val="center"/>
          </w:tcPr>
          <w:p w:rsidR="00990C7B" w:rsidRDefault="000C485A">
            <w:pPr>
              <w:jc w:val="center"/>
            </w:pPr>
            <w:r>
              <w:rPr>
                <w:rFonts w:hint="eastAsia"/>
                <w:szCs w:val="21"/>
              </w:rPr>
              <w:t>12,625,821.79</w:t>
            </w:r>
          </w:p>
        </w:tc>
        <w:tc>
          <w:tcPr>
            <w:tcW w:w="1800" w:type="dxa"/>
            <w:vAlign w:val="center"/>
          </w:tcPr>
          <w:p w:rsidR="00990C7B" w:rsidRDefault="000C485A">
            <w:pPr>
              <w:jc w:val="center"/>
            </w:pPr>
            <w:r>
              <w:rPr>
                <w:rFonts w:hint="eastAsia"/>
                <w:szCs w:val="21"/>
              </w:rPr>
              <w:t>46,873.39</w:t>
            </w:r>
          </w:p>
        </w:tc>
      </w:tr>
      <w:tr w:rsidR="00990C7B">
        <w:tc>
          <w:tcPr>
            <w:tcW w:w="1799" w:type="dxa"/>
            <w:vAlign w:val="center"/>
          </w:tcPr>
          <w:p w:rsidR="00990C7B" w:rsidRDefault="000C485A">
            <w:pPr>
              <w:jc w:val="center"/>
            </w:pPr>
            <w:r>
              <w:rPr>
                <w:rFonts w:hint="eastAsia"/>
                <w:szCs w:val="21"/>
              </w:rPr>
              <w:t>兴业银行</w:t>
            </w:r>
            <w:r>
              <w:rPr>
                <w:rFonts w:hint="eastAsia"/>
                <w:szCs w:val="21"/>
              </w:rPr>
              <w:t>-</w:t>
            </w:r>
            <w:r>
              <w:rPr>
                <w:rFonts w:hint="eastAsia"/>
                <w:szCs w:val="21"/>
              </w:rPr>
              <w:t>协议存款</w:t>
            </w:r>
          </w:p>
        </w:tc>
        <w:tc>
          <w:tcPr>
            <w:tcW w:w="1799" w:type="dxa"/>
            <w:vAlign w:val="center"/>
          </w:tcPr>
          <w:p w:rsidR="00990C7B" w:rsidRDefault="000C485A">
            <w:pPr>
              <w:jc w:val="center"/>
            </w:pPr>
            <w:r>
              <w:rPr>
                <w:rFonts w:hint="eastAsia"/>
                <w:szCs w:val="21"/>
              </w:rPr>
              <w:t>500,000,000.00</w:t>
            </w:r>
          </w:p>
        </w:tc>
        <w:tc>
          <w:tcPr>
            <w:tcW w:w="1800" w:type="dxa"/>
            <w:vAlign w:val="center"/>
          </w:tcPr>
          <w:p w:rsidR="00990C7B" w:rsidRDefault="000C485A">
            <w:pPr>
              <w:jc w:val="center"/>
            </w:pPr>
            <w:r>
              <w:rPr>
                <w:rFonts w:hint="eastAsia"/>
                <w:szCs w:val="21"/>
              </w:rPr>
              <w:t>33,223,333.65</w:t>
            </w:r>
          </w:p>
        </w:tc>
        <w:tc>
          <w:tcPr>
            <w:tcW w:w="1800" w:type="dxa"/>
            <w:vAlign w:val="center"/>
          </w:tcPr>
          <w:p w:rsidR="00990C7B" w:rsidRDefault="000C485A">
            <w:pPr>
              <w:jc w:val="center"/>
            </w:pPr>
            <w:r>
              <w:rPr>
                <w:rFonts w:hint="eastAsia"/>
                <w:szCs w:val="21"/>
              </w:rPr>
              <w:t>40,000,000.00</w:t>
            </w:r>
          </w:p>
        </w:tc>
        <w:tc>
          <w:tcPr>
            <w:tcW w:w="1800" w:type="dxa"/>
            <w:vAlign w:val="center"/>
          </w:tcPr>
          <w:p w:rsidR="00990C7B" w:rsidRDefault="000C485A">
            <w:pPr>
              <w:jc w:val="center"/>
            </w:pPr>
            <w:r>
              <w:rPr>
                <w:rFonts w:hint="eastAsia"/>
                <w:szCs w:val="21"/>
              </w:rPr>
              <w:t>99,777.60</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本基金本报告期末无从事债券正回购交易形成的卖出回购证券款余额。</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990C7B" w:rsidRDefault="000C485A">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990C7B" w:rsidRDefault="000C485A">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990C7B" w:rsidRDefault="000C485A">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990C7B" w:rsidRDefault="00990C7B">
      <w:pPr>
        <w:spacing w:before="29" w:line="288" w:lineRule="auto"/>
        <w:rPr>
          <w:color w:val="000000"/>
          <w:sz w:val="24"/>
        </w:rPr>
      </w:pPr>
    </w:p>
    <w:p w:rsidR="00990C7B" w:rsidRDefault="000C485A">
      <w:pPr>
        <w:spacing w:before="29" w:line="288" w:lineRule="auto"/>
        <w:rPr>
          <w:color w:val="000000"/>
          <w:sz w:val="24"/>
        </w:rPr>
      </w:pPr>
      <w:r>
        <w:rPr>
          <w:rFonts w:hint="eastAsia"/>
          <w:color w:val="000000"/>
          <w:sz w:val="24"/>
        </w:rPr>
        <w:lastRenderedPageBreak/>
        <w:t>第一层次：相同资产或负债在活跃市场上未经调整的报价。</w:t>
      </w:r>
    </w:p>
    <w:p w:rsidR="00990C7B" w:rsidRDefault="000C485A">
      <w:pPr>
        <w:spacing w:before="29" w:line="288" w:lineRule="auto"/>
        <w:rPr>
          <w:color w:val="000000"/>
          <w:sz w:val="24"/>
        </w:rPr>
      </w:pPr>
      <w:r>
        <w:rPr>
          <w:rFonts w:hint="eastAsia"/>
          <w:color w:val="000000"/>
          <w:sz w:val="24"/>
        </w:rPr>
        <w:t>第二层次：除第一层次输入</w:t>
      </w:r>
      <w:proofErr w:type="gramStart"/>
      <w:r>
        <w:rPr>
          <w:rFonts w:hint="eastAsia"/>
          <w:color w:val="000000"/>
          <w:sz w:val="24"/>
        </w:rPr>
        <w:t>值外相关</w:t>
      </w:r>
      <w:proofErr w:type="gramEnd"/>
      <w:r>
        <w:rPr>
          <w:rFonts w:hint="eastAsia"/>
          <w:color w:val="000000"/>
          <w:sz w:val="24"/>
        </w:rPr>
        <w:t>资产或负债直接或</w:t>
      </w:r>
      <w:proofErr w:type="gramStart"/>
      <w:r>
        <w:rPr>
          <w:rFonts w:hint="eastAsia"/>
          <w:color w:val="000000"/>
          <w:sz w:val="24"/>
        </w:rPr>
        <w:t>间接可</w:t>
      </w:r>
      <w:proofErr w:type="gramEnd"/>
      <w:r>
        <w:rPr>
          <w:rFonts w:hint="eastAsia"/>
          <w:color w:val="000000"/>
          <w:sz w:val="24"/>
        </w:rPr>
        <w:t>观察的输入值。</w:t>
      </w:r>
    </w:p>
    <w:p w:rsidR="00990C7B" w:rsidRDefault="000C485A">
      <w:pPr>
        <w:spacing w:before="29" w:line="288" w:lineRule="auto"/>
        <w:rPr>
          <w:color w:val="000000"/>
          <w:sz w:val="24"/>
        </w:rPr>
      </w:pPr>
      <w:r>
        <w:rPr>
          <w:rFonts w:hint="eastAsia"/>
          <w:color w:val="000000"/>
          <w:sz w:val="24"/>
        </w:rPr>
        <w:t>第三层次：相关资产或负债的不可观察输入值。</w:t>
      </w:r>
    </w:p>
    <w:p w:rsidR="00990C7B" w:rsidRDefault="000C485A">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990C7B" w:rsidRDefault="000C485A">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990C7B" w:rsidRDefault="000C485A">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7,750,602,000.00</w:t>
      </w:r>
      <w:r>
        <w:rPr>
          <w:rFonts w:hint="eastAsia"/>
          <w:color w:val="000000"/>
          <w:sz w:val="24"/>
        </w:rPr>
        <w:t>元，</w:t>
      </w:r>
      <w:proofErr w:type="gramStart"/>
      <w:r>
        <w:rPr>
          <w:rFonts w:hint="eastAsia"/>
          <w:color w:val="000000"/>
          <w:sz w:val="24"/>
        </w:rPr>
        <w:t>无属于</w:t>
      </w:r>
      <w:proofErr w:type="gramEnd"/>
      <w:r>
        <w:rPr>
          <w:rFonts w:hint="eastAsia"/>
          <w:color w:val="000000"/>
          <w:sz w:val="24"/>
        </w:rPr>
        <w:t>第一或第三层次的余额。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990C7B" w:rsidRDefault="000C485A">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990C7B" w:rsidRDefault="000C485A">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990C7B" w:rsidRDefault="000C485A">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990C7B" w:rsidRDefault="000C485A">
      <w:pPr>
        <w:spacing w:before="29" w:line="288" w:lineRule="auto"/>
        <w:rPr>
          <w:color w:val="000000"/>
          <w:sz w:val="24"/>
        </w:rPr>
      </w:pPr>
      <w:r>
        <w:rPr>
          <w:rFonts w:hint="eastAsia"/>
          <w:color w:val="000000"/>
          <w:sz w:val="24"/>
        </w:rPr>
        <w:t>无。</w:t>
      </w:r>
    </w:p>
    <w:p w:rsidR="00990C7B" w:rsidRDefault="000C485A">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990C7B" w:rsidRDefault="000C485A">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990C7B" w:rsidRDefault="000C485A">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990C7B" w:rsidRDefault="000C485A">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990C7B" w:rsidRDefault="000C485A">
      <w:pPr>
        <w:spacing w:before="29" w:line="288" w:lineRule="auto"/>
        <w:rPr>
          <w:color w:val="000000"/>
          <w:sz w:val="24"/>
        </w:rPr>
      </w:pPr>
      <w:r>
        <w:rPr>
          <w:rFonts w:hint="eastAsia"/>
          <w:color w:val="000000"/>
          <w:sz w:val="24"/>
        </w:rPr>
        <w:t xml:space="preserve">(2) </w:t>
      </w:r>
      <w:r>
        <w:rPr>
          <w:rFonts w:hint="eastAsia"/>
          <w:color w:val="000000"/>
          <w:sz w:val="24"/>
        </w:rPr>
        <w:t>增值税</w:t>
      </w:r>
    </w:p>
    <w:p w:rsidR="00990C7B" w:rsidRDefault="000C485A">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w:t>
      </w:r>
      <w:proofErr w:type="gramStart"/>
      <w:r>
        <w:rPr>
          <w:rFonts w:hint="eastAsia"/>
          <w:color w:val="000000"/>
          <w:sz w:val="24"/>
        </w:rPr>
        <w:t>资管产品</w:t>
      </w:r>
      <w:proofErr w:type="gramEnd"/>
      <w:r>
        <w:rPr>
          <w:rFonts w:hint="eastAsia"/>
          <w:color w:val="000000"/>
          <w:sz w:val="24"/>
        </w:rPr>
        <w:t>运营过程中发生的增值税应税行为，</w:t>
      </w:r>
      <w:proofErr w:type="gramStart"/>
      <w:r>
        <w:rPr>
          <w:rFonts w:hint="eastAsia"/>
          <w:color w:val="000000"/>
          <w:sz w:val="24"/>
        </w:rPr>
        <w:t>以资管</w:t>
      </w:r>
      <w:proofErr w:type="gramEnd"/>
      <w:r>
        <w:rPr>
          <w:rFonts w:hint="eastAsia"/>
          <w:color w:val="000000"/>
          <w:sz w:val="24"/>
        </w:rPr>
        <w:t>产品管理人为增值税纳税人。</w:t>
      </w:r>
    </w:p>
    <w:p w:rsidR="00990C7B" w:rsidRDefault="000C485A">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w:t>
      </w:r>
      <w:proofErr w:type="gramStart"/>
      <w:r>
        <w:rPr>
          <w:rFonts w:hint="eastAsia"/>
          <w:color w:val="000000"/>
          <w:sz w:val="24"/>
        </w:rPr>
        <w:t>资管产品</w:t>
      </w:r>
      <w:proofErr w:type="gramEnd"/>
      <w:r>
        <w:rPr>
          <w:rFonts w:hint="eastAsia"/>
          <w:color w:val="000000"/>
          <w:sz w:val="24"/>
        </w:rPr>
        <w:t>管理人</w:t>
      </w:r>
      <w:proofErr w:type="gramStart"/>
      <w:r>
        <w:rPr>
          <w:rFonts w:hint="eastAsia"/>
          <w:color w:val="000000"/>
          <w:sz w:val="24"/>
        </w:rPr>
        <w:t>运营资管产品</w:t>
      </w:r>
      <w:proofErr w:type="gramEnd"/>
      <w:r>
        <w:rPr>
          <w:rFonts w:hint="eastAsia"/>
          <w:color w:val="000000"/>
          <w:sz w:val="24"/>
        </w:rPr>
        <w:t>过程中发生的增值税应税行为，暂适用简易计税方法，按照</w:t>
      </w:r>
      <w:r>
        <w:rPr>
          <w:rFonts w:hint="eastAsia"/>
          <w:color w:val="000000"/>
          <w:sz w:val="24"/>
        </w:rPr>
        <w:t>3%</w:t>
      </w:r>
      <w:r>
        <w:rPr>
          <w:rFonts w:hint="eastAsia"/>
          <w:color w:val="000000"/>
          <w:sz w:val="24"/>
        </w:rPr>
        <w:t>的征收率缴纳增值税。</w:t>
      </w:r>
      <w:proofErr w:type="gramStart"/>
      <w:r>
        <w:rPr>
          <w:rFonts w:hint="eastAsia"/>
          <w:color w:val="000000"/>
          <w:sz w:val="24"/>
        </w:rPr>
        <w:t>对资管产品</w:t>
      </w:r>
      <w:proofErr w:type="gramEnd"/>
      <w:r>
        <w:rPr>
          <w:rFonts w:hint="eastAsia"/>
          <w:color w:val="000000"/>
          <w:sz w:val="24"/>
        </w:rPr>
        <w:t>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w:t>
      </w:r>
      <w:proofErr w:type="gramStart"/>
      <w:r>
        <w:rPr>
          <w:rFonts w:hint="eastAsia"/>
          <w:color w:val="000000"/>
          <w:sz w:val="24"/>
        </w:rPr>
        <w:t>从资管产品</w:t>
      </w:r>
      <w:proofErr w:type="gramEnd"/>
      <w:r>
        <w:rPr>
          <w:rFonts w:hint="eastAsia"/>
          <w:color w:val="000000"/>
          <w:sz w:val="24"/>
        </w:rPr>
        <w:t>管理人以后月份的增值税应纳税额中抵减。</w:t>
      </w:r>
    </w:p>
    <w:p w:rsidR="00990C7B" w:rsidRDefault="000C485A">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w:t>
      </w:r>
      <w:proofErr w:type="gramStart"/>
      <w:r>
        <w:rPr>
          <w:rFonts w:hint="eastAsia"/>
          <w:color w:val="000000"/>
          <w:sz w:val="24"/>
        </w:rPr>
        <w:t>对资管产品</w:t>
      </w:r>
      <w:proofErr w:type="gramEnd"/>
      <w:r>
        <w:rPr>
          <w:rFonts w:hint="eastAsia"/>
          <w:color w:val="000000"/>
          <w:sz w:val="24"/>
        </w:rPr>
        <w:t>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w:t>
      </w:r>
      <w:proofErr w:type="gramStart"/>
      <w:r>
        <w:rPr>
          <w:rFonts w:hint="eastAsia"/>
          <w:color w:val="000000"/>
          <w:sz w:val="24"/>
        </w:rPr>
        <w:t>运营资管产品</w:t>
      </w:r>
      <w:proofErr w:type="gramEnd"/>
      <w:r>
        <w:rPr>
          <w:rFonts w:hint="eastAsia"/>
          <w:color w:val="000000"/>
          <w:sz w:val="24"/>
        </w:rPr>
        <w:t>提供的贷款服务、发生的部分金融商品转让业务的销售额确定做出规定。</w:t>
      </w:r>
    </w:p>
    <w:p w:rsidR="00990C7B" w:rsidRDefault="000C485A">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0A3DDA">
      <w:pPr>
        <w:spacing w:before="29" w:line="288" w:lineRule="auto"/>
        <w:rPr>
          <w:color w:val="000000"/>
          <w:sz w:val="24"/>
        </w:rPr>
      </w:pPr>
      <w:r w:rsidRPr="000A3DDA">
        <w:rPr>
          <w:rFonts w:hint="eastAsia"/>
          <w:color w:val="000000"/>
          <w:sz w:val="24"/>
        </w:rPr>
        <w:t xml:space="preserve">(3) </w:t>
      </w:r>
      <w:r w:rsidRPr="000A3DDA">
        <w:rPr>
          <w:rFonts w:hint="eastAsia"/>
          <w:color w:val="000000"/>
          <w:sz w:val="24"/>
        </w:rPr>
        <w:t>除公允价值和增值税外，截至资产负债表日本基金无需要说明的其他重要事项。</w:t>
      </w:r>
    </w:p>
    <w:p w:rsidR="001E7B94" w:rsidRPr="006A0BF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lastRenderedPageBreak/>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7,756,263,607.37</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32.93</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7,756,263,607.37</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32.93</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9,752,662,836.71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41.41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214,790,103.89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0.91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5,955,626,483.40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25.29</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87,139,485.18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0.37</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23,551,692,412.66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1.90</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0.01</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lastRenderedPageBreak/>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40</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117</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0</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62.08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1.74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27.30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4.86</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3.68</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99.66</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lastRenderedPageBreak/>
        <w:t>8.5</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w:t>
            </w:r>
            <w:proofErr w:type="gramStart"/>
            <w:r w:rsidRPr="00042E1F">
              <w:rPr>
                <w:rFonts w:hint="eastAsia"/>
                <w:sz w:val="24"/>
              </w:rPr>
              <w:t>余成本</w:t>
            </w:r>
            <w:proofErr w:type="gramEnd"/>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229,146,867.11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0.97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959,197,571.38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4.07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959,197,571.38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4.07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proofErr w:type="gramStart"/>
            <w:r w:rsidR="00827EC3" w:rsidRPr="00042E1F">
              <w:rPr>
                <w:rFonts w:hint="eastAsia"/>
                <w:sz w:val="24"/>
              </w:rPr>
              <w:t>券</w:t>
            </w:r>
            <w:proofErr w:type="gramEnd"/>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45,180,378.64</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0.19</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6,522,738,790.24</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27.70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7,756,263,607.37</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32.94</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8.6</w:t>
      </w:r>
      <w:bookmarkEnd w:id="21"/>
      <w:r w:rsidR="003A0E36" w:rsidRPr="00FB19E8">
        <w:rPr>
          <w:rFonts w:ascii="Times New Roman" w:hAnsi="Times New Roman" w:cs="Times New Roman"/>
          <w:kern w:val="0"/>
          <w:szCs w:val="24"/>
        </w:rPr>
        <w:t>期末</w:t>
      </w:r>
      <w:proofErr w:type="gramStart"/>
      <w:r w:rsidR="003A0E36" w:rsidRPr="00FB19E8">
        <w:rPr>
          <w:rFonts w:ascii="Times New Roman" w:hAnsi="Times New Roman" w:cs="Times New Roman"/>
          <w:kern w:val="0"/>
          <w:szCs w:val="24"/>
        </w:rPr>
        <w:t>按摊余成本</w:t>
      </w:r>
      <w:proofErr w:type="gramEnd"/>
      <w:r w:rsidR="003A0E36" w:rsidRPr="00FB19E8">
        <w:rPr>
          <w:rFonts w:ascii="Times New Roman" w:hAnsi="Times New Roman" w:cs="Times New Roman"/>
          <w:kern w:val="0"/>
          <w:szCs w:val="24"/>
        </w:rPr>
        <w:t>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w:t>
            </w:r>
            <w:proofErr w:type="gramStart"/>
            <w:r w:rsidRPr="00520408">
              <w:rPr>
                <w:sz w:val="24"/>
              </w:rPr>
              <w:t>余成本</w:t>
            </w:r>
            <w:proofErr w:type="gramEnd"/>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990C7B">
        <w:tc>
          <w:tcPr>
            <w:tcW w:w="1493" w:type="dxa"/>
            <w:vAlign w:val="center"/>
          </w:tcPr>
          <w:p w:rsidR="00990C7B" w:rsidRDefault="000C485A">
            <w:pPr>
              <w:jc w:val="center"/>
            </w:pPr>
            <w:r>
              <w:rPr>
                <w:rFonts w:hint="eastAsia"/>
                <w:sz w:val="24"/>
              </w:rPr>
              <w:t>1</w:t>
            </w:r>
          </w:p>
        </w:tc>
        <w:tc>
          <w:tcPr>
            <w:tcW w:w="1493" w:type="dxa"/>
            <w:vAlign w:val="center"/>
          </w:tcPr>
          <w:p w:rsidR="00990C7B" w:rsidRDefault="000C485A">
            <w:pPr>
              <w:jc w:val="center"/>
            </w:pPr>
            <w:r>
              <w:rPr>
                <w:rFonts w:hint="eastAsia"/>
                <w:sz w:val="24"/>
              </w:rPr>
              <w:t>111720223</w:t>
            </w:r>
          </w:p>
        </w:tc>
        <w:tc>
          <w:tcPr>
            <w:tcW w:w="1503" w:type="dxa"/>
            <w:vAlign w:val="center"/>
          </w:tcPr>
          <w:p w:rsidR="00990C7B" w:rsidRDefault="000C485A">
            <w:pPr>
              <w:jc w:val="center"/>
            </w:pPr>
            <w:r>
              <w:rPr>
                <w:rFonts w:hint="eastAsia"/>
                <w:sz w:val="24"/>
              </w:rPr>
              <w:t>17</w:t>
            </w:r>
            <w:r>
              <w:rPr>
                <w:rFonts w:hint="eastAsia"/>
                <w:sz w:val="24"/>
              </w:rPr>
              <w:t>广发银行</w:t>
            </w:r>
            <w:r>
              <w:rPr>
                <w:rFonts w:hint="eastAsia"/>
                <w:sz w:val="24"/>
              </w:rPr>
              <w:t>CD223</w:t>
            </w:r>
          </w:p>
        </w:tc>
        <w:tc>
          <w:tcPr>
            <w:tcW w:w="1503" w:type="dxa"/>
            <w:vAlign w:val="center"/>
          </w:tcPr>
          <w:p w:rsidR="00990C7B" w:rsidRDefault="000C485A">
            <w:pPr>
              <w:jc w:val="center"/>
            </w:pPr>
            <w:r>
              <w:rPr>
                <w:rFonts w:hint="eastAsia"/>
                <w:sz w:val="24"/>
              </w:rPr>
              <w:t>7,000,000</w:t>
            </w:r>
          </w:p>
        </w:tc>
        <w:tc>
          <w:tcPr>
            <w:tcW w:w="1503" w:type="dxa"/>
            <w:vAlign w:val="center"/>
          </w:tcPr>
          <w:p w:rsidR="00990C7B" w:rsidRDefault="000C485A">
            <w:pPr>
              <w:jc w:val="center"/>
            </w:pPr>
            <w:r>
              <w:rPr>
                <w:rFonts w:hint="eastAsia"/>
                <w:sz w:val="24"/>
              </w:rPr>
              <w:t>692,782,491.77</w:t>
            </w:r>
          </w:p>
        </w:tc>
        <w:tc>
          <w:tcPr>
            <w:tcW w:w="1503" w:type="dxa"/>
            <w:vAlign w:val="center"/>
          </w:tcPr>
          <w:p w:rsidR="00990C7B" w:rsidRDefault="000C485A">
            <w:pPr>
              <w:jc w:val="center"/>
            </w:pPr>
            <w:r>
              <w:rPr>
                <w:rFonts w:hint="eastAsia"/>
                <w:sz w:val="24"/>
              </w:rPr>
              <w:t>2.94</w:t>
            </w:r>
          </w:p>
        </w:tc>
      </w:tr>
      <w:tr w:rsidR="00990C7B">
        <w:tc>
          <w:tcPr>
            <w:tcW w:w="1493" w:type="dxa"/>
            <w:vAlign w:val="center"/>
          </w:tcPr>
          <w:p w:rsidR="00990C7B" w:rsidRDefault="000C485A">
            <w:pPr>
              <w:jc w:val="center"/>
            </w:pPr>
            <w:r>
              <w:rPr>
                <w:rFonts w:hint="eastAsia"/>
                <w:sz w:val="24"/>
              </w:rPr>
              <w:t>2</w:t>
            </w:r>
          </w:p>
        </w:tc>
        <w:tc>
          <w:tcPr>
            <w:tcW w:w="1493" w:type="dxa"/>
            <w:vAlign w:val="center"/>
          </w:tcPr>
          <w:p w:rsidR="00990C7B" w:rsidRDefault="000C485A">
            <w:pPr>
              <w:jc w:val="center"/>
            </w:pPr>
            <w:r>
              <w:rPr>
                <w:rFonts w:hint="eastAsia"/>
                <w:sz w:val="24"/>
              </w:rPr>
              <w:t>111781785</w:t>
            </w:r>
          </w:p>
        </w:tc>
        <w:tc>
          <w:tcPr>
            <w:tcW w:w="1503" w:type="dxa"/>
            <w:vAlign w:val="center"/>
          </w:tcPr>
          <w:p w:rsidR="00990C7B" w:rsidRDefault="000C485A">
            <w:pPr>
              <w:jc w:val="center"/>
            </w:pPr>
            <w:r>
              <w:rPr>
                <w:rFonts w:hint="eastAsia"/>
                <w:sz w:val="24"/>
              </w:rPr>
              <w:t>17</w:t>
            </w:r>
            <w:r>
              <w:rPr>
                <w:rFonts w:hint="eastAsia"/>
                <w:sz w:val="24"/>
              </w:rPr>
              <w:t>四川天府银行</w:t>
            </w:r>
            <w:r>
              <w:rPr>
                <w:rFonts w:hint="eastAsia"/>
                <w:sz w:val="24"/>
              </w:rPr>
              <w:t>CD123</w:t>
            </w:r>
          </w:p>
        </w:tc>
        <w:tc>
          <w:tcPr>
            <w:tcW w:w="1503" w:type="dxa"/>
            <w:vAlign w:val="center"/>
          </w:tcPr>
          <w:p w:rsidR="00990C7B" w:rsidRDefault="000C485A">
            <w:pPr>
              <w:jc w:val="center"/>
            </w:pPr>
            <w:r>
              <w:rPr>
                <w:rFonts w:hint="eastAsia"/>
                <w:sz w:val="24"/>
              </w:rPr>
              <w:t>4,500,000</w:t>
            </w:r>
          </w:p>
        </w:tc>
        <w:tc>
          <w:tcPr>
            <w:tcW w:w="1503" w:type="dxa"/>
            <w:vAlign w:val="center"/>
          </w:tcPr>
          <w:p w:rsidR="00990C7B" w:rsidRDefault="000C485A">
            <w:pPr>
              <w:jc w:val="center"/>
            </w:pPr>
            <w:r>
              <w:rPr>
                <w:rFonts w:hint="eastAsia"/>
                <w:sz w:val="24"/>
              </w:rPr>
              <w:t>448,645,605.06</w:t>
            </w:r>
          </w:p>
        </w:tc>
        <w:tc>
          <w:tcPr>
            <w:tcW w:w="1503" w:type="dxa"/>
            <w:vAlign w:val="center"/>
          </w:tcPr>
          <w:p w:rsidR="00990C7B" w:rsidRDefault="000C485A">
            <w:pPr>
              <w:jc w:val="center"/>
            </w:pPr>
            <w:r>
              <w:rPr>
                <w:rFonts w:hint="eastAsia"/>
                <w:sz w:val="24"/>
              </w:rPr>
              <w:t>1.91</w:t>
            </w:r>
          </w:p>
        </w:tc>
      </w:tr>
      <w:tr w:rsidR="00990C7B">
        <w:tc>
          <w:tcPr>
            <w:tcW w:w="1493" w:type="dxa"/>
            <w:vAlign w:val="center"/>
          </w:tcPr>
          <w:p w:rsidR="00990C7B" w:rsidRDefault="000C485A">
            <w:pPr>
              <w:jc w:val="center"/>
            </w:pPr>
            <w:r>
              <w:rPr>
                <w:rFonts w:hint="eastAsia"/>
                <w:sz w:val="24"/>
              </w:rPr>
              <w:t>3</w:t>
            </w:r>
          </w:p>
        </w:tc>
        <w:tc>
          <w:tcPr>
            <w:tcW w:w="1493" w:type="dxa"/>
            <w:vAlign w:val="center"/>
          </w:tcPr>
          <w:p w:rsidR="00990C7B" w:rsidRDefault="000C485A">
            <w:pPr>
              <w:jc w:val="center"/>
            </w:pPr>
            <w:r>
              <w:rPr>
                <w:rFonts w:hint="eastAsia"/>
                <w:sz w:val="24"/>
              </w:rPr>
              <w:t>111711539</w:t>
            </w:r>
          </w:p>
        </w:tc>
        <w:tc>
          <w:tcPr>
            <w:tcW w:w="1503" w:type="dxa"/>
            <w:vAlign w:val="center"/>
          </w:tcPr>
          <w:p w:rsidR="00990C7B" w:rsidRDefault="000C485A">
            <w:pPr>
              <w:jc w:val="center"/>
            </w:pPr>
            <w:r>
              <w:rPr>
                <w:rFonts w:hint="eastAsia"/>
                <w:sz w:val="24"/>
              </w:rPr>
              <w:t>17</w:t>
            </w:r>
            <w:r>
              <w:rPr>
                <w:rFonts w:hint="eastAsia"/>
                <w:sz w:val="24"/>
              </w:rPr>
              <w:t>平安银行</w:t>
            </w:r>
            <w:r>
              <w:rPr>
                <w:rFonts w:hint="eastAsia"/>
                <w:sz w:val="24"/>
              </w:rPr>
              <w:t>CD539</w:t>
            </w:r>
          </w:p>
        </w:tc>
        <w:tc>
          <w:tcPr>
            <w:tcW w:w="1503" w:type="dxa"/>
            <w:vAlign w:val="center"/>
          </w:tcPr>
          <w:p w:rsidR="00990C7B" w:rsidRDefault="000C485A">
            <w:pPr>
              <w:jc w:val="center"/>
            </w:pPr>
            <w:r>
              <w:rPr>
                <w:rFonts w:hint="eastAsia"/>
                <w:sz w:val="24"/>
              </w:rPr>
              <w:t>4,000,000</w:t>
            </w:r>
          </w:p>
        </w:tc>
        <w:tc>
          <w:tcPr>
            <w:tcW w:w="1503" w:type="dxa"/>
            <w:vAlign w:val="center"/>
          </w:tcPr>
          <w:p w:rsidR="00990C7B" w:rsidRDefault="000C485A">
            <w:pPr>
              <w:jc w:val="center"/>
            </w:pPr>
            <w:r>
              <w:rPr>
                <w:rFonts w:hint="eastAsia"/>
                <w:sz w:val="24"/>
              </w:rPr>
              <w:t>398,540,327.96</w:t>
            </w:r>
          </w:p>
        </w:tc>
        <w:tc>
          <w:tcPr>
            <w:tcW w:w="1503" w:type="dxa"/>
            <w:vAlign w:val="center"/>
          </w:tcPr>
          <w:p w:rsidR="00990C7B" w:rsidRDefault="000C485A">
            <w:pPr>
              <w:jc w:val="center"/>
            </w:pPr>
            <w:r>
              <w:rPr>
                <w:rFonts w:hint="eastAsia"/>
                <w:sz w:val="24"/>
              </w:rPr>
              <w:t>1.69</w:t>
            </w:r>
          </w:p>
        </w:tc>
      </w:tr>
      <w:tr w:rsidR="00990C7B">
        <w:tc>
          <w:tcPr>
            <w:tcW w:w="1493" w:type="dxa"/>
            <w:vAlign w:val="center"/>
          </w:tcPr>
          <w:p w:rsidR="00990C7B" w:rsidRDefault="000C485A">
            <w:pPr>
              <w:jc w:val="center"/>
            </w:pPr>
            <w:r>
              <w:rPr>
                <w:rFonts w:hint="eastAsia"/>
                <w:sz w:val="24"/>
              </w:rPr>
              <w:t>4</w:t>
            </w:r>
          </w:p>
        </w:tc>
        <w:tc>
          <w:tcPr>
            <w:tcW w:w="1493" w:type="dxa"/>
            <w:vAlign w:val="center"/>
          </w:tcPr>
          <w:p w:rsidR="00990C7B" w:rsidRDefault="000C485A">
            <w:pPr>
              <w:jc w:val="center"/>
            </w:pPr>
            <w:r>
              <w:rPr>
                <w:rFonts w:hint="eastAsia"/>
                <w:sz w:val="24"/>
              </w:rPr>
              <w:t>111711412</w:t>
            </w:r>
          </w:p>
        </w:tc>
        <w:tc>
          <w:tcPr>
            <w:tcW w:w="1503" w:type="dxa"/>
            <w:vAlign w:val="center"/>
          </w:tcPr>
          <w:p w:rsidR="00990C7B" w:rsidRDefault="000C485A">
            <w:pPr>
              <w:jc w:val="center"/>
            </w:pPr>
            <w:r>
              <w:rPr>
                <w:rFonts w:hint="eastAsia"/>
                <w:sz w:val="24"/>
              </w:rPr>
              <w:t>17</w:t>
            </w:r>
            <w:r>
              <w:rPr>
                <w:rFonts w:hint="eastAsia"/>
                <w:sz w:val="24"/>
              </w:rPr>
              <w:t>平安银行</w:t>
            </w:r>
            <w:r>
              <w:rPr>
                <w:rFonts w:hint="eastAsia"/>
                <w:sz w:val="24"/>
              </w:rPr>
              <w:t>CD412</w:t>
            </w:r>
          </w:p>
        </w:tc>
        <w:tc>
          <w:tcPr>
            <w:tcW w:w="1503" w:type="dxa"/>
            <w:vAlign w:val="center"/>
          </w:tcPr>
          <w:p w:rsidR="00990C7B" w:rsidRDefault="000C485A">
            <w:pPr>
              <w:jc w:val="center"/>
            </w:pPr>
            <w:r>
              <w:rPr>
                <w:rFonts w:hint="eastAsia"/>
                <w:sz w:val="24"/>
              </w:rPr>
              <w:t>4,000,000</w:t>
            </w:r>
          </w:p>
        </w:tc>
        <w:tc>
          <w:tcPr>
            <w:tcW w:w="1503" w:type="dxa"/>
            <w:vAlign w:val="center"/>
          </w:tcPr>
          <w:p w:rsidR="00990C7B" w:rsidRDefault="000C485A">
            <w:pPr>
              <w:jc w:val="center"/>
            </w:pPr>
            <w:r>
              <w:rPr>
                <w:rFonts w:hint="eastAsia"/>
                <w:sz w:val="24"/>
              </w:rPr>
              <w:t>396,100,129.32</w:t>
            </w:r>
          </w:p>
        </w:tc>
        <w:tc>
          <w:tcPr>
            <w:tcW w:w="1503" w:type="dxa"/>
            <w:vAlign w:val="center"/>
          </w:tcPr>
          <w:p w:rsidR="00990C7B" w:rsidRDefault="000C485A">
            <w:pPr>
              <w:jc w:val="center"/>
            </w:pPr>
            <w:r>
              <w:rPr>
                <w:rFonts w:hint="eastAsia"/>
                <w:sz w:val="24"/>
              </w:rPr>
              <w:t>1.68</w:t>
            </w:r>
          </w:p>
        </w:tc>
      </w:tr>
      <w:tr w:rsidR="00990C7B">
        <w:tc>
          <w:tcPr>
            <w:tcW w:w="1493" w:type="dxa"/>
            <w:vAlign w:val="center"/>
          </w:tcPr>
          <w:p w:rsidR="00990C7B" w:rsidRDefault="000C485A">
            <w:pPr>
              <w:jc w:val="center"/>
            </w:pPr>
            <w:r>
              <w:rPr>
                <w:rFonts w:hint="eastAsia"/>
                <w:sz w:val="24"/>
              </w:rPr>
              <w:t>5</w:t>
            </w:r>
          </w:p>
        </w:tc>
        <w:tc>
          <w:tcPr>
            <w:tcW w:w="1493" w:type="dxa"/>
            <w:vAlign w:val="center"/>
          </w:tcPr>
          <w:p w:rsidR="00990C7B" w:rsidRDefault="000C485A">
            <w:pPr>
              <w:jc w:val="center"/>
            </w:pPr>
            <w:r>
              <w:rPr>
                <w:rFonts w:hint="eastAsia"/>
                <w:sz w:val="24"/>
              </w:rPr>
              <w:t>111709511</w:t>
            </w:r>
          </w:p>
        </w:tc>
        <w:tc>
          <w:tcPr>
            <w:tcW w:w="1503" w:type="dxa"/>
            <w:vAlign w:val="center"/>
          </w:tcPr>
          <w:p w:rsidR="00990C7B" w:rsidRDefault="000C485A">
            <w:pPr>
              <w:jc w:val="center"/>
            </w:pPr>
            <w:r>
              <w:rPr>
                <w:rFonts w:hint="eastAsia"/>
                <w:sz w:val="24"/>
              </w:rPr>
              <w:t>17</w:t>
            </w:r>
            <w:r>
              <w:rPr>
                <w:rFonts w:hint="eastAsia"/>
                <w:sz w:val="24"/>
              </w:rPr>
              <w:t>浦发银行</w:t>
            </w:r>
            <w:r>
              <w:rPr>
                <w:rFonts w:hint="eastAsia"/>
                <w:sz w:val="24"/>
              </w:rPr>
              <w:t>CD511</w:t>
            </w:r>
          </w:p>
        </w:tc>
        <w:tc>
          <w:tcPr>
            <w:tcW w:w="1503" w:type="dxa"/>
            <w:vAlign w:val="center"/>
          </w:tcPr>
          <w:p w:rsidR="00990C7B" w:rsidRDefault="000C485A">
            <w:pPr>
              <w:jc w:val="center"/>
            </w:pPr>
            <w:r>
              <w:rPr>
                <w:rFonts w:hint="eastAsia"/>
                <w:sz w:val="24"/>
              </w:rPr>
              <w:t>4,000,000</w:t>
            </w:r>
          </w:p>
        </w:tc>
        <w:tc>
          <w:tcPr>
            <w:tcW w:w="1503" w:type="dxa"/>
            <w:vAlign w:val="center"/>
          </w:tcPr>
          <w:p w:rsidR="00990C7B" w:rsidRDefault="000C485A">
            <w:pPr>
              <w:jc w:val="center"/>
            </w:pPr>
            <w:r>
              <w:rPr>
                <w:rFonts w:hint="eastAsia"/>
                <w:sz w:val="24"/>
              </w:rPr>
              <w:t>395,636,226.33</w:t>
            </w:r>
          </w:p>
        </w:tc>
        <w:tc>
          <w:tcPr>
            <w:tcW w:w="1503" w:type="dxa"/>
            <w:vAlign w:val="center"/>
          </w:tcPr>
          <w:p w:rsidR="00990C7B" w:rsidRDefault="000C485A">
            <w:pPr>
              <w:jc w:val="center"/>
            </w:pPr>
            <w:r>
              <w:rPr>
                <w:rFonts w:hint="eastAsia"/>
                <w:sz w:val="24"/>
              </w:rPr>
              <w:t>1.68</w:t>
            </w:r>
          </w:p>
        </w:tc>
      </w:tr>
      <w:tr w:rsidR="00990C7B">
        <w:tc>
          <w:tcPr>
            <w:tcW w:w="1493" w:type="dxa"/>
            <w:vAlign w:val="center"/>
          </w:tcPr>
          <w:p w:rsidR="00990C7B" w:rsidRDefault="000C485A">
            <w:pPr>
              <w:jc w:val="center"/>
            </w:pPr>
            <w:r>
              <w:rPr>
                <w:rFonts w:hint="eastAsia"/>
                <w:sz w:val="24"/>
              </w:rPr>
              <w:t>6</w:t>
            </w:r>
          </w:p>
        </w:tc>
        <w:tc>
          <w:tcPr>
            <w:tcW w:w="1493" w:type="dxa"/>
            <w:vAlign w:val="center"/>
          </w:tcPr>
          <w:p w:rsidR="00990C7B" w:rsidRDefault="000C485A">
            <w:pPr>
              <w:jc w:val="center"/>
            </w:pPr>
            <w:r>
              <w:rPr>
                <w:rFonts w:hint="eastAsia"/>
                <w:sz w:val="24"/>
              </w:rPr>
              <w:t>111719418</w:t>
            </w:r>
          </w:p>
        </w:tc>
        <w:tc>
          <w:tcPr>
            <w:tcW w:w="1503" w:type="dxa"/>
            <w:vAlign w:val="center"/>
          </w:tcPr>
          <w:p w:rsidR="00990C7B" w:rsidRDefault="000C485A">
            <w:pPr>
              <w:jc w:val="center"/>
            </w:pPr>
            <w:r>
              <w:rPr>
                <w:rFonts w:hint="eastAsia"/>
                <w:sz w:val="24"/>
              </w:rPr>
              <w:t>17</w:t>
            </w:r>
            <w:r>
              <w:rPr>
                <w:rFonts w:hint="eastAsia"/>
                <w:sz w:val="24"/>
              </w:rPr>
              <w:t>恒丰银行</w:t>
            </w:r>
            <w:r>
              <w:rPr>
                <w:rFonts w:hint="eastAsia"/>
                <w:sz w:val="24"/>
              </w:rPr>
              <w:t>CD418</w:t>
            </w:r>
          </w:p>
        </w:tc>
        <w:tc>
          <w:tcPr>
            <w:tcW w:w="1503" w:type="dxa"/>
            <w:vAlign w:val="center"/>
          </w:tcPr>
          <w:p w:rsidR="00990C7B" w:rsidRDefault="000C485A">
            <w:pPr>
              <w:jc w:val="center"/>
            </w:pPr>
            <w:r>
              <w:rPr>
                <w:rFonts w:hint="eastAsia"/>
                <w:sz w:val="24"/>
              </w:rPr>
              <w:t>4,000,000</w:t>
            </w:r>
          </w:p>
        </w:tc>
        <w:tc>
          <w:tcPr>
            <w:tcW w:w="1503" w:type="dxa"/>
            <w:vAlign w:val="center"/>
          </w:tcPr>
          <w:p w:rsidR="00990C7B" w:rsidRDefault="000C485A">
            <w:pPr>
              <w:jc w:val="center"/>
            </w:pPr>
            <w:r>
              <w:rPr>
                <w:rFonts w:hint="eastAsia"/>
                <w:sz w:val="24"/>
              </w:rPr>
              <w:t>395,215,643.88</w:t>
            </w:r>
          </w:p>
        </w:tc>
        <w:tc>
          <w:tcPr>
            <w:tcW w:w="1503" w:type="dxa"/>
            <w:vAlign w:val="center"/>
          </w:tcPr>
          <w:p w:rsidR="00990C7B" w:rsidRDefault="000C485A">
            <w:pPr>
              <w:jc w:val="center"/>
            </w:pPr>
            <w:r>
              <w:rPr>
                <w:rFonts w:hint="eastAsia"/>
                <w:sz w:val="24"/>
              </w:rPr>
              <w:t>1.68</w:t>
            </w:r>
          </w:p>
        </w:tc>
      </w:tr>
      <w:tr w:rsidR="00990C7B">
        <w:tc>
          <w:tcPr>
            <w:tcW w:w="1493" w:type="dxa"/>
            <w:vAlign w:val="center"/>
          </w:tcPr>
          <w:p w:rsidR="00990C7B" w:rsidRDefault="000C485A">
            <w:pPr>
              <w:jc w:val="center"/>
            </w:pPr>
            <w:r>
              <w:rPr>
                <w:rFonts w:hint="eastAsia"/>
                <w:sz w:val="24"/>
              </w:rPr>
              <w:t>7</w:t>
            </w:r>
          </w:p>
        </w:tc>
        <w:tc>
          <w:tcPr>
            <w:tcW w:w="1493" w:type="dxa"/>
            <w:vAlign w:val="center"/>
          </w:tcPr>
          <w:p w:rsidR="00990C7B" w:rsidRDefault="000C485A">
            <w:pPr>
              <w:jc w:val="center"/>
            </w:pPr>
            <w:r>
              <w:rPr>
                <w:rFonts w:hint="eastAsia"/>
                <w:sz w:val="24"/>
              </w:rPr>
              <w:t>111711247</w:t>
            </w:r>
          </w:p>
        </w:tc>
        <w:tc>
          <w:tcPr>
            <w:tcW w:w="1503" w:type="dxa"/>
            <w:vAlign w:val="center"/>
          </w:tcPr>
          <w:p w:rsidR="00990C7B" w:rsidRDefault="000C485A">
            <w:pPr>
              <w:jc w:val="center"/>
            </w:pPr>
            <w:r>
              <w:rPr>
                <w:rFonts w:hint="eastAsia"/>
                <w:sz w:val="24"/>
              </w:rPr>
              <w:t>17</w:t>
            </w:r>
            <w:r>
              <w:rPr>
                <w:rFonts w:hint="eastAsia"/>
                <w:sz w:val="24"/>
              </w:rPr>
              <w:t>平安银行</w:t>
            </w:r>
            <w:r>
              <w:rPr>
                <w:rFonts w:hint="eastAsia"/>
                <w:sz w:val="24"/>
              </w:rPr>
              <w:t>CD247</w:t>
            </w:r>
          </w:p>
        </w:tc>
        <w:tc>
          <w:tcPr>
            <w:tcW w:w="1503" w:type="dxa"/>
            <w:vAlign w:val="center"/>
          </w:tcPr>
          <w:p w:rsidR="00990C7B" w:rsidRDefault="000C485A">
            <w:pPr>
              <w:jc w:val="center"/>
            </w:pPr>
            <w:r>
              <w:rPr>
                <w:rFonts w:hint="eastAsia"/>
                <w:sz w:val="24"/>
              </w:rPr>
              <w:t>3,500,000</w:t>
            </w:r>
          </w:p>
        </w:tc>
        <w:tc>
          <w:tcPr>
            <w:tcW w:w="1503" w:type="dxa"/>
            <w:vAlign w:val="center"/>
          </w:tcPr>
          <w:p w:rsidR="00990C7B" w:rsidRDefault="000C485A">
            <w:pPr>
              <w:jc w:val="center"/>
            </w:pPr>
            <w:r>
              <w:rPr>
                <w:rFonts w:hint="eastAsia"/>
                <w:sz w:val="24"/>
              </w:rPr>
              <w:t>342,120,242.86</w:t>
            </w:r>
          </w:p>
        </w:tc>
        <w:tc>
          <w:tcPr>
            <w:tcW w:w="1503" w:type="dxa"/>
            <w:vAlign w:val="center"/>
          </w:tcPr>
          <w:p w:rsidR="00990C7B" w:rsidRDefault="000C485A">
            <w:pPr>
              <w:jc w:val="center"/>
            </w:pPr>
            <w:r>
              <w:rPr>
                <w:rFonts w:hint="eastAsia"/>
                <w:sz w:val="24"/>
              </w:rPr>
              <w:t>1.45</w:t>
            </w:r>
          </w:p>
        </w:tc>
      </w:tr>
      <w:tr w:rsidR="00990C7B">
        <w:tc>
          <w:tcPr>
            <w:tcW w:w="1493" w:type="dxa"/>
            <w:vAlign w:val="center"/>
          </w:tcPr>
          <w:p w:rsidR="00990C7B" w:rsidRDefault="000C485A">
            <w:pPr>
              <w:jc w:val="center"/>
            </w:pPr>
            <w:r>
              <w:rPr>
                <w:rFonts w:hint="eastAsia"/>
                <w:sz w:val="24"/>
              </w:rPr>
              <w:t>8</w:t>
            </w:r>
          </w:p>
        </w:tc>
        <w:tc>
          <w:tcPr>
            <w:tcW w:w="1493" w:type="dxa"/>
            <w:vAlign w:val="center"/>
          </w:tcPr>
          <w:p w:rsidR="00990C7B" w:rsidRDefault="000C485A">
            <w:pPr>
              <w:jc w:val="center"/>
            </w:pPr>
            <w:r>
              <w:rPr>
                <w:rFonts w:hint="eastAsia"/>
                <w:sz w:val="24"/>
              </w:rPr>
              <w:t>111709243</w:t>
            </w:r>
          </w:p>
        </w:tc>
        <w:tc>
          <w:tcPr>
            <w:tcW w:w="1503" w:type="dxa"/>
            <w:vAlign w:val="center"/>
          </w:tcPr>
          <w:p w:rsidR="00990C7B" w:rsidRDefault="000C485A">
            <w:pPr>
              <w:jc w:val="center"/>
            </w:pPr>
            <w:r>
              <w:rPr>
                <w:rFonts w:hint="eastAsia"/>
                <w:sz w:val="24"/>
              </w:rPr>
              <w:t>17</w:t>
            </w:r>
            <w:r>
              <w:rPr>
                <w:rFonts w:hint="eastAsia"/>
                <w:sz w:val="24"/>
              </w:rPr>
              <w:t>浦发银行</w:t>
            </w:r>
            <w:r>
              <w:rPr>
                <w:rFonts w:hint="eastAsia"/>
                <w:sz w:val="24"/>
              </w:rPr>
              <w:t>CD243</w:t>
            </w:r>
          </w:p>
        </w:tc>
        <w:tc>
          <w:tcPr>
            <w:tcW w:w="1503" w:type="dxa"/>
            <w:vAlign w:val="center"/>
          </w:tcPr>
          <w:p w:rsidR="00990C7B" w:rsidRDefault="000C485A">
            <w:pPr>
              <w:jc w:val="center"/>
            </w:pPr>
            <w:r>
              <w:rPr>
                <w:rFonts w:hint="eastAsia"/>
                <w:sz w:val="24"/>
              </w:rPr>
              <w:t>3,250,000</w:t>
            </w:r>
          </w:p>
        </w:tc>
        <w:tc>
          <w:tcPr>
            <w:tcW w:w="1503" w:type="dxa"/>
            <w:vAlign w:val="center"/>
          </w:tcPr>
          <w:p w:rsidR="00990C7B" w:rsidRDefault="000C485A">
            <w:pPr>
              <w:jc w:val="center"/>
            </w:pPr>
            <w:r>
              <w:rPr>
                <w:rFonts w:hint="eastAsia"/>
                <w:sz w:val="24"/>
              </w:rPr>
              <w:t>318,592,614.90</w:t>
            </w:r>
          </w:p>
        </w:tc>
        <w:tc>
          <w:tcPr>
            <w:tcW w:w="1503" w:type="dxa"/>
            <w:vAlign w:val="center"/>
          </w:tcPr>
          <w:p w:rsidR="00990C7B" w:rsidRDefault="000C485A">
            <w:pPr>
              <w:jc w:val="center"/>
            </w:pPr>
            <w:r>
              <w:rPr>
                <w:rFonts w:hint="eastAsia"/>
                <w:sz w:val="24"/>
              </w:rPr>
              <w:t>1.35</w:t>
            </w:r>
          </w:p>
        </w:tc>
      </w:tr>
      <w:tr w:rsidR="00990C7B">
        <w:tc>
          <w:tcPr>
            <w:tcW w:w="1493" w:type="dxa"/>
            <w:vAlign w:val="center"/>
          </w:tcPr>
          <w:p w:rsidR="00990C7B" w:rsidRDefault="000C485A">
            <w:pPr>
              <w:jc w:val="center"/>
            </w:pPr>
            <w:r>
              <w:rPr>
                <w:rFonts w:hint="eastAsia"/>
                <w:sz w:val="24"/>
              </w:rPr>
              <w:t>9</w:t>
            </w:r>
          </w:p>
        </w:tc>
        <w:tc>
          <w:tcPr>
            <w:tcW w:w="1493" w:type="dxa"/>
            <w:vAlign w:val="center"/>
          </w:tcPr>
          <w:p w:rsidR="00990C7B" w:rsidRDefault="000C485A">
            <w:pPr>
              <w:jc w:val="center"/>
            </w:pPr>
            <w:r>
              <w:rPr>
                <w:rFonts w:hint="eastAsia"/>
                <w:sz w:val="24"/>
              </w:rPr>
              <w:t>111780818</w:t>
            </w:r>
          </w:p>
        </w:tc>
        <w:tc>
          <w:tcPr>
            <w:tcW w:w="1503" w:type="dxa"/>
            <w:vAlign w:val="center"/>
          </w:tcPr>
          <w:p w:rsidR="00990C7B" w:rsidRDefault="000C485A">
            <w:pPr>
              <w:jc w:val="center"/>
            </w:pPr>
            <w:r>
              <w:rPr>
                <w:rFonts w:hint="eastAsia"/>
                <w:sz w:val="24"/>
              </w:rPr>
              <w:t>17</w:t>
            </w:r>
            <w:r>
              <w:rPr>
                <w:rFonts w:hint="eastAsia"/>
                <w:sz w:val="24"/>
              </w:rPr>
              <w:t>温州银行</w:t>
            </w:r>
            <w:r>
              <w:rPr>
                <w:rFonts w:hint="eastAsia"/>
                <w:sz w:val="24"/>
              </w:rPr>
              <w:lastRenderedPageBreak/>
              <w:t>CD149</w:t>
            </w:r>
          </w:p>
        </w:tc>
        <w:tc>
          <w:tcPr>
            <w:tcW w:w="1503" w:type="dxa"/>
            <w:vAlign w:val="center"/>
          </w:tcPr>
          <w:p w:rsidR="00990C7B" w:rsidRDefault="000C485A">
            <w:pPr>
              <w:jc w:val="center"/>
            </w:pPr>
            <w:r>
              <w:rPr>
                <w:rFonts w:hint="eastAsia"/>
                <w:sz w:val="24"/>
              </w:rPr>
              <w:lastRenderedPageBreak/>
              <w:t>3,000,000</w:t>
            </w:r>
          </w:p>
        </w:tc>
        <w:tc>
          <w:tcPr>
            <w:tcW w:w="1503" w:type="dxa"/>
            <w:vAlign w:val="center"/>
          </w:tcPr>
          <w:p w:rsidR="00990C7B" w:rsidRDefault="000C485A">
            <w:pPr>
              <w:jc w:val="center"/>
            </w:pPr>
            <w:r>
              <w:rPr>
                <w:rFonts w:hint="eastAsia"/>
                <w:sz w:val="24"/>
              </w:rPr>
              <w:t>299,671,498.8</w:t>
            </w:r>
            <w:r>
              <w:rPr>
                <w:rFonts w:hint="eastAsia"/>
                <w:sz w:val="24"/>
              </w:rPr>
              <w:lastRenderedPageBreak/>
              <w:t>6</w:t>
            </w:r>
          </w:p>
        </w:tc>
        <w:tc>
          <w:tcPr>
            <w:tcW w:w="1503" w:type="dxa"/>
            <w:vAlign w:val="center"/>
          </w:tcPr>
          <w:p w:rsidR="00990C7B" w:rsidRDefault="000C485A">
            <w:pPr>
              <w:jc w:val="center"/>
            </w:pPr>
            <w:r>
              <w:rPr>
                <w:rFonts w:hint="eastAsia"/>
                <w:sz w:val="24"/>
              </w:rPr>
              <w:lastRenderedPageBreak/>
              <w:t>1.27</w:t>
            </w:r>
          </w:p>
        </w:tc>
      </w:tr>
      <w:tr w:rsidR="00990C7B">
        <w:tc>
          <w:tcPr>
            <w:tcW w:w="1493" w:type="dxa"/>
            <w:vAlign w:val="center"/>
          </w:tcPr>
          <w:p w:rsidR="00990C7B" w:rsidRDefault="000C485A">
            <w:pPr>
              <w:jc w:val="center"/>
            </w:pPr>
            <w:r>
              <w:rPr>
                <w:rFonts w:hint="eastAsia"/>
                <w:sz w:val="24"/>
              </w:rPr>
              <w:t>10</w:t>
            </w:r>
          </w:p>
        </w:tc>
        <w:tc>
          <w:tcPr>
            <w:tcW w:w="1493" w:type="dxa"/>
            <w:vAlign w:val="center"/>
          </w:tcPr>
          <w:p w:rsidR="00990C7B" w:rsidRDefault="000C485A">
            <w:pPr>
              <w:jc w:val="center"/>
            </w:pPr>
            <w:r>
              <w:rPr>
                <w:rFonts w:hint="eastAsia"/>
                <w:sz w:val="24"/>
              </w:rPr>
              <w:t>111771778</w:t>
            </w:r>
          </w:p>
        </w:tc>
        <w:tc>
          <w:tcPr>
            <w:tcW w:w="1503" w:type="dxa"/>
            <w:vAlign w:val="center"/>
          </w:tcPr>
          <w:p w:rsidR="00990C7B" w:rsidRDefault="000C485A">
            <w:pPr>
              <w:jc w:val="center"/>
            </w:pPr>
            <w:r>
              <w:rPr>
                <w:rFonts w:hint="eastAsia"/>
                <w:sz w:val="24"/>
              </w:rPr>
              <w:t>17</w:t>
            </w:r>
            <w:r>
              <w:rPr>
                <w:rFonts w:hint="eastAsia"/>
                <w:sz w:val="24"/>
              </w:rPr>
              <w:t>东莞农村商业银行</w:t>
            </w:r>
            <w:r>
              <w:rPr>
                <w:rFonts w:hint="eastAsia"/>
                <w:sz w:val="24"/>
              </w:rPr>
              <w:t>CD112</w:t>
            </w:r>
          </w:p>
        </w:tc>
        <w:tc>
          <w:tcPr>
            <w:tcW w:w="1503" w:type="dxa"/>
            <w:vAlign w:val="center"/>
          </w:tcPr>
          <w:p w:rsidR="00990C7B" w:rsidRDefault="000C485A">
            <w:pPr>
              <w:jc w:val="center"/>
            </w:pPr>
            <w:r>
              <w:rPr>
                <w:rFonts w:hint="eastAsia"/>
                <w:sz w:val="24"/>
              </w:rPr>
              <w:t>3,000,000</w:t>
            </w:r>
          </w:p>
        </w:tc>
        <w:tc>
          <w:tcPr>
            <w:tcW w:w="1503" w:type="dxa"/>
            <w:vAlign w:val="center"/>
          </w:tcPr>
          <w:p w:rsidR="00990C7B" w:rsidRDefault="000C485A">
            <w:pPr>
              <w:jc w:val="center"/>
            </w:pPr>
            <w:r>
              <w:rPr>
                <w:rFonts w:hint="eastAsia"/>
                <w:sz w:val="24"/>
              </w:rPr>
              <w:t>296,525,476.39</w:t>
            </w:r>
          </w:p>
        </w:tc>
        <w:tc>
          <w:tcPr>
            <w:tcW w:w="1503" w:type="dxa"/>
            <w:vAlign w:val="center"/>
          </w:tcPr>
          <w:p w:rsidR="00990C7B" w:rsidRDefault="000C485A">
            <w:pPr>
              <w:jc w:val="center"/>
            </w:pPr>
            <w:r>
              <w:rPr>
                <w:rFonts w:hint="eastAsia"/>
                <w:sz w:val="24"/>
              </w:rPr>
              <w:t>1.26</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8.7</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0.1093%</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-0.0805%</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0.0217%</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8.8</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w:t>
      </w:r>
      <w:proofErr w:type="gramStart"/>
      <w:r w:rsidRPr="00704580">
        <w:rPr>
          <w:rFonts w:hint="eastAsia"/>
          <w:color w:val="000000"/>
          <w:sz w:val="24"/>
        </w:rPr>
        <w:t>余成本</w:t>
      </w:r>
      <w:proofErr w:type="gramEnd"/>
      <w:r w:rsidRPr="00704580">
        <w:rPr>
          <w:rFonts w:hint="eastAsia"/>
          <w:color w:val="000000"/>
          <w:sz w:val="24"/>
        </w:rPr>
        <w:t>法计价，即计价对象以买入成本列示，按票面利率或商定利率并考虑其买入时的溢价与折价，在其剩余期限内按照实际利率</w:t>
      </w:r>
      <w:proofErr w:type="gramStart"/>
      <w:r w:rsidRPr="00704580">
        <w:rPr>
          <w:rFonts w:hint="eastAsia"/>
          <w:color w:val="000000"/>
          <w:sz w:val="24"/>
        </w:rPr>
        <w:t>和摊余成本</w:t>
      </w:r>
      <w:proofErr w:type="gramEnd"/>
      <w:r w:rsidRPr="00704580">
        <w:rPr>
          <w:rFonts w:hint="eastAsia"/>
          <w:color w:val="000000"/>
          <w:sz w:val="24"/>
        </w:rPr>
        <w:t>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60,874,030.42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26,265,454.76</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87,139,485.18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5"/>
      <w:bookmarkEnd w:id="26"/>
    </w:p>
    <w:p w:rsidR="00A66BB5" w:rsidRPr="00FB19E8" w:rsidRDefault="00A66BB5" w:rsidP="00FB19E8">
      <w:pPr>
        <w:pStyle w:val="20"/>
        <w:spacing w:before="29" w:after="0" w:line="288" w:lineRule="auto"/>
        <w:rPr>
          <w:rFonts w:ascii="Times New Roman" w:hAnsi="Times New Roman" w:cs="Times New Roman"/>
          <w:kern w:val="0"/>
          <w:szCs w:val="24"/>
        </w:rPr>
      </w:pPr>
      <w:bookmarkStart w:id="27" w:name="_Toc331410112"/>
      <w:bookmarkStart w:id="28"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7"/>
      <w:bookmarkEnd w:id="28"/>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w:t>
            </w:r>
            <w:proofErr w:type="gramStart"/>
            <w:r w:rsidRPr="00947C5B">
              <w:rPr>
                <w:rFonts w:hint="eastAsia"/>
                <w:szCs w:val="21"/>
              </w:rPr>
              <w:t>人结构</w:t>
            </w:r>
            <w:proofErr w:type="gramEnd"/>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w:t>
            </w:r>
            <w:proofErr w:type="gramStart"/>
            <w:r w:rsidRPr="00947C5B">
              <w:rPr>
                <w:szCs w:val="21"/>
              </w:rPr>
              <w:t>鑫宝货币</w:t>
            </w:r>
            <w:proofErr w:type="gramEnd"/>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11,626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8,146.99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1,454.90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94,715,471.40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100.00%</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w:t>
            </w:r>
            <w:proofErr w:type="gramStart"/>
            <w:r w:rsidRPr="00947C5B">
              <w:rPr>
                <w:szCs w:val="21"/>
              </w:rPr>
              <w:t>鑫宝货币</w:t>
            </w:r>
            <w:proofErr w:type="gramEnd"/>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837,526,245.51</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23,450,734,874.15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11,654</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2,020,375.13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23,450,736,329.05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99.60%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94,715,471.40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0.40%</w:t>
            </w:r>
          </w:p>
        </w:tc>
      </w:tr>
    </w:tbl>
    <w:p w:rsidR="00A66BB5" w:rsidRPr="00A85DBF" w:rsidRDefault="00A66BB5" w:rsidP="004B36C2">
      <w:pPr>
        <w:spacing w:line="360" w:lineRule="auto"/>
        <w:rPr>
          <w:rFonts w:asciiTheme="minorEastAsia" w:eastAsiaTheme="minorEastAsia" w:hAnsiTheme="minorEastAsia"/>
          <w:szCs w:val="21"/>
        </w:rPr>
      </w:pPr>
    </w:p>
    <w:p w:rsidR="00622BEC" w:rsidRDefault="00622BEC" w:rsidP="00EF370A">
      <w:pPr>
        <w:pStyle w:val="20"/>
        <w:spacing w:beforeLines="100" w:before="312" w:after="0"/>
        <w:rPr>
          <w:rFonts w:ascii="Times New Roman" w:eastAsiaTheme="minorEastAsia" w:hAnsi="Times New Roman"/>
          <w:color w:val="000000" w:themeColor="text1"/>
          <w:kern w:val="0"/>
          <w:sz w:val="21"/>
          <w:szCs w:val="21"/>
        </w:rPr>
      </w:pPr>
      <w:bookmarkStart w:id="29" w:name="_Toc509581509"/>
      <w:bookmarkStart w:id="30" w:name="_Toc331410113"/>
      <w:r w:rsidRPr="00FB19E8">
        <w:rPr>
          <w:rFonts w:ascii="Times New Roman" w:hAnsi="Times New Roman" w:cs="Times New Roman" w:hint="eastAsia"/>
          <w:kern w:val="0"/>
          <w:szCs w:val="24"/>
        </w:rPr>
        <w:t>9.2</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期末货币市场基金前十名份额持有人情况</w:t>
      </w:r>
      <w:bookmarkEnd w:id="29"/>
    </w:p>
    <w:tbl>
      <w:tblPr>
        <w:tblStyle w:val="af7"/>
        <w:tblW w:w="0" w:type="auto"/>
        <w:tblLook w:val="04A0" w:firstRow="1" w:lastRow="0" w:firstColumn="1" w:lastColumn="0" w:noHBand="0" w:noVBand="1"/>
      </w:tblPr>
      <w:tblGrid>
        <w:gridCol w:w="2814"/>
        <w:gridCol w:w="2227"/>
        <w:gridCol w:w="2324"/>
        <w:gridCol w:w="1921"/>
      </w:tblGrid>
      <w:tr w:rsidR="00622BEC" w:rsidTr="00EF370A">
        <w:tc>
          <w:tcPr>
            <w:tcW w:w="2814" w:type="dxa"/>
            <w:tcBorders>
              <w:top w:val="single" w:sz="4" w:space="0" w:color="auto"/>
              <w:left w:val="single" w:sz="4" w:space="0" w:color="auto"/>
              <w:bottom w:val="single" w:sz="4" w:space="0" w:color="auto"/>
              <w:right w:val="single" w:sz="4" w:space="0" w:color="auto"/>
            </w:tcBorders>
            <w:vAlign w:val="center"/>
            <w:hideMark/>
          </w:tcPr>
          <w:p w:rsidR="00622BEC" w:rsidRDefault="00622BEC" w:rsidP="00622BEC">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622BEC" w:rsidRDefault="00622BEC" w:rsidP="00622BEC">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622BEC" w:rsidRDefault="00622BEC" w:rsidP="00622BEC">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622BEC" w:rsidRDefault="00622BEC" w:rsidP="00622BEC">
            <w:pPr>
              <w:spacing w:line="276" w:lineRule="auto"/>
              <w:jc w:val="center"/>
              <w:rPr>
                <w:rFonts w:eastAsia="仿宋_GB2312"/>
                <w:szCs w:val="21"/>
              </w:rPr>
            </w:pPr>
            <w:r>
              <w:rPr>
                <w:rFonts w:eastAsia="仿宋_GB2312" w:hint="eastAsia"/>
                <w:szCs w:val="21"/>
              </w:rPr>
              <w:t>占总份额比例</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1</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E93855" w:rsidP="00622BEC">
            <w:pPr>
              <w:jc w:val="right"/>
            </w:pPr>
            <w:r w:rsidRPr="00E93855">
              <w:rPr>
                <w:color w:val="000000"/>
              </w:rPr>
              <w:t>7,008,112,585.21</w:t>
            </w:r>
          </w:p>
        </w:tc>
        <w:tc>
          <w:tcPr>
            <w:tcW w:w="0" w:type="auto"/>
            <w:vAlign w:val="center"/>
          </w:tcPr>
          <w:p w:rsidR="00622BEC" w:rsidRDefault="00622BEC" w:rsidP="00622BEC">
            <w:pPr>
              <w:jc w:val="right"/>
            </w:pPr>
            <w:r>
              <w:rPr>
                <w:rFonts w:eastAsiaTheme="minorEastAsia"/>
                <w:color w:val="000000" w:themeColor="text1"/>
                <w:szCs w:val="21"/>
              </w:rPr>
              <w:t>29.76%</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2</w:t>
            </w:r>
          </w:p>
        </w:tc>
        <w:tc>
          <w:tcPr>
            <w:tcW w:w="0" w:type="auto"/>
            <w:vAlign w:val="center"/>
          </w:tcPr>
          <w:p w:rsidR="00622BEC" w:rsidRDefault="00622BEC" w:rsidP="00622BEC">
            <w:pPr>
              <w:jc w:val="right"/>
            </w:pPr>
            <w:r>
              <w:rPr>
                <w:rFonts w:eastAsiaTheme="minorEastAsia"/>
                <w:color w:val="000000" w:themeColor="text1"/>
                <w:szCs w:val="21"/>
              </w:rPr>
              <w:t>其他机构</w:t>
            </w:r>
          </w:p>
        </w:tc>
        <w:tc>
          <w:tcPr>
            <w:tcW w:w="0" w:type="auto"/>
            <w:vAlign w:val="center"/>
          </w:tcPr>
          <w:p w:rsidR="00622BEC" w:rsidRDefault="00622BEC" w:rsidP="00622BEC">
            <w:pPr>
              <w:jc w:val="right"/>
            </w:pPr>
            <w:r>
              <w:rPr>
                <w:rFonts w:eastAsiaTheme="minorEastAsia"/>
                <w:color w:val="000000" w:themeColor="text1"/>
                <w:szCs w:val="21"/>
              </w:rPr>
              <w:t>3,073,003,451.00</w:t>
            </w:r>
          </w:p>
        </w:tc>
        <w:tc>
          <w:tcPr>
            <w:tcW w:w="0" w:type="auto"/>
            <w:vAlign w:val="center"/>
          </w:tcPr>
          <w:p w:rsidR="00622BEC" w:rsidRDefault="00622BEC" w:rsidP="00622BEC">
            <w:pPr>
              <w:jc w:val="right"/>
            </w:pPr>
            <w:r>
              <w:rPr>
                <w:rFonts w:eastAsiaTheme="minorEastAsia"/>
                <w:color w:val="000000" w:themeColor="text1"/>
                <w:szCs w:val="21"/>
              </w:rPr>
              <w:t>13.05%</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3</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3,025,162,546.00</w:t>
            </w:r>
          </w:p>
        </w:tc>
        <w:tc>
          <w:tcPr>
            <w:tcW w:w="0" w:type="auto"/>
            <w:vAlign w:val="center"/>
          </w:tcPr>
          <w:p w:rsidR="00622BEC" w:rsidRDefault="00622BEC" w:rsidP="00622BEC">
            <w:pPr>
              <w:jc w:val="right"/>
            </w:pPr>
            <w:r>
              <w:rPr>
                <w:rFonts w:eastAsiaTheme="minorEastAsia"/>
                <w:color w:val="000000" w:themeColor="text1"/>
                <w:szCs w:val="21"/>
              </w:rPr>
              <w:t>12.85%</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4</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1,014,341,887.00</w:t>
            </w:r>
          </w:p>
        </w:tc>
        <w:tc>
          <w:tcPr>
            <w:tcW w:w="0" w:type="auto"/>
            <w:vAlign w:val="center"/>
          </w:tcPr>
          <w:p w:rsidR="00622BEC" w:rsidRDefault="00622BEC" w:rsidP="00622BEC">
            <w:pPr>
              <w:jc w:val="right"/>
            </w:pPr>
            <w:r>
              <w:rPr>
                <w:rFonts w:eastAsiaTheme="minorEastAsia"/>
                <w:color w:val="000000" w:themeColor="text1"/>
                <w:szCs w:val="21"/>
              </w:rPr>
              <w:t>4.31%</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5</w:t>
            </w:r>
          </w:p>
        </w:tc>
        <w:tc>
          <w:tcPr>
            <w:tcW w:w="0" w:type="auto"/>
            <w:vAlign w:val="center"/>
          </w:tcPr>
          <w:p w:rsidR="00622BEC" w:rsidRDefault="00622BEC" w:rsidP="00622BEC">
            <w:pPr>
              <w:jc w:val="right"/>
            </w:pPr>
            <w:r>
              <w:rPr>
                <w:rFonts w:eastAsiaTheme="minorEastAsia"/>
                <w:color w:val="000000" w:themeColor="text1"/>
                <w:szCs w:val="21"/>
              </w:rPr>
              <w:t>其他机构</w:t>
            </w:r>
          </w:p>
        </w:tc>
        <w:tc>
          <w:tcPr>
            <w:tcW w:w="0" w:type="auto"/>
            <w:vAlign w:val="center"/>
          </w:tcPr>
          <w:p w:rsidR="00622BEC" w:rsidRDefault="00622BEC" w:rsidP="00622BEC">
            <w:pPr>
              <w:jc w:val="right"/>
            </w:pPr>
            <w:r>
              <w:rPr>
                <w:rFonts w:eastAsiaTheme="minorEastAsia"/>
                <w:color w:val="000000" w:themeColor="text1"/>
                <w:szCs w:val="21"/>
              </w:rPr>
              <w:t>1,000,137,164.00</w:t>
            </w:r>
          </w:p>
        </w:tc>
        <w:tc>
          <w:tcPr>
            <w:tcW w:w="0" w:type="auto"/>
            <w:vAlign w:val="center"/>
          </w:tcPr>
          <w:p w:rsidR="00622BEC" w:rsidRDefault="00622BEC" w:rsidP="00622BEC">
            <w:pPr>
              <w:jc w:val="right"/>
            </w:pPr>
            <w:r>
              <w:rPr>
                <w:rFonts w:eastAsiaTheme="minorEastAsia"/>
                <w:color w:val="000000" w:themeColor="text1"/>
                <w:szCs w:val="21"/>
              </w:rPr>
              <w:t>4.25%</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lastRenderedPageBreak/>
              <w:t>6</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1,000,137,164.00</w:t>
            </w:r>
          </w:p>
        </w:tc>
        <w:tc>
          <w:tcPr>
            <w:tcW w:w="0" w:type="auto"/>
            <w:vAlign w:val="center"/>
          </w:tcPr>
          <w:p w:rsidR="00622BEC" w:rsidRDefault="00622BEC" w:rsidP="00622BEC">
            <w:pPr>
              <w:jc w:val="right"/>
            </w:pPr>
            <w:r>
              <w:rPr>
                <w:rFonts w:eastAsiaTheme="minorEastAsia"/>
                <w:color w:val="000000" w:themeColor="text1"/>
                <w:szCs w:val="21"/>
              </w:rPr>
              <w:t>4.25%</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7</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1,000,000,000.00</w:t>
            </w:r>
          </w:p>
        </w:tc>
        <w:tc>
          <w:tcPr>
            <w:tcW w:w="0" w:type="auto"/>
            <w:vAlign w:val="center"/>
          </w:tcPr>
          <w:p w:rsidR="00622BEC" w:rsidRDefault="00622BEC" w:rsidP="00622BEC">
            <w:pPr>
              <w:jc w:val="right"/>
            </w:pPr>
            <w:r>
              <w:rPr>
                <w:rFonts w:eastAsiaTheme="minorEastAsia"/>
                <w:color w:val="000000" w:themeColor="text1"/>
                <w:szCs w:val="21"/>
              </w:rPr>
              <w:t>4.25%</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8</w:t>
            </w:r>
          </w:p>
        </w:tc>
        <w:tc>
          <w:tcPr>
            <w:tcW w:w="0" w:type="auto"/>
            <w:vAlign w:val="center"/>
          </w:tcPr>
          <w:p w:rsidR="00622BEC" w:rsidRDefault="00622BEC" w:rsidP="00622BEC">
            <w:pPr>
              <w:jc w:val="right"/>
            </w:pPr>
            <w:r>
              <w:rPr>
                <w:rFonts w:eastAsiaTheme="minorEastAsia"/>
                <w:color w:val="000000" w:themeColor="text1"/>
                <w:szCs w:val="21"/>
              </w:rPr>
              <w:t>其他机构</w:t>
            </w:r>
          </w:p>
        </w:tc>
        <w:tc>
          <w:tcPr>
            <w:tcW w:w="0" w:type="auto"/>
            <w:vAlign w:val="center"/>
          </w:tcPr>
          <w:p w:rsidR="00622BEC" w:rsidRDefault="00622BEC" w:rsidP="00622BEC">
            <w:pPr>
              <w:jc w:val="right"/>
            </w:pPr>
            <w:r>
              <w:rPr>
                <w:rFonts w:eastAsiaTheme="minorEastAsia"/>
                <w:color w:val="000000" w:themeColor="text1"/>
                <w:szCs w:val="21"/>
              </w:rPr>
              <w:t>960,391,857.70</w:t>
            </w:r>
          </w:p>
        </w:tc>
        <w:tc>
          <w:tcPr>
            <w:tcW w:w="0" w:type="auto"/>
            <w:vAlign w:val="center"/>
          </w:tcPr>
          <w:p w:rsidR="00622BEC" w:rsidRDefault="00622BEC" w:rsidP="00622BEC">
            <w:pPr>
              <w:jc w:val="right"/>
            </w:pPr>
            <w:r>
              <w:rPr>
                <w:rFonts w:eastAsiaTheme="minorEastAsia"/>
                <w:color w:val="000000" w:themeColor="text1"/>
                <w:szCs w:val="21"/>
              </w:rPr>
              <w:t>4.08%</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9</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707,744,635.50</w:t>
            </w:r>
          </w:p>
        </w:tc>
        <w:tc>
          <w:tcPr>
            <w:tcW w:w="0" w:type="auto"/>
            <w:vAlign w:val="center"/>
          </w:tcPr>
          <w:p w:rsidR="00622BEC" w:rsidRDefault="00622BEC" w:rsidP="00622BEC">
            <w:pPr>
              <w:jc w:val="right"/>
            </w:pPr>
            <w:r>
              <w:rPr>
                <w:rFonts w:eastAsiaTheme="minorEastAsia"/>
                <w:color w:val="000000" w:themeColor="text1"/>
                <w:szCs w:val="21"/>
              </w:rPr>
              <w:t>3.01%</w:t>
            </w:r>
          </w:p>
        </w:tc>
      </w:tr>
      <w:tr w:rsidR="00622BEC" w:rsidTr="00EF370A">
        <w:tc>
          <w:tcPr>
            <w:tcW w:w="0" w:type="auto"/>
            <w:vAlign w:val="center"/>
          </w:tcPr>
          <w:p w:rsidR="00622BEC" w:rsidRDefault="00622BEC" w:rsidP="00622BEC">
            <w:pPr>
              <w:jc w:val="right"/>
            </w:pPr>
            <w:r>
              <w:rPr>
                <w:rFonts w:eastAsiaTheme="minorEastAsia"/>
                <w:color w:val="000000" w:themeColor="text1"/>
                <w:szCs w:val="21"/>
              </w:rPr>
              <w:t>10</w:t>
            </w:r>
          </w:p>
        </w:tc>
        <w:tc>
          <w:tcPr>
            <w:tcW w:w="0" w:type="auto"/>
            <w:vAlign w:val="center"/>
          </w:tcPr>
          <w:p w:rsidR="00622BEC" w:rsidRDefault="00622BEC" w:rsidP="00622BEC">
            <w:pPr>
              <w:jc w:val="right"/>
            </w:pPr>
            <w:r>
              <w:rPr>
                <w:rFonts w:eastAsiaTheme="minorEastAsia"/>
                <w:color w:val="000000" w:themeColor="text1"/>
                <w:szCs w:val="21"/>
              </w:rPr>
              <w:t>银行类机构</w:t>
            </w:r>
          </w:p>
        </w:tc>
        <w:tc>
          <w:tcPr>
            <w:tcW w:w="0" w:type="auto"/>
            <w:vAlign w:val="center"/>
          </w:tcPr>
          <w:p w:rsidR="00622BEC" w:rsidRDefault="00622BEC" w:rsidP="00622BEC">
            <w:pPr>
              <w:jc w:val="right"/>
            </w:pPr>
            <w:r>
              <w:rPr>
                <w:rFonts w:eastAsiaTheme="minorEastAsia"/>
                <w:color w:val="000000" w:themeColor="text1"/>
                <w:szCs w:val="21"/>
              </w:rPr>
              <w:t>700,833,152.50</w:t>
            </w:r>
          </w:p>
        </w:tc>
        <w:tc>
          <w:tcPr>
            <w:tcW w:w="0" w:type="auto"/>
            <w:vAlign w:val="center"/>
          </w:tcPr>
          <w:p w:rsidR="00622BEC" w:rsidRDefault="00622BEC" w:rsidP="00622BEC">
            <w:pPr>
              <w:jc w:val="right"/>
            </w:pPr>
            <w:r>
              <w:rPr>
                <w:rFonts w:eastAsiaTheme="minorEastAsia"/>
                <w:color w:val="000000" w:themeColor="text1"/>
                <w:szCs w:val="21"/>
              </w:rPr>
              <w:t>2.98%</w:t>
            </w:r>
          </w:p>
        </w:tc>
      </w:tr>
    </w:tbl>
    <w:p w:rsidR="00622BEC" w:rsidRDefault="00622BEC" w:rsidP="00EF370A">
      <w:pPr>
        <w:autoSpaceDE w:val="0"/>
        <w:autoSpaceDN w:val="0"/>
        <w:adjustRightInd w:val="0"/>
        <w:spacing w:before="29" w:line="288" w:lineRule="auto"/>
        <w:rPr>
          <w:sz w:val="24"/>
        </w:rPr>
      </w:pPr>
    </w:p>
    <w:p w:rsidR="00622BEC" w:rsidRDefault="00622BEC" w:rsidP="00EF370A">
      <w:pPr>
        <w:pStyle w:val="20"/>
        <w:spacing w:before="29" w:after="0" w:line="288" w:lineRule="auto"/>
        <w:rPr>
          <w:rFonts w:asciiTheme="minorEastAsia" w:eastAsiaTheme="minorEastAsia" w:hAnsiTheme="minorEastAsia"/>
          <w:szCs w:val="21"/>
        </w:rPr>
      </w:pPr>
      <w:bookmarkStart w:id="31" w:name="_Toc509581510"/>
      <w:r w:rsidRPr="00734D45">
        <w:rPr>
          <w:rFonts w:ascii="Times New Roman" w:hAnsi="Times New Roman" w:cs="Times New Roman" w:hint="eastAsia"/>
          <w:kern w:val="0"/>
          <w:szCs w:val="24"/>
        </w:rPr>
        <w:t>9.3</w:t>
      </w:r>
      <w:r w:rsidRPr="00FB19E8">
        <w:rPr>
          <w:rFonts w:ascii="Times New Roman" w:hAnsi="Times New Roman" w:cs="Times New Roman" w:hint="eastAsia"/>
          <w:kern w:val="0"/>
          <w:szCs w:val="24"/>
        </w:rPr>
        <w:t>期末基金管理人的从业人员持有本基金的情况</w:t>
      </w:r>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622BEC" w:rsidRPr="00D564C7" w:rsidTr="00EF370A">
        <w:trPr>
          <w:trHeight w:val="285"/>
        </w:trPr>
        <w:tc>
          <w:tcPr>
            <w:tcW w:w="2268" w:type="dxa"/>
            <w:noWrap/>
            <w:vAlign w:val="center"/>
          </w:tcPr>
          <w:p w:rsidR="00622BEC" w:rsidRPr="00640CFF" w:rsidRDefault="00622BEC" w:rsidP="00622BE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622BEC" w:rsidRPr="00640CFF" w:rsidRDefault="00622BEC" w:rsidP="00622BE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622BEC" w:rsidRPr="00640CFF" w:rsidRDefault="00622BEC" w:rsidP="00622BE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622BEC" w:rsidRPr="00640CFF" w:rsidRDefault="00622BEC" w:rsidP="00622BE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622BEC" w:rsidRPr="00D564C7" w:rsidTr="00EF370A">
        <w:trPr>
          <w:trHeight w:val="285"/>
        </w:trPr>
        <w:tc>
          <w:tcPr>
            <w:tcW w:w="2268" w:type="dxa"/>
            <w:vMerge w:val="restart"/>
            <w:noWrap/>
            <w:vAlign w:val="center"/>
          </w:tcPr>
          <w:p w:rsidR="00622BEC" w:rsidRPr="00D0515B" w:rsidRDefault="00622BEC" w:rsidP="00622BEC">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622BEC" w:rsidRPr="00BF1B19" w:rsidRDefault="00622BEC" w:rsidP="00622BEC">
            <w:pPr>
              <w:spacing w:before="29" w:line="288" w:lineRule="auto"/>
              <w:rPr>
                <w:sz w:val="24"/>
              </w:rPr>
            </w:pPr>
            <w:r w:rsidRPr="00BF1B19">
              <w:rPr>
                <w:rFonts w:hint="eastAsia"/>
                <w:sz w:val="24"/>
              </w:rPr>
              <w:t>交银天</w:t>
            </w:r>
            <w:proofErr w:type="gramStart"/>
            <w:r w:rsidRPr="00BF1B19">
              <w:rPr>
                <w:rFonts w:hint="eastAsia"/>
                <w:sz w:val="24"/>
              </w:rPr>
              <w:t>鑫宝货币</w:t>
            </w:r>
            <w:proofErr w:type="gramEnd"/>
            <w:r w:rsidRPr="00BF1B19">
              <w:rPr>
                <w:rFonts w:hint="eastAsia"/>
                <w:sz w:val="24"/>
              </w:rPr>
              <w:t>A</w:t>
            </w:r>
          </w:p>
        </w:tc>
        <w:tc>
          <w:tcPr>
            <w:tcW w:w="2126" w:type="dxa"/>
            <w:noWrap/>
            <w:vAlign w:val="center"/>
          </w:tcPr>
          <w:p w:rsidR="00622BEC" w:rsidRPr="00BF1B19" w:rsidRDefault="00622BEC" w:rsidP="00622BEC">
            <w:pPr>
              <w:widowControl/>
              <w:spacing w:before="29" w:line="288" w:lineRule="auto"/>
              <w:jc w:val="right"/>
              <w:rPr>
                <w:sz w:val="24"/>
              </w:rPr>
            </w:pPr>
            <w:r w:rsidRPr="00BF1B19">
              <w:rPr>
                <w:rFonts w:hint="eastAsia"/>
                <w:sz w:val="24"/>
              </w:rPr>
              <w:t>42,444.51</w:t>
            </w:r>
          </w:p>
        </w:tc>
        <w:tc>
          <w:tcPr>
            <w:tcW w:w="1910" w:type="dxa"/>
            <w:noWrap/>
            <w:vAlign w:val="center"/>
          </w:tcPr>
          <w:p w:rsidR="00622BEC" w:rsidRPr="00BF1B19" w:rsidRDefault="00622BEC" w:rsidP="00622BEC">
            <w:pPr>
              <w:widowControl/>
              <w:spacing w:before="29" w:line="288" w:lineRule="auto"/>
              <w:jc w:val="right"/>
              <w:rPr>
                <w:sz w:val="24"/>
              </w:rPr>
            </w:pPr>
            <w:r w:rsidRPr="00BF1B19">
              <w:rPr>
                <w:rFonts w:hint="eastAsia"/>
                <w:sz w:val="24"/>
              </w:rPr>
              <w:t>0.04%</w:t>
            </w:r>
          </w:p>
        </w:tc>
      </w:tr>
      <w:tr w:rsidR="00622BEC" w:rsidRPr="00D564C7" w:rsidTr="00EF370A">
        <w:trPr>
          <w:trHeight w:val="285"/>
        </w:trPr>
        <w:tc>
          <w:tcPr>
            <w:tcW w:w="2268" w:type="dxa"/>
            <w:vMerge/>
            <w:vAlign w:val="center"/>
          </w:tcPr>
          <w:p w:rsidR="00622BEC" w:rsidRPr="00D564C7" w:rsidRDefault="00622BEC" w:rsidP="00622BEC">
            <w:pPr>
              <w:widowControl/>
              <w:spacing w:line="360" w:lineRule="auto"/>
              <w:jc w:val="left"/>
              <w:rPr>
                <w:rFonts w:asciiTheme="minorEastAsia" w:eastAsiaTheme="minorEastAsia" w:hAnsiTheme="minorEastAsia"/>
                <w:color w:val="000000"/>
                <w:szCs w:val="21"/>
              </w:rPr>
            </w:pPr>
          </w:p>
        </w:tc>
        <w:tc>
          <w:tcPr>
            <w:tcW w:w="2694" w:type="dxa"/>
            <w:vAlign w:val="center"/>
          </w:tcPr>
          <w:p w:rsidR="00622BEC" w:rsidRPr="006E3F38" w:rsidRDefault="00622BEC" w:rsidP="00622BEC">
            <w:pPr>
              <w:spacing w:before="29" w:line="288" w:lineRule="auto"/>
              <w:rPr>
                <w:color w:val="000000"/>
                <w:kern w:val="0"/>
                <w:sz w:val="24"/>
              </w:rPr>
            </w:pPr>
            <w:r>
              <w:rPr>
                <w:rFonts w:hint="eastAsia"/>
                <w:sz w:val="24"/>
              </w:rPr>
              <w:t>交银天</w:t>
            </w:r>
            <w:proofErr w:type="gramStart"/>
            <w:r>
              <w:rPr>
                <w:rFonts w:hint="eastAsia"/>
                <w:sz w:val="24"/>
              </w:rPr>
              <w:t>鑫宝货币</w:t>
            </w:r>
            <w:proofErr w:type="gramEnd"/>
            <w:r>
              <w:rPr>
                <w:rFonts w:hint="eastAsia"/>
                <w:sz w:val="24"/>
              </w:rPr>
              <w:t>E</w:t>
            </w:r>
          </w:p>
        </w:tc>
        <w:tc>
          <w:tcPr>
            <w:tcW w:w="2126" w:type="dxa"/>
            <w:noWrap/>
            <w:vAlign w:val="center"/>
          </w:tcPr>
          <w:p w:rsidR="00622BEC" w:rsidRPr="006E3F38" w:rsidRDefault="00622BEC" w:rsidP="00622BEC">
            <w:pPr>
              <w:widowControl/>
              <w:spacing w:before="29" w:line="288" w:lineRule="auto"/>
              <w:jc w:val="right"/>
              <w:rPr>
                <w:color w:val="000000"/>
                <w:kern w:val="0"/>
                <w:sz w:val="24"/>
              </w:rPr>
            </w:pPr>
            <w:r>
              <w:rPr>
                <w:rFonts w:hint="eastAsia"/>
                <w:sz w:val="24"/>
              </w:rPr>
              <w:t>-</w:t>
            </w:r>
          </w:p>
        </w:tc>
        <w:tc>
          <w:tcPr>
            <w:tcW w:w="1910" w:type="dxa"/>
            <w:noWrap/>
            <w:vAlign w:val="center"/>
          </w:tcPr>
          <w:p w:rsidR="00622BEC" w:rsidRPr="006E3F38" w:rsidRDefault="00622BEC" w:rsidP="00622BEC">
            <w:pPr>
              <w:widowControl/>
              <w:spacing w:before="29" w:line="288" w:lineRule="auto"/>
              <w:jc w:val="right"/>
              <w:rPr>
                <w:color w:val="000000"/>
                <w:kern w:val="0"/>
                <w:sz w:val="24"/>
              </w:rPr>
            </w:pPr>
            <w:r>
              <w:rPr>
                <w:rFonts w:hint="eastAsia"/>
                <w:sz w:val="24"/>
              </w:rPr>
              <w:t>-</w:t>
            </w:r>
          </w:p>
        </w:tc>
      </w:tr>
      <w:tr w:rsidR="00622BEC" w:rsidRPr="00D564C7" w:rsidTr="00EF370A">
        <w:trPr>
          <w:trHeight w:val="285"/>
        </w:trPr>
        <w:tc>
          <w:tcPr>
            <w:tcW w:w="2268" w:type="dxa"/>
            <w:vMerge/>
            <w:vAlign w:val="center"/>
          </w:tcPr>
          <w:p w:rsidR="00622BEC" w:rsidRPr="00D564C7" w:rsidRDefault="00622BEC" w:rsidP="00622BEC">
            <w:pPr>
              <w:widowControl/>
              <w:spacing w:line="360" w:lineRule="auto"/>
              <w:jc w:val="left"/>
              <w:rPr>
                <w:rFonts w:asciiTheme="minorEastAsia" w:eastAsiaTheme="minorEastAsia" w:hAnsiTheme="minorEastAsia"/>
                <w:color w:val="000000"/>
                <w:szCs w:val="21"/>
              </w:rPr>
            </w:pPr>
          </w:p>
        </w:tc>
        <w:tc>
          <w:tcPr>
            <w:tcW w:w="2694" w:type="dxa"/>
            <w:vAlign w:val="center"/>
          </w:tcPr>
          <w:p w:rsidR="00622BEC" w:rsidRPr="006E3F38" w:rsidRDefault="00622BEC" w:rsidP="00622BEC">
            <w:pPr>
              <w:spacing w:before="29" w:line="288" w:lineRule="auto"/>
              <w:jc w:val="center"/>
              <w:rPr>
                <w:color w:val="000000"/>
                <w:kern w:val="0"/>
                <w:sz w:val="24"/>
              </w:rPr>
            </w:pPr>
            <w:r w:rsidRPr="00BF1B19">
              <w:rPr>
                <w:rFonts w:hint="eastAsia"/>
                <w:sz w:val="24"/>
              </w:rPr>
              <w:t>合计</w:t>
            </w:r>
          </w:p>
        </w:tc>
        <w:tc>
          <w:tcPr>
            <w:tcW w:w="2126" w:type="dxa"/>
            <w:noWrap/>
            <w:vAlign w:val="center"/>
          </w:tcPr>
          <w:p w:rsidR="00622BEC" w:rsidRPr="006E3F38" w:rsidRDefault="00622BEC" w:rsidP="00622BEC">
            <w:pPr>
              <w:spacing w:before="29" w:line="288" w:lineRule="auto"/>
              <w:jc w:val="right"/>
              <w:rPr>
                <w:color w:val="000000"/>
                <w:kern w:val="0"/>
                <w:sz w:val="24"/>
              </w:rPr>
            </w:pPr>
            <w:r w:rsidRPr="00BF1B19">
              <w:rPr>
                <w:rFonts w:hint="eastAsia"/>
                <w:sz w:val="24"/>
              </w:rPr>
              <w:t>42,444.51</w:t>
            </w:r>
          </w:p>
        </w:tc>
        <w:tc>
          <w:tcPr>
            <w:tcW w:w="1910" w:type="dxa"/>
            <w:noWrap/>
            <w:vAlign w:val="center"/>
          </w:tcPr>
          <w:p w:rsidR="00622BEC" w:rsidRPr="006E3F38" w:rsidRDefault="00622BEC" w:rsidP="00622BEC">
            <w:pPr>
              <w:spacing w:before="29" w:line="288" w:lineRule="auto"/>
              <w:jc w:val="right"/>
              <w:rPr>
                <w:color w:val="000000"/>
                <w:kern w:val="0"/>
                <w:sz w:val="24"/>
              </w:rPr>
            </w:pPr>
            <w:r w:rsidRPr="00BF1B19">
              <w:rPr>
                <w:rFonts w:hint="eastAsia"/>
                <w:sz w:val="24"/>
              </w:rPr>
              <w:t>0.00%</w:t>
            </w:r>
          </w:p>
        </w:tc>
      </w:tr>
    </w:tbl>
    <w:p w:rsidR="00622BEC" w:rsidRPr="00F02139" w:rsidRDefault="00622BEC" w:rsidP="00EF370A">
      <w:pPr>
        <w:spacing w:line="360" w:lineRule="auto"/>
        <w:rPr>
          <w:rFonts w:asciiTheme="minorEastAsia" w:eastAsiaTheme="minorEastAsia" w:hAnsiTheme="minorEastAsia"/>
          <w:szCs w:val="21"/>
        </w:rPr>
      </w:pPr>
    </w:p>
    <w:p w:rsidR="00622BEC" w:rsidRPr="00FB19E8" w:rsidRDefault="00622BEC" w:rsidP="00622BEC">
      <w:pPr>
        <w:pStyle w:val="20"/>
        <w:spacing w:before="29" w:after="0" w:line="288" w:lineRule="auto"/>
        <w:rPr>
          <w:rFonts w:ascii="Times New Roman" w:hAnsi="Times New Roman" w:cs="Times New Roman"/>
          <w:kern w:val="0"/>
          <w:szCs w:val="24"/>
        </w:rPr>
      </w:pPr>
      <w:bookmarkStart w:id="32" w:name="_Toc509581511"/>
      <w:r w:rsidRPr="00FB19E8">
        <w:rPr>
          <w:rFonts w:ascii="Times New Roman" w:hAnsi="Times New Roman" w:cs="Times New Roman"/>
          <w:kern w:val="0"/>
          <w:szCs w:val="24"/>
        </w:rPr>
        <w:t>9.</w:t>
      </w:r>
      <w:r w:rsidRPr="001A68B1">
        <w:rPr>
          <w:rFonts w:ascii="Times New Roman" w:hAnsi="Times New Roman" w:cs="Times New Roman"/>
          <w:kern w:val="0"/>
          <w:szCs w:val="24"/>
        </w:rPr>
        <w:t>4</w:t>
      </w:r>
      <w:r w:rsidRPr="00FB19E8">
        <w:rPr>
          <w:rFonts w:ascii="Times New Roman" w:hAnsi="Times New Roman" w:cs="Times New Roman" w:hint="eastAsia"/>
          <w:kern w:val="0"/>
          <w:szCs w:val="24"/>
        </w:rPr>
        <w:t>期末基金管理人的从业人员持有本开放式基金份额总量区间的情况</w:t>
      </w:r>
      <w:bookmarkEnd w:id="3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w:t>
            </w:r>
            <w:proofErr w:type="gramStart"/>
            <w:r w:rsidRPr="005B286F">
              <w:rPr>
                <w:rFonts w:hint="eastAsia"/>
                <w:sz w:val="24"/>
              </w:rPr>
              <w:t>鑫宝货币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w:t>
            </w:r>
            <w:proofErr w:type="gramStart"/>
            <w:r w:rsidRPr="005B286F">
              <w:rPr>
                <w:rFonts w:hint="eastAsia"/>
                <w:sz w:val="24"/>
              </w:rPr>
              <w:t>鑫宝货币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w:t>
            </w:r>
            <w:proofErr w:type="gramStart"/>
            <w:r w:rsidRPr="004F0CC7">
              <w:rPr>
                <w:rFonts w:hint="eastAsia"/>
                <w:sz w:val="24"/>
              </w:rPr>
              <w:t>基金基金</w:t>
            </w:r>
            <w:proofErr w:type="gramEnd"/>
            <w:r w:rsidRPr="004F0CC7">
              <w:rPr>
                <w:rFonts w:hint="eastAsia"/>
                <w:sz w:val="24"/>
              </w:rPr>
              <w:t>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w:t>
            </w:r>
            <w:proofErr w:type="gramStart"/>
            <w:r w:rsidRPr="005B286F">
              <w:rPr>
                <w:rFonts w:hint="eastAsia"/>
                <w:sz w:val="24"/>
              </w:rPr>
              <w:t>鑫宝货币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w:t>
            </w:r>
            <w:proofErr w:type="gramStart"/>
            <w:r w:rsidRPr="005B286F">
              <w:rPr>
                <w:rFonts w:hint="eastAsia"/>
                <w:sz w:val="24"/>
              </w:rPr>
              <w:t>鑫宝货币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3"/>
      <w:bookmarkEnd w:id="34"/>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w:t>
            </w:r>
            <w:proofErr w:type="gramStart"/>
            <w:r w:rsidRPr="0031518D">
              <w:rPr>
                <w:rFonts w:hint="eastAsia"/>
                <w:sz w:val="24"/>
              </w:rPr>
              <w:t>鑫宝货币</w:t>
            </w:r>
            <w:proofErr w:type="gramEnd"/>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w:t>
            </w:r>
            <w:proofErr w:type="gramStart"/>
            <w:r>
              <w:rPr>
                <w:rFonts w:hint="eastAsia"/>
                <w:sz w:val="24"/>
              </w:rPr>
              <w:t>鑫宝货币</w:t>
            </w:r>
            <w:proofErr w:type="gramEnd"/>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w:t>
            </w:r>
            <w:proofErr w:type="gramStart"/>
            <w:r w:rsidR="00D03082" w:rsidRPr="0031518D">
              <w:rPr>
                <w:rFonts w:hint="eastAsia"/>
                <w:sz w:val="24"/>
              </w:rPr>
              <w:t>初基金</w:t>
            </w:r>
            <w:proofErr w:type="gramEnd"/>
            <w:r w:rsidR="00D03082" w:rsidRPr="0031518D">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230,120.24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200,444,301.68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717,662,536.30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39,296,512,137.09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w:t>
            </w:r>
            <w:proofErr w:type="gramStart"/>
            <w:r w:rsidR="00FF7A31" w:rsidRPr="0031518D">
              <w:rPr>
                <w:sz w:val="24"/>
              </w:rPr>
              <w:t>期</w:t>
            </w:r>
            <w:r w:rsidRPr="0031518D">
              <w:rPr>
                <w:rFonts w:hint="eastAsia"/>
                <w:sz w:val="24"/>
              </w:rPr>
              <w:t>基金</w:t>
            </w:r>
            <w:proofErr w:type="gramEnd"/>
            <w:r w:rsidRPr="0031518D">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623,175,730.24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16,046,221,564.62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94,716,926.30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23,450,734,874.15</w:t>
            </w:r>
          </w:p>
        </w:tc>
      </w:tr>
    </w:tbl>
    <w:p w:rsidR="00990C7B" w:rsidRDefault="000C485A">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D03082" w:rsidRDefault="00D03082" w:rsidP="005124D4">
      <w:pPr>
        <w:spacing w:before="29" w:line="288" w:lineRule="auto"/>
        <w:jc w:val="left"/>
        <w:rPr>
          <w:kern w:val="0"/>
          <w:sz w:val="24"/>
        </w:rPr>
      </w:pPr>
      <w:r w:rsidRPr="005124D4">
        <w:rPr>
          <w:rFonts w:hint="eastAsia"/>
          <w:kern w:val="0"/>
          <w:sz w:val="24"/>
        </w:rPr>
        <w:lastRenderedPageBreak/>
        <w:t>2</w:t>
      </w:r>
      <w:r w:rsidRPr="005124D4">
        <w:rPr>
          <w:rFonts w:hint="eastAsia"/>
          <w:kern w:val="0"/>
          <w:sz w:val="24"/>
        </w:rPr>
        <w:t>、如果本报告期间发生转换出、份额级别调整业务，则总赎回份额中包含该业务。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5"/>
      <w:bookmarkEnd w:id="36"/>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7"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7"/>
    </w:p>
    <w:p w:rsidR="006D141C" w:rsidRDefault="006D141C" w:rsidP="0081565E">
      <w:pPr>
        <w:spacing w:before="29" w:line="288" w:lineRule="auto"/>
        <w:ind w:firstLineChars="200" w:firstLine="480"/>
        <w:rPr>
          <w:color w:val="000000"/>
          <w:sz w:val="24"/>
        </w:rPr>
      </w:pPr>
      <w:bookmarkStart w:id="38"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8"/>
    </w:p>
    <w:p w:rsidR="00990C7B" w:rsidRDefault="000C485A">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9"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9"/>
    </w:p>
    <w:p w:rsidR="006D141C" w:rsidRDefault="006D141C" w:rsidP="0081565E">
      <w:pPr>
        <w:spacing w:before="29" w:line="288" w:lineRule="auto"/>
        <w:ind w:firstLineChars="200" w:firstLine="480"/>
        <w:rPr>
          <w:color w:val="000000"/>
          <w:sz w:val="24"/>
        </w:rPr>
      </w:pPr>
      <w:bookmarkStart w:id="40"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40"/>
    </w:p>
    <w:p w:rsidR="006D141C" w:rsidRDefault="006D141C" w:rsidP="0081565E">
      <w:pPr>
        <w:spacing w:before="29" w:line="288" w:lineRule="auto"/>
        <w:ind w:firstLineChars="200" w:firstLine="480"/>
        <w:rPr>
          <w:color w:val="000000"/>
          <w:sz w:val="24"/>
        </w:rPr>
      </w:pPr>
      <w:bookmarkStart w:id="41"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1"/>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2" w:name="OLE_LINK3"/>
      <w:bookmarkStart w:id="43"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100,000</w:t>
      </w:r>
      <w:r w:rsidRPr="0081565E">
        <w:rPr>
          <w:rFonts w:hint="eastAsia"/>
          <w:color w:val="000000"/>
          <w:sz w:val="24"/>
        </w:rPr>
        <w:t>元，自本</w:t>
      </w:r>
      <w:proofErr w:type="gramStart"/>
      <w:r w:rsidRPr="0081565E">
        <w:rPr>
          <w:rFonts w:hint="eastAsia"/>
          <w:color w:val="000000"/>
          <w:sz w:val="24"/>
        </w:rPr>
        <w:t>基金基金</w:t>
      </w:r>
      <w:proofErr w:type="gramEnd"/>
      <w:r w:rsidRPr="0081565E">
        <w:rPr>
          <w:rFonts w:hint="eastAsia"/>
          <w:color w:val="000000"/>
          <w:sz w:val="24"/>
        </w:rPr>
        <w:t>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2"/>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3"/>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990C7B" w:rsidRDefault="000C485A">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90C7B" w:rsidRDefault="000C485A">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4" w:name="_Toc331410123"/>
      <w:r w:rsidRPr="0081565E">
        <w:rPr>
          <w:rFonts w:hint="eastAsia"/>
          <w:color w:val="000000"/>
          <w:sz w:val="24"/>
        </w:rPr>
        <w:t>本报告期内本基金托管人及其相关高级管理人员未受到任何稽查或处罚。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4"/>
    </w:p>
    <w:p w:rsidR="006D141C" w:rsidRPr="00FB19E8" w:rsidRDefault="00EE1CF9" w:rsidP="00FB19E8">
      <w:pPr>
        <w:pStyle w:val="20"/>
        <w:spacing w:before="29" w:after="0" w:line="288" w:lineRule="auto"/>
        <w:rPr>
          <w:rFonts w:ascii="Times New Roman" w:hAnsi="Times New Roman" w:cs="Times New Roman"/>
          <w:kern w:val="0"/>
          <w:szCs w:val="24"/>
        </w:rPr>
      </w:pPr>
      <w:bookmarkStart w:id="45"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5"/>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6"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990C7B">
        <w:tc>
          <w:tcPr>
            <w:tcW w:w="1286" w:type="dxa"/>
            <w:vAlign w:val="center"/>
          </w:tcPr>
          <w:p w:rsidR="00990C7B" w:rsidRDefault="000C485A">
            <w:pPr>
              <w:jc w:val="center"/>
            </w:pPr>
            <w:r>
              <w:rPr>
                <w:rFonts w:hint="eastAsia"/>
                <w:szCs w:val="21"/>
              </w:rPr>
              <w:t>长江证券股份有限公司</w:t>
            </w:r>
          </w:p>
        </w:tc>
        <w:tc>
          <w:tcPr>
            <w:tcW w:w="1286" w:type="dxa"/>
            <w:vAlign w:val="center"/>
          </w:tcPr>
          <w:p w:rsidR="00990C7B" w:rsidRDefault="000C485A">
            <w:pPr>
              <w:jc w:val="right"/>
            </w:pPr>
            <w:r>
              <w:rPr>
                <w:rFonts w:hint="eastAsia"/>
                <w:szCs w:val="21"/>
              </w:rPr>
              <w:t>2</w:t>
            </w:r>
          </w:p>
        </w:tc>
        <w:tc>
          <w:tcPr>
            <w:tcW w:w="1286" w:type="dxa"/>
            <w:vAlign w:val="center"/>
          </w:tcPr>
          <w:p w:rsidR="00990C7B" w:rsidRDefault="000C485A">
            <w:pPr>
              <w:jc w:val="right"/>
            </w:pPr>
            <w:r>
              <w:rPr>
                <w:rFonts w:hint="eastAsia"/>
                <w:szCs w:val="21"/>
              </w:rPr>
              <w:t>-</w:t>
            </w:r>
          </w:p>
        </w:tc>
        <w:tc>
          <w:tcPr>
            <w:tcW w:w="1285" w:type="dxa"/>
            <w:vAlign w:val="center"/>
          </w:tcPr>
          <w:p w:rsidR="00990C7B" w:rsidRDefault="000C485A">
            <w:pPr>
              <w:jc w:val="right"/>
            </w:pPr>
            <w:r>
              <w:rPr>
                <w:rFonts w:hint="eastAsia"/>
                <w:szCs w:val="21"/>
              </w:rPr>
              <w:t>-</w:t>
            </w:r>
          </w:p>
        </w:tc>
        <w:tc>
          <w:tcPr>
            <w:tcW w:w="1285" w:type="dxa"/>
            <w:vAlign w:val="center"/>
          </w:tcPr>
          <w:p w:rsidR="00990C7B" w:rsidRDefault="000C485A">
            <w:pPr>
              <w:jc w:val="right"/>
            </w:pPr>
            <w:r>
              <w:rPr>
                <w:rFonts w:hint="eastAsia"/>
                <w:szCs w:val="21"/>
              </w:rPr>
              <w:t>-</w:t>
            </w:r>
          </w:p>
        </w:tc>
        <w:tc>
          <w:tcPr>
            <w:tcW w:w="1285" w:type="dxa"/>
            <w:vAlign w:val="center"/>
          </w:tcPr>
          <w:p w:rsidR="00990C7B" w:rsidRDefault="000C485A">
            <w:pPr>
              <w:jc w:val="right"/>
            </w:pPr>
            <w:r>
              <w:rPr>
                <w:rFonts w:hint="eastAsia"/>
                <w:szCs w:val="21"/>
              </w:rPr>
              <w:t>-</w:t>
            </w:r>
          </w:p>
        </w:tc>
        <w:tc>
          <w:tcPr>
            <w:tcW w:w="1285" w:type="dxa"/>
            <w:vAlign w:val="center"/>
          </w:tcPr>
          <w:p w:rsidR="00990C7B" w:rsidRDefault="000C485A">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6"/>
    </w:p>
    <w:p w:rsidR="006D141C" w:rsidRPr="006A1080" w:rsidRDefault="00644AB5" w:rsidP="006A1080">
      <w:pPr>
        <w:spacing w:before="29" w:line="288" w:lineRule="auto"/>
        <w:ind w:right="105"/>
        <w:jc w:val="right"/>
        <w:rPr>
          <w:color w:val="000000"/>
          <w:sz w:val="24"/>
        </w:rPr>
      </w:pPr>
      <w:bookmarkStart w:id="47" w:name="_Toc249707408"/>
      <w:r w:rsidRPr="006A1080">
        <w:rPr>
          <w:rFonts w:hint="eastAsia"/>
          <w:color w:val="000000"/>
          <w:sz w:val="24"/>
        </w:rPr>
        <w:t>金额单位</w:t>
      </w:r>
      <w:r w:rsidR="006D141C" w:rsidRPr="006A1080">
        <w:rPr>
          <w:rFonts w:hint="eastAsia"/>
          <w:color w:val="000000"/>
          <w:sz w:val="24"/>
        </w:rPr>
        <w:t>：人民币元</w:t>
      </w:r>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w:t>
            </w:r>
            <w:proofErr w:type="gramStart"/>
            <w:r w:rsidRPr="00745B0B">
              <w:rPr>
                <w:rFonts w:hint="eastAsia"/>
                <w:szCs w:val="21"/>
              </w:rPr>
              <w:t>证成交</w:t>
            </w:r>
            <w:proofErr w:type="gramEnd"/>
            <w:r w:rsidRPr="00745B0B">
              <w:rPr>
                <w:rFonts w:hint="eastAsia"/>
                <w:szCs w:val="21"/>
              </w:rPr>
              <w:t>总额的比例</w:t>
            </w:r>
          </w:p>
        </w:tc>
      </w:tr>
      <w:tr w:rsidR="00990C7B">
        <w:tc>
          <w:tcPr>
            <w:tcW w:w="1286" w:type="dxa"/>
            <w:vAlign w:val="center"/>
          </w:tcPr>
          <w:p w:rsidR="00990C7B" w:rsidRDefault="000C485A">
            <w:pPr>
              <w:jc w:val="left"/>
            </w:pPr>
            <w:r>
              <w:rPr>
                <w:rFonts w:hint="eastAsia"/>
                <w:szCs w:val="21"/>
              </w:rPr>
              <w:t>长江证券股份有限公司</w:t>
            </w:r>
          </w:p>
        </w:tc>
        <w:tc>
          <w:tcPr>
            <w:tcW w:w="1286" w:type="dxa"/>
            <w:vAlign w:val="center"/>
          </w:tcPr>
          <w:p w:rsidR="00990C7B" w:rsidRDefault="000C485A">
            <w:pPr>
              <w:jc w:val="right"/>
            </w:pPr>
            <w:r>
              <w:rPr>
                <w:rFonts w:hint="eastAsia"/>
                <w:szCs w:val="21"/>
              </w:rPr>
              <w:t>-</w:t>
            </w:r>
          </w:p>
        </w:tc>
        <w:tc>
          <w:tcPr>
            <w:tcW w:w="1286" w:type="dxa"/>
            <w:vAlign w:val="center"/>
          </w:tcPr>
          <w:p w:rsidR="00990C7B" w:rsidRDefault="000C485A">
            <w:pPr>
              <w:jc w:val="right"/>
            </w:pPr>
            <w:r>
              <w:rPr>
                <w:rFonts w:hint="eastAsia"/>
                <w:szCs w:val="21"/>
              </w:rPr>
              <w:t>-</w:t>
            </w:r>
          </w:p>
        </w:tc>
        <w:tc>
          <w:tcPr>
            <w:tcW w:w="1285" w:type="dxa"/>
            <w:vAlign w:val="center"/>
          </w:tcPr>
          <w:p w:rsidR="00990C7B" w:rsidRDefault="000C485A">
            <w:pPr>
              <w:jc w:val="right"/>
            </w:pPr>
            <w:r>
              <w:rPr>
                <w:rFonts w:hint="eastAsia"/>
                <w:szCs w:val="21"/>
              </w:rPr>
              <w:t>8,101,000,000.00</w:t>
            </w:r>
          </w:p>
        </w:tc>
        <w:tc>
          <w:tcPr>
            <w:tcW w:w="1285" w:type="dxa"/>
            <w:vAlign w:val="center"/>
          </w:tcPr>
          <w:p w:rsidR="00990C7B" w:rsidRDefault="000C485A">
            <w:pPr>
              <w:jc w:val="right"/>
            </w:pPr>
            <w:r>
              <w:rPr>
                <w:rFonts w:hint="eastAsia"/>
                <w:szCs w:val="21"/>
              </w:rPr>
              <w:t>100.00%</w:t>
            </w:r>
          </w:p>
        </w:tc>
        <w:tc>
          <w:tcPr>
            <w:tcW w:w="1285" w:type="dxa"/>
            <w:vAlign w:val="center"/>
          </w:tcPr>
          <w:p w:rsidR="00990C7B" w:rsidRDefault="000C485A">
            <w:pPr>
              <w:jc w:val="right"/>
            </w:pPr>
            <w:r>
              <w:rPr>
                <w:rFonts w:hint="eastAsia"/>
                <w:szCs w:val="21"/>
              </w:rPr>
              <w:t>-</w:t>
            </w:r>
          </w:p>
        </w:tc>
        <w:tc>
          <w:tcPr>
            <w:tcW w:w="1285" w:type="dxa"/>
            <w:vAlign w:val="center"/>
          </w:tcPr>
          <w:p w:rsidR="00990C7B" w:rsidRDefault="000C485A">
            <w:pPr>
              <w:jc w:val="right"/>
            </w:pPr>
            <w:r>
              <w:rPr>
                <w:rFonts w:hint="eastAsia"/>
                <w:szCs w:val="21"/>
              </w:rPr>
              <w:t>-</w:t>
            </w:r>
          </w:p>
        </w:tc>
      </w:tr>
    </w:tbl>
    <w:p w:rsidR="00990C7B" w:rsidRDefault="000C485A">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990C7B" w:rsidRDefault="000C485A">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CC1903" w:rsidRDefault="00254408" w:rsidP="00254408">
      <w:pPr>
        <w:pStyle w:val="1"/>
        <w:keepNext/>
        <w:keepLines/>
        <w:widowControl w:val="0"/>
        <w:spacing w:beforeLines="100" w:before="312" w:afterLines="100" w:after="312" w:line="360" w:lineRule="auto"/>
        <w:jc w:val="center"/>
        <w:rPr>
          <w:rFonts w:eastAsiaTheme="minorEastAsia"/>
          <w:b/>
          <w:bCs/>
          <w:szCs w:val="24"/>
          <w:lang w:val="en-US"/>
        </w:rPr>
      </w:pPr>
      <w:bookmarkStart w:id="48" w:name="_Toc374532345"/>
      <w:bookmarkStart w:id="49" w:name="_GoBack"/>
      <w:r w:rsidRPr="00CC1903">
        <w:rPr>
          <w:rFonts w:eastAsiaTheme="minorEastAsia"/>
          <w:b/>
          <w:bCs/>
          <w:szCs w:val="24"/>
          <w:lang w:val="en-US"/>
        </w:rPr>
        <w:t xml:space="preserve">12  </w:t>
      </w:r>
      <w:r w:rsidRPr="00CC1903">
        <w:rPr>
          <w:rFonts w:eastAsiaTheme="minorEastAsia"/>
          <w:b/>
          <w:bCs/>
          <w:szCs w:val="24"/>
          <w:lang w:val="en-US"/>
        </w:rPr>
        <w:t>影响投资者决策的其他重要信息</w:t>
      </w:r>
      <w:bookmarkEnd w:id="48"/>
    </w:p>
    <w:p w:rsidR="00254408" w:rsidRPr="00CC1903" w:rsidRDefault="00254408" w:rsidP="00254408">
      <w:pPr>
        <w:autoSpaceDE w:val="0"/>
        <w:autoSpaceDN w:val="0"/>
        <w:adjustRightInd w:val="0"/>
        <w:spacing w:line="360" w:lineRule="auto"/>
        <w:jc w:val="left"/>
        <w:rPr>
          <w:b/>
          <w:bCs/>
          <w:color w:val="000000"/>
          <w:kern w:val="0"/>
          <w:sz w:val="24"/>
        </w:rPr>
      </w:pPr>
      <w:r w:rsidRPr="00CC1903">
        <w:rPr>
          <w:b/>
          <w:bCs/>
          <w:color w:val="000000"/>
          <w:kern w:val="0"/>
          <w:sz w:val="24"/>
        </w:rPr>
        <w:t xml:space="preserve">12.1 </w:t>
      </w:r>
      <w:r w:rsidRPr="00CC1903">
        <w:rPr>
          <w:b/>
          <w:bCs/>
          <w:color w:val="000000"/>
          <w:kern w:val="0"/>
          <w:sz w:val="24"/>
        </w:rPr>
        <w:t>报告期内单一投资者持有基金份额比例达到或超过</w:t>
      </w:r>
      <w:r w:rsidRPr="00CC1903">
        <w:rPr>
          <w:b/>
          <w:bCs/>
          <w:color w:val="000000"/>
          <w:kern w:val="0"/>
          <w:sz w:val="24"/>
        </w:rPr>
        <w:t>20%</w:t>
      </w:r>
      <w:r w:rsidRPr="00CC1903">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CC1903" w:rsidTr="008F3A25">
        <w:tc>
          <w:tcPr>
            <w:tcW w:w="993" w:type="dxa"/>
            <w:vMerge w:val="restart"/>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投资者类别</w:t>
            </w:r>
            <w:r w:rsidRPr="00CC1903">
              <w:rPr>
                <w:color w:val="000000"/>
                <w:kern w:val="0"/>
                <w:sz w:val="24"/>
              </w:rPr>
              <w:t xml:space="preserve">  </w:t>
            </w:r>
          </w:p>
        </w:tc>
        <w:tc>
          <w:tcPr>
            <w:tcW w:w="5670" w:type="dxa"/>
            <w:gridSpan w:val="5"/>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报告期内持有基金份额变化情况</w:t>
            </w:r>
          </w:p>
        </w:tc>
        <w:tc>
          <w:tcPr>
            <w:tcW w:w="2549" w:type="dxa"/>
            <w:gridSpan w:val="2"/>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报告期末持有基金情况</w:t>
            </w:r>
          </w:p>
        </w:tc>
      </w:tr>
      <w:tr w:rsidR="00254408" w:rsidRPr="00CC1903" w:rsidTr="008F3A25">
        <w:tc>
          <w:tcPr>
            <w:tcW w:w="993" w:type="dxa"/>
            <w:vMerge/>
            <w:vAlign w:val="center"/>
          </w:tcPr>
          <w:p w:rsidR="00254408" w:rsidRPr="00CC1903" w:rsidRDefault="00254408" w:rsidP="008F3A25">
            <w:pPr>
              <w:autoSpaceDE w:val="0"/>
              <w:autoSpaceDN w:val="0"/>
              <w:adjustRightInd w:val="0"/>
              <w:jc w:val="center"/>
              <w:rPr>
                <w:b/>
                <w:bCs/>
                <w:color w:val="000000"/>
                <w:kern w:val="0"/>
                <w:sz w:val="24"/>
              </w:rPr>
            </w:pPr>
          </w:p>
        </w:tc>
        <w:tc>
          <w:tcPr>
            <w:tcW w:w="992" w:type="dxa"/>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序号</w:t>
            </w:r>
          </w:p>
        </w:tc>
        <w:tc>
          <w:tcPr>
            <w:tcW w:w="1843" w:type="dxa"/>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持有基金份额比例达到或者超过</w:t>
            </w:r>
            <w:r w:rsidRPr="00CC1903">
              <w:rPr>
                <w:color w:val="000000"/>
                <w:kern w:val="0"/>
                <w:sz w:val="24"/>
              </w:rPr>
              <w:t>20%</w:t>
            </w:r>
            <w:r w:rsidRPr="00CC1903">
              <w:rPr>
                <w:color w:val="000000"/>
                <w:kern w:val="0"/>
                <w:sz w:val="24"/>
              </w:rPr>
              <w:t>的时</w:t>
            </w:r>
            <w:r w:rsidRPr="00CC1903">
              <w:rPr>
                <w:color w:val="000000"/>
                <w:kern w:val="0"/>
                <w:sz w:val="24"/>
              </w:rPr>
              <w:lastRenderedPageBreak/>
              <w:t>间区间</w:t>
            </w:r>
          </w:p>
        </w:tc>
        <w:tc>
          <w:tcPr>
            <w:tcW w:w="851" w:type="dxa"/>
            <w:vAlign w:val="center"/>
          </w:tcPr>
          <w:p w:rsidR="00254408" w:rsidRPr="00CC1903" w:rsidRDefault="00254408" w:rsidP="008F3A25">
            <w:pPr>
              <w:widowControl/>
              <w:jc w:val="center"/>
              <w:rPr>
                <w:b/>
                <w:bCs/>
                <w:color w:val="000000"/>
                <w:kern w:val="0"/>
                <w:sz w:val="24"/>
              </w:rPr>
            </w:pPr>
            <w:r w:rsidRPr="00CC1903">
              <w:rPr>
                <w:color w:val="000000"/>
                <w:kern w:val="0"/>
                <w:sz w:val="24"/>
              </w:rPr>
              <w:lastRenderedPageBreak/>
              <w:t>期初份额</w:t>
            </w:r>
          </w:p>
        </w:tc>
        <w:tc>
          <w:tcPr>
            <w:tcW w:w="850" w:type="dxa"/>
            <w:vAlign w:val="center"/>
          </w:tcPr>
          <w:p w:rsidR="00254408" w:rsidRPr="00CC1903" w:rsidRDefault="00254408" w:rsidP="008F3A25">
            <w:pPr>
              <w:widowControl/>
              <w:jc w:val="center"/>
              <w:rPr>
                <w:b/>
                <w:bCs/>
                <w:color w:val="000000"/>
                <w:kern w:val="0"/>
                <w:sz w:val="24"/>
              </w:rPr>
            </w:pPr>
            <w:r w:rsidRPr="00CC1903">
              <w:rPr>
                <w:color w:val="000000"/>
                <w:kern w:val="0"/>
                <w:sz w:val="24"/>
              </w:rPr>
              <w:t>申购份额</w:t>
            </w:r>
          </w:p>
        </w:tc>
        <w:tc>
          <w:tcPr>
            <w:tcW w:w="1134" w:type="dxa"/>
            <w:vAlign w:val="center"/>
          </w:tcPr>
          <w:p w:rsidR="00254408" w:rsidRPr="00CC1903" w:rsidRDefault="00254408" w:rsidP="008F3A25">
            <w:pPr>
              <w:widowControl/>
              <w:jc w:val="center"/>
              <w:rPr>
                <w:b/>
                <w:bCs/>
                <w:color w:val="000000"/>
                <w:kern w:val="0"/>
                <w:sz w:val="24"/>
              </w:rPr>
            </w:pPr>
            <w:r w:rsidRPr="00CC1903">
              <w:rPr>
                <w:color w:val="000000"/>
                <w:kern w:val="0"/>
                <w:sz w:val="24"/>
              </w:rPr>
              <w:t>赎回份额</w:t>
            </w:r>
          </w:p>
        </w:tc>
        <w:tc>
          <w:tcPr>
            <w:tcW w:w="1419" w:type="dxa"/>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持有份额</w:t>
            </w:r>
          </w:p>
        </w:tc>
        <w:tc>
          <w:tcPr>
            <w:tcW w:w="1130" w:type="dxa"/>
            <w:vAlign w:val="center"/>
          </w:tcPr>
          <w:p w:rsidR="00254408" w:rsidRPr="00CC1903" w:rsidRDefault="00254408" w:rsidP="008F3A25">
            <w:pPr>
              <w:autoSpaceDE w:val="0"/>
              <w:autoSpaceDN w:val="0"/>
              <w:adjustRightInd w:val="0"/>
              <w:jc w:val="center"/>
              <w:rPr>
                <w:b/>
                <w:bCs/>
                <w:color w:val="000000"/>
                <w:kern w:val="0"/>
                <w:sz w:val="24"/>
              </w:rPr>
            </w:pPr>
            <w:r w:rsidRPr="00CC1903">
              <w:rPr>
                <w:color w:val="000000"/>
                <w:kern w:val="0"/>
                <w:sz w:val="24"/>
              </w:rPr>
              <w:t>份额占比</w:t>
            </w:r>
          </w:p>
        </w:tc>
      </w:tr>
      <w:tr w:rsidR="00990C7B" w:rsidRPr="00CC1903">
        <w:tc>
          <w:tcPr>
            <w:tcW w:w="993" w:type="dxa"/>
            <w:vMerge w:val="restart"/>
          </w:tcPr>
          <w:p w:rsidR="00990C7B" w:rsidRPr="00CC1903" w:rsidRDefault="00990C7B">
            <w:pPr>
              <w:rPr>
                <w:sz w:val="24"/>
              </w:rPr>
            </w:pPr>
          </w:p>
          <w:p w:rsidR="00990C7B" w:rsidRPr="00CC1903" w:rsidRDefault="000C485A">
            <w:pPr>
              <w:rPr>
                <w:sz w:val="24"/>
              </w:rPr>
            </w:pPr>
            <w:r w:rsidRPr="00CC1903">
              <w:rPr>
                <w:bCs/>
                <w:color w:val="000000"/>
                <w:kern w:val="0"/>
                <w:sz w:val="24"/>
              </w:rPr>
              <w:t>机构</w:t>
            </w:r>
          </w:p>
        </w:tc>
        <w:tc>
          <w:tcPr>
            <w:tcW w:w="992" w:type="dxa"/>
            <w:vAlign w:val="center"/>
          </w:tcPr>
          <w:p w:rsidR="00990C7B" w:rsidRPr="00CC1903" w:rsidRDefault="000C485A">
            <w:pPr>
              <w:jc w:val="center"/>
              <w:rPr>
                <w:sz w:val="24"/>
              </w:rPr>
            </w:pPr>
            <w:r w:rsidRPr="00CC1903">
              <w:rPr>
                <w:color w:val="000000"/>
                <w:kern w:val="0"/>
                <w:sz w:val="24"/>
              </w:rPr>
              <w:t>1</w:t>
            </w:r>
          </w:p>
        </w:tc>
        <w:tc>
          <w:tcPr>
            <w:tcW w:w="1843" w:type="dxa"/>
            <w:vAlign w:val="center"/>
          </w:tcPr>
          <w:p w:rsidR="00990C7B" w:rsidRPr="00CC1903" w:rsidRDefault="000C485A">
            <w:pPr>
              <w:jc w:val="center"/>
              <w:rPr>
                <w:sz w:val="24"/>
              </w:rPr>
            </w:pPr>
            <w:r w:rsidRPr="00CC1903">
              <w:rPr>
                <w:color w:val="000000"/>
                <w:kern w:val="0"/>
                <w:sz w:val="24"/>
              </w:rPr>
              <w:t>2017/1/1-2017/12/31</w:t>
            </w:r>
          </w:p>
        </w:tc>
        <w:tc>
          <w:tcPr>
            <w:tcW w:w="851" w:type="dxa"/>
            <w:vAlign w:val="center"/>
          </w:tcPr>
          <w:p w:rsidR="00990C7B" w:rsidRPr="00CC1903" w:rsidRDefault="000C485A">
            <w:pPr>
              <w:jc w:val="center"/>
              <w:rPr>
                <w:sz w:val="24"/>
              </w:rPr>
            </w:pPr>
            <w:r w:rsidRPr="00CC1903">
              <w:rPr>
                <w:color w:val="000000"/>
                <w:kern w:val="0"/>
                <w:sz w:val="24"/>
              </w:rPr>
              <w:t>-</w:t>
            </w:r>
          </w:p>
        </w:tc>
        <w:tc>
          <w:tcPr>
            <w:tcW w:w="850" w:type="dxa"/>
            <w:vAlign w:val="center"/>
          </w:tcPr>
          <w:p w:rsidR="00990C7B" w:rsidRPr="00CC1903" w:rsidRDefault="000C485A">
            <w:pPr>
              <w:jc w:val="center"/>
              <w:rPr>
                <w:sz w:val="24"/>
              </w:rPr>
            </w:pPr>
            <w:r w:rsidRPr="00CC1903">
              <w:rPr>
                <w:color w:val="000000"/>
                <w:kern w:val="0"/>
                <w:sz w:val="24"/>
              </w:rPr>
              <w:t>12,013,313,620.48</w:t>
            </w:r>
          </w:p>
        </w:tc>
        <w:tc>
          <w:tcPr>
            <w:tcW w:w="1134" w:type="dxa"/>
            <w:vAlign w:val="center"/>
          </w:tcPr>
          <w:p w:rsidR="00990C7B" w:rsidRPr="00CC1903" w:rsidRDefault="000C485A">
            <w:pPr>
              <w:jc w:val="center"/>
              <w:rPr>
                <w:sz w:val="24"/>
              </w:rPr>
            </w:pPr>
            <w:r w:rsidRPr="00CC1903">
              <w:rPr>
                <w:color w:val="000000"/>
                <w:kern w:val="0"/>
                <w:sz w:val="24"/>
              </w:rPr>
              <w:t>5,005,201,035.27</w:t>
            </w:r>
          </w:p>
        </w:tc>
        <w:tc>
          <w:tcPr>
            <w:tcW w:w="1419" w:type="dxa"/>
            <w:vAlign w:val="center"/>
          </w:tcPr>
          <w:p w:rsidR="00990C7B" w:rsidRPr="00CC1903" w:rsidRDefault="000C485A">
            <w:pPr>
              <w:jc w:val="center"/>
              <w:rPr>
                <w:sz w:val="24"/>
              </w:rPr>
            </w:pPr>
            <w:r w:rsidRPr="00CC1903">
              <w:rPr>
                <w:color w:val="000000"/>
                <w:kern w:val="0"/>
                <w:sz w:val="24"/>
              </w:rPr>
              <w:t>7,008,112,585.21</w:t>
            </w:r>
          </w:p>
        </w:tc>
        <w:tc>
          <w:tcPr>
            <w:tcW w:w="1130" w:type="dxa"/>
            <w:vAlign w:val="center"/>
          </w:tcPr>
          <w:p w:rsidR="00990C7B" w:rsidRPr="00CC1903" w:rsidRDefault="000C485A" w:rsidP="00E93855">
            <w:pPr>
              <w:jc w:val="center"/>
              <w:rPr>
                <w:sz w:val="24"/>
              </w:rPr>
            </w:pPr>
            <w:r w:rsidRPr="00CC1903">
              <w:rPr>
                <w:color w:val="000000"/>
                <w:kern w:val="0"/>
                <w:sz w:val="24"/>
              </w:rPr>
              <w:t>29.7</w:t>
            </w:r>
            <w:r w:rsidR="00E93855" w:rsidRPr="00CC1903">
              <w:rPr>
                <w:color w:val="000000"/>
                <w:kern w:val="0"/>
                <w:sz w:val="24"/>
              </w:rPr>
              <w:t>6</w:t>
            </w:r>
            <w:r w:rsidRPr="00CC1903">
              <w:rPr>
                <w:color w:val="000000"/>
                <w:kern w:val="0"/>
                <w:sz w:val="24"/>
              </w:rPr>
              <w:t>%</w:t>
            </w:r>
          </w:p>
        </w:tc>
      </w:tr>
      <w:tr w:rsidR="00990C7B" w:rsidRPr="00CC1903">
        <w:tc>
          <w:tcPr>
            <w:tcW w:w="993" w:type="dxa"/>
            <w:vMerge/>
          </w:tcPr>
          <w:p w:rsidR="00990C7B" w:rsidRPr="00CC1903" w:rsidRDefault="00990C7B">
            <w:pPr>
              <w:rPr>
                <w:sz w:val="24"/>
              </w:rPr>
            </w:pPr>
          </w:p>
        </w:tc>
        <w:tc>
          <w:tcPr>
            <w:tcW w:w="992" w:type="dxa"/>
            <w:vAlign w:val="center"/>
          </w:tcPr>
          <w:p w:rsidR="00990C7B" w:rsidRPr="00CC1903" w:rsidRDefault="000C485A">
            <w:pPr>
              <w:jc w:val="center"/>
              <w:rPr>
                <w:sz w:val="24"/>
              </w:rPr>
            </w:pPr>
            <w:r w:rsidRPr="00CC1903">
              <w:rPr>
                <w:color w:val="000000"/>
                <w:kern w:val="0"/>
                <w:sz w:val="24"/>
              </w:rPr>
              <w:t>2</w:t>
            </w:r>
          </w:p>
        </w:tc>
        <w:tc>
          <w:tcPr>
            <w:tcW w:w="1843" w:type="dxa"/>
            <w:vAlign w:val="center"/>
          </w:tcPr>
          <w:p w:rsidR="00990C7B" w:rsidRPr="00CC1903" w:rsidRDefault="000C485A">
            <w:pPr>
              <w:jc w:val="center"/>
              <w:rPr>
                <w:sz w:val="24"/>
              </w:rPr>
            </w:pPr>
            <w:r w:rsidRPr="00CC1903">
              <w:rPr>
                <w:color w:val="000000"/>
                <w:kern w:val="0"/>
                <w:sz w:val="24"/>
              </w:rPr>
              <w:t>2017/1/1-2017/12/31</w:t>
            </w:r>
          </w:p>
        </w:tc>
        <w:tc>
          <w:tcPr>
            <w:tcW w:w="851" w:type="dxa"/>
            <w:vAlign w:val="center"/>
          </w:tcPr>
          <w:p w:rsidR="00990C7B" w:rsidRPr="00CC1903" w:rsidRDefault="000C485A">
            <w:pPr>
              <w:jc w:val="center"/>
              <w:rPr>
                <w:sz w:val="24"/>
              </w:rPr>
            </w:pPr>
            <w:r w:rsidRPr="00CC1903">
              <w:rPr>
                <w:color w:val="000000"/>
                <w:kern w:val="0"/>
                <w:sz w:val="24"/>
              </w:rPr>
              <w:t>200,423,567.53</w:t>
            </w:r>
          </w:p>
        </w:tc>
        <w:tc>
          <w:tcPr>
            <w:tcW w:w="850" w:type="dxa"/>
            <w:vAlign w:val="center"/>
          </w:tcPr>
          <w:p w:rsidR="00990C7B" w:rsidRPr="00CC1903" w:rsidRDefault="000C485A">
            <w:pPr>
              <w:jc w:val="center"/>
              <w:rPr>
                <w:sz w:val="24"/>
              </w:rPr>
            </w:pPr>
            <w:r w:rsidRPr="00CC1903">
              <w:rPr>
                <w:color w:val="000000"/>
                <w:kern w:val="0"/>
                <w:sz w:val="24"/>
              </w:rPr>
              <w:t>1,114,920.64</w:t>
            </w:r>
          </w:p>
        </w:tc>
        <w:tc>
          <w:tcPr>
            <w:tcW w:w="1134" w:type="dxa"/>
            <w:vAlign w:val="center"/>
          </w:tcPr>
          <w:p w:rsidR="00990C7B" w:rsidRPr="00CC1903" w:rsidRDefault="000C485A">
            <w:pPr>
              <w:jc w:val="center"/>
              <w:rPr>
                <w:sz w:val="24"/>
              </w:rPr>
            </w:pPr>
            <w:r w:rsidRPr="00CC1903">
              <w:rPr>
                <w:color w:val="000000"/>
                <w:kern w:val="0"/>
                <w:sz w:val="24"/>
              </w:rPr>
              <w:t>201,538,488.17</w:t>
            </w:r>
          </w:p>
        </w:tc>
        <w:tc>
          <w:tcPr>
            <w:tcW w:w="1419" w:type="dxa"/>
            <w:vAlign w:val="center"/>
          </w:tcPr>
          <w:p w:rsidR="00990C7B" w:rsidRPr="00CC1903" w:rsidRDefault="000C485A">
            <w:pPr>
              <w:jc w:val="center"/>
              <w:rPr>
                <w:sz w:val="24"/>
              </w:rPr>
            </w:pPr>
            <w:r w:rsidRPr="00CC1903">
              <w:rPr>
                <w:color w:val="000000"/>
                <w:kern w:val="0"/>
                <w:sz w:val="24"/>
              </w:rPr>
              <w:t>-</w:t>
            </w:r>
          </w:p>
        </w:tc>
        <w:tc>
          <w:tcPr>
            <w:tcW w:w="1130" w:type="dxa"/>
            <w:vAlign w:val="center"/>
          </w:tcPr>
          <w:p w:rsidR="00990C7B" w:rsidRPr="00CC1903" w:rsidRDefault="000C485A">
            <w:pPr>
              <w:jc w:val="center"/>
              <w:rPr>
                <w:sz w:val="24"/>
              </w:rPr>
            </w:pPr>
            <w:r w:rsidRPr="00CC1903">
              <w:rPr>
                <w:color w:val="000000"/>
                <w:kern w:val="0"/>
                <w:sz w:val="24"/>
              </w:rPr>
              <w:t>-</w:t>
            </w:r>
          </w:p>
        </w:tc>
      </w:tr>
      <w:tr w:rsidR="00990C7B" w:rsidRPr="00CC1903">
        <w:tc>
          <w:tcPr>
            <w:tcW w:w="993" w:type="dxa"/>
            <w:vMerge/>
          </w:tcPr>
          <w:p w:rsidR="00990C7B" w:rsidRPr="00CC1903" w:rsidRDefault="00990C7B">
            <w:pPr>
              <w:rPr>
                <w:sz w:val="24"/>
              </w:rPr>
            </w:pPr>
          </w:p>
        </w:tc>
        <w:tc>
          <w:tcPr>
            <w:tcW w:w="992" w:type="dxa"/>
            <w:vAlign w:val="center"/>
          </w:tcPr>
          <w:p w:rsidR="00990C7B" w:rsidRPr="00CC1903" w:rsidRDefault="000C485A">
            <w:pPr>
              <w:jc w:val="center"/>
              <w:rPr>
                <w:sz w:val="24"/>
              </w:rPr>
            </w:pPr>
            <w:r w:rsidRPr="00CC1903">
              <w:rPr>
                <w:color w:val="000000"/>
                <w:kern w:val="0"/>
                <w:sz w:val="24"/>
              </w:rPr>
              <w:t>3</w:t>
            </w:r>
          </w:p>
        </w:tc>
        <w:tc>
          <w:tcPr>
            <w:tcW w:w="1843" w:type="dxa"/>
            <w:vAlign w:val="center"/>
          </w:tcPr>
          <w:p w:rsidR="00990C7B" w:rsidRPr="00CC1903" w:rsidRDefault="000C485A">
            <w:pPr>
              <w:jc w:val="center"/>
              <w:rPr>
                <w:sz w:val="24"/>
              </w:rPr>
            </w:pPr>
            <w:r w:rsidRPr="00CC1903">
              <w:rPr>
                <w:color w:val="000000"/>
                <w:kern w:val="0"/>
                <w:sz w:val="24"/>
              </w:rPr>
              <w:t>2017/1/1-2017/12/31</w:t>
            </w:r>
          </w:p>
        </w:tc>
        <w:tc>
          <w:tcPr>
            <w:tcW w:w="851" w:type="dxa"/>
            <w:vAlign w:val="center"/>
          </w:tcPr>
          <w:p w:rsidR="00990C7B" w:rsidRPr="00CC1903" w:rsidRDefault="000C485A">
            <w:pPr>
              <w:jc w:val="center"/>
              <w:rPr>
                <w:sz w:val="24"/>
              </w:rPr>
            </w:pPr>
            <w:r w:rsidRPr="00CC1903">
              <w:rPr>
                <w:color w:val="000000"/>
                <w:kern w:val="0"/>
                <w:sz w:val="24"/>
              </w:rPr>
              <w:t>-</w:t>
            </w:r>
          </w:p>
        </w:tc>
        <w:tc>
          <w:tcPr>
            <w:tcW w:w="850" w:type="dxa"/>
            <w:vAlign w:val="center"/>
          </w:tcPr>
          <w:p w:rsidR="00990C7B" w:rsidRPr="00CC1903" w:rsidRDefault="000C485A">
            <w:pPr>
              <w:jc w:val="center"/>
              <w:rPr>
                <w:sz w:val="24"/>
              </w:rPr>
            </w:pPr>
            <w:r w:rsidRPr="00CC1903">
              <w:rPr>
                <w:color w:val="000000"/>
                <w:kern w:val="0"/>
                <w:sz w:val="24"/>
              </w:rPr>
              <w:t>3,773,003,450.53</w:t>
            </w:r>
          </w:p>
        </w:tc>
        <w:tc>
          <w:tcPr>
            <w:tcW w:w="1134" w:type="dxa"/>
            <w:vAlign w:val="center"/>
          </w:tcPr>
          <w:p w:rsidR="00990C7B" w:rsidRPr="00CC1903" w:rsidRDefault="000C485A">
            <w:pPr>
              <w:jc w:val="center"/>
              <w:rPr>
                <w:sz w:val="24"/>
              </w:rPr>
            </w:pPr>
            <w:r w:rsidRPr="00CC1903">
              <w:rPr>
                <w:color w:val="000000"/>
                <w:kern w:val="0"/>
                <w:sz w:val="24"/>
              </w:rPr>
              <w:t>700,000,000.00</w:t>
            </w:r>
          </w:p>
        </w:tc>
        <w:tc>
          <w:tcPr>
            <w:tcW w:w="1419" w:type="dxa"/>
            <w:vAlign w:val="center"/>
          </w:tcPr>
          <w:p w:rsidR="00990C7B" w:rsidRPr="00CC1903" w:rsidRDefault="000C485A">
            <w:pPr>
              <w:jc w:val="center"/>
              <w:rPr>
                <w:sz w:val="24"/>
              </w:rPr>
            </w:pPr>
            <w:r w:rsidRPr="00CC1903">
              <w:rPr>
                <w:color w:val="000000"/>
                <w:kern w:val="0"/>
                <w:sz w:val="24"/>
              </w:rPr>
              <w:t>3,073,003,450.53</w:t>
            </w:r>
          </w:p>
        </w:tc>
        <w:tc>
          <w:tcPr>
            <w:tcW w:w="1130" w:type="dxa"/>
            <w:vAlign w:val="center"/>
          </w:tcPr>
          <w:p w:rsidR="00990C7B" w:rsidRPr="00CC1903" w:rsidRDefault="000C485A">
            <w:pPr>
              <w:jc w:val="center"/>
              <w:rPr>
                <w:sz w:val="24"/>
              </w:rPr>
            </w:pPr>
            <w:r w:rsidRPr="00CC1903">
              <w:rPr>
                <w:color w:val="000000"/>
                <w:kern w:val="0"/>
                <w:sz w:val="24"/>
              </w:rPr>
              <w:t>13.05%</w:t>
            </w:r>
          </w:p>
        </w:tc>
      </w:tr>
      <w:tr w:rsidR="00990C7B" w:rsidRPr="00CC1903">
        <w:tc>
          <w:tcPr>
            <w:tcW w:w="993" w:type="dxa"/>
            <w:vMerge/>
          </w:tcPr>
          <w:p w:rsidR="00990C7B" w:rsidRPr="00CC1903" w:rsidRDefault="00990C7B">
            <w:pPr>
              <w:rPr>
                <w:sz w:val="24"/>
              </w:rPr>
            </w:pPr>
          </w:p>
        </w:tc>
        <w:tc>
          <w:tcPr>
            <w:tcW w:w="992" w:type="dxa"/>
            <w:vAlign w:val="center"/>
          </w:tcPr>
          <w:p w:rsidR="00990C7B" w:rsidRPr="00CC1903" w:rsidRDefault="000C485A">
            <w:pPr>
              <w:jc w:val="center"/>
              <w:rPr>
                <w:sz w:val="24"/>
              </w:rPr>
            </w:pPr>
            <w:r w:rsidRPr="00CC1903">
              <w:rPr>
                <w:color w:val="000000"/>
                <w:kern w:val="0"/>
                <w:sz w:val="24"/>
              </w:rPr>
              <w:t>4</w:t>
            </w:r>
          </w:p>
        </w:tc>
        <w:tc>
          <w:tcPr>
            <w:tcW w:w="1843" w:type="dxa"/>
            <w:vAlign w:val="center"/>
          </w:tcPr>
          <w:p w:rsidR="00990C7B" w:rsidRPr="00CC1903" w:rsidRDefault="000C485A">
            <w:pPr>
              <w:jc w:val="center"/>
              <w:rPr>
                <w:sz w:val="24"/>
              </w:rPr>
            </w:pPr>
            <w:r w:rsidRPr="00CC1903">
              <w:rPr>
                <w:color w:val="000000"/>
                <w:kern w:val="0"/>
                <w:sz w:val="24"/>
              </w:rPr>
              <w:t>2017/1/1-2017/12/31</w:t>
            </w:r>
          </w:p>
        </w:tc>
        <w:tc>
          <w:tcPr>
            <w:tcW w:w="851" w:type="dxa"/>
            <w:vAlign w:val="center"/>
          </w:tcPr>
          <w:p w:rsidR="00990C7B" w:rsidRPr="00CC1903" w:rsidRDefault="000C485A">
            <w:pPr>
              <w:jc w:val="center"/>
              <w:rPr>
                <w:sz w:val="24"/>
              </w:rPr>
            </w:pPr>
            <w:r w:rsidRPr="00CC1903">
              <w:rPr>
                <w:color w:val="000000"/>
                <w:kern w:val="0"/>
                <w:sz w:val="24"/>
              </w:rPr>
              <w:t>-</w:t>
            </w:r>
          </w:p>
        </w:tc>
        <w:tc>
          <w:tcPr>
            <w:tcW w:w="850" w:type="dxa"/>
            <w:vAlign w:val="center"/>
          </w:tcPr>
          <w:p w:rsidR="00990C7B" w:rsidRPr="00CC1903" w:rsidRDefault="000C485A">
            <w:pPr>
              <w:jc w:val="center"/>
              <w:rPr>
                <w:sz w:val="24"/>
              </w:rPr>
            </w:pPr>
            <w:r w:rsidRPr="00CC1903">
              <w:rPr>
                <w:color w:val="000000"/>
                <w:kern w:val="0"/>
                <w:sz w:val="24"/>
              </w:rPr>
              <w:t>3,025,162,545.53</w:t>
            </w:r>
          </w:p>
        </w:tc>
        <w:tc>
          <w:tcPr>
            <w:tcW w:w="1134" w:type="dxa"/>
            <w:vAlign w:val="center"/>
          </w:tcPr>
          <w:p w:rsidR="00990C7B" w:rsidRPr="00CC1903" w:rsidRDefault="000C485A">
            <w:pPr>
              <w:jc w:val="center"/>
              <w:rPr>
                <w:sz w:val="24"/>
              </w:rPr>
            </w:pPr>
            <w:r w:rsidRPr="00CC1903">
              <w:rPr>
                <w:color w:val="000000"/>
                <w:kern w:val="0"/>
                <w:sz w:val="24"/>
              </w:rPr>
              <w:t>-</w:t>
            </w:r>
          </w:p>
        </w:tc>
        <w:tc>
          <w:tcPr>
            <w:tcW w:w="1419" w:type="dxa"/>
            <w:vAlign w:val="center"/>
          </w:tcPr>
          <w:p w:rsidR="00990C7B" w:rsidRPr="00CC1903" w:rsidRDefault="000C485A">
            <w:pPr>
              <w:jc w:val="center"/>
              <w:rPr>
                <w:sz w:val="24"/>
              </w:rPr>
            </w:pPr>
            <w:r w:rsidRPr="00CC1903">
              <w:rPr>
                <w:color w:val="000000"/>
                <w:kern w:val="0"/>
                <w:sz w:val="24"/>
              </w:rPr>
              <w:t>3,025,162,545.53</w:t>
            </w:r>
          </w:p>
        </w:tc>
        <w:tc>
          <w:tcPr>
            <w:tcW w:w="1130" w:type="dxa"/>
            <w:vAlign w:val="center"/>
          </w:tcPr>
          <w:p w:rsidR="00990C7B" w:rsidRPr="00CC1903" w:rsidRDefault="000C485A">
            <w:pPr>
              <w:jc w:val="center"/>
              <w:rPr>
                <w:sz w:val="24"/>
              </w:rPr>
            </w:pPr>
            <w:r w:rsidRPr="00CC1903">
              <w:rPr>
                <w:color w:val="000000"/>
                <w:kern w:val="0"/>
                <w:sz w:val="24"/>
              </w:rPr>
              <w:t>12.85%</w:t>
            </w:r>
          </w:p>
        </w:tc>
      </w:tr>
      <w:tr w:rsidR="00990C7B" w:rsidRPr="00CC1903">
        <w:tc>
          <w:tcPr>
            <w:tcW w:w="993" w:type="dxa"/>
            <w:vMerge/>
          </w:tcPr>
          <w:p w:rsidR="00990C7B" w:rsidRPr="00CC1903" w:rsidRDefault="00990C7B">
            <w:pPr>
              <w:rPr>
                <w:sz w:val="24"/>
              </w:rPr>
            </w:pPr>
          </w:p>
        </w:tc>
        <w:tc>
          <w:tcPr>
            <w:tcW w:w="992" w:type="dxa"/>
            <w:vAlign w:val="center"/>
          </w:tcPr>
          <w:p w:rsidR="00990C7B" w:rsidRPr="00CC1903" w:rsidRDefault="000C485A">
            <w:pPr>
              <w:jc w:val="center"/>
              <w:rPr>
                <w:sz w:val="24"/>
              </w:rPr>
            </w:pPr>
            <w:r w:rsidRPr="00CC1903">
              <w:rPr>
                <w:color w:val="000000"/>
                <w:kern w:val="0"/>
                <w:sz w:val="24"/>
              </w:rPr>
              <w:t>5</w:t>
            </w:r>
          </w:p>
        </w:tc>
        <w:tc>
          <w:tcPr>
            <w:tcW w:w="1843" w:type="dxa"/>
            <w:vAlign w:val="center"/>
          </w:tcPr>
          <w:p w:rsidR="00990C7B" w:rsidRPr="00CC1903" w:rsidRDefault="000C485A">
            <w:pPr>
              <w:jc w:val="center"/>
              <w:rPr>
                <w:sz w:val="24"/>
              </w:rPr>
            </w:pPr>
            <w:r w:rsidRPr="00CC1903">
              <w:rPr>
                <w:color w:val="000000"/>
                <w:kern w:val="0"/>
                <w:sz w:val="24"/>
              </w:rPr>
              <w:t>2017/1/1-2017/12/31</w:t>
            </w:r>
          </w:p>
        </w:tc>
        <w:tc>
          <w:tcPr>
            <w:tcW w:w="851" w:type="dxa"/>
            <w:vAlign w:val="center"/>
          </w:tcPr>
          <w:p w:rsidR="00990C7B" w:rsidRPr="00CC1903" w:rsidRDefault="000C485A">
            <w:pPr>
              <w:jc w:val="center"/>
              <w:rPr>
                <w:sz w:val="24"/>
              </w:rPr>
            </w:pPr>
            <w:r w:rsidRPr="00CC1903">
              <w:rPr>
                <w:color w:val="000000"/>
                <w:kern w:val="0"/>
                <w:sz w:val="24"/>
              </w:rPr>
              <w:t>-</w:t>
            </w:r>
          </w:p>
        </w:tc>
        <w:tc>
          <w:tcPr>
            <w:tcW w:w="850" w:type="dxa"/>
            <w:vAlign w:val="center"/>
          </w:tcPr>
          <w:p w:rsidR="00990C7B" w:rsidRPr="00CC1903" w:rsidRDefault="000C485A">
            <w:pPr>
              <w:jc w:val="center"/>
              <w:rPr>
                <w:sz w:val="24"/>
              </w:rPr>
            </w:pPr>
            <w:r w:rsidRPr="00CC1903">
              <w:rPr>
                <w:color w:val="000000"/>
                <w:kern w:val="0"/>
                <w:sz w:val="24"/>
              </w:rPr>
              <w:t>7,106,745,687.39</w:t>
            </w:r>
          </w:p>
        </w:tc>
        <w:tc>
          <w:tcPr>
            <w:tcW w:w="1134" w:type="dxa"/>
            <w:vAlign w:val="center"/>
          </w:tcPr>
          <w:p w:rsidR="00990C7B" w:rsidRPr="00CC1903" w:rsidRDefault="000C485A">
            <w:pPr>
              <w:jc w:val="center"/>
              <w:rPr>
                <w:sz w:val="24"/>
              </w:rPr>
            </w:pPr>
            <w:r w:rsidRPr="00CC1903">
              <w:rPr>
                <w:color w:val="000000"/>
                <w:kern w:val="0"/>
                <w:sz w:val="24"/>
              </w:rPr>
              <w:t>7,106,745,687.39</w:t>
            </w:r>
          </w:p>
        </w:tc>
        <w:tc>
          <w:tcPr>
            <w:tcW w:w="1419" w:type="dxa"/>
            <w:vAlign w:val="center"/>
          </w:tcPr>
          <w:p w:rsidR="00990C7B" w:rsidRPr="00CC1903" w:rsidRDefault="000C485A">
            <w:pPr>
              <w:jc w:val="center"/>
              <w:rPr>
                <w:sz w:val="24"/>
              </w:rPr>
            </w:pPr>
            <w:r w:rsidRPr="00CC1903">
              <w:rPr>
                <w:color w:val="000000"/>
                <w:kern w:val="0"/>
                <w:sz w:val="24"/>
              </w:rPr>
              <w:t>-</w:t>
            </w:r>
          </w:p>
        </w:tc>
        <w:tc>
          <w:tcPr>
            <w:tcW w:w="1130" w:type="dxa"/>
            <w:vAlign w:val="center"/>
          </w:tcPr>
          <w:p w:rsidR="00990C7B" w:rsidRPr="00CC1903" w:rsidRDefault="000C485A">
            <w:pPr>
              <w:jc w:val="center"/>
              <w:rPr>
                <w:sz w:val="24"/>
              </w:rPr>
            </w:pPr>
            <w:r w:rsidRPr="00CC1903">
              <w:rPr>
                <w:color w:val="000000"/>
                <w:kern w:val="0"/>
                <w:sz w:val="24"/>
              </w:rPr>
              <w:t>-</w:t>
            </w:r>
          </w:p>
        </w:tc>
      </w:tr>
      <w:tr w:rsidR="00254408" w:rsidRPr="00CC1903" w:rsidTr="008F3A25">
        <w:tc>
          <w:tcPr>
            <w:tcW w:w="9212" w:type="dxa"/>
            <w:gridSpan w:val="8"/>
            <w:vAlign w:val="center"/>
          </w:tcPr>
          <w:p w:rsidR="00254408" w:rsidRPr="00CC1903" w:rsidRDefault="00254408" w:rsidP="008F3A25">
            <w:pPr>
              <w:autoSpaceDE w:val="0"/>
              <w:autoSpaceDN w:val="0"/>
              <w:adjustRightInd w:val="0"/>
              <w:jc w:val="center"/>
              <w:rPr>
                <w:kern w:val="0"/>
                <w:sz w:val="24"/>
              </w:rPr>
            </w:pPr>
            <w:r w:rsidRPr="00CC1903">
              <w:rPr>
                <w:color w:val="000000"/>
                <w:kern w:val="0"/>
                <w:sz w:val="24"/>
              </w:rPr>
              <w:t>产品特有风险</w:t>
            </w:r>
          </w:p>
        </w:tc>
      </w:tr>
      <w:tr w:rsidR="00254408" w:rsidRPr="00CC1903" w:rsidTr="008F3A25">
        <w:tc>
          <w:tcPr>
            <w:tcW w:w="9212" w:type="dxa"/>
            <w:gridSpan w:val="8"/>
            <w:vAlign w:val="center"/>
          </w:tcPr>
          <w:p w:rsidR="00254408" w:rsidRPr="00CC1903" w:rsidRDefault="00254408" w:rsidP="008F3A25">
            <w:pPr>
              <w:autoSpaceDE w:val="0"/>
              <w:autoSpaceDN w:val="0"/>
              <w:adjustRightInd w:val="0"/>
              <w:jc w:val="left"/>
              <w:rPr>
                <w:kern w:val="0"/>
                <w:sz w:val="24"/>
              </w:rPr>
            </w:pPr>
            <w:r w:rsidRPr="00CC1903">
              <w:rPr>
                <w:kern w:val="0"/>
                <w:sz w:val="24"/>
              </w:rPr>
              <w:t>本基金本报告期内出现单一投资者持有基金份额比例超过基金总份额</w:t>
            </w:r>
            <w:r w:rsidRPr="00CC1903">
              <w:rPr>
                <w:kern w:val="0"/>
                <w:sz w:val="24"/>
              </w:rPr>
              <w:t>20%</w:t>
            </w:r>
            <w:r w:rsidRPr="00CC1903">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49"/>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37" w:rsidRDefault="00563337">
      <w:r>
        <w:separator/>
      </w:r>
    </w:p>
  </w:endnote>
  <w:endnote w:type="continuationSeparator" w:id="0">
    <w:p w:rsidR="00563337" w:rsidRDefault="0056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CC1903">
      <w:rPr>
        <w:noProof/>
        <w:kern w:val="0"/>
        <w:szCs w:val="21"/>
      </w:rPr>
      <w:t>37</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CC1903">
      <w:rPr>
        <w:noProof/>
        <w:kern w:val="0"/>
        <w:szCs w:val="21"/>
      </w:rPr>
      <w:t>38</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37" w:rsidRDefault="00563337">
      <w:r>
        <w:separator/>
      </w:r>
    </w:p>
  </w:footnote>
  <w:footnote w:type="continuationSeparator" w:id="0">
    <w:p w:rsidR="00563337" w:rsidRDefault="0056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485A"/>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B4B"/>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2C1"/>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23B3"/>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9C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337"/>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2BEC"/>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0BFA"/>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2EC"/>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0C7B"/>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169E"/>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572"/>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1903"/>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855"/>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AD304E-89B6-423C-8E33-F550F967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8A1E-43C0-4207-B0CC-B027BAC2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38</Pages>
  <Words>3972</Words>
  <Characters>22642</Characters>
  <Application>Microsoft Office Word</Application>
  <DocSecurity>0</DocSecurity>
  <Lines>188</Lines>
  <Paragraphs>53</Paragraphs>
  <ScaleCrop>false</ScaleCrop>
  <Company/>
  <LinksUpToDate>false</LinksUpToDate>
  <CharactersWithSpaces>26561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733</cp:revision>
  <cp:lastPrinted>2007-07-19T00:46:00Z</cp:lastPrinted>
  <dcterms:created xsi:type="dcterms:W3CDTF">2013-06-22T02:32:00Z</dcterms:created>
  <dcterms:modified xsi:type="dcterms:W3CDTF">2018-03-26T11:59:00Z</dcterms:modified>
</cp:coreProperties>
</file>