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交银施罗德活期通货币市场基金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基金托管人：中信建投证券股份有限公司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中信建投证券股份有限公司</w:t>
      </w:r>
      <w:r w:rsidR="002813BD">
        <w:rPr>
          <w:rFonts w:hint="eastAsia"/>
          <w:color w:val="000000"/>
          <w:sz w:val="24"/>
        </w:rPr>
        <w:t>(</w:t>
      </w:r>
      <w:r w:rsidR="002813BD">
        <w:rPr>
          <w:rFonts w:hint="eastAsia"/>
          <w:color w:val="000000"/>
          <w:sz w:val="24"/>
        </w:rPr>
        <w:t>以下简称“中信建投”</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交银活期通货币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003042</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7</w:t>
            </w:r>
            <w:r w:rsidRPr="004C79A3">
              <w:rPr>
                <w:sz w:val="24"/>
              </w:rPr>
              <w:t>月</w:t>
            </w:r>
            <w:r w:rsidRPr="004C79A3">
              <w:rPr>
                <w:sz w:val="24"/>
              </w:rPr>
              <w:t>27</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中信建投证券股份有限公司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23,958,155,458.85</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交银活期通货币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交银活期通货币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003042</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003043</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10,949,621,912.61</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13,008,533,546.24</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中信建投证券股份有限公司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朱志明</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4008-888-108</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service@csc.com.cn</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95587</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010-85130975</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1826"/>
        <w:gridCol w:w="1826"/>
        <w:gridCol w:w="1826"/>
        <w:gridCol w:w="2028"/>
      </w:tblGrid>
      <w:tr w:rsidR="00506204" w:rsidRPr="00506D23" w:rsidTr="005423FC">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center"/>
              <w:rPr>
                <w:b/>
                <w:szCs w:val="21"/>
              </w:rPr>
            </w:pPr>
            <w:r w:rsidRPr="00506D23">
              <w:rPr>
                <w:b/>
                <w:szCs w:val="21"/>
              </w:rPr>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7</w:t>
            </w:r>
            <w:r w:rsidRPr="00506D23">
              <w:rPr>
                <w:rFonts w:hint="eastAsia"/>
                <w:b/>
                <w:szCs w:val="21"/>
              </w:rPr>
              <w:t>月</w:t>
            </w:r>
            <w:r w:rsidRPr="00506D23">
              <w:rPr>
                <w:rFonts w:hint="eastAsia"/>
                <w:b/>
                <w:szCs w:val="21"/>
              </w:rPr>
              <w:t>27</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506204" w:rsidRPr="00506D23" w:rsidTr="005423FC">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Pr>
                <w:rFonts w:hint="eastAsia"/>
                <w:szCs w:val="21"/>
              </w:rPr>
              <w:t>交银活期通货币</w:t>
            </w:r>
            <w:r>
              <w:rPr>
                <w:rFonts w:hint="eastAsia"/>
                <w:szCs w:val="21"/>
              </w:rPr>
              <w:t>E</w:t>
            </w:r>
          </w:p>
        </w:tc>
      </w:tr>
      <w:tr w:rsidR="00506204" w:rsidRPr="00506D23" w:rsidTr="005423FC">
        <w:tc>
          <w:tcPr>
            <w:tcW w:w="669"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183,743,134.07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Pr>
                <w:rFonts w:hint="eastAsia"/>
                <w:szCs w:val="21"/>
              </w:rPr>
              <w:t>96,204,671.50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4,179,461.66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2,770,254.48</w:t>
            </w:r>
          </w:p>
        </w:tc>
      </w:tr>
      <w:tr w:rsidR="00506204" w:rsidRPr="00506D23" w:rsidTr="005423F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183,743,134.07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Pr>
                <w:rFonts w:hint="eastAsia"/>
                <w:szCs w:val="21"/>
              </w:rPr>
              <w:t>96,204,671.50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4,179,461.66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2,770,254.48</w:t>
            </w:r>
          </w:p>
        </w:tc>
      </w:tr>
      <w:tr w:rsidR="00506204" w:rsidRPr="00506D23" w:rsidTr="005423FC">
        <w:tc>
          <w:tcPr>
            <w:tcW w:w="669"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3.81%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Pr>
                <w:rFonts w:hint="eastAsia"/>
                <w:szCs w:val="21"/>
              </w:rPr>
              <w:t>4.05%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1.05%</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1.15%</w:t>
            </w:r>
          </w:p>
        </w:tc>
      </w:tr>
      <w:tr w:rsidR="00506204" w:rsidRPr="00506D23" w:rsidTr="005423FC">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center"/>
              <w:rPr>
                <w:b/>
                <w:szCs w:val="21"/>
              </w:rPr>
            </w:pPr>
            <w:r w:rsidRPr="00506D23">
              <w:rPr>
                <w:b/>
                <w:szCs w:val="21"/>
              </w:rPr>
              <w:t>2017</w:t>
            </w:r>
            <w:r w:rsidRPr="00506D23">
              <w:rPr>
                <w:rFonts w:hint="eastAsia"/>
                <w:b/>
                <w:szCs w:val="21"/>
              </w:rPr>
              <w:t>年末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center"/>
              <w:rPr>
                <w:b/>
                <w:szCs w:val="21"/>
              </w:rPr>
            </w:pPr>
            <w:r w:rsidRPr="00506D23">
              <w:rPr>
                <w:b/>
                <w:szCs w:val="21"/>
              </w:rPr>
              <w:t>2016</w:t>
            </w:r>
            <w:r w:rsidRPr="00506D23">
              <w:rPr>
                <w:rFonts w:hint="eastAsia"/>
                <w:b/>
                <w:szCs w:val="21"/>
              </w:rPr>
              <w:t>年末</w:t>
            </w:r>
          </w:p>
        </w:tc>
      </w:tr>
      <w:tr w:rsidR="00506204" w:rsidRPr="00506D23" w:rsidTr="005423FC">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Pr>
                <w:rFonts w:hint="eastAsia"/>
                <w:szCs w:val="21"/>
              </w:rPr>
              <w:t>交银活期通货币</w:t>
            </w:r>
            <w:r>
              <w:rPr>
                <w:rFonts w:hint="eastAsia"/>
                <w:szCs w:val="21"/>
              </w:rPr>
              <w:t>E</w:t>
            </w:r>
          </w:p>
        </w:tc>
      </w:tr>
      <w:tr w:rsidR="00506204" w:rsidRPr="00506D23" w:rsidTr="005423FC">
        <w:tc>
          <w:tcPr>
            <w:tcW w:w="669"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10,949,621,912.61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Pr>
                <w:rFonts w:hint="eastAsia"/>
                <w:szCs w:val="21"/>
              </w:rPr>
              <w:t>13,008,533,546.24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1,147,534,802.24</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608,458,380.83</w:t>
            </w:r>
          </w:p>
        </w:tc>
      </w:tr>
      <w:tr w:rsidR="00506204" w:rsidRPr="00506D23" w:rsidTr="005423FC">
        <w:tc>
          <w:tcPr>
            <w:tcW w:w="669"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506204" w:rsidRPr="00506D23" w:rsidRDefault="00506204" w:rsidP="005423FC">
            <w:pPr>
              <w:spacing w:before="29" w:line="288" w:lineRule="auto"/>
              <w:jc w:val="right"/>
              <w:rPr>
                <w:szCs w:val="21"/>
              </w:rPr>
            </w:pPr>
            <w:r w:rsidRPr="00506D23">
              <w:rPr>
                <w:rFonts w:hint="eastAsia"/>
                <w:szCs w:val="21"/>
              </w:rPr>
              <w:t>1.000</w:t>
            </w:r>
          </w:p>
        </w:tc>
      </w:tr>
    </w:tbl>
    <w:p w:rsidR="00630F54" w:rsidRDefault="000C031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630F54" w:rsidRDefault="000C0316">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630F54" w:rsidRDefault="000C0316">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lastRenderedPageBreak/>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．交银活期通货币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30F54">
        <w:tc>
          <w:tcPr>
            <w:tcW w:w="1286" w:type="dxa"/>
            <w:vAlign w:val="center"/>
          </w:tcPr>
          <w:p w:rsidR="00630F54" w:rsidRDefault="000C0316">
            <w:pPr>
              <w:jc w:val="left"/>
            </w:pPr>
            <w:r>
              <w:rPr>
                <w:sz w:val="24"/>
              </w:rPr>
              <w:t>过去三个月</w:t>
            </w:r>
          </w:p>
        </w:tc>
        <w:tc>
          <w:tcPr>
            <w:tcW w:w="1286" w:type="dxa"/>
            <w:vAlign w:val="center"/>
          </w:tcPr>
          <w:p w:rsidR="00630F54" w:rsidRDefault="000C0316">
            <w:pPr>
              <w:jc w:val="center"/>
            </w:pPr>
            <w:r>
              <w:rPr>
                <w:sz w:val="24"/>
              </w:rPr>
              <w:t>1.0143%</w:t>
            </w:r>
          </w:p>
        </w:tc>
        <w:tc>
          <w:tcPr>
            <w:tcW w:w="1286" w:type="dxa"/>
            <w:vAlign w:val="center"/>
          </w:tcPr>
          <w:p w:rsidR="00630F54" w:rsidRDefault="000C0316">
            <w:pPr>
              <w:jc w:val="center"/>
            </w:pPr>
            <w:r>
              <w:rPr>
                <w:sz w:val="24"/>
              </w:rPr>
              <w:t>0.0007%</w:t>
            </w:r>
          </w:p>
        </w:tc>
        <w:tc>
          <w:tcPr>
            <w:tcW w:w="1285" w:type="dxa"/>
            <w:vAlign w:val="center"/>
          </w:tcPr>
          <w:p w:rsidR="00630F54" w:rsidRDefault="000C0316">
            <w:pPr>
              <w:jc w:val="center"/>
            </w:pPr>
            <w:r>
              <w:rPr>
                <w:sz w:val="24"/>
              </w:rPr>
              <w:t>0.0882%</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0.9261%</w:t>
            </w:r>
          </w:p>
        </w:tc>
        <w:tc>
          <w:tcPr>
            <w:tcW w:w="1285" w:type="dxa"/>
            <w:vAlign w:val="center"/>
          </w:tcPr>
          <w:p w:rsidR="00630F54" w:rsidRDefault="000C0316">
            <w:pPr>
              <w:jc w:val="center"/>
            </w:pPr>
            <w:r>
              <w:rPr>
                <w:sz w:val="24"/>
              </w:rPr>
              <w:t>0.0007%</w:t>
            </w:r>
          </w:p>
        </w:tc>
      </w:tr>
      <w:tr w:rsidR="00630F54">
        <w:tc>
          <w:tcPr>
            <w:tcW w:w="1286" w:type="dxa"/>
            <w:vAlign w:val="center"/>
          </w:tcPr>
          <w:p w:rsidR="00630F54" w:rsidRDefault="000C0316">
            <w:pPr>
              <w:jc w:val="left"/>
            </w:pPr>
            <w:r>
              <w:rPr>
                <w:sz w:val="24"/>
              </w:rPr>
              <w:t>过去六个月</w:t>
            </w:r>
          </w:p>
        </w:tc>
        <w:tc>
          <w:tcPr>
            <w:tcW w:w="1286" w:type="dxa"/>
            <w:vAlign w:val="center"/>
          </w:tcPr>
          <w:p w:rsidR="00630F54" w:rsidRDefault="000C0316">
            <w:pPr>
              <w:jc w:val="center"/>
            </w:pPr>
            <w:r>
              <w:rPr>
                <w:sz w:val="24"/>
              </w:rPr>
              <w:t>2.0277%</w:t>
            </w:r>
          </w:p>
        </w:tc>
        <w:tc>
          <w:tcPr>
            <w:tcW w:w="1286" w:type="dxa"/>
            <w:vAlign w:val="center"/>
          </w:tcPr>
          <w:p w:rsidR="00630F54" w:rsidRDefault="000C0316">
            <w:pPr>
              <w:jc w:val="center"/>
            </w:pPr>
            <w:r>
              <w:rPr>
                <w:sz w:val="24"/>
              </w:rPr>
              <w:t>0.0005%</w:t>
            </w:r>
          </w:p>
        </w:tc>
        <w:tc>
          <w:tcPr>
            <w:tcW w:w="1285" w:type="dxa"/>
            <w:vAlign w:val="center"/>
          </w:tcPr>
          <w:p w:rsidR="00630F54" w:rsidRDefault="000C0316">
            <w:pPr>
              <w:jc w:val="center"/>
            </w:pPr>
            <w:r>
              <w:rPr>
                <w:sz w:val="24"/>
              </w:rPr>
              <w:t>0.1764%</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1.8513%</w:t>
            </w:r>
          </w:p>
        </w:tc>
        <w:tc>
          <w:tcPr>
            <w:tcW w:w="1285" w:type="dxa"/>
            <w:vAlign w:val="center"/>
          </w:tcPr>
          <w:p w:rsidR="00630F54" w:rsidRDefault="000C0316">
            <w:pPr>
              <w:jc w:val="center"/>
            </w:pPr>
            <w:r>
              <w:rPr>
                <w:sz w:val="24"/>
              </w:rPr>
              <w:t>0.0005%</w:t>
            </w:r>
          </w:p>
        </w:tc>
      </w:tr>
      <w:tr w:rsidR="00630F54">
        <w:tc>
          <w:tcPr>
            <w:tcW w:w="1286" w:type="dxa"/>
            <w:vAlign w:val="center"/>
          </w:tcPr>
          <w:p w:rsidR="00630F54" w:rsidRDefault="000C0316">
            <w:pPr>
              <w:jc w:val="left"/>
            </w:pPr>
            <w:r>
              <w:rPr>
                <w:sz w:val="24"/>
              </w:rPr>
              <w:t>过去一年</w:t>
            </w:r>
          </w:p>
        </w:tc>
        <w:tc>
          <w:tcPr>
            <w:tcW w:w="1286" w:type="dxa"/>
            <w:vAlign w:val="center"/>
          </w:tcPr>
          <w:p w:rsidR="00630F54" w:rsidRDefault="000C0316">
            <w:pPr>
              <w:jc w:val="center"/>
            </w:pPr>
            <w:r>
              <w:rPr>
                <w:sz w:val="24"/>
              </w:rPr>
              <w:t>3.8067%</w:t>
            </w:r>
          </w:p>
        </w:tc>
        <w:tc>
          <w:tcPr>
            <w:tcW w:w="1286" w:type="dxa"/>
            <w:vAlign w:val="center"/>
          </w:tcPr>
          <w:p w:rsidR="00630F54" w:rsidRDefault="000C0316">
            <w:pPr>
              <w:jc w:val="center"/>
            </w:pPr>
            <w:r>
              <w:rPr>
                <w:sz w:val="24"/>
              </w:rPr>
              <w:t>0.0010%</w:t>
            </w:r>
          </w:p>
        </w:tc>
        <w:tc>
          <w:tcPr>
            <w:tcW w:w="1285" w:type="dxa"/>
            <w:vAlign w:val="center"/>
          </w:tcPr>
          <w:p w:rsidR="00630F54" w:rsidRDefault="000C0316">
            <w:pPr>
              <w:jc w:val="center"/>
            </w:pPr>
            <w:r>
              <w:rPr>
                <w:sz w:val="24"/>
              </w:rPr>
              <w:t>0.3500%</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3.4567%</w:t>
            </w:r>
          </w:p>
        </w:tc>
        <w:tc>
          <w:tcPr>
            <w:tcW w:w="1285" w:type="dxa"/>
            <w:vAlign w:val="center"/>
          </w:tcPr>
          <w:p w:rsidR="00630F54" w:rsidRDefault="000C0316">
            <w:pPr>
              <w:jc w:val="center"/>
            </w:pPr>
            <w:r>
              <w:rPr>
                <w:sz w:val="24"/>
              </w:rPr>
              <w:t>0.0010%</w:t>
            </w:r>
          </w:p>
        </w:tc>
      </w:tr>
      <w:tr w:rsidR="00630F54">
        <w:tc>
          <w:tcPr>
            <w:tcW w:w="1286" w:type="dxa"/>
            <w:vAlign w:val="center"/>
          </w:tcPr>
          <w:p w:rsidR="00630F54" w:rsidRDefault="000C0316">
            <w:pPr>
              <w:jc w:val="left"/>
            </w:pPr>
            <w:r>
              <w:rPr>
                <w:sz w:val="24"/>
              </w:rPr>
              <w:t>自基金合同生效起至今</w:t>
            </w:r>
          </w:p>
        </w:tc>
        <w:tc>
          <w:tcPr>
            <w:tcW w:w="1286" w:type="dxa"/>
            <w:vAlign w:val="center"/>
          </w:tcPr>
          <w:p w:rsidR="00630F54" w:rsidRDefault="000C0316">
            <w:pPr>
              <w:jc w:val="center"/>
            </w:pPr>
            <w:r>
              <w:rPr>
                <w:sz w:val="24"/>
              </w:rPr>
              <w:t>4.8959%</w:t>
            </w:r>
          </w:p>
        </w:tc>
        <w:tc>
          <w:tcPr>
            <w:tcW w:w="1286" w:type="dxa"/>
            <w:vAlign w:val="center"/>
          </w:tcPr>
          <w:p w:rsidR="00630F54" w:rsidRDefault="000C0316">
            <w:pPr>
              <w:jc w:val="center"/>
            </w:pPr>
            <w:r>
              <w:rPr>
                <w:sz w:val="24"/>
              </w:rPr>
              <w:t>0.0020%</w:t>
            </w:r>
          </w:p>
        </w:tc>
        <w:tc>
          <w:tcPr>
            <w:tcW w:w="1285" w:type="dxa"/>
            <w:vAlign w:val="center"/>
          </w:tcPr>
          <w:p w:rsidR="00630F54" w:rsidRDefault="000C0316">
            <w:pPr>
              <w:jc w:val="center"/>
            </w:pPr>
            <w:r>
              <w:rPr>
                <w:sz w:val="24"/>
              </w:rPr>
              <w:t>0.5015%</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4.3944%</w:t>
            </w:r>
          </w:p>
        </w:tc>
        <w:tc>
          <w:tcPr>
            <w:tcW w:w="1285" w:type="dxa"/>
            <w:vAlign w:val="center"/>
          </w:tcPr>
          <w:p w:rsidR="00630F54" w:rsidRDefault="000C0316">
            <w:pPr>
              <w:jc w:val="center"/>
            </w:pPr>
            <w:r>
              <w:rPr>
                <w:sz w:val="24"/>
              </w:rPr>
              <w:t>0.0020%</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交银活期通货币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30F54">
        <w:tc>
          <w:tcPr>
            <w:tcW w:w="1286" w:type="dxa"/>
            <w:vAlign w:val="center"/>
          </w:tcPr>
          <w:p w:rsidR="00630F54" w:rsidRDefault="000C0316">
            <w:pPr>
              <w:jc w:val="left"/>
            </w:pPr>
            <w:r>
              <w:rPr>
                <w:sz w:val="24"/>
              </w:rPr>
              <w:t>过去三个月</w:t>
            </w:r>
          </w:p>
        </w:tc>
        <w:tc>
          <w:tcPr>
            <w:tcW w:w="1286" w:type="dxa"/>
            <w:vAlign w:val="center"/>
          </w:tcPr>
          <w:p w:rsidR="00630F54" w:rsidRDefault="000C0316">
            <w:pPr>
              <w:jc w:val="center"/>
            </w:pPr>
            <w:r>
              <w:rPr>
                <w:sz w:val="24"/>
              </w:rPr>
              <w:t>1.0752%</w:t>
            </w:r>
          </w:p>
        </w:tc>
        <w:tc>
          <w:tcPr>
            <w:tcW w:w="1286" w:type="dxa"/>
            <w:vAlign w:val="center"/>
          </w:tcPr>
          <w:p w:rsidR="00630F54" w:rsidRDefault="000C0316">
            <w:pPr>
              <w:jc w:val="center"/>
            </w:pPr>
            <w:r>
              <w:rPr>
                <w:sz w:val="24"/>
              </w:rPr>
              <w:t>0.0007%</w:t>
            </w:r>
          </w:p>
        </w:tc>
        <w:tc>
          <w:tcPr>
            <w:tcW w:w="1285" w:type="dxa"/>
            <w:vAlign w:val="center"/>
          </w:tcPr>
          <w:p w:rsidR="00630F54" w:rsidRDefault="000C0316">
            <w:pPr>
              <w:jc w:val="center"/>
            </w:pPr>
            <w:r>
              <w:rPr>
                <w:sz w:val="24"/>
              </w:rPr>
              <w:t>0.0882%</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0.9870%</w:t>
            </w:r>
          </w:p>
        </w:tc>
        <w:tc>
          <w:tcPr>
            <w:tcW w:w="1285" w:type="dxa"/>
            <w:vAlign w:val="center"/>
          </w:tcPr>
          <w:p w:rsidR="00630F54" w:rsidRDefault="000C0316">
            <w:pPr>
              <w:jc w:val="center"/>
            </w:pPr>
            <w:r>
              <w:rPr>
                <w:sz w:val="24"/>
              </w:rPr>
              <w:t>0.0007%</w:t>
            </w:r>
          </w:p>
        </w:tc>
      </w:tr>
      <w:tr w:rsidR="00630F54">
        <w:tc>
          <w:tcPr>
            <w:tcW w:w="1286" w:type="dxa"/>
            <w:vAlign w:val="center"/>
          </w:tcPr>
          <w:p w:rsidR="00630F54" w:rsidRDefault="000C0316">
            <w:pPr>
              <w:jc w:val="left"/>
            </w:pPr>
            <w:r>
              <w:rPr>
                <w:sz w:val="24"/>
              </w:rPr>
              <w:t>过去六个月</w:t>
            </w:r>
          </w:p>
        </w:tc>
        <w:tc>
          <w:tcPr>
            <w:tcW w:w="1286" w:type="dxa"/>
            <w:vAlign w:val="center"/>
          </w:tcPr>
          <w:p w:rsidR="00630F54" w:rsidRDefault="000C0316">
            <w:pPr>
              <w:jc w:val="center"/>
            </w:pPr>
            <w:r>
              <w:rPr>
                <w:sz w:val="24"/>
              </w:rPr>
              <w:t>2.1505%</w:t>
            </w:r>
          </w:p>
        </w:tc>
        <w:tc>
          <w:tcPr>
            <w:tcW w:w="1286" w:type="dxa"/>
            <w:vAlign w:val="center"/>
          </w:tcPr>
          <w:p w:rsidR="00630F54" w:rsidRDefault="000C0316">
            <w:pPr>
              <w:jc w:val="center"/>
            </w:pPr>
            <w:r>
              <w:rPr>
                <w:sz w:val="24"/>
              </w:rPr>
              <w:t>0.0005%</w:t>
            </w:r>
          </w:p>
        </w:tc>
        <w:tc>
          <w:tcPr>
            <w:tcW w:w="1285" w:type="dxa"/>
            <w:vAlign w:val="center"/>
          </w:tcPr>
          <w:p w:rsidR="00630F54" w:rsidRDefault="000C0316">
            <w:pPr>
              <w:jc w:val="center"/>
            </w:pPr>
            <w:r>
              <w:rPr>
                <w:sz w:val="24"/>
              </w:rPr>
              <w:t>0.1764%</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1.9741%</w:t>
            </w:r>
          </w:p>
        </w:tc>
        <w:tc>
          <w:tcPr>
            <w:tcW w:w="1285" w:type="dxa"/>
            <w:vAlign w:val="center"/>
          </w:tcPr>
          <w:p w:rsidR="00630F54" w:rsidRDefault="000C0316">
            <w:pPr>
              <w:jc w:val="center"/>
            </w:pPr>
            <w:r>
              <w:rPr>
                <w:sz w:val="24"/>
              </w:rPr>
              <w:t>0.0005%</w:t>
            </w:r>
          </w:p>
        </w:tc>
      </w:tr>
      <w:tr w:rsidR="00630F54">
        <w:tc>
          <w:tcPr>
            <w:tcW w:w="1286" w:type="dxa"/>
            <w:vAlign w:val="center"/>
          </w:tcPr>
          <w:p w:rsidR="00630F54" w:rsidRDefault="000C0316">
            <w:pPr>
              <w:jc w:val="left"/>
            </w:pPr>
            <w:r>
              <w:rPr>
                <w:sz w:val="24"/>
              </w:rPr>
              <w:t>过去一年</w:t>
            </w:r>
          </w:p>
        </w:tc>
        <w:tc>
          <w:tcPr>
            <w:tcW w:w="1286" w:type="dxa"/>
            <w:vAlign w:val="center"/>
          </w:tcPr>
          <w:p w:rsidR="00630F54" w:rsidRDefault="000C0316">
            <w:pPr>
              <w:jc w:val="center"/>
            </w:pPr>
            <w:r>
              <w:rPr>
                <w:sz w:val="24"/>
              </w:rPr>
              <w:t>4.0545%</w:t>
            </w:r>
          </w:p>
        </w:tc>
        <w:tc>
          <w:tcPr>
            <w:tcW w:w="1286" w:type="dxa"/>
            <w:vAlign w:val="center"/>
          </w:tcPr>
          <w:p w:rsidR="00630F54" w:rsidRDefault="000C0316">
            <w:pPr>
              <w:jc w:val="center"/>
            </w:pPr>
            <w:r>
              <w:rPr>
                <w:sz w:val="24"/>
              </w:rPr>
              <w:t>0.0010%</w:t>
            </w:r>
          </w:p>
        </w:tc>
        <w:tc>
          <w:tcPr>
            <w:tcW w:w="1285" w:type="dxa"/>
            <w:vAlign w:val="center"/>
          </w:tcPr>
          <w:p w:rsidR="00630F54" w:rsidRDefault="000C0316">
            <w:pPr>
              <w:jc w:val="center"/>
            </w:pPr>
            <w:r>
              <w:rPr>
                <w:sz w:val="24"/>
              </w:rPr>
              <w:t>0.3500%</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3.7045%</w:t>
            </w:r>
          </w:p>
        </w:tc>
        <w:tc>
          <w:tcPr>
            <w:tcW w:w="1285" w:type="dxa"/>
            <w:vAlign w:val="center"/>
          </w:tcPr>
          <w:p w:rsidR="00630F54" w:rsidRDefault="000C0316">
            <w:pPr>
              <w:jc w:val="center"/>
            </w:pPr>
            <w:r>
              <w:rPr>
                <w:sz w:val="24"/>
              </w:rPr>
              <w:t>0.0010%</w:t>
            </w:r>
          </w:p>
        </w:tc>
      </w:tr>
      <w:tr w:rsidR="00630F54">
        <w:tc>
          <w:tcPr>
            <w:tcW w:w="1286" w:type="dxa"/>
            <w:vAlign w:val="center"/>
          </w:tcPr>
          <w:p w:rsidR="00630F54" w:rsidRDefault="000C0316">
            <w:pPr>
              <w:jc w:val="left"/>
            </w:pPr>
            <w:r>
              <w:rPr>
                <w:sz w:val="24"/>
              </w:rPr>
              <w:t>自基金合同生效起至今</w:t>
            </w:r>
          </w:p>
        </w:tc>
        <w:tc>
          <w:tcPr>
            <w:tcW w:w="1286" w:type="dxa"/>
            <w:vAlign w:val="center"/>
          </w:tcPr>
          <w:p w:rsidR="00630F54" w:rsidRDefault="000C0316">
            <w:pPr>
              <w:jc w:val="center"/>
            </w:pPr>
            <w:r>
              <w:rPr>
                <w:sz w:val="24"/>
              </w:rPr>
              <w:t>5.2494%</w:t>
            </w:r>
          </w:p>
        </w:tc>
        <w:tc>
          <w:tcPr>
            <w:tcW w:w="1286" w:type="dxa"/>
            <w:vAlign w:val="center"/>
          </w:tcPr>
          <w:p w:rsidR="00630F54" w:rsidRDefault="000C0316">
            <w:pPr>
              <w:jc w:val="center"/>
            </w:pPr>
            <w:r>
              <w:rPr>
                <w:sz w:val="24"/>
              </w:rPr>
              <w:t>0.0020%</w:t>
            </w:r>
          </w:p>
        </w:tc>
        <w:tc>
          <w:tcPr>
            <w:tcW w:w="1285" w:type="dxa"/>
            <w:vAlign w:val="center"/>
          </w:tcPr>
          <w:p w:rsidR="00630F54" w:rsidRDefault="000C0316">
            <w:pPr>
              <w:jc w:val="center"/>
            </w:pPr>
            <w:r>
              <w:rPr>
                <w:sz w:val="24"/>
              </w:rPr>
              <w:t>0.5015%</w:t>
            </w:r>
          </w:p>
        </w:tc>
        <w:tc>
          <w:tcPr>
            <w:tcW w:w="1285" w:type="dxa"/>
            <w:vAlign w:val="center"/>
          </w:tcPr>
          <w:p w:rsidR="00630F54" w:rsidRDefault="000C0316">
            <w:pPr>
              <w:jc w:val="center"/>
            </w:pPr>
            <w:r>
              <w:rPr>
                <w:sz w:val="24"/>
              </w:rPr>
              <w:t>0.0000%</w:t>
            </w:r>
          </w:p>
        </w:tc>
        <w:tc>
          <w:tcPr>
            <w:tcW w:w="1285" w:type="dxa"/>
            <w:vAlign w:val="center"/>
          </w:tcPr>
          <w:p w:rsidR="00630F54" w:rsidRDefault="000C0316">
            <w:pPr>
              <w:jc w:val="center"/>
            </w:pPr>
            <w:r>
              <w:rPr>
                <w:sz w:val="24"/>
              </w:rPr>
              <w:t>4.7479%</w:t>
            </w:r>
          </w:p>
        </w:tc>
        <w:tc>
          <w:tcPr>
            <w:tcW w:w="1285" w:type="dxa"/>
            <w:vAlign w:val="center"/>
          </w:tcPr>
          <w:p w:rsidR="00630F54" w:rsidRDefault="000C0316">
            <w:pPr>
              <w:jc w:val="center"/>
            </w:pPr>
            <w:r>
              <w:rPr>
                <w:sz w:val="24"/>
              </w:rPr>
              <w:t>0.0020%</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、交银活期通货币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注：本基金基金合同生效日为</w:t>
      </w:r>
      <w:r w:rsidRPr="007D254C">
        <w:rPr>
          <w:rFonts w:hint="eastAsia"/>
          <w:kern w:val="0"/>
          <w:sz w:val="24"/>
        </w:rPr>
        <w:t>2016</w:t>
      </w:r>
      <w:r w:rsidRPr="007D254C">
        <w:rPr>
          <w:rFonts w:hint="eastAsia"/>
          <w:kern w:val="0"/>
          <w:sz w:val="24"/>
        </w:rPr>
        <w:t>年</w:t>
      </w:r>
      <w:r w:rsidRPr="007D254C">
        <w:rPr>
          <w:rFonts w:hint="eastAsia"/>
          <w:kern w:val="0"/>
          <w:sz w:val="24"/>
        </w:rPr>
        <w:t>7</w:t>
      </w:r>
      <w:r w:rsidRPr="007D254C">
        <w:rPr>
          <w:rFonts w:hint="eastAsia"/>
          <w:kern w:val="0"/>
          <w:sz w:val="24"/>
        </w:rPr>
        <w:t>月</w:t>
      </w:r>
      <w:r w:rsidRPr="007D254C">
        <w:rPr>
          <w:rFonts w:hint="eastAsia"/>
          <w:kern w:val="0"/>
          <w:sz w:val="24"/>
        </w:rPr>
        <w:t>27</w:t>
      </w:r>
      <w:r w:rsidRPr="007D254C">
        <w:rPr>
          <w:rFonts w:hint="eastAsia"/>
          <w:kern w:val="0"/>
          <w:sz w:val="24"/>
        </w:rPr>
        <w:t>日，截至报告期期末，本基金已完成建仓但报告期期末距建仓结束未满一年。本基金建仓期为自基金合同生效日起的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注：本基金基金合同生效日为</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日，截至报告期期末，本基金已完成建仓但报告期期末距建仓结束未满一年。本基金建仓期为自基金合同生效日起的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交银活期通货币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lastRenderedPageBreak/>
        <w:t>注：图示日期为</w:t>
      </w:r>
      <w:r w:rsidRPr="007D254C">
        <w:rPr>
          <w:rFonts w:hint="eastAsia"/>
          <w:kern w:val="0"/>
          <w:sz w:val="24"/>
        </w:rPr>
        <w:t>2016</w:t>
      </w:r>
      <w:r w:rsidRPr="007D254C">
        <w:rPr>
          <w:rFonts w:hint="eastAsia"/>
          <w:kern w:val="0"/>
          <w:sz w:val="24"/>
        </w:rPr>
        <w:t>年</w:t>
      </w:r>
      <w:r w:rsidRPr="007D254C">
        <w:rPr>
          <w:rFonts w:hint="eastAsia"/>
          <w:kern w:val="0"/>
          <w:sz w:val="24"/>
        </w:rPr>
        <w:t>7</w:t>
      </w:r>
      <w:r w:rsidRPr="007D254C">
        <w:rPr>
          <w:rFonts w:hint="eastAsia"/>
          <w:kern w:val="0"/>
          <w:sz w:val="24"/>
        </w:rPr>
        <w:t>月</w:t>
      </w:r>
      <w:r w:rsidRPr="007D254C">
        <w:rPr>
          <w:rFonts w:hint="eastAsia"/>
          <w:kern w:val="0"/>
          <w:sz w:val="24"/>
        </w:rPr>
        <w:t>27</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交银活期通货币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交银活期通货币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30F54">
        <w:tc>
          <w:tcPr>
            <w:tcW w:w="1499" w:type="dxa"/>
            <w:vAlign w:val="center"/>
          </w:tcPr>
          <w:p w:rsidR="00630F54" w:rsidRDefault="000C0316">
            <w:pPr>
              <w:jc w:val="center"/>
            </w:pPr>
            <w:r>
              <w:rPr>
                <w:rFonts w:hint="eastAsia"/>
                <w:color w:val="000000"/>
                <w:sz w:val="24"/>
              </w:rPr>
              <w:t>2017</w:t>
            </w:r>
            <w:r>
              <w:rPr>
                <w:rFonts w:hint="eastAsia"/>
                <w:color w:val="000000"/>
                <w:sz w:val="24"/>
              </w:rPr>
              <w:t>年</w:t>
            </w:r>
          </w:p>
        </w:tc>
        <w:tc>
          <w:tcPr>
            <w:tcW w:w="1499" w:type="dxa"/>
            <w:vAlign w:val="center"/>
          </w:tcPr>
          <w:p w:rsidR="00630F54" w:rsidRDefault="000C0316">
            <w:pPr>
              <w:jc w:val="right"/>
            </w:pPr>
            <w:r>
              <w:rPr>
                <w:rFonts w:hint="eastAsia"/>
                <w:color w:val="000000"/>
                <w:sz w:val="24"/>
              </w:rPr>
              <w:t>182,482,781.91</w:t>
            </w:r>
          </w:p>
        </w:tc>
        <w:tc>
          <w:tcPr>
            <w:tcW w:w="1500" w:type="dxa"/>
            <w:vAlign w:val="center"/>
          </w:tcPr>
          <w:p w:rsidR="00630F54" w:rsidRDefault="000C0316">
            <w:pPr>
              <w:jc w:val="right"/>
            </w:pPr>
            <w:r>
              <w:rPr>
                <w:rFonts w:hint="eastAsia"/>
                <w:color w:val="000000"/>
                <w:sz w:val="24"/>
              </w:rPr>
              <w:t>-</w:t>
            </w:r>
          </w:p>
        </w:tc>
        <w:tc>
          <w:tcPr>
            <w:tcW w:w="1500" w:type="dxa"/>
            <w:vAlign w:val="center"/>
          </w:tcPr>
          <w:p w:rsidR="00630F54" w:rsidRDefault="000C0316">
            <w:pPr>
              <w:jc w:val="center"/>
            </w:pPr>
            <w:r>
              <w:rPr>
                <w:rFonts w:hint="eastAsia"/>
                <w:color w:val="000000"/>
                <w:sz w:val="24"/>
              </w:rPr>
              <w:t>1,260,352.16</w:t>
            </w:r>
          </w:p>
        </w:tc>
        <w:tc>
          <w:tcPr>
            <w:tcW w:w="1500" w:type="dxa"/>
            <w:vAlign w:val="center"/>
          </w:tcPr>
          <w:p w:rsidR="00630F54" w:rsidRDefault="000C0316">
            <w:pPr>
              <w:jc w:val="right"/>
            </w:pPr>
            <w:r>
              <w:rPr>
                <w:rFonts w:hint="eastAsia"/>
                <w:color w:val="000000"/>
                <w:sz w:val="24"/>
              </w:rPr>
              <w:t>183,743,134.07</w:t>
            </w:r>
          </w:p>
        </w:tc>
        <w:tc>
          <w:tcPr>
            <w:tcW w:w="1500" w:type="dxa"/>
            <w:vAlign w:val="center"/>
          </w:tcPr>
          <w:p w:rsidR="00630F54" w:rsidRDefault="000C0316">
            <w:pPr>
              <w:jc w:val="left"/>
            </w:pPr>
            <w:r>
              <w:rPr>
                <w:rFonts w:hint="eastAsia"/>
                <w:color w:val="000000"/>
                <w:sz w:val="24"/>
              </w:rPr>
              <w:t>-</w:t>
            </w:r>
          </w:p>
        </w:tc>
      </w:tr>
      <w:tr w:rsidR="00630F54">
        <w:tc>
          <w:tcPr>
            <w:tcW w:w="1499" w:type="dxa"/>
            <w:vAlign w:val="center"/>
          </w:tcPr>
          <w:p w:rsidR="00630F54" w:rsidRDefault="000C0316">
            <w:pPr>
              <w:jc w:val="center"/>
            </w:pPr>
            <w:r>
              <w:rPr>
                <w:rFonts w:hint="eastAsia"/>
                <w:color w:val="000000"/>
                <w:sz w:val="24"/>
              </w:rPr>
              <w:t>2016</w:t>
            </w:r>
            <w:r>
              <w:rPr>
                <w:rFonts w:hint="eastAsia"/>
                <w:color w:val="000000"/>
                <w:sz w:val="24"/>
              </w:rPr>
              <w:t>年</w:t>
            </w:r>
          </w:p>
        </w:tc>
        <w:tc>
          <w:tcPr>
            <w:tcW w:w="1499" w:type="dxa"/>
            <w:vAlign w:val="center"/>
          </w:tcPr>
          <w:p w:rsidR="00630F54" w:rsidRDefault="000C0316">
            <w:pPr>
              <w:jc w:val="right"/>
            </w:pPr>
            <w:r>
              <w:rPr>
                <w:rFonts w:hint="eastAsia"/>
                <w:color w:val="000000"/>
                <w:sz w:val="24"/>
              </w:rPr>
              <w:t>4,069,863.95</w:t>
            </w:r>
          </w:p>
        </w:tc>
        <w:tc>
          <w:tcPr>
            <w:tcW w:w="1500" w:type="dxa"/>
            <w:vAlign w:val="center"/>
          </w:tcPr>
          <w:p w:rsidR="00630F54" w:rsidRDefault="000C0316">
            <w:pPr>
              <w:jc w:val="right"/>
            </w:pPr>
            <w:r>
              <w:rPr>
                <w:rFonts w:hint="eastAsia"/>
                <w:color w:val="000000"/>
                <w:sz w:val="24"/>
              </w:rPr>
              <w:t>-</w:t>
            </w:r>
          </w:p>
        </w:tc>
        <w:tc>
          <w:tcPr>
            <w:tcW w:w="1500" w:type="dxa"/>
            <w:vAlign w:val="center"/>
          </w:tcPr>
          <w:p w:rsidR="00630F54" w:rsidRDefault="000C0316">
            <w:pPr>
              <w:jc w:val="center"/>
            </w:pPr>
            <w:r>
              <w:rPr>
                <w:rFonts w:hint="eastAsia"/>
                <w:color w:val="000000"/>
                <w:sz w:val="24"/>
              </w:rPr>
              <w:t>109,597.71</w:t>
            </w:r>
          </w:p>
        </w:tc>
        <w:tc>
          <w:tcPr>
            <w:tcW w:w="1500" w:type="dxa"/>
            <w:vAlign w:val="center"/>
          </w:tcPr>
          <w:p w:rsidR="00630F54" w:rsidRDefault="000C0316">
            <w:pPr>
              <w:jc w:val="right"/>
            </w:pPr>
            <w:r>
              <w:rPr>
                <w:rFonts w:hint="eastAsia"/>
                <w:color w:val="000000"/>
                <w:sz w:val="24"/>
              </w:rPr>
              <w:t>4,179,461.66</w:t>
            </w:r>
          </w:p>
        </w:tc>
        <w:tc>
          <w:tcPr>
            <w:tcW w:w="1500" w:type="dxa"/>
            <w:vAlign w:val="center"/>
          </w:tcPr>
          <w:p w:rsidR="00630F54" w:rsidRDefault="000C0316">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186,552,645.86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1,369,949.87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187,922,595.73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交银活期通货币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lastRenderedPageBreak/>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30F54">
        <w:tc>
          <w:tcPr>
            <w:tcW w:w="1499" w:type="dxa"/>
            <w:vAlign w:val="center"/>
          </w:tcPr>
          <w:p w:rsidR="00630F54" w:rsidRDefault="000C0316">
            <w:pPr>
              <w:jc w:val="center"/>
            </w:pPr>
            <w:r>
              <w:rPr>
                <w:rFonts w:hint="eastAsia"/>
                <w:color w:val="000000"/>
                <w:sz w:val="24"/>
              </w:rPr>
              <w:t>2017</w:t>
            </w:r>
            <w:r>
              <w:rPr>
                <w:rFonts w:hint="eastAsia"/>
                <w:color w:val="000000"/>
                <w:sz w:val="24"/>
              </w:rPr>
              <w:t>年</w:t>
            </w:r>
          </w:p>
        </w:tc>
        <w:tc>
          <w:tcPr>
            <w:tcW w:w="1499" w:type="dxa"/>
            <w:vAlign w:val="center"/>
          </w:tcPr>
          <w:p w:rsidR="00630F54" w:rsidRDefault="000C0316">
            <w:pPr>
              <w:jc w:val="right"/>
            </w:pPr>
            <w:r>
              <w:rPr>
                <w:rFonts w:hint="eastAsia"/>
                <w:color w:val="000000"/>
                <w:sz w:val="24"/>
              </w:rPr>
              <w:t>94,553,699.87</w:t>
            </w:r>
          </w:p>
        </w:tc>
        <w:tc>
          <w:tcPr>
            <w:tcW w:w="1500" w:type="dxa"/>
            <w:vAlign w:val="center"/>
          </w:tcPr>
          <w:p w:rsidR="00630F54" w:rsidRDefault="000C0316">
            <w:pPr>
              <w:jc w:val="right"/>
            </w:pPr>
            <w:r>
              <w:rPr>
                <w:rFonts w:hint="eastAsia"/>
                <w:color w:val="000000"/>
                <w:sz w:val="24"/>
              </w:rPr>
              <w:t>-</w:t>
            </w:r>
          </w:p>
        </w:tc>
        <w:tc>
          <w:tcPr>
            <w:tcW w:w="1500" w:type="dxa"/>
            <w:vAlign w:val="center"/>
          </w:tcPr>
          <w:p w:rsidR="00630F54" w:rsidRDefault="000C0316">
            <w:pPr>
              <w:jc w:val="center"/>
            </w:pPr>
            <w:r>
              <w:rPr>
                <w:rFonts w:hint="eastAsia"/>
                <w:color w:val="000000"/>
                <w:sz w:val="24"/>
              </w:rPr>
              <w:t>1,650,971.63</w:t>
            </w:r>
          </w:p>
        </w:tc>
        <w:tc>
          <w:tcPr>
            <w:tcW w:w="1500" w:type="dxa"/>
            <w:vAlign w:val="center"/>
          </w:tcPr>
          <w:p w:rsidR="00630F54" w:rsidRDefault="000C0316">
            <w:pPr>
              <w:jc w:val="right"/>
            </w:pPr>
            <w:r>
              <w:rPr>
                <w:rFonts w:hint="eastAsia"/>
                <w:color w:val="000000"/>
                <w:sz w:val="24"/>
              </w:rPr>
              <w:t>96,204,671.50</w:t>
            </w:r>
          </w:p>
        </w:tc>
        <w:tc>
          <w:tcPr>
            <w:tcW w:w="1500" w:type="dxa"/>
            <w:vAlign w:val="center"/>
          </w:tcPr>
          <w:p w:rsidR="00630F54" w:rsidRDefault="000C0316">
            <w:pPr>
              <w:jc w:val="left"/>
            </w:pPr>
            <w:r>
              <w:rPr>
                <w:rFonts w:hint="eastAsia"/>
                <w:color w:val="000000"/>
                <w:sz w:val="24"/>
              </w:rPr>
              <w:t>-</w:t>
            </w:r>
          </w:p>
        </w:tc>
      </w:tr>
      <w:tr w:rsidR="00630F54">
        <w:tc>
          <w:tcPr>
            <w:tcW w:w="1499" w:type="dxa"/>
            <w:vAlign w:val="center"/>
          </w:tcPr>
          <w:p w:rsidR="00630F54" w:rsidRDefault="000C0316">
            <w:pPr>
              <w:jc w:val="center"/>
            </w:pPr>
            <w:r>
              <w:rPr>
                <w:rFonts w:hint="eastAsia"/>
                <w:color w:val="000000"/>
                <w:sz w:val="24"/>
              </w:rPr>
              <w:t>2016</w:t>
            </w:r>
            <w:r>
              <w:rPr>
                <w:rFonts w:hint="eastAsia"/>
                <w:color w:val="000000"/>
                <w:sz w:val="24"/>
              </w:rPr>
              <w:t>年</w:t>
            </w:r>
          </w:p>
        </w:tc>
        <w:tc>
          <w:tcPr>
            <w:tcW w:w="1499" w:type="dxa"/>
            <w:vAlign w:val="center"/>
          </w:tcPr>
          <w:p w:rsidR="00630F54" w:rsidRDefault="000C0316">
            <w:pPr>
              <w:jc w:val="right"/>
            </w:pPr>
            <w:r>
              <w:rPr>
                <w:rFonts w:hint="eastAsia"/>
                <w:color w:val="000000"/>
                <w:sz w:val="24"/>
              </w:rPr>
              <w:t>2,708,152.89</w:t>
            </w:r>
          </w:p>
        </w:tc>
        <w:tc>
          <w:tcPr>
            <w:tcW w:w="1500" w:type="dxa"/>
            <w:vAlign w:val="center"/>
          </w:tcPr>
          <w:p w:rsidR="00630F54" w:rsidRDefault="000C0316">
            <w:pPr>
              <w:jc w:val="right"/>
            </w:pPr>
            <w:r>
              <w:rPr>
                <w:rFonts w:hint="eastAsia"/>
                <w:color w:val="000000"/>
                <w:sz w:val="24"/>
              </w:rPr>
              <w:t>-</w:t>
            </w:r>
          </w:p>
        </w:tc>
        <w:tc>
          <w:tcPr>
            <w:tcW w:w="1500" w:type="dxa"/>
            <w:vAlign w:val="center"/>
          </w:tcPr>
          <w:p w:rsidR="00630F54" w:rsidRDefault="000C0316">
            <w:pPr>
              <w:jc w:val="center"/>
            </w:pPr>
            <w:r>
              <w:rPr>
                <w:rFonts w:hint="eastAsia"/>
                <w:color w:val="000000"/>
                <w:sz w:val="24"/>
              </w:rPr>
              <w:t>62,101.59</w:t>
            </w:r>
          </w:p>
        </w:tc>
        <w:tc>
          <w:tcPr>
            <w:tcW w:w="1500" w:type="dxa"/>
            <w:vAlign w:val="center"/>
          </w:tcPr>
          <w:p w:rsidR="00630F54" w:rsidRDefault="000C0316">
            <w:pPr>
              <w:jc w:val="right"/>
            </w:pPr>
            <w:r>
              <w:rPr>
                <w:rFonts w:hint="eastAsia"/>
                <w:color w:val="000000"/>
                <w:sz w:val="24"/>
              </w:rPr>
              <w:t>2,770,254.48</w:t>
            </w:r>
          </w:p>
        </w:tc>
        <w:tc>
          <w:tcPr>
            <w:tcW w:w="1500" w:type="dxa"/>
            <w:vAlign w:val="center"/>
          </w:tcPr>
          <w:p w:rsidR="00630F54" w:rsidRDefault="000C0316">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97,261,852.76</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1,713,073.22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98,974,925.98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630F54" w:rsidRDefault="000C0316">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630F54">
        <w:tc>
          <w:tcPr>
            <w:tcW w:w="1134" w:type="dxa"/>
            <w:vAlign w:val="center"/>
          </w:tcPr>
          <w:p w:rsidR="00630F54" w:rsidRDefault="000C0316">
            <w:pPr>
              <w:jc w:val="center"/>
            </w:pPr>
            <w:r>
              <w:rPr>
                <w:rFonts w:hint="eastAsia"/>
                <w:sz w:val="24"/>
              </w:rPr>
              <w:t>连端清</w:t>
            </w:r>
          </w:p>
        </w:tc>
        <w:tc>
          <w:tcPr>
            <w:tcW w:w="1134" w:type="dxa"/>
            <w:vAlign w:val="center"/>
          </w:tcPr>
          <w:p w:rsidR="00630F54" w:rsidRDefault="000C0316">
            <w:pPr>
              <w:jc w:val="center"/>
            </w:pPr>
            <w:r>
              <w:rPr>
                <w:rFonts w:hint="eastAsia"/>
                <w:sz w:val="24"/>
              </w:rPr>
              <w:t>交银货币、交银理财</w:t>
            </w:r>
            <w:r>
              <w:rPr>
                <w:rFonts w:hint="eastAsia"/>
                <w:sz w:val="24"/>
              </w:rPr>
              <w:t>60</w:t>
            </w:r>
            <w:r>
              <w:rPr>
                <w:rFonts w:hint="eastAsia"/>
                <w:sz w:val="24"/>
              </w:rPr>
              <w:t>天债券、交银丰盈收益债券、交银现金宝货币、交银丰</w:t>
            </w:r>
            <w:r>
              <w:rPr>
                <w:rFonts w:hint="eastAsia"/>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701" w:type="dxa"/>
            <w:vAlign w:val="center"/>
          </w:tcPr>
          <w:p w:rsidR="00630F54" w:rsidRDefault="000C0316">
            <w:pPr>
              <w:jc w:val="center"/>
            </w:pPr>
            <w:r>
              <w:rPr>
                <w:rFonts w:hint="eastAsia"/>
                <w:sz w:val="24"/>
              </w:rPr>
              <w:lastRenderedPageBreak/>
              <w:t>2016-07-27</w:t>
            </w:r>
          </w:p>
        </w:tc>
        <w:tc>
          <w:tcPr>
            <w:tcW w:w="1560" w:type="dxa"/>
            <w:vAlign w:val="center"/>
          </w:tcPr>
          <w:p w:rsidR="00630F54" w:rsidRDefault="000C0316">
            <w:pPr>
              <w:jc w:val="center"/>
            </w:pPr>
            <w:r>
              <w:rPr>
                <w:rFonts w:hint="eastAsia"/>
                <w:sz w:val="24"/>
              </w:rPr>
              <w:t>-</w:t>
            </w:r>
          </w:p>
        </w:tc>
        <w:tc>
          <w:tcPr>
            <w:tcW w:w="992" w:type="dxa"/>
            <w:vAlign w:val="center"/>
          </w:tcPr>
          <w:p w:rsidR="00630F54" w:rsidRDefault="000C0316">
            <w:pPr>
              <w:jc w:val="center"/>
            </w:pPr>
            <w:r>
              <w:rPr>
                <w:rFonts w:hint="eastAsia"/>
                <w:sz w:val="24"/>
              </w:rPr>
              <w:t>4</w:t>
            </w:r>
            <w:r>
              <w:rPr>
                <w:rFonts w:hint="eastAsia"/>
                <w:sz w:val="24"/>
              </w:rPr>
              <w:t>年</w:t>
            </w:r>
          </w:p>
        </w:tc>
        <w:tc>
          <w:tcPr>
            <w:tcW w:w="2477" w:type="dxa"/>
            <w:vAlign w:val="center"/>
          </w:tcPr>
          <w:p w:rsidR="00630F54" w:rsidRDefault="000C0316">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tc>
      </w:tr>
      <w:tr w:rsidR="00630F54">
        <w:tc>
          <w:tcPr>
            <w:tcW w:w="1134" w:type="dxa"/>
            <w:vAlign w:val="center"/>
          </w:tcPr>
          <w:p w:rsidR="00630F54" w:rsidRDefault="000C0316">
            <w:pPr>
              <w:jc w:val="center"/>
            </w:pPr>
            <w:r>
              <w:rPr>
                <w:rFonts w:hint="eastAsia"/>
                <w:sz w:val="24"/>
              </w:rPr>
              <w:t>黄莹洁</w:t>
            </w:r>
          </w:p>
        </w:tc>
        <w:tc>
          <w:tcPr>
            <w:tcW w:w="1134" w:type="dxa"/>
            <w:vAlign w:val="center"/>
          </w:tcPr>
          <w:p w:rsidR="00630F54" w:rsidRDefault="000C0316">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w:t>
            </w:r>
            <w:r>
              <w:rPr>
                <w:rFonts w:hint="eastAsia"/>
                <w:sz w:val="24"/>
              </w:rPr>
              <w:lastRenderedPageBreak/>
              <w:t>货币、交银天利宝货币、交银裕隆纯债债券、交银天鑫宝货币、交银天益宝货币、交银境尚收益债券的基金经理</w:t>
            </w:r>
          </w:p>
        </w:tc>
        <w:tc>
          <w:tcPr>
            <w:tcW w:w="1701" w:type="dxa"/>
            <w:vAlign w:val="center"/>
          </w:tcPr>
          <w:p w:rsidR="00630F54" w:rsidRDefault="000C0316">
            <w:pPr>
              <w:jc w:val="center"/>
            </w:pPr>
            <w:r>
              <w:rPr>
                <w:rFonts w:hint="eastAsia"/>
                <w:sz w:val="24"/>
              </w:rPr>
              <w:lastRenderedPageBreak/>
              <w:t>2016-07-27</w:t>
            </w:r>
          </w:p>
        </w:tc>
        <w:tc>
          <w:tcPr>
            <w:tcW w:w="1560" w:type="dxa"/>
            <w:vAlign w:val="center"/>
          </w:tcPr>
          <w:p w:rsidR="00630F54" w:rsidRDefault="000C0316">
            <w:pPr>
              <w:jc w:val="center"/>
            </w:pPr>
            <w:r>
              <w:rPr>
                <w:rFonts w:hint="eastAsia"/>
                <w:sz w:val="24"/>
              </w:rPr>
              <w:t>-</w:t>
            </w:r>
          </w:p>
        </w:tc>
        <w:tc>
          <w:tcPr>
            <w:tcW w:w="992" w:type="dxa"/>
            <w:vAlign w:val="center"/>
          </w:tcPr>
          <w:p w:rsidR="00630F54" w:rsidRDefault="000C0316">
            <w:pPr>
              <w:jc w:val="center"/>
            </w:pPr>
            <w:r>
              <w:rPr>
                <w:rFonts w:hint="eastAsia"/>
                <w:sz w:val="24"/>
              </w:rPr>
              <w:t>9</w:t>
            </w:r>
            <w:r>
              <w:rPr>
                <w:rFonts w:hint="eastAsia"/>
                <w:sz w:val="24"/>
              </w:rPr>
              <w:t>年</w:t>
            </w:r>
          </w:p>
        </w:tc>
        <w:tc>
          <w:tcPr>
            <w:tcW w:w="2477" w:type="dxa"/>
            <w:vAlign w:val="center"/>
          </w:tcPr>
          <w:p w:rsidR="00630F54" w:rsidRDefault="000C0316">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tc>
      </w:tr>
    </w:tbl>
    <w:p w:rsidR="00630F54" w:rsidRDefault="000C0316">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30F54" w:rsidRDefault="000C0316">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630F54" w:rsidRDefault="000C0316">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630F54" w:rsidRDefault="000C0316">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w:t>
      </w:r>
      <w:r>
        <w:rPr>
          <w:rFonts w:hint="eastAsia"/>
          <w:color w:val="000000"/>
          <w:sz w:val="24"/>
        </w:rPr>
        <w:lastRenderedPageBreak/>
        <w:t>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630F54" w:rsidRDefault="000C0316">
      <w:pPr>
        <w:spacing w:before="29" w:line="288" w:lineRule="auto"/>
        <w:ind w:firstLineChars="200" w:firstLine="480"/>
        <w:rPr>
          <w:color w:val="000000"/>
          <w:sz w:val="24"/>
        </w:rPr>
      </w:pPr>
      <w:r>
        <w:rPr>
          <w:rFonts w:hint="eastAsia"/>
          <w:color w:val="000000"/>
          <w:sz w:val="24"/>
        </w:rPr>
        <w:t>2017</w:t>
      </w:r>
      <w:r>
        <w:rPr>
          <w:rFonts w:hint="eastAsia"/>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color w:val="000000"/>
          <w:sz w:val="24"/>
        </w:rPr>
        <w:t>CPI</w:t>
      </w:r>
      <w:r>
        <w:rPr>
          <w:rFonts w:hint="eastAsia"/>
          <w:color w:val="000000"/>
          <w:sz w:val="24"/>
        </w:rPr>
        <w:t>在低位运行。经济结构上，消费对</w:t>
      </w:r>
      <w:r>
        <w:rPr>
          <w:rFonts w:hint="eastAsia"/>
          <w:color w:val="000000"/>
          <w:sz w:val="24"/>
        </w:rPr>
        <w:t>GDP</w:t>
      </w:r>
      <w:r>
        <w:rPr>
          <w:rFonts w:hint="eastAsia"/>
          <w:color w:val="000000"/>
          <w:sz w:val="24"/>
        </w:rPr>
        <w:t>贡献较高，投资的影响继续减弱。</w:t>
      </w:r>
    </w:p>
    <w:p w:rsidR="00630F54" w:rsidRDefault="000C0316">
      <w:pPr>
        <w:spacing w:before="29" w:line="288" w:lineRule="auto"/>
        <w:ind w:firstLineChars="200" w:firstLine="480"/>
        <w:rPr>
          <w:color w:val="000000"/>
          <w:sz w:val="24"/>
        </w:rPr>
      </w:pPr>
      <w:r>
        <w:rPr>
          <w:rFonts w:hint="eastAsia"/>
          <w:color w:val="000000"/>
          <w:sz w:val="24"/>
        </w:rPr>
        <w:t>相对较好的经济表现显著增强了海内外监管当局推动货币政策回归正常化的决心与力度。尤其在国内，监管当局全面着手清理过去几年出现的金融乱象，“加强金融监</w:t>
      </w:r>
      <w:r>
        <w:rPr>
          <w:rFonts w:hint="eastAsia"/>
          <w:color w:val="000000"/>
          <w:sz w:val="24"/>
        </w:rPr>
        <w:lastRenderedPageBreak/>
        <w:t>管，严控金融风险”成为今年金融领域的关键词，监管政策再次成为今年债市波动的核心变量。货币政策上，央行今年通过上调公开市场操作利率，谨慎引导存贷款等资金利率上行，</w:t>
      </w:r>
      <w:r>
        <w:rPr>
          <w:rFonts w:hint="eastAsia"/>
          <w:color w:val="000000"/>
          <w:sz w:val="24"/>
        </w:rPr>
        <w:t>2</w:t>
      </w:r>
      <w:r>
        <w:rPr>
          <w:rFonts w:hint="eastAsia"/>
          <w:color w:val="000000"/>
          <w:sz w:val="24"/>
        </w:rPr>
        <w:t>月</w:t>
      </w:r>
      <w:r>
        <w:rPr>
          <w:rFonts w:hint="eastAsia"/>
          <w:color w:val="000000"/>
          <w:sz w:val="24"/>
        </w:rPr>
        <w:t>3</w:t>
      </w:r>
      <w:r>
        <w:rPr>
          <w:rFonts w:hint="eastAsia"/>
          <w:color w:val="000000"/>
          <w:sz w:val="24"/>
        </w:rPr>
        <w:t>日与</w:t>
      </w:r>
      <w:r>
        <w:rPr>
          <w:rFonts w:hint="eastAsia"/>
          <w:color w:val="000000"/>
          <w:sz w:val="24"/>
        </w:rPr>
        <w:t>3</w:t>
      </w:r>
      <w:r>
        <w:rPr>
          <w:rFonts w:hint="eastAsia"/>
          <w:color w:val="000000"/>
          <w:sz w:val="24"/>
        </w:rPr>
        <w:t>月</w:t>
      </w:r>
      <w:r>
        <w:rPr>
          <w:rFonts w:hint="eastAsia"/>
          <w:color w:val="000000"/>
          <w:sz w:val="24"/>
        </w:rPr>
        <w:t>16</w:t>
      </w:r>
      <w:r>
        <w:rPr>
          <w:rFonts w:hint="eastAsia"/>
          <w:color w:val="000000"/>
          <w:sz w:val="24"/>
        </w:rPr>
        <w:t>日央行两次上调公开市场操作利率及</w:t>
      </w:r>
      <w:r>
        <w:rPr>
          <w:rFonts w:hint="eastAsia"/>
          <w:color w:val="000000"/>
          <w:sz w:val="24"/>
        </w:rPr>
        <w:t>SLF</w:t>
      </w:r>
      <w:r>
        <w:rPr>
          <w:rFonts w:hint="eastAsia"/>
          <w:color w:val="000000"/>
          <w:sz w:val="24"/>
        </w:rPr>
        <w:t>等定向工具利率，</w:t>
      </w:r>
      <w:r>
        <w:rPr>
          <w:rFonts w:hint="eastAsia"/>
          <w:color w:val="000000"/>
          <w:sz w:val="24"/>
        </w:rPr>
        <w:t>12</w:t>
      </w:r>
      <w:r>
        <w:rPr>
          <w:rFonts w:hint="eastAsia"/>
          <w:color w:val="000000"/>
          <w:sz w:val="24"/>
        </w:rPr>
        <w:t>月</w:t>
      </w:r>
      <w:r>
        <w:rPr>
          <w:rFonts w:hint="eastAsia"/>
          <w:color w:val="000000"/>
          <w:sz w:val="24"/>
        </w:rPr>
        <w:t>14</w:t>
      </w:r>
      <w:r>
        <w:rPr>
          <w:rFonts w:hint="eastAsia"/>
          <w:color w:val="000000"/>
          <w:sz w:val="24"/>
        </w:rPr>
        <w:t>日央行小幅提升公开市场及</w:t>
      </w:r>
      <w:r>
        <w:rPr>
          <w:rFonts w:hint="eastAsia"/>
          <w:color w:val="000000"/>
          <w:sz w:val="24"/>
        </w:rPr>
        <w:t>MLF</w:t>
      </w:r>
      <w:r>
        <w:rPr>
          <w:rFonts w:hint="eastAsia"/>
          <w:color w:val="000000"/>
          <w:sz w:val="24"/>
        </w:rPr>
        <w:t>操作利率</w:t>
      </w:r>
      <w:r>
        <w:rPr>
          <w:rFonts w:hint="eastAsia"/>
          <w:color w:val="000000"/>
          <w:sz w:val="24"/>
        </w:rPr>
        <w:t>5</w:t>
      </w:r>
      <w:r>
        <w:rPr>
          <w:rFonts w:hint="eastAsia"/>
          <w:color w:val="000000"/>
          <w:sz w:val="24"/>
        </w:rPr>
        <w:t>个</w:t>
      </w:r>
      <w:r>
        <w:rPr>
          <w:rFonts w:hint="eastAsia"/>
          <w:color w:val="000000"/>
          <w:sz w:val="24"/>
        </w:rPr>
        <w:t>BP</w:t>
      </w:r>
      <w:r>
        <w:rPr>
          <w:rFonts w:hint="eastAsia"/>
          <w:color w:val="000000"/>
          <w:sz w:val="24"/>
        </w:rPr>
        <w:t>。监管政策上，金融监管政策朝着防控金融风险方向持续收紧。四月份银监会政策转向防控风控、加强银行业监管，</w:t>
      </w:r>
      <w:r>
        <w:rPr>
          <w:rFonts w:hint="eastAsia"/>
          <w:color w:val="000000"/>
          <w:sz w:val="24"/>
        </w:rPr>
        <w:t>11</w:t>
      </w:r>
      <w:r>
        <w:rPr>
          <w:rFonts w:hint="eastAsia"/>
          <w:color w:val="000000"/>
          <w:sz w:val="24"/>
        </w:rPr>
        <w:t>月</w:t>
      </w:r>
      <w:r>
        <w:rPr>
          <w:rFonts w:hint="eastAsia"/>
          <w:color w:val="000000"/>
          <w:sz w:val="24"/>
        </w:rPr>
        <w:t>8</w:t>
      </w:r>
      <w:r>
        <w:rPr>
          <w:rFonts w:hint="eastAsia"/>
          <w:color w:val="000000"/>
          <w:sz w:val="24"/>
        </w:rPr>
        <w:t>日国务院金融稳定发展委员会正式成立并召开第一次会议，</w:t>
      </w:r>
      <w:r>
        <w:rPr>
          <w:rFonts w:hint="eastAsia"/>
          <w:color w:val="000000"/>
          <w:sz w:val="24"/>
        </w:rPr>
        <w:t>11</w:t>
      </w:r>
      <w:r>
        <w:rPr>
          <w:rFonts w:hint="eastAsia"/>
          <w:color w:val="000000"/>
          <w:sz w:val="24"/>
        </w:rPr>
        <w:t>月</w:t>
      </w:r>
      <w:r>
        <w:rPr>
          <w:rFonts w:hint="eastAsia"/>
          <w:color w:val="000000"/>
          <w:sz w:val="24"/>
        </w:rPr>
        <w:t>17</w:t>
      </w:r>
      <w:r>
        <w:rPr>
          <w:rFonts w:hint="eastAsia"/>
          <w:color w:val="000000"/>
          <w:sz w:val="24"/>
        </w:rPr>
        <w:t>日央行发布《关于规范金融机构资产管理业务的指导意见（征求意见稿）》，资管业务结构重塑大幕开启。</w:t>
      </w:r>
    </w:p>
    <w:p w:rsidR="00630F54" w:rsidRDefault="000C0316">
      <w:pPr>
        <w:spacing w:before="29" w:line="288" w:lineRule="auto"/>
        <w:ind w:firstLineChars="200" w:firstLine="480"/>
        <w:rPr>
          <w:color w:val="000000"/>
          <w:sz w:val="24"/>
        </w:rPr>
      </w:pPr>
      <w:r>
        <w:rPr>
          <w:rFonts w:hint="eastAsia"/>
          <w:color w:val="00000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rFonts w:hint="eastAsia"/>
          <w:color w:val="000000"/>
          <w:sz w:val="24"/>
        </w:rPr>
        <w:t>10</w:t>
      </w:r>
      <w:r>
        <w:rPr>
          <w:rFonts w:hint="eastAsia"/>
          <w:color w:val="000000"/>
          <w:sz w:val="24"/>
        </w:rPr>
        <w:t>年期国开债年底</w:t>
      </w:r>
      <w:r>
        <w:rPr>
          <w:rFonts w:hint="eastAsia"/>
          <w:color w:val="000000"/>
          <w:sz w:val="24"/>
        </w:rPr>
        <w:t>YTM</w:t>
      </w:r>
      <w:r>
        <w:rPr>
          <w:rFonts w:hint="eastAsia"/>
          <w:color w:val="000000"/>
          <w:sz w:val="24"/>
        </w:rPr>
        <w:t>较去年末上升</w:t>
      </w:r>
      <w:r>
        <w:rPr>
          <w:rFonts w:hint="eastAsia"/>
          <w:color w:val="000000"/>
          <w:sz w:val="24"/>
        </w:rPr>
        <w:t>110BP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流动性满足持有人赎回需求，管控信用风险，择机调整组合久期与杠杆，在资产类别配置上，择机加大存款、同业存单等货币品种配置力度，灵活调整各品种配置比例，为持有人创造稳健回报。</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本报告期内，交银活期通</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3.8067%</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；交银活期通</w:t>
      </w:r>
      <w:r w:rsidRPr="00C64C58">
        <w:rPr>
          <w:rFonts w:hint="eastAsia"/>
          <w:color w:val="000000"/>
          <w:sz w:val="24"/>
        </w:rPr>
        <w:t>E</w:t>
      </w:r>
      <w:r w:rsidRPr="00C64C58">
        <w:rPr>
          <w:rFonts w:hint="eastAsia"/>
          <w:color w:val="000000"/>
          <w:sz w:val="24"/>
        </w:rPr>
        <w:t>净值收益率为</w:t>
      </w:r>
      <w:r w:rsidRPr="00C64C58">
        <w:rPr>
          <w:rFonts w:hint="eastAsia"/>
          <w:color w:val="000000"/>
          <w:sz w:val="24"/>
        </w:rPr>
        <w:t>4.0545%</w:t>
      </w:r>
      <w:r w:rsidRPr="00C64C58">
        <w:rPr>
          <w:rFonts w:hint="eastAsia"/>
          <w:color w:val="000000"/>
          <w:sz w:val="24"/>
        </w:rPr>
        <w:t>，同期业绩比较基准收益率为</w:t>
      </w:r>
      <w:r w:rsidRPr="00C64C58">
        <w:rPr>
          <w:rFonts w:hint="eastAsia"/>
          <w:color w:val="000000"/>
          <w:sz w:val="24"/>
        </w:rPr>
        <w:t>0.3500%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努力把握市场机会，尽力控制信用风险，努力为投资者创造稳健的回报。</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630F54" w:rsidRDefault="000C0316">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30F54" w:rsidRDefault="000C0316">
      <w:pPr>
        <w:spacing w:before="29" w:line="288" w:lineRule="auto"/>
        <w:ind w:firstLineChars="200" w:firstLine="480"/>
        <w:rPr>
          <w:color w:val="000000"/>
          <w:sz w:val="24"/>
        </w:rPr>
      </w:pPr>
      <w:r>
        <w:rPr>
          <w:rFonts w:hint="eastAsia"/>
          <w:color w:val="000000"/>
          <w:sz w:val="24"/>
        </w:rPr>
        <w:t xml:space="preserve">    </w:t>
      </w:r>
      <w:r>
        <w:rPr>
          <w:rFonts w:hint="eastAsia"/>
          <w:color w:val="000000"/>
          <w:sz w:val="24"/>
        </w:rPr>
        <w:t>公司严格按照新会计准则、证监会相关规定和基金合同关于估值的约定进行估值，保证基金估值的公平、合理，保持估值政策和程序的一贯性。估值委员会的研究部</w:t>
      </w:r>
      <w:r>
        <w:rPr>
          <w:rFonts w:hint="eastAsia"/>
          <w:color w:val="000000"/>
          <w:sz w:val="24"/>
        </w:rPr>
        <w:lastRenderedPageBreak/>
        <w:t>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565278">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lastRenderedPageBreak/>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交银施罗德活期通货币市场基金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21963</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会计主体：交银施罗德活期通货币市场基金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9,052,796,494.89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1,173,103,110.97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18,059,090.91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9,326,203,692.86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259,226,839.74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9,326,203,692.86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259,226,839.74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5,402,540,624.07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316,051,665.73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126,954.71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82,302,620.42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8,440,261.80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87,018,005.10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37,162.00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lastRenderedPageBreak/>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23,969,047,482.96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1,756,859,040.24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4,566,480.32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314,325.66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761,080.05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52,387.61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2,214,267.84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208,427.32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67,872.81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9,717.28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3,083,023.09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171,699.30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10,892,024.11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865,857.17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23,958,155,458.85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1,755,993,183.07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23,958,155,458.85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1,755,993,183.07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23,969,047,482.96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1,756,859,040.24</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23,958,155,458.85</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类基金份额总额</w:t>
      </w:r>
      <w:r w:rsidR="00223DFB" w:rsidRPr="005124D4">
        <w:rPr>
          <w:rFonts w:hint="eastAsia"/>
          <w:kern w:val="0"/>
          <w:sz w:val="24"/>
        </w:rPr>
        <w:t xml:space="preserve">   10,949,621,912.61 </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类基金份额总额</w:t>
      </w:r>
      <w:r w:rsidR="00223DFB" w:rsidRPr="005124D4">
        <w:rPr>
          <w:rFonts w:hint="eastAsia"/>
          <w:kern w:val="0"/>
          <w:sz w:val="24"/>
        </w:rPr>
        <w:t xml:space="preserve">   13,008,533,546.24 </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会计主体：交银施罗德活期通货币市场基金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7</w:t>
            </w:r>
            <w:r w:rsidRPr="0041404C">
              <w:rPr>
                <w:rFonts w:ascii="Times New Roman" w:hAnsi="Times New Roman" w:hint="eastAsia"/>
                <w:b/>
                <w:color w:val="000000"/>
              </w:rPr>
              <w:t>月</w:t>
            </w:r>
            <w:r w:rsidRPr="0041404C">
              <w:rPr>
                <w:rFonts w:ascii="Times New Roman" w:hAnsi="Times New Roman" w:hint="eastAsia"/>
                <w:b/>
                <w:color w:val="000000"/>
              </w:rPr>
              <w:t>27</w:t>
            </w:r>
            <w:r w:rsidRPr="0041404C">
              <w:rPr>
                <w:rFonts w:ascii="Times New Roman" w:hAnsi="Times New Roman" w:hint="eastAsia"/>
                <w:b/>
                <w:color w:val="000000"/>
              </w:rPr>
              <w:t>日（基金合同生效日）至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322,922,910.52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8,464,162.45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322,473,096.82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8,409,522.00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147,942,000.38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6,097,100.89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135,912,361.67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1,051,493.56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38,618,734.77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1,260,927.55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449,813.70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54,640.45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449,813.70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54,640.45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42,975,104.95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1,514,446.31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20,808,836.21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764,960.46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3,468,139.26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127,493.39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11,954,531.15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394,128.58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6,451,257.49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100,005.39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6,451,257.49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100,005.39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292,340.84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127,858.49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279,947,805.57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6,949,716.14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lastRenderedPageBreak/>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279,947,805.57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6,949,716.14</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会计主体：交银施罗德活期通货币市场基金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22,202,162,275.78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22,202,162,275.78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66,889,718,980.20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66,889,718,980.20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-44,687,556,704.42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-44,687,556,704.42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-279,947,805.57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23,958,155,458.85</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7</w:t>
            </w:r>
            <w:r w:rsidRPr="00A96CD0">
              <w:rPr>
                <w:rFonts w:ascii="Times New Roman" w:hAnsi="Times New Roman" w:hint="eastAsia"/>
                <w:b/>
                <w:kern w:val="2"/>
              </w:rPr>
              <w:t>月</w:t>
            </w:r>
            <w:r w:rsidRPr="00A96CD0">
              <w:rPr>
                <w:rFonts w:ascii="Times New Roman" w:hAnsi="Times New Roman" w:hint="eastAsia"/>
                <w:b/>
                <w:kern w:val="2"/>
              </w:rPr>
              <w:t>27</w:t>
            </w:r>
            <w:r w:rsidRPr="00A96CD0">
              <w:rPr>
                <w:rFonts w:ascii="Times New Roman" w:hAnsi="Times New Roman" w:hint="eastAsia"/>
                <w:b/>
                <w:kern w:val="2"/>
              </w:rPr>
              <w:t>日（基金合同生效日）至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210,080,375.35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210,080,375.35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w:t>
            </w:r>
            <w:r w:rsidRPr="000452E1">
              <w:rPr>
                <w:rFonts w:hint="eastAsia"/>
                <w:sz w:val="24"/>
              </w:rPr>
              <w:lastRenderedPageBreak/>
              <w:t>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1,545,912,807.72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1,545,912,807.72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3,503,520,995.60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3,503,520,995.60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-1,957,608,187.88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-1,957,608,187.88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-6,949,716.14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1,755,993,183.07</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630F54" w:rsidRDefault="000C0316">
      <w:pPr>
        <w:spacing w:before="29" w:line="288" w:lineRule="auto"/>
        <w:ind w:firstLineChars="200" w:firstLine="480"/>
        <w:rPr>
          <w:color w:val="000000"/>
          <w:sz w:val="24"/>
        </w:rPr>
      </w:pPr>
      <w:r>
        <w:rPr>
          <w:rFonts w:hint="eastAsia"/>
          <w:color w:val="000000"/>
          <w:sz w:val="24"/>
        </w:rPr>
        <w:t>交银施罗德活期通货币市场基金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[2016]1570</w:t>
      </w:r>
      <w:r>
        <w:rPr>
          <w:rFonts w:hint="eastAsia"/>
          <w:color w:val="00000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存续期限不定。首次设立募集不包括认购资金利息共募集人民币</w:t>
      </w:r>
      <w:r>
        <w:rPr>
          <w:rFonts w:hint="eastAsia"/>
          <w:color w:val="000000"/>
          <w:sz w:val="24"/>
        </w:rPr>
        <w:t>210,070,922.49</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996</w:t>
      </w:r>
      <w:r>
        <w:rPr>
          <w:rFonts w:hint="eastAsia"/>
          <w:color w:val="000000"/>
          <w:sz w:val="24"/>
        </w:rPr>
        <w:t>号验资报告予以验证。经向中国证监会备案，《交银施罗德活期通货币市场基金基金合同》于</w:t>
      </w:r>
      <w:r>
        <w:rPr>
          <w:rFonts w:hint="eastAsia"/>
          <w:color w:val="000000"/>
          <w:sz w:val="24"/>
        </w:rPr>
        <w:t>2016</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27</w:t>
      </w:r>
      <w:r>
        <w:rPr>
          <w:rFonts w:hint="eastAsia"/>
          <w:color w:val="000000"/>
          <w:sz w:val="24"/>
        </w:rPr>
        <w:t>日正式生效，基金合同生效日的基金份额总额为</w:t>
      </w:r>
      <w:r>
        <w:rPr>
          <w:rFonts w:hint="eastAsia"/>
          <w:color w:val="000000"/>
          <w:sz w:val="24"/>
        </w:rPr>
        <w:t>210,080,375.35</w:t>
      </w:r>
      <w:r>
        <w:rPr>
          <w:rFonts w:hint="eastAsia"/>
          <w:color w:val="000000"/>
          <w:sz w:val="24"/>
        </w:rPr>
        <w:t>份基金份额，其中认购资金利息折合</w:t>
      </w:r>
      <w:r>
        <w:rPr>
          <w:rFonts w:hint="eastAsia"/>
          <w:color w:val="000000"/>
          <w:sz w:val="24"/>
        </w:rPr>
        <w:t>9,452.86</w:t>
      </w:r>
      <w:r>
        <w:rPr>
          <w:rFonts w:hint="eastAsia"/>
          <w:color w:val="000000"/>
          <w:sz w:val="24"/>
        </w:rPr>
        <w:t>份基金份额。本基金的基金管理人为交银施罗德基金管理有限公司，基金托管人为中信建投证券股份有限公司。</w:t>
      </w:r>
    </w:p>
    <w:p w:rsidR="00630F54" w:rsidRDefault="000C0316">
      <w:pPr>
        <w:spacing w:before="29" w:line="288" w:lineRule="auto"/>
        <w:ind w:firstLineChars="200" w:firstLine="480"/>
        <w:rPr>
          <w:color w:val="000000"/>
          <w:sz w:val="24"/>
        </w:rPr>
      </w:pPr>
      <w:r>
        <w:rPr>
          <w:rFonts w:hint="eastAsia"/>
          <w:color w:val="000000"/>
          <w:sz w:val="24"/>
        </w:rPr>
        <w:t>根据《交银施罗德活期通货币市场基金基金合同》和《交银施罗德活期通货币市场基金招募说明书》的相关规定，本基金根据销售服务费收取方式的不同，将基金份额分为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类基金份额。两类基金份额单独设置基</w:t>
      </w:r>
      <w:r>
        <w:rPr>
          <w:rFonts w:hint="eastAsia"/>
          <w:color w:val="000000"/>
          <w:sz w:val="24"/>
        </w:rPr>
        <w:lastRenderedPageBreak/>
        <w:t>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630F54" w:rsidRDefault="000C0316">
      <w:pPr>
        <w:spacing w:before="29" w:line="288" w:lineRule="auto"/>
        <w:ind w:firstLineChars="200" w:firstLine="480"/>
        <w:rPr>
          <w:color w:val="000000"/>
          <w:sz w:val="24"/>
        </w:rPr>
      </w:pPr>
      <w:r>
        <w:rPr>
          <w:rFonts w:hint="eastAsia"/>
          <w:color w:val="000000"/>
          <w:sz w:val="24"/>
        </w:rPr>
        <w:t>根据《中华人民共和国证券投资基金法》和《交银施罗德活期通货币市场基金基金合同》的有关规定，本基金的投资范围为法律法规及监管机构允许投资的金融工具，包括现金，期限在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630F54" w:rsidRDefault="000C0316">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颁布的《证券投资基金会计核算业务指引》、《交银施罗德活期通货币市场基金基金合同》和在财务报表附注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2017</w:t>
      </w:r>
      <w:r w:rsidRPr="00FE0F8A">
        <w:rPr>
          <w:rFonts w:hint="eastAsia"/>
          <w:color w:val="000000"/>
          <w:sz w:val="24"/>
        </w:rPr>
        <w:t>年度财务报表符合企业会计准则的要求，真实、完整地反映了本基金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C1774D" w:rsidRDefault="00C1774D" w:rsidP="00FE0F8A">
      <w:pPr>
        <w:spacing w:before="29" w:line="288" w:lineRule="auto"/>
        <w:ind w:firstLineChars="200" w:firstLine="480"/>
        <w:rPr>
          <w:rFonts w:hint="eastAsia"/>
          <w:color w:val="000000"/>
          <w:sz w:val="24"/>
        </w:rPr>
      </w:pPr>
      <w:bookmarkStart w:id="10" w:name="_GoBack"/>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本基金在本报告期间无须说明的会计差错更正。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630F54" w:rsidRDefault="000C0316">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号《关于金融机构同业往来等增值税政策的补充通知》及其他相关财税法规和实务操作，主要税项列示如下：</w:t>
      </w:r>
    </w:p>
    <w:p w:rsidR="00630F54" w:rsidRDefault="000C0316">
      <w:pPr>
        <w:spacing w:before="29" w:line="288" w:lineRule="auto"/>
        <w:ind w:firstLineChars="200" w:firstLine="480"/>
        <w:rPr>
          <w:color w:val="000000"/>
          <w:sz w:val="24"/>
        </w:rPr>
      </w:pPr>
      <w:r>
        <w:rPr>
          <w:rFonts w:hint="eastAsia"/>
          <w:color w:val="000000"/>
          <w:sz w:val="24"/>
        </w:rPr>
        <w:t>(1)</w:t>
      </w:r>
      <w:r>
        <w:rPr>
          <w:rFonts w:hint="eastAsia"/>
          <w:color w:val="000000"/>
          <w:sz w:val="24"/>
        </w:rPr>
        <w:t>对证券投资基金管理人运用基金买卖债券的转让收入免征增值税，对国债、地方政府债以及金融同业往来利息收入亦免征增值税。</w:t>
      </w:r>
    </w:p>
    <w:p w:rsidR="00630F54" w:rsidRDefault="000C0316">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630F54">
        <w:tc>
          <w:tcPr>
            <w:tcW w:w="4499" w:type="dxa"/>
            <w:vAlign w:val="center"/>
          </w:tcPr>
          <w:p w:rsidR="00630F54" w:rsidRDefault="000C0316">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630F54" w:rsidRDefault="000C0316">
            <w:pPr>
              <w:jc w:val="left"/>
            </w:pPr>
            <w:r>
              <w:rPr>
                <w:rFonts w:hint="eastAsia"/>
                <w:color w:val="000000"/>
                <w:sz w:val="24"/>
              </w:rPr>
              <w:t>基金管理人、基金注册登记机构、基金销售机构</w:t>
            </w:r>
          </w:p>
        </w:tc>
      </w:tr>
      <w:tr w:rsidR="00630F54">
        <w:tc>
          <w:tcPr>
            <w:tcW w:w="4499" w:type="dxa"/>
            <w:vAlign w:val="center"/>
          </w:tcPr>
          <w:p w:rsidR="00630F54" w:rsidRDefault="000C0316">
            <w:pPr>
              <w:jc w:val="left"/>
            </w:pPr>
            <w:r>
              <w:rPr>
                <w:rFonts w:hint="eastAsia"/>
                <w:color w:val="000000"/>
                <w:sz w:val="24"/>
              </w:rPr>
              <w:t>中信建投证券股份有限公司</w:t>
            </w:r>
            <w:r>
              <w:rPr>
                <w:rFonts w:hint="eastAsia"/>
                <w:color w:val="000000"/>
                <w:sz w:val="24"/>
              </w:rPr>
              <w:t>(</w:t>
            </w:r>
            <w:r>
              <w:rPr>
                <w:rFonts w:hint="eastAsia"/>
                <w:color w:val="000000"/>
                <w:sz w:val="24"/>
              </w:rPr>
              <w:t>“中信建投证券”</w:t>
            </w:r>
            <w:r>
              <w:rPr>
                <w:rFonts w:hint="eastAsia"/>
                <w:color w:val="000000"/>
                <w:sz w:val="24"/>
              </w:rPr>
              <w:t>)</w:t>
            </w:r>
          </w:p>
        </w:tc>
        <w:tc>
          <w:tcPr>
            <w:tcW w:w="4499" w:type="dxa"/>
            <w:vAlign w:val="center"/>
          </w:tcPr>
          <w:p w:rsidR="00630F54" w:rsidRDefault="000C0316">
            <w:pPr>
              <w:jc w:val="left"/>
            </w:pPr>
            <w:r>
              <w:rPr>
                <w:rFonts w:hint="eastAsia"/>
                <w:color w:val="000000"/>
                <w:sz w:val="24"/>
              </w:rPr>
              <w:t>基金托管人</w:t>
            </w:r>
          </w:p>
        </w:tc>
      </w:tr>
      <w:tr w:rsidR="00630F54">
        <w:tc>
          <w:tcPr>
            <w:tcW w:w="4499" w:type="dxa"/>
            <w:vAlign w:val="center"/>
          </w:tcPr>
          <w:p w:rsidR="00630F54" w:rsidRDefault="000C0316">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630F54" w:rsidRDefault="000C0316">
            <w:pPr>
              <w:jc w:val="left"/>
            </w:pPr>
            <w:r>
              <w:rPr>
                <w:rFonts w:hint="eastAsia"/>
                <w:color w:val="000000"/>
                <w:sz w:val="24"/>
              </w:rPr>
              <w:t>基金管理人的股东、基金销售机构</w:t>
            </w:r>
          </w:p>
        </w:tc>
      </w:tr>
      <w:tr w:rsidR="00630F54">
        <w:tc>
          <w:tcPr>
            <w:tcW w:w="4499" w:type="dxa"/>
            <w:vAlign w:val="center"/>
          </w:tcPr>
          <w:p w:rsidR="00630F54" w:rsidRDefault="000C0316">
            <w:pPr>
              <w:jc w:val="left"/>
            </w:pPr>
            <w:r>
              <w:rPr>
                <w:rFonts w:hint="eastAsia"/>
                <w:color w:val="000000"/>
                <w:sz w:val="24"/>
              </w:rPr>
              <w:t>施罗德投资管理有限公司</w:t>
            </w:r>
          </w:p>
        </w:tc>
        <w:tc>
          <w:tcPr>
            <w:tcW w:w="4499" w:type="dxa"/>
            <w:vAlign w:val="center"/>
          </w:tcPr>
          <w:p w:rsidR="00630F54" w:rsidRDefault="000C0316">
            <w:pPr>
              <w:jc w:val="left"/>
            </w:pPr>
            <w:r>
              <w:rPr>
                <w:rFonts w:hint="eastAsia"/>
                <w:color w:val="000000"/>
                <w:sz w:val="24"/>
              </w:rPr>
              <w:t>基金管理人的股东</w:t>
            </w:r>
          </w:p>
        </w:tc>
      </w:tr>
      <w:tr w:rsidR="00630F54">
        <w:tc>
          <w:tcPr>
            <w:tcW w:w="4499" w:type="dxa"/>
            <w:vAlign w:val="center"/>
          </w:tcPr>
          <w:p w:rsidR="00630F54" w:rsidRDefault="000C0316">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630F54" w:rsidRDefault="000C0316">
            <w:pPr>
              <w:jc w:val="left"/>
            </w:pPr>
            <w:r>
              <w:rPr>
                <w:rFonts w:hint="eastAsia"/>
                <w:color w:val="000000"/>
                <w:sz w:val="24"/>
              </w:rPr>
              <w:t>基金管理人的股东</w:t>
            </w:r>
          </w:p>
        </w:tc>
      </w:tr>
      <w:tr w:rsidR="00630F54">
        <w:tc>
          <w:tcPr>
            <w:tcW w:w="4499" w:type="dxa"/>
            <w:vAlign w:val="center"/>
          </w:tcPr>
          <w:p w:rsidR="00630F54" w:rsidRDefault="000C0316">
            <w:pPr>
              <w:jc w:val="left"/>
            </w:pPr>
            <w:r>
              <w:rPr>
                <w:rFonts w:hint="eastAsia"/>
                <w:color w:val="000000"/>
                <w:sz w:val="24"/>
              </w:rPr>
              <w:t>交银施罗德资产管理有限公司</w:t>
            </w:r>
            <w:r>
              <w:rPr>
                <w:rFonts w:hint="eastAsia"/>
                <w:color w:val="000000"/>
                <w:sz w:val="24"/>
              </w:rPr>
              <w:t>(</w:t>
            </w:r>
            <w:r>
              <w:rPr>
                <w:rFonts w:hint="eastAsia"/>
                <w:color w:val="000000"/>
                <w:sz w:val="24"/>
              </w:rPr>
              <w:t>“交银施罗德资产公司”</w:t>
            </w:r>
            <w:r>
              <w:rPr>
                <w:rFonts w:hint="eastAsia"/>
                <w:color w:val="000000"/>
                <w:sz w:val="24"/>
              </w:rPr>
              <w:t>)</w:t>
            </w:r>
          </w:p>
        </w:tc>
        <w:tc>
          <w:tcPr>
            <w:tcW w:w="4499" w:type="dxa"/>
            <w:vAlign w:val="center"/>
          </w:tcPr>
          <w:p w:rsidR="00630F54" w:rsidRDefault="000C0316">
            <w:pPr>
              <w:jc w:val="left"/>
            </w:pPr>
            <w:r>
              <w:rPr>
                <w:rFonts w:hint="eastAsia"/>
                <w:color w:val="000000"/>
                <w:sz w:val="24"/>
              </w:rPr>
              <w:t>基金管理人的子公司</w:t>
            </w:r>
          </w:p>
        </w:tc>
      </w:tr>
      <w:tr w:rsidR="00630F54">
        <w:tc>
          <w:tcPr>
            <w:tcW w:w="4499" w:type="dxa"/>
            <w:vAlign w:val="center"/>
          </w:tcPr>
          <w:p w:rsidR="00630F54" w:rsidRDefault="000C0316">
            <w:pPr>
              <w:jc w:val="left"/>
            </w:pPr>
            <w:r>
              <w:rPr>
                <w:rFonts w:hint="eastAsia"/>
                <w:color w:val="000000"/>
                <w:sz w:val="24"/>
              </w:rPr>
              <w:t>上海直源投资管理有限公司</w:t>
            </w:r>
          </w:p>
        </w:tc>
        <w:tc>
          <w:tcPr>
            <w:tcW w:w="4499" w:type="dxa"/>
            <w:vAlign w:val="center"/>
          </w:tcPr>
          <w:p w:rsidR="00630F54" w:rsidRDefault="000C0316">
            <w:pPr>
              <w:jc w:val="left"/>
            </w:pPr>
            <w:r>
              <w:rPr>
                <w:rFonts w:hint="eastAsia"/>
                <w:color w:val="000000"/>
                <w:sz w:val="24"/>
              </w:rPr>
              <w:t>受基金管理人控制的公司</w:t>
            </w:r>
          </w:p>
        </w:tc>
      </w:tr>
      <w:tr w:rsidR="00630F54">
        <w:tc>
          <w:tcPr>
            <w:tcW w:w="4499" w:type="dxa"/>
            <w:vAlign w:val="center"/>
          </w:tcPr>
          <w:p w:rsidR="00630F54" w:rsidRDefault="000C0316">
            <w:pPr>
              <w:jc w:val="left"/>
            </w:pPr>
            <w:r>
              <w:rPr>
                <w:rFonts w:hint="eastAsia"/>
                <w:color w:val="000000"/>
                <w:sz w:val="24"/>
              </w:rPr>
              <w:t>交烨投资管理（上海）有限公司</w:t>
            </w:r>
          </w:p>
        </w:tc>
        <w:tc>
          <w:tcPr>
            <w:tcW w:w="4499" w:type="dxa"/>
            <w:vAlign w:val="center"/>
          </w:tcPr>
          <w:p w:rsidR="00630F54" w:rsidRDefault="000C0316">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20,808,836.21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764,960.46</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169,586.96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976.98</w:t>
            </w:r>
          </w:p>
        </w:tc>
      </w:tr>
    </w:tbl>
    <w:p w:rsidR="00630F54" w:rsidRDefault="000C0316">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0.30%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3,468,139.26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127,493.39</w:t>
            </w:r>
          </w:p>
        </w:tc>
      </w:tr>
    </w:tbl>
    <w:p w:rsidR="00630F54" w:rsidRDefault="000C0316">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630F54">
        <w:tc>
          <w:tcPr>
            <w:tcW w:w="2000" w:type="dxa"/>
            <w:vAlign w:val="center"/>
          </w:tcPr>
          <w:p w:rsidR="00630F54" w:rsidRDefault="000C0316">
            <w:pPr>
              <w:jc w:val="left"/>
            </w:pPr>
            <w:r>
              <w:rPr>
                <w:sz w:val="24"/>
              </w:rPr>
              <w:t>交银施罗德基金公司</w:t>
            </w:r>
          </w:p>
        </w:tc>
        <w:tc>
          <w:tcPr>
            <w:tcW w:w="1766" w:type="dxa"/>
            <w:vAlign w:val="center"/>
          </w:tcPr>
          <w:p w:rsidR="00630F54" w:rsidRDefault="000C0316">
            <w:pPr>
              <w:jc w:val="right"/>
            </w:pPr>
            <w:r>
              <w:rPr>
                <w:sz w:val="24"/>
              </w:rPr>
              <w:t>11,457,354.52</w:t>
            </w:r>
          </w:p>
        </w:tc>
        <w:tc>
          <w:tcPr>
            <w:tcW w:w="2162" w:type="dxa"/>
            <w:vAlign w:val="center"/>
          </w:tcPr>
          <w:p w:rsidR="00630F54" w:rsidRDefault="000C0316">
            <w:pPr>
              <w:jc w:val="right"/>
            </w:pPr>
            <w:r>
              <w:rPr>
                <w:sz w:val="24"/>
              </w:rPr>
              <w:t>222,674.14</w:t>
            </w:r>
          </w:p>
        </w:tc>
        <w:tc>
          <w:tcPr>
            <w:tcW w:w="3070" w:type="dxa"/>
            <w:vAlign w:val="center"/>
          </w:tcPr>
          <w:p w:rsidR="00630F54" w:rsidRDefault="000C0316">
            <w:pPr>
              <w:jc w:val="right"/>
            </w:pPr>
            <w:r>
              <w:rPr>
                <w:sz w:val="24"/>
              </w:rPr>
              <w:t>11,680,028.66</w:t>
            </w:r>
          </w:p>
        </w:tc>
      </w:tr>
      <w:tr w:rsidR="00630F54">
        <w:tc>
          <w:tcPr>
            <w:tcW w:w="2000" w:type="dxa"/>
            <w:vAlign w:val="center"/>
          </w:tcPr>
          <w:p w:rsidR="00630F54" w:rsidRDefault="000C0316">
            <w:pPr>
              <w:jc w:val="left"/>
            </w:pPr>
            <w:r>
              <w:rPr>
                <w:sz w:val="24"/>
              </w:rPr>
              <w:t>交通银行</w:t>
            </w:r>
          </w:p>
        </w:tc>
        <w:tc>
          <w:tcPr>
            <w:tcW w:w="1766" w:type="dxa"/>
            <w:vAlign w:val="center"/>
          </w:tcPr>
          <w:p w:rsidR="00630F54" w:rsidRDefault="000C0316">
            <w:pPr>
              <w:jc w:val="right"/>
            </w:pPr>
            <w:r>
              <w:rPr>
                <w:sz w:val="24"/>
              </w:rPr>
              <w:t>272,753.08</w:t>
            </w:r>
          </w:p>
        </w:tc>
        <w:tc>
          <w:tcPr>
            <w:tcW w:w="2162" w:type="dxa"/>
            <w:vAlign w:val="center"/>
          </w:tcPr>
          <w:p w:rsidR="00630F54" w:rsidRDefault="000C0316">
            <w:pPr>
              <w:jc w:val="right"/>
            </w:pPr>
            <w:r>
              <w:rPr>
                <w:sz w:val="24"/>
              </w:rPr>
              <w:t>20.82</w:t>
            </w:r>
          </w:p>
        </w:tc>
        <w:tc>
          <w:tcPr>
            <w:tcW w:w="3070" w:type="dxa"/>
            <w:vAlign w:val="center"/>
          </w:tcPr>
          <w:p w:rsidR="00630F54" w:rsidRDefault="000C0316">
            <w:pPr>
              <w:jc w:val="right"/>
            </w:pPr>
            <w:r>
              <w:rPr>
                <w:sz w:val="24"/>
              </w:rPr>
              <w:t>272,773.90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11,730,107.60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222,694.96</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11,952,802.56</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7</w:t>
            </w:r>
            <w:r w:rsidRPr="008D3C85">
              <w:rPr>
                <w:sz w:val="24"/>
              </w:rPr>
              <w:t>月</w:t>
            </w:r>
            <w:r w:rsidRPr="008D3C85">
              <w:rPr>
                <w:sz w:val="24"/>
              </w:rPr>
              <w:t>27</w:t>
            </w:r>
            <w:r w:rsidRPr="008D3C85">
              <w:rPr>
                <w:sz w:val="24"/>
              </w:rPr>
              <w:t>日（基金合同生效日）至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30F54">
        <w:tc>
          <w:tcPr>
            <w:tcW w:w="2000" w:type="dxa"/>
            <w:vAlign w:val="center"/>
          </w:tcPr>
          <w:p w:rsidR="00630F54" w:rsidRDefault="000C0316">
            <w:pPr>
              <w:jc w:val="left"/>
            </w:pPr>
            <w:r>
              <w:rPr>
                <w:sz w:val="24"/>
              </w:rPr>
              <w:t>交银施罗德基金公司</w:t>
            </w:r>
          </w:p>
        </w:tc>
        <w:tc>
          <w:tcPr>
            <w:tcW w:w="1766" w:type="dxa"/>
            <w:vAlign w:val="center"/>
          </w:tcPr>
          <w:p w:rsidR="00630F54" w:rsidRDefault="000C0316">
            <w:pPr>
              <w:jc w:val="right"/>
            </w:pPr>
            <w:r>
              <w:rPr>
                <w:sz w:val="24"/>
              </w:rPr>
              <w:t>381,954.34</w:t>
            </w:r>
          </w:p>
        </w:tc>
        <w:tc>
          <w:tcPr>
            <w:tcW w:w="2162" w:type="dxa"/>
            <w:vAlign w:val="center"/>
          </w:tcPr>
          <w:p w:rsidR="00630F54" w:rsidRDefault="000C0316">
            <w:pPr>
              <w:jc w:val="right"/>
            </w:pPr>
            <w:r>
              <w:rPr>
                <w:sz w:val="24"/>
              </w:rPr>
              <w:t>10,139.14</w:t>
            </w:r>
          </w:p>
        </w:tc>
        <w:tc>
          <w:tcPr>
            <w:tcW w:w="3070" w:type="dxa"/>
            <w:vAlign w:val="center"/>
          </w:tcPr>
          <w:p w:rsidR="00630F54" w:rsidRDefault="000C0316">
            <w:pPr>
              <w:jc w:val="right"/>
            </w:pPr>
            <w:r>
              <w:rPr>
                <w:sz w:val="24"/>
              </w:rPr>
              <w:t>392,093.48</w:t>
            </w:r>
          </w:p>
        </w:tc>
      </w:tr>
      <w:tr w:rsidR="00630F54">
        <w:tc>
          <w:tcPr>
            <w:tcW w:w="2000" w:type="dxa"/>
            <w:vAlign w:val="center"/>
          </w:tcPr>
          <w:p w:rsidR="00630F54" w:rsidRDefault="000C0316">
            <w:pPr>
              <w:jc w:val="left"/>
            </w:pPr>
            <w:r>
              <w:rPr>
                <w:sz w:val="24"/>
              </w:rPr>
              <w:t>交通银行</w:t>
            </w:r>
          </w:p>
        </w:tc>
        <w:tc>
          <w:tcPr>
            <w:tcW w:w="1766" w:type="dxa"/>
            <w:vAlign w:val="center"/>
          </w:tcPr>
          <w:p w:rsidR="00630F54" w:rsidRDefault="000C0316">
            <w:pPr>
              <w:jc w:val="right"/>
            </w:pPr>
            <w:r>
              <w:rPr>
                <w:sz w:val="24"/>
              </w:rPr>
              <w:t>2,035.10</w:t>
            </w:r>
          </w:p>
        </w:tc>
        <w:tc>
          <w:tcPr>
            <w:tcW w:w="2162" w:type="dxa"/>
            <w:vAlign w:val="center"/>
          </w:tcPr>
          <w:p w:rsidR="00630F54" w:rsidRDefault="000C0316">
            <w:pPr>
              <w:jc w:val="right"/>
            </w:pPr>
            <w:r>
              <w:rPr>
                <w:sz w:val="24"/>
              </w:rPr>
              <w:t>-</w:t>
            </w:r>
          </w:p>
        </w:tc>
        <w:tc>
          <w:tcPr>
            <w:tcW w:w="3070" w:type="dxa"/>
            <w:vAlign w:val="center"/>
          </w:tcPr>
          <w:p w:rsidR="00630F54" w:rsidRDefault="000C0316">
            <w:pPr>
              <w:jc w:val="right"/>
            </w:pPr>
            <w:r>
              <w:rPr>
                <w:sz w:val="24"/>
              </w:rPr>
              <w:t>2,035.10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383,989.44</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10,139.14</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394,128.58</w:t>
            </w:r>
          </w:p>
        </w:tc>
      </w:tr>
    </w:tbl>
    <w:p w:rsidR="00630F54" w:rsidRDefault="000C0316">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630F54">
        <w:tc>
          <w:tcPr>
            <w:tcW w:w="1422" w:type="dxa"/>
            <w:vAlign w:val="center"/>
          </w:tcPr>
          <w:p w:rsidR="00630F54" w:rsidRDefault="000C0316">
            <w:pPr>
              <w:jc w:val="left"/>
            </w:pPr>
            <w:r>
              <w:rPr>
                <w:bCs/>
                <w:sz w:val="24"/>
              </w:rPr>
              <w:t>中信建投证券</w:t>
            </w:r>
          </w:p>
        </w:tc>
        <w:tc>
          <w:tcPr>
            <w:tcW w:w="1818" w:type="dxa"/>
            <w:vAlign w:val="center"/>
          </w:tcPr>
          <w:p w:rsidR="00630F54" w:rsidRDefault="000C0316">
            <w:pPr>
              <w:jc w:val="right"/>
            </w:pPr>
            <w:r>
              <w:rPr>
                <w:bCs/>
                <w:sz w:val="24"/>
              </w:rPr>
              <w:t>-</w:t>
            </w:r>
          </w:p>
        </w:tc>
        <w:tc>
          <w:tcPr>
            <w:tcW w:w="1260" w:type="dxa"/>
            <w:vAlign w:val="center"/>
          </w:tcPr>
          <w:p w:rsidR="00630F54" w:rsidRDefault="000C0316">
            <w:pPr>
              <w:jc w:val="right"/>
            </w:pPr>
            <w:r>
              <w:rPr>
                <w:bCs/>
                <w:sz w:val="24"/>
              </w:rPr>
              <w:t>10,177,703.42</w:t>
            </w:r>
          </w:p>
        </w:tc>
        <w:tc>
          <w:tcPr>
            <w:tcW w:w="1260" w:type="dxa"/>
            <w:vAlign w:val="center"/>
          </w:tcPr>
          <w:p w:rsidR="00630F54" w:rsidRDefault="000C0316">
            <w:pPr>
              <w:jc w:val="right"/>
            </w:pPr>
            <w:r>
              <w:rPr>
                <w:bCs/>
                <w:sz w:val="24"/>
              </w:rPr>
              <w:t>-</w:t>
            </w:r>
          </w:p>
        </w:tc>
        <w:tc>
          <w:tcPr>
            <w:tcW w:w="1080" w:type="dxa"/>
            <w:vAlign w:val="center"/>
          </w:tcPr>
          <w:p w:rsidR="00630F54" w:rsidRDefault="000C0316">
            <w:pPr>
              <w:jc w:val="right"/>
            </w:pPr>
            <w:r>
              <w:rPr>
                <w:bCs/>
                <w:sz w:val="24"/>
              </w:rPr>
              <w:t>-</w:t>
            </w:r>
          </w:p>
        </w:tc>
        <w:tc>
          <w:tcPr>
            <w:tcW w:w="1512" w:type="dxa"/>
            <w:vAlign w:val="center"/>
          </w:tcPr>
          <w:p w:rsidR="00630F54" w:rsidRDefault="000C0316">
            <w:pPr>
              <w:jc w:val="right"/>
            </w:pPr>
            <w:r>
              <w:rPr>
                <w:bCs/>
                <w:sz w:val="24"/>
              </w:rPr>
              <w:t>-</w:t>
            </w:r>
          </w:p>
        </w:tc>
        <w:tc>
          <w:tcPr>
            <w:tcW w:w="1083" w:type="dxa"/>
            <w:vAlign w:val="center"/>
          </w:tcPr>
          <w:p w:rsidR="00630F54" w:rsidRDefault="000C0316">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7</w:t>
            </w:r>
            <w:r w:rsidRPr="00251664">
              <w:rPr>
                <w:bCs/>
                <w:color w:val="000000"/>
                <w:sz w:val="24"/>
              </w:rPr>
              <w:t>月</w:t>
            </w:r>
            <w:r w:rsidRPr="00251664">
              <w:rPr>
                <w:bCs/>
                <w:color w:val="000000"/>
                <w:sz w:val="24"/>
              </w:rPr>
              <w:t>27</w:t>
            </w:r>
            <w:r w:rsidRPr="00251664">
              <w:rPr>
                <w:bCs/>
                <w:color w:val="000000"/>
                <w:sz w:val="24"/>
              </w:rPr>
              <w:t>日（基金合同生效日）至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630F54">
        <w:tc>
          <w:tcPr>
            <w:tcW w:w="1422" w:type="dxa"/>
            <w:vAlign w:val="center"/>
          </w:tcPr>
          <w:p w:rsidR="00630F54" w:rsidRDefault="000C0316">
            <w:pPr>
              <w:jc w:val="center"/>
            </w:pPr>
            <w:r>
              <w:rPr>
                <w:bCs/>
                <w:sz w:val="24"/>
              </w:rPr>
              <w:t>-</w:t>
            </w:r>
          </w:p>
        </w:tc>
        <w:tc>
          <w:tcPr>
            <w:tcW w:w="1818" w:type="dxa"/>
            <w:vAlign w:val="center"/>
          </w:tcPr>
          <w:p w:rsidR="00630F54" w:rsidRDefault="000C0316">
            <w:pPr>
              <w:jc w:val="center"/>
            </w:pPr>
            <w:r>
              <w:rPr>
                <w:bCs/>
                <w:sz w:val="24"/>
              </w:rPr>
              <w:t>-</w:t>
            </w:r>
          </w:p>
        </w:tc>
        <w:tc>
          <w:tcPr>
            <w:tcW w:w="1260" w:type="dxa"/>
            <w:vAlign w:val="center"/>
          </w:tcPr>
          <w:p w:rsidR="00630F54" w:rsidRDefault="000C0316">
            <w:pPr>
              <w:jc w:val="center"/>
            </w:pPr>
            <w:r>
              <w:rPr>
                <w:bCs/>
                <w:sz w:val="24"/>
              </w:rPr>
              <w:t>-</w:t>
            </w:r>
          </w:p>
        </w:tc>
        <w:tc>
          <w:tcPr>
            <w:tcW w:w="1260" w:type="dxa"/>
            <w:vAlign w:val="center"/>
          </w:tcPr>
          <w:p w:rsidR="00630F54" w:rsidRDefault="000C0316">
            <w:pPr>
              <w:jc w:val="center"/>
            </w:pPr>
            <w:r>
              <w:rPr>
                <w:bCs/>
                <w:sz w:val="24"/>
              </w:rPr>
              <w:t>-</w:t>
            </w:r>
          </w:p>
        </w:tc>
        <w:tc>
          <w:tcPr>
            <w:tcW w:w="1080" w:type="dxa"/>
            <w:vAlign w:val="center"/>
          </w:tcPr>
          <w:p w:rsidR="00630F54" w:rsidRDefault="000C0316">
            <w:pPr>
              <w:jc w:val="center"/>
            </w:pPr>
            <w:r>
              <w:rPr>
                <w:bCs/>
                <w:sz w:val="24"/>
              </w:rPr>
              <w:t>-</w:t>
            </w:r>
          </w:p>
        </w:tc>
        <w:tc>
          <w:tcPr>
            <w:tcW w:w="1512" w:type="dxa"/>
            <w:vAlign w:val="center"/>
          </w:tcPr>
          <w:p w:rsidR="00630F54" w:rsidRDefault="000C0316">
            <w:pPr>
              <w:jc w:val="center"/>
            </w:pPr>
            <w:r>
              <w:rPr>
                <w:bCs/>
                <w:sz w:val="24"/>
              </w:rPr>
              <w:t>-</w:t>
            </w:r>
          </w:p>
        </w:tc>
        <w:tc>
          <w:tcPr>
            <w:tcW w:w="1083" w:type="dxa"/>
            <w:vAlign w:val="center"/>
          </w:tcPr>
          <w:p w:rsidR="00630F54" w:rsidRDefault="000C0316">
            <w:pPr>
              <w:jc w:val="center"/>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lastRenderedPageBreak/>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lastRenderedPageBreak/>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lastRenderedPageBreak/>
              <w:t>2016</w:t>
            </w:r>
            <w:r w:rsidRPr="00251664">
              <w:rPr>
                <w:rFonts w:hint="eastAsia"/>
                <w:bCs/>
                <w:color w:val="000000"/>
                <w:sz w:val="24"/>
              </w:rPr>
              <w:t>年</w:t>
            </w:r>
            <w:r w:rsidRPr="00251664">
              <w:rPr>
                <w:rFonts w:hint="eastAsia"/>
                <w:bCs/>
                <w:color w:val="000000"/>
                <w:sz w:val="24"/>
              </w:rPr>
              <w:t>7</w:t>
            </w:r>
            <w:r w:rsidRPr="00251664">
              <w:rPr>
                <w:rFonts w:hint="eastAsia"/>
                <w:bCs/>
                <w:color w:val="000000"/>
                <w:sz w:val="24"/>
              </w:rPr>
              <w:t>月</w:t>
            </w:r>
            <w:r w:rsidRPr="00251664">
              <w:rPr>
                <w:rFonts w:hint="eastAsia"/>
                <w:bCs/>
                <w:color w:val="000000"/>
                <w:sz w:val="24"/>
              </w:rPr>
              <w:t>27</w:t>
            </w:r>
            <w:r w:rsidRPr="00251664">
              <w:rPr>
                <w:rFonts w:hint="eastAsia"/>
                <w:bCs/>
                <w:color w:val="000000"/>
                <w:sz w:val="24"/>
              </w:rPr>
              <w:t>日（基金合同生效日）至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交银活期通货币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交银活期通货币</w:t>
            </w:r>
            <w:r>
              <w:rPr>
                <w:rFonts w:hint="eastAsia"/>
                <w:sz w:val="24"/>
              </w:rPr>
              <w:t>E</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交银活期通货币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交银活期通货币</w:t>
            </w:r>
            <w:r>
              <w:rPr>
                <w:rFonts w:hint="eastAsia"/>
                <w:sz w:val="24"/>
              </w:rPr>
              <w:t>E</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基金合同生效日</w:t>
            </w:r>
            <w:r w:rsidR="00392958" w:rsidRPr="00BC4194">
              <w:rPr>
                <w:rFonts w:hint="eastAsia"/>
                <w:szCs w:val="24"/>
              </w:rPr>
              <w:t>（</w:t>
            </w:r>
            <w:r w:rsidRPr="00BC4194">
              <w:rPr>
                <w:rFonts w:hint="eastAsia"/>
                <w:szCs w:val="24"/>
              </w:rPr>
              <w:t>2016</w:t>
            </w:r>
            <w:r w:rsidRPr="00BC4194">
              <w:rPr>
                <w:rFonts w:hint="eastAsia"/>
                <w:szCs w:val="24"/>
              </w:rPr>
              <w:t>年</w:t>
            </w:r>
            <w:r w:rsidRPr="00BC4194">
              <w:rPr>
                <w:rFonts w:hint="eastAsia"/>
                <w:szCs w:val="24"/>
              </w:rPr>
              <w:t>7</w:t>
            </w:r>
            <w:r w:rsidRPr="00BC4194">
              <w:rPr>
                <w:rFonts w:hint="eastAsia"/>
                <w:szCs w:val="24"/>
              </w:rPr>
              <w:t>月</w:t>
            </w:r>
            <w:r w:rsidRPr="00BC4194">
              <w:rPr>
                <w:rFonts w:hint="eastAsia"/>
                <w:szCs w:val="24"/>
              </w:rPr>
              <w:t>27</w:t>
            </w:r>
            <w:r w:rsidRPr="00BC4194">
              <w:rPr>
                <w:rFonts w:hint="eastAsia"/>
                <w:szCs w:val="24"/>
              </w:rPr>
              <w:t>日</w:t>
            </w:r>
            <w:r w:rsidR="00392958" w:rsidRPr="00BC4194">
              <w:rPr>
                <w:rFonts w:hint="eastAsia"/>
                <w:szCs w:val="24"/>
              </w:rPr>
              <w:t>）</w:t>
            </w:r>
            <w:r w:rsidRPr="00BC4194">
              <w:rPr>
                <w:rFonts w:hint="eastAsia"/>
                <w:szCs w:val="24"/>
              </w:rPr>
              <w:t>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10,000,450.00</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231,334,975.21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2,829,441.76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221,334,525.21</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234,164,416.97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231,334,975.21</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13.17%</w:t>
            </w:r>
          </w:p>
        </w:tc>
      </w:tr>
    </w:tbl>
    <w:p w:rsidR="00630F54" w:rsidRDefault="000C031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30F54" w:rsidRDefault="000C0316">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、基金管理人投资本基金适用的认</w:t>
      </w:r>
      <w:r w:rsidRPr="005124D4">
        <w:rPr>
          <w:rFonts w:hint="eastAsia"/>
          <w:kern w:val="0"/>
          <w:sz w:val="24"/>
        </w:rPr>
        <w:t>(</w:t>
      </w:r>
      <w:r w:rsidRPr="005124D4">
        <w:rPr>
          <w:rFonts w:hint="eastAsia"/>
          <w:kern w:val="0"/>
          <w:sz w:val="24"/>
        </w:rPr>
        <w:t>申</w:t>
      </w:r>
      <w:r w:rsidRPr="005124D4">
        <w:rPr>
          <w:rFonts w:hint="eastAsia"/>
          <w:kern w:val="0"/>
          <w:sz w:val="24"/>
        </w:rPr>
        <w:t>)</w:t>
      </w:r>
      <w:r w:rsidRPr="005124D4">
        <w:rPr>
          <w:rFonts w:hint="eastAsia"/>
          <w:kern w:val="0"/>
          <w:sz w:val="24"/>
        </w:rPr>
        <w:t>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D5CCC" w:rsidRPr="00004EBE" w:rsidRDefault="004E65B4" w:rsidP="00004EBE">
      <w:pPr>
        <w:spacing w:before="29" w:line="288" w:lineRule="auto"/>
        <w:rPr>
          <w:sz w:val="24"/>
        </w:rPr>
      </w:pPr>
      <w:r>
        <w:rPr>
          <w:rFonts w:hint="eastAsia"/>
          <w:sz w:val="24"/>
        </w:rPr>
        <w:t>交银活期通货币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630F54">
        <w:tc>
          <w:tcPr>
            <w:tcW w:w="1799" w:type="dxa"/>
            <w:vAlign w:val="center"/>
          </w:tcPr>
          <w:p w:rsidR="00630F54" w:rsidRDefault="000C0316">
            <w:pPr>
              <w:jc w:val="center"/>
            </w:pPr>
            <w:r>
              <w:rPr>
                <w:rFonts w:hint="eastAsia"/>
                <w:sz w:val="24"/>
              </w:rPr>
              <w:t>交通银行</w:t>
            </w:r>
          </w:p>
        </w:tc>
        <w:tc>
          <w:tcPr>
            <w:tcW w:w="1799" w:type="dxa"/>
            <w:vAlign w:val="center"/>
          </w:tcPr>
          <w:p w:rsidR="00630F54" w:rsidRDefault="000C0316">
            <w:pPr>
              <w:jc w:val="center"/>
            </w:pPr>
            <w:r>
              <w:rPr>
                <w:rFonts w:hint="eastAsia"/>
                <w:sz w:val="24"/>
              </w:rPr>
              <w:t>3,003,004,196.8</w:t>
            </w:r>
            <w:r>
              <w:rPr>
                <w:rFonts w:hint="eastAsia"/>
                <w:sz w:val="24"/>
              </w:rPr>
              <w:lastRenderedPageBreak/>
              <w:t>5</w:t>
            </w:r>
          </w:p>
        </w:tc>
        <w:tc>
          <w:tcPr>
            <w:tcW w:w="1800" w:type="dxa"/>
            <w:vAlign w:val="center"/>
          </w:tcPr>
          <w:p w:rsidR="00630F54" w:rsidRDefault="000C0316">
            <w:pPr>
              <w:jc w:val="center"/>
            </w:pPr>
            <w:r>
              <w:rPr>
                <w:rFonts w:hint="eastAsia"/>
                <w:sz w:val="24"/>
              </w:rPr>
              <w:lastRenderedPageBreak/>
              <w:t>12.53%</w:t>
            </w:r>
          </w:p>
        </w:tc>
        <w:tc>
          <w:tcPr>
            <w:tcW w:w="1800" w:type="dxa"/>
            <w:vAlign w:val="center"/>
          </w:tcPr>
          <w:p w:rsidR="00630F54" w:rsidRDefault="000C0316">
            <w:pPr>
              <w:jc w:val="center"/>
            </w:pPr>
            <w:r>
              <w:rPr>
                <w:rFonts w:hint="eastAsia"/>
                <w:sz w:val="24"/>
              </w:rPr>
              <w:t>-</w:t>
            </w:r>
          </w:p>
        </w:tc>
        <w:tc>
          <w:tcPr>
            <w:tcW w:w="1800" w:type="dxa"/>
            <w:vAlign w:val="center"/>
          </w:tcPr>
          <w:p w:rsidR="00630F54" w:rsidRDefault="000C0316">
            <w:pPr>
              <w:jc w:val="center"/>
            </w:pPr>
            <w:r>
              <w:rPr>
                <w:rFonts w:hint="eastAsia"/>
                <w:sz w:val="24"/>
              </w:rPr>
              <w:t>-</w:t>
            </w:r>
          </w:p>
        </w:tc>
      </w:tr>
      <w:tr w:rsidR="00630F54">
        <w:tc>
          <w:tcPr>
            <w:tcW w:w="1799" w:type="dxa"/>
            <w:vAlign w:val="center"/>
          </w:tcPr>
          <w:p w:rsidR="00630F54" w:rsidRDefault="000C0316">
            <w:pPr>
              <w:jc w:val="center"/>
            </w:pPr>
            <w:r>
              <w:rPr>
                <w:rFonts w:hint="eastAsia"/>
                <w:sz w:val="24"/>
              </w:rPr>
              <w:t>交银施罗德资产管理有限公司</w:t>
            </w:r>
          </w:p>
        </w:tc>
        <w:tc>
          <w:tcPr>
            <w:tcW w:w="1799" w:type="dxa"/>
            <w:vAlign w:val="center"/>
          </w:tcPr>
          <w:p w:rsidR="00630F54" w:rsidRDefault="000C0316">
            <w:pPr>
              <w:jc w:val="center"/>
            </w:pPr>
            <w:r>
              <w:rPr>
                <w:rFonts w:hint="eastAsia"/>
                <w:sz w:val="24"/>
              </w:rPr>
              <w:t>248,000,000.00</w:t>
            </w:r>
          </w:p>
        </w:tc>
        <w:tc>
          <w:tcPr>
            <w:tcW w:w="1800" w:type="dxa"/>
            <w:vAlign w:val="center"/>
          </w:tcPr>
          <w:p w:rsidR="00630F54" w:rsidRDefault="000C0316">
            <w:pPr>
              <w:jc w:val="center"/>
            </w:pPr>
            <w:r>
              <w:rPr>
                <w:rFonts w:hint="eastAsia"/>
                <w:sz w:val="24"/>
              </w:rPr>
              <w:t>1.04%</w:t>
            </w:r>
          </w:p>
        </w:tc>
        <w:tc>
          <w:tcPr>
            <w:tcW w:w="1800" w:type="dxa"/>
            <w:vAlign w:val="center"/>
          </w:tcPr>
          <w:p w:rsidR="00630F54" w:rsidRDefault="000C0316">
            <w:pPr>
              <w:jc w:val="center"/>
            </w:pPr>
            <w:r>
              <w:rPr>
                <w:rFonts w:hint="eastAsia"/>
                <w:sz w:val="24"/>
              </w:rPr>
              <w:t>-</w:t>
            </w:r>
          </w:p>
        </w:tc>
        <w:tc>
          <w:tcPr>
            <w:tcW w:w="1800" w:type="dxa"/>
            <w:vAlign w:val="center"/>
          </w:tcPr>
          <w:p w:rsidR="00630F54" w:rsidRDefault="000C0316">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7</w:t>
            </w:r>
            <w:r w:rsidRPr="00795DF9">
              <w:rPr>
                <w:rFonts w:hint="eastAsia"/>
                <w:bCs/>
                <w:color w:val="000000"/>
                <w:szCs w:val="21"/>
              </w:rPr>
              <w:t>月</w:t>
            </w:r>
            <w:r w:rsidRPr="00795DF9">
              <w:rPr>
                <w:rFonts w:hint="eastAsia"/>
                <w:bCs/>
                <w:color w:val="000000"/>
                <w:szCs w:val="21"/>
              </w:rPr>
              <w:t>27</w:t>
            </w:r>
            <w:r w:rsidRPr="00795DF9">
              <w:rPr>
                <w:rFonts w:hint="eastAsia"/>
                <w:bCs/>
                <w:color w:val="000000"/>
                <w:szCs w:val="21"/>
              </w:rPr>
              <w:t>日（基金合同生效日）至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630F54">
        <w:tc>
          <w:tcPr>
            <w:tcW w:w="1799" w:type="dxa"/>
            <w:vAlign w:val="center"/>
          </w:tcPr>
          <w:p w:rsidR="00630F54" w:rsidRDefault="000C0316">
            <w:pPr>
              <w:jc w:val="center"/>
            </w:pPr>
            <w:r>
              <w:rPr>
                <w:rFonts w:hint="eastAsia"/>
                <w:szCs w:val="21"/>
              </w:rPr>
              <w:t>交通银行</w:t>
            </w:r>
          </w:p>
        </w:tc>
        <w:tc>
          <w:tcPr>
            <w:tcW w:w="1799" w:type="dxa"/>
            <w:vAlign w:val="center"/>
          </w:tcPr>
          <w:p w:rsidR="00630F54" w:rsidRDefault="000C0316">
            <w:pPr>
              <w:jc w:val="center"/>
            </w:pPr>
            <w:r>
              <w:rPr>
                <w:rFonts w:hint="eastAsia"/>
                <w:szCs w:val="21"/>
              </w:rPr>
              <w:t>4,796,494.89</w:t>
            </w:r>
          </w:p>
        </w:tc>
        <w:tc>
          <w:tcPr>
            <w:tcW w:w="1800" w:type="dxa"/>
            <w:vAlign w:val="center"/>
          </w:tcPr>
          <w:p w:rsidR="00630F54" w:rsidRDefault="000C0316">
            <w:pPr>
              <w:jc w:val="center"/>
            </w:pPr>
            <w:r>
              <w:rPr>
                <w:rFonts w:hint="eastAsia"/>
                <w:szCs w:val="21"/>
              </w:rPr>
              <w:t>530,774.64</w:t>
            </w:r>
          </w:p>
        </w:tc>
        <w:tc>
          <w:tcPr>
            <w:tcW w:w="1800" w:type="dxa"/>
            <w:vAlign w:val="center"/>
          </w:tcPr>
          <w:p w:rsidR="00630F54" w:rsidRDefault="000C0316">
            <w:pPr>
              <w:jc w:val="center"/>
            </w:pPr>
            <w:r>
              <w:rPr>
                <w:rFonts w:hint="eastAsia"/>
                <w:szCs w:val="21"/>
              </w:rPr>
              <w:t>103,110.97</w:t>
            </w:r>
          </w:p>
        </w:tc>
        <w:tc>
          <w:tcPr>
            <w:tcW w:w="1800" w:type="dxa"/>
            <w:vAlign w:val="center"/>
          </w:tcPr>
          <w:p w:rsidR="00630F54" w:rsidRDefault="000C0316">
            <w:pPr>
              <w:jc w:val="center"/>
            </w:pPr>
            <w:r>
              <w:rPr>
                <w:rFonts w:hint="eastAsia"/>
                <w:szCs w:val="21"/>
              </w:rPr>
              <w:t>53,549.75</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注：本基金的银行存款账户开立在交通银行，按银行同业利率计息。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本基金本报告期末无从事债券正回购交易形成的卖出回购证券款余额。</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630F54" w:rsidRDefault="000C0316">
      <w:pPr>
        <w:spacing w:before="29" w:line="288" w:lineRule="auto"/>
        <w:rPr>
          <w:color w:val="000000"/>
          <w:sz w:val="24"/>
        </w:rPr>
      </w:pPr>
      <w:r>
        <w:rPr>
          <w:rFonts w:hint="eastAsia"/>
          <w:color w:val="000000"/>
          <w:sz w:val="24"/>
        </w:rPr>
        <w:t>(1)</w:t>
      </w:r>
      <w:r>
        <w:rPr>
          <w:rFonts w:hint="eastAsia"/>
          <w:color w:val="000000"/>
          <w:sz w:val="24"/>
        </w:rPr>
        <w:t>公允价值</w:t>
      </w:r>
    </w:p>
    <w:p w:rsidR="00630F54" w:rsidRDefault="000C0316">
      <w:pPr>
        <w:spacing w:before="29" w:line="288" w:lineRule="auto"/>
        <w:rPr>
          <w:color w:val="000000"/>
          <w:sz w:val="24"/>
        </w:rPr>
      </w:pPr>
      <w:r>
        <w:rPr>
          <w:rFonts w:hint="eastAsia"/>
          <w:color w:val="000000"/>
          <w:sz w:val="24"/>
        </w:rPr>
        <w:t>(a)</w:t>
      </w:r>
      <w:r>
        <w:rPr>
          <w:rFonts w:hint="eastAsia"/>
          <w:color w:val="000000"/>
          <w:sz w:val="24"/>
        </w:rPr>
        <w:t>金融工具公允价值计量的方法</w:t>
      </w:r>
    </w:p>
    <w:p w:rsidR="00630F54" w:rsidRDefault="000C0316">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630F54" w:rsidRDefault="000C0316">
      <w:pPr>
        <w:spacing w:before="29" w:line="288" w:lineRule="auto"/>
        <w:rPr>
          <w:color w:val="000000"/>
          <w:sz w:val="24"/>
        </w:rPr>
      </w:pPr>
      <w:r>
        <w:rPr>
          <w:rFonts w:hint="eastAsia"/>
          <w:color w:val="000000"/>
          <w:sz w:val="24"/>
        </w:rPr>
        <w:t>第一层次：相同资产或负债在活跃市场上未经调整的报价。</w:t>
      </w:r>
    </w:p>
    <w:p w:rsidR="00630F54" w:rsidRDefault="000C0316">
      <w:pPr>
        <w:spacing w:before="29" w:line="288" w:lineRule="auto"/>
        <w:rPr>
          <w:color w:val="000000"/>
          <w:sz w:val="24"/>
        </w:rPr>
      </w:pPr>
      <w:r>
        <w:rPr>
          <w:rFonts w:hint="eastAsia"/>
          <w:color w:val="000000"/>
          <w:sz w:val="24"/>
        </w:rPr>
        <w:t>第二层次：除第一层次输入值外相关资产或负债直接或间接可观察的输入值。</w:t>
      </w:r>
    </w:p>
    <w:p w:rsidR="00630F54" w:rsidRDefault="000C0316">
      <w:pPr>
        <w:spacing w:before="29" w:line="288" w:lineRule="auto"/>
        <w:rPr>
          <w:color w:val="000000"/>
          <w:sz w:val="24"/>
        </w:rPr>
      </w:pPr>
      <w:r>
        <w:rPr>
          <w:rFonts w:hint="eastAsia"/>
          <w:color w:val="000000"/>
          <w:sz w:val="24"/>
        </w:rPr>
        <w:lastRenderedPageBreak/>
        <w:t>第三层次：相关资产或负债的不可观察输入值。</w:t>
      </w:r>
      <w:r>
        <w:rPr>
          <w:rFonts w:hint="eastAsia"/>
          <w:color w:val="000000"/>
          <w:sz w:val="24"/>
        </w:rPr>
        <w:t xml:space="preserve"> </w:t>
      </w:r>
    </w:p>
    <w:p w:rsidR="00630F54" w:rsidRDefault="000C0316">
      <w:pPr>
        <w:spacing w:before="29" w:line="288" w:lineRule="auto"/>
        <w:rPr>
          <w:color w:val="000000"/>
          <w:sz w:val="24"/>
        </w:rPr>
      </w:pPr>
      <w:r>
        <w:rPr>
          <w:rFonts w:hint="eastAsia"/>
          <w:color w:val="000000"/>
          <w:sz w:val="24"/>
        </w:rPr>
        <w:t>(b)</w:t>
      </w:r>
      <w:r>
        <w:rPr>
          <w:rFonts w:hint="eastAsia"/>
          <w:color w:val="000000"/>
          <w:sz w:val="24"/>
        </w:rPr>
        <w:t>持续的以公允价值计量的金融工具</w:t>
      </w:r>
    </w:p>
    <w:p w:rsidR="00630F54" w:rsidRDefault="000C0316">
      <w:pPr>
        <w:spacing w:before="29" w:line="288" w:lineRule="auto"/>
        <w:rPr>
          <w:color w:val="000000"/>
          <w:sz w:val="24"/>
        </w:rPr>
      </w:pPr>
      <w:r>
        <w:rPr>
          <w:rFonts w:hint="eastAsia"/>
          <w:color w:val="000000"/>
          <w:sz w:val="24"/>
        </w:rPr>
        <w:t>(i)</w:t>
      </w:r>
      <w:r>
        <w:rPr>
          <w:rFonts w:hint="eastAsia"/>
          <w:color w:val="000000"/>
          <w:sz w:val="24"/>
        </w:rPr>
        <w:t>各层次金融工具公允价值</w:t>
      </w:r>
    </w:p>
    <w:p w:rsidR="00630F54" w:rsidRDefault="000C0316">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9,326,203,692.86</w:t>
      </w:r>
      <w:r>
        <w:rPr>
          <w:rFonts w:hint="eastAsia"/>
          <w:color w:val="000000"/>
          <w:sz w:val="24"/>
        </w:rPr>
        <w:t>元，无属于第一层次或第三层次的余额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259,226,839.74</w:t>
      </w:r>
      <w:r>
        <w:rPr>
          <w:rFonts w:hint="eastAsia"/>
          <w:color w:val="000000"/>
          <w:sz w:val="24"/>
        </w:rPr>
        <w:t>元，无属于第一层次或第三层次的余额</w:t>
      </w:r>
      <w:r>
        <w:rPr>
          <w:rFonts w:hint="eastAsia"/>
          <w:color w:val="000000"/>
          <w:sz w:val="24"/>
        </w:rPr>
        <w:t>)</w:t>
      </w:r>
      <w:r>
        <w:rPr>
          <w:rFonts w:hint="eastAsia"/>
          <w:color w:val="000000"/>
          <w:sz w:val="24"/>
        </w:rPr>
        <w:t>。</w:t>
      </w:r>
    </w:p>
    <w:p w:rsidR="00630F54" w:rsidRDefault="000C0316">
      <w:pPr>
        <w:spacing w:before="29" w:line="288" w:lineRule="auto"/>
        <w:rPr>
          <w:color w:val="000000"/>
          <w:sz w:val="24"/>
        </w:rPr>
      </w:pPr>
      <w:r>
        <w:rPr>
          <w:rFonts w:hint="eastAsia"/>
          <w:color w:val="000000"/>
          <w:sz w:val="24"/>
        </w:rPr>
        <w:t>(ii)</w:t>
      </w:r>
      <w:r>
        <w:rPr>
          <w:rFonts w:hint="eastAsia"/>
          <w:color w:val="000000"/>
          <w:sz w:val="24"/>
        </w:rPr>
        <w:t>公允价值所属层次间的重大变动</w:t>
      </w:r>
    </w:p>
    <w:p w:rsidR="00630F54" w:rsidRDefault="000C0316">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630F54" w:rsidRDefault="000C0316">
      <w:pPr>
        <w:spacing w:before="29" w:line="288" w:lineRule="auto"/>
        <w:rPr>
          <w:color w:val="000000"/>
          <w:sz w:val="24"/>
        </w:rPr>
      </w:pPr>
      <w:r>
        <w:rPr>
          <w:rFonts w:hint="eastAsia"/>
          <w:color w:val="000000"/>
          <w:sz w:val="24"/>
        </w:rPr>
        <w:t>(iii)</w:t>
      </w:r>
      <w:r>
        <w:rPr>
          <w:rFonts w:hint="eastAsia"/>
          <w:color w:val="000000"/>
          <w:sz w:val="24"/>
        </w:rPr>
        <w:t>第三层次公允价值余额和本期变动金额</w:t>
      </w:r>
    </w:p>
    <w:p w:rsidR="00630F54" w:rsidRDefault="000C0316">
      <w:pPr>
        <w:spacing w:before="29" w:line="288" w:lineRule="auto"/>
        <w:rPr>
          <w:color w:val="000000"/>
          <w:sz w:val="24"/>
        </w:rPr>
      </w:pPr>
      <w:r>
        <w:rPr>
          <w:rFonts w:hint="eastAsia"/>
          <w:color w:val="000000"/>
          <w:sz w:val="24"/>
        </w:rPr>
        <w:t>无。</w:t>
      </w:r>
    </w:p>
    <w:p w:rsidR="00630F54" w:rsidRDefault="000C0316">
      <w:pPr>
        <w:spacing w:before="29" w:line="288" w:lineRule="auto"/>
        <w:rPr>
          <w:color w:val="000000"/>
          <w:sz w:val="24"/>
        </w:rPr>
      </w:pPr>
      <w:r>
        <w:rPr>
          <w:rFonts w:hint="eastAsia"/>
          <w:color w:val="000000"/>
          <w:sz w:val="24"/>
        </w:rPr>
        <w:t>(c)</w:t>
      </w:r>
      <w:r>
        <w:rPr>
          <w:rFonts w:hint="eastAsia"/>
          <w:color w:val="000000"/>
          <w:sz w:val="24"/>
        </w:rPr>
        <w:t>非持续的以公允价值计量的金融工具</w:t>
      </w:r>
    </w:p>
    <w:p w:rsidR="00630F54" w:rsidRDefault="000C0316">
      <w:pPr>
        <w:spacing w:before="29" w:line="288" w:lineRule="auto"/>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630F54" w:rsidRDefault="000C0316">
      <w:pPr>
        <w:spacing w:before="29" w:line="288" w:lineRule="auto"/>
        <w:rPr>
          <w:color w:val="000000"/>
          <w:sz w:val="24"/>
        </w:rPr>
      </w:pPr>
      <w:r>
        <w:rPr>
          <w:rFonts w:hint="eastAsia"/>
          <w:color w:val="000000"/>
          <w:sz w:val="24"/>
        </w:rPr>
        <w:t>(d)</w:t>
      </w:r>
      <w:r>
        <w:rPr>
          <w:rFonts w:hint="eastAsia"/>
          <w:color w:val="000000"/>
          <w:sz w:val="24"/>
        </w:rPr>
        <w:t>不以公允价值计量的金融工具</w:t>
      </w:r>
    </w:p>
    <w:p w:rsidR="00630F54" w:rsidRDefault="000C0316">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30F54" w:rsidRDefault="000C0316">
      <w:pPr>
        <w:spacing w:before="29" w:line="288" w:lineRule="auto"/>
        <w:rPr>
          <w:color w:val="000000"/>
          <w:sz w:val="24"/>
        </w:rPr>
      </w:pPr>
      <w:r>
        <w:rPr>
          <w:rFonts w:hint="eastAsia"/>
          <w:color w:val="000000"/>
          <w:sz w:val="24"/>
        </w:rPr>
        <w:t xml:space="preserve">(2) </w:t>
      </w:r>
      <w:r>
        <w:rPr>
          <w:rFonts w:hint="eastAsia"/>
          <w:color w:val="000000"/>
          <w:sz w:val="24"/>
        </w:rPr>
        <w:t>增值税</w:t>
      </w:r>
    </w:p>
    <w:p w:rsidR="00630F54" w:rsidRDefault="000C0316">
      <w:pPr>
        <w:spacing w:before="29" w:line="288" w:lineRule="auto"/>
        <w:rPr>
          <w:color w:val="000000"/>
          <w:sz w:val="24"/>
        </w:rPr>
      </w:pPr>
      <w:r>
        <w:rPr>
          <w:rFonts w:hint="eastAsia"/>
          <w:color w:val="000000"/>
          <w:sz w:val="24"/>
        </w:rPr>
        <w:t>根据财政部、国家税务总局于</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21</w:t>
      </w:r>
      <w:r>
        <w:rPr>
          <w:rFonts w:hint="eastAsia"/>
          <w:color w:val="000000"/>
          <w:sz w:val="24"/>
        </w:rPr>
        <w:t>日颁布的财税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教育辅助服务等增值税政策的通知》的规定，资管产品运营过程中发生的增值税应税行为，以资管产品管理人为增值税纳税人。</w:t>
      </w:r>
    </w:p>
    <w:p w:rsidR="00630F54" w:rsidRDefault="00630F54">
      <w:pPr>
        <w:spacing w:before="29" w:line="288" w:lineRule="auto"/>
        <w:rPr>
          <w:color w:val="000000"/>
          <w:sz w:val="24"/>
        </w:rPr>
      </w:pPr>
    </w:p>
    <w:p w:rsidR="00630F54" w:rsidRDefault="000C0316">
      <w:pPr>
        <w:spacing w:before="29" w:line="288" w:lineRule="auto"/>
        <w:rPr>
          <w:color w:val="000000"/>
          <w:sz w:val="24"/>
        </w:rPr>
      </w:pPr>
      <w:r>
        <w:rPr>
          <w:rFonts w:hint="eastAsia"/>
          <w:color w:val="000000"/>
          <w:sz w:val="24"/>
        </w:rPr>
        <w:t>根据财政部、国家税务总局于</w:t>
      </w:r>
      <w:r>
        <w:rPr>
          <w:rFonts w:hint="eastAsia"/>
          <w:color w:val="000000"/>
          <w:sz w:val="24"/>
        </w:rPr>
        <w:t>2017</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日颁布的财税</w:t>
      </w:r>
      <w:r>
        <w:rPr>
          <w:rFonts w:hint="eastAsia"/>
          <w:color w:val="000000"/>
          <w:sz w:val="24"/>
        </w:rPr>
        <w:t>[2017]56</w:t>
      </w:r>
      <w:r>
        <w:rPr>
          <w:rFonts w:hint="eastAsia"/>
          <w:color w:val="000000"/>
          <w:sz w:val="24"/>
        </w:rPr>
        <w:t>号《关于资管产品增值税有关问题的通知》的规定，资管产品管理人运营资管产品过程中发生的增值税应税行为，暂适用简易计税方法，按照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630F54" w:rsidRDefault="00630F54">
      <w:pPr>
        <w:spacing w:before="29" w:line="288" w:lineRule="auto"/>
        <w:rPr>
          <w:color w:val="000000"/>
          <w:sz w:val="24"/>
        </w:rPr>
      </w:pPr>
    </w:p>
    <w:p w:rsidR="00630F54" w:rsidRDefault="000C0316">
      <w:pPr>
        <w:spacing w:before="29" w:line="288" w:lineRule="auto"/>
        <w:rPr>
          <w:color w:val="000000"/>
          <w:sz w:val="24"/>
        </w:rPr>
      </w:pPr>
      <w:r>
        <w:rPr>
          <w:rFonts w:hint="eastAsia"/>
          <w:color w:val="000000"/>
          <w:sz w:val="24"/>
        </w:rPr>
        <w:t>此外，财政部、国家税务总局于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日颁布的财税</w:t>
      </w:r>
      <w:r>
        <w:rPr>
          <w:rFonts w:hint="eastAsia"/>
          <w:color w:val="000000"/>
          <w:sz w:val="24"/>
        </w:rPr>
        <w:t>[2017]90</w:t>
      </w:r>
      <w:r>
        <w:rPr>
          <w:rFonts w:hint="eastAsia"/>
          <w:color w:val="000000"/>
          <w:sz w:val="24"/>
        </w:rPr>
        <w:t>号《关于租入固定资产进行税额抵扣等增值税政策的通知》对资管产品管理人自</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日起运营资管产品提供的贷款服务、发生的部分金融商品转让业务的销售额确定做出规定。</w:t>
      </w:r>
    </w:p>
    <w:p w:rsidR="00630F54" w:rsidRDefault="00630F54">
      <w:pPr>
        <w:spacing w:before="29" w:line="288" w:lineRule="auto"/>
        <w:rPr>
          <w:color w:val="000000"/>
          <w:sz w:val="24"/>
        </w:rPr>
      </w:pPr>
    </w:p>
    <w:p w:rsidR="00630F54" w:rsidRDefault="000C0316">
      <w:pPr>
        <w:spacing w:before="29" w:line="288" w:lineRule="auto"/>
        <w:rPr>
          <w:color w:val="000000"/>
          <w:sz w:val="24"/>
        </w:rPr>
      </w:pPr>
      <w:r>
        <w:rPr>
          <w:rFonts w:hint="eastAsia"/>
          <w:color w:val="000000"/>
          <w:sz w:val="24"/>
        </w:rPr>
        <w:t>上述税收政策对本基金截至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日止的财务状况和经营成果无影响。</w:t>
      </w:r>
    </w:p>
    <w:p w:rsidR="00630F54" w:rsidRDefault="00630F54">
      <w:pPr>
        <w:spacing w:before="29" w:line="288" w:lineRule="auto"/>
        <w:rPr>
          <w:color w:val="000000"/>
          <w:sz w:val="24"/>
        </w:rPr>
      </w:pPr>
    </w:p>
    <w:p w:rsidR="006D141C" w:rsidRDefault="006D141C" w:rsidP="000A3DDA">
      <w:pPr>
        <w:spacing w:before="29" w:line="288" w:lineRule="auto"/>
        <w:rPr>
          <w:color w:val="000000"/>
          <w:sz w:val="24"/>
        </w:rPr>
      </w:pPr>
      <w:r w:rsidRPr="000A3DDA">
        <w:rPr>
          <w:rFonts w:hint="eastAsia"/>
          <w:color w:val="000000"/>
          <w:sz w:val="24"/>
        </w:rPr>
        <w:t xml:space="preserve">(3) </w:t>
      </w: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lastRenderedPageBreak/>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9,326,203,692.86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38.91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9,326,203,692.86</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38.91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5,402,540,624.07</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22.54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156,441,248.53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0.65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9,070,855,585.80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37.84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169,447,580.23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0.71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23,969,047,482.96</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2.92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0.02</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lastRenderedPageBreak/>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71</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111</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52</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35.31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9.76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30.44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2.71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21.11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99.34</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lastRenderedPageBreak/>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834,972,213.03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3.49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509,813,205.43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2.13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509,813,205.43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2.13</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449,904,440.65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1.88</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7,531,513,833.75</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31.44</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9,326,203,692.86</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38.93</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630F54">
        <w:tc>
          <w:tcPr>
            <w:tcW w:w="1493" w:type="dxa"/>
            <w:vAlign w:val="center"/>
          </w:tcPr>
          <w:p w:rsidR="00630F54" w:rsidRDefault="000C0316">
            <w:pPr>
              <w:jc w:val="center"/>
            </w:pPr>
            <w:r>
              <w:rPr>
                <w:rFonts w:hint="eastAsia"/>
                <w:sz w:val="24"/>
              </w:rPr>
              <w:t>1</w:t>
            </w:r>
          </w:p>
        </w:tc>
        <w:tc>
          <w:tcPr>
            <w:tcW w:w="1493" w:type="dxa"/>
            <w:vAlign w:val="center"/>
          </w:tcPr>
          <w:p w:rsidR="00630F54" w:rsidRDefault="000C0316">
            <w:pPr>
              <w:jc w:val="center"/>
            </w:pPr>
            <w:r>
              <w:rPr>
                <w:rFonts w:hint="eastAsia"/>
                <w:sz w:val="24"/>
              </w:rPr>
              <w:t>111719418</w:t>
            </w:r>
          </w:p>
        </w:tc>
        <w:tc>
          <w:tcPr>
            <w:tcW w:w="1503" w:type="dxa"/>
            <w:vAlign w:val="center"/>
          </w:tcPr>
          <w:p w:rsidR="00630F54" w:rsidRDefault="000C0316">
            <w:pPr>
              <w:jc w:val="center"/>
            </w:pPr>
            <w:r>
              <w:rPr>
                <w:rFonts w:hint="eastAsia"/>
                <w:sz w:val="24"/>
              </w:rPr>
              <w:t>17</w:t>
            </w:r>
            <w:r>
              <w:rPr>
                <w:rFonts w:hint="eastAsia"/>
                <w:sz w:val="24"/>
              </w:rPr>
              <w:t>恒丰银行</w:t>
            </w:r>
            <w:r>
              <w:rPr>
                <w:rFonts w:hint="eastAsia"/>
                <w:sz w:val="24"/>
              </w:rPr>
              <w:t>CD418</w:t>
            </w:r>
          </w:p>
        </w:tc>
        <w:tc>
          <w:tcPr>
            <w:tcW w:w="1503" w:type="dxa"/>
            <w:vAlign w:val="center"/>
          </w:tcPr>
          <w:p w:rsidR="00630F54" w:rsidRDefault="000C0316">
            <w:pPr>
              <w:jc w:val="center"/>
            </w:pPr>
            <w:r>
              <w:rPr>
                <w:rFonts w:hint="eastAsia"/>
                <w:sz w:val="24"/>
              </w:rPr>
              <w:t>8,000,000</w:t>
            </w:r>
          </w:p>
        </w:tc>
        <w:tc>
          <w:tcPr>
            <w:tcW w:w="1503" w:type="dxa"/>
            <w:vAlign w:val="center"/>
          </w:tcPr>
          <w:p w:rsidR="00630F54" w:rsidRDefault="000C0316">
            <w:pPr>
              <w:jc w:val="center"/>
            </w:pPr>
            <w:r>
              <w:rPr>
                <w:rFonts w:hint="eastAsia"/>
                <w:sz w:val="24"/>
              </w:rPr>
              <w:t>790,431,287.78</w:t>
            </w:r>
          </w:p>
        </w:tc>
        <w:tc>
          <w:tcPr>
            <w:tcW w:w="1503" w:type="dxa"/>
            <w:vAlign w:val="center"/>
          </w:tcPr>
          <w:p w:rsidR="00630F54" w:rsidRDefault="000C0316">
            <w:pPr>
              <w:jc w:val="center"/>
            </w:pPr>
            <w:r>
              <w:rPr>
                <w:rFonts w:hint="eastAsia"/>
                <w:sz w:val="24"/>
              </w:rPr>
              <w:t>3.30</w:t>
            </w:r>
          </w:p>
        </w:tc>
      </w:tr>
      <w:tr w:rsidR="00630F54">
        <w:tc>
          <w:tcPr>
            <w:tcW w:w="1493" w:type="dxa"/>
            <w:vAlign w:val="center"/>
          </w:tcPr>
          <w:p w:rsidR="00630F54" w:rsidRDefault="000C0316">
            <w:pPr>
              <w:jc w:val="center"/>
            </w:pPr>
            <w:r>
              <w:rPr>
                <w:rFonts w:hint="eastAsia"/>
                <w:sz w:val="24"/>
              </w:rPr>
              <w:t>2</w:t>
            </w:r>
          </w:p>
        </w:tc>
        <w:tc>
          <w:tcPr>
            <w:tcW w:w="1493" w:type="dxa"/>
            <w:vAlign w:val="center"/>
          </w:tcPr>
          <w:p w:rsidR="00630F54" w:rsidRDefault="000C0316">
            <w:pPr>
              <w:jc w:val="center"/>
            </w:pPr>
            <w:r>
              <w:rPr>
                <w:rFonts w:hint="eastAsia"/>
                <w:sz w:val="24"/>
              </w:rPr>
              <w:t>111709515</w:t>
            </w:r>
          </w:p>
        </w:tc>
        <w:tc>
          <w:tcPr>
            <w:tcW w:w="1503" w:type="dxa"/>
            <w:vAlign w:val="center"/>
          </w:tcPr>
          <w:p w:rsidR="00630F54" w:rsidRDefault="000C0316">
            <w:pPr>
              <w:jc w:val="center"/>
            </w:pPr>
            <w:r>
              <w:rPr>
                <w:rFonts w:hint="eastAsia"/>
                <w:sz w:val="24"/>
              </w:rPr>
              <w:t>17</w:t>
            </w:r>
            <w:r>
              <w:rPr>
                <w:rFonts w:hint="eastAsia"/>
                <w:sz w:val="24"/>
              </w:rPr>
              <w:t>浦发银行</w:t>
            </w:r>
            <w:r>
              <w:rPr>
                <w:rFonts w:hint="eastAsia"/>
                <w:sz w:val="24"/>
              </w:rPr>
              <w:t>CD515</w:t>
            </w:r>
          </w:p>
        </w:tc>
        <w:tc>
          <w:tcPr>
            <w:tcW w:w="1503" w:type="dxa"/>
            <w:vAlign w:val="center"/>
          </w:tcPr>
          <w:p w:rsidR="00630F54" w:rsidRDefault="000C0316">
            <w:pPr>
              <w:jc w:val="center"/>
            </w:pPr>
            <w:r>
              <w:rPr>
                <w:rFonts w:hint="eastAsia"/>
                <w:sz w:val="24"/>
              </w:rPr>
              <w:t>5,000,000</w:t>
            </w:r>
          </w:p>
        </w:tc>
        <w:tc>
          <w:tcPr>
            <w:tcW w:w="1503" w:type="dxa"/>
            <w:vAlign w:val="center"/>
          </w:tcPr>
          <w:p w:rsidR="00630F54" w:rsidRDefault="000C0316">
            <w:pPr>
              <w:jc w:val="center"/>
            </w:pPr>
            <w:r>
              <w:rPr>
                <w:rFonts w:hint="eastAsia"/>
                <w:sz w:val="24"/>
              </w:rPr>
              <w:t>494,444,574.04</w:t>
            </w:r>
          </w:p>
        </w:tc>
        <w:tc>
          <w:tcPr>
            <w:tcW w:w="1503" w:type="dxa"/>
            <w:vAlign w:val="center"/>
          </w:tcPr>
          <w:p w:rsidR="00630F54" w:rsidRDefault="000C0316">
            <w:pPr>
              <w:jc w:val="center"/>
            </w:pPr>
            <w:r>
              <w:rPr>
                <w:rFonts w:hint="eastAsia"/>
                <w:sz w:val="24"/>
              </w:rPr>
              <w:t>2.06</w:t>
            </w:r>
          </w:p>
        </w:tc>
      </w:tr>
      <w:tr w:rsidR="00630F54">
        <w:tc>
          <w:tcPr>
            <w:tcW w:w="1493" w:type="dxa"/>
            <w:vAlign w:val="center"/>
          </w:tcPr>
          <w:p w:rsidR="00630F54" w:rsidRDefault="000C0316">
            <w:pPr>
              <w:jc w:val="center"/>
            </w:pPr>
            <w:r>
              <w:rPr>
                <w:rFonts w:hint="eastAsia"/>
                <w:sz w:val="24"/>
              </w:rPr>
              <w:t>3</w:t>
            </w:r>
          </w:p>
        </w:tc>
        <w:tc>
          <w:tcPr>
            <w:tcW w:w="1493" w:type="dxa"/>
            <w:vAlign w:val="center"/>
          </w:tcPr>
          <w:p w:rsidR="00630F54" w:rsidRDefault="000C0316">
            <w:pPr>
              <w:jc w:val="center"/>
            </w:pPr>
            <w:r>
              <w:rPr>
                <w:rFonts w:hint="eastAsia"/>
                <w:sz w:val="24"/>
              </w:rPr>
              <w:t>111709243</w:t>
            </w:r>
          </w:p>
        </w:tc>
        <w:tc>
          <w:tcPr>
            <w:tcW w:w="1503" w:type="dxa"/>
            <w:vAlign w:val="center"/>
          </w:tcPr>
          <w:p w:rsidR="00630F54" w:rsidRDefault="000C0316">
            <w:pPr>
              <w:jc w:val="center"/>
            </w:pPr>
            <w:r>
              <w:rPr>
                <w:rFonts w:hint="eastAsia"/>
                <w:sz w:val="24"/>
              </w:rPr>
              <w:t>17</w:t>
            </w:r>
            <w:r>
              <w:rPr>
                <w:rFonts w:hint="eastAsia"/>
                <w:sz w:val="24"/>
              </w:rPr>
              <w:t>浦发银行</w:t>
            </w:r>
            <w:r>
              <w:rPr>
                <w:rFonts w:hint="eastAsia"/>
                <w:sz w:val="24"/>
              </w:rPr>
              <w:t>CD243</w:t>
            </w:r>
          </w:p>
        </w:tc>
        <w:tc>
          <w:tcPr>
            <w:tcW w:w="1503" w:type="dxa"/>
            <w:vAlign w:val="center"/>
          </w:tcPr>
          <w:p w:rsidR="00630F54" w:rsidRDefault="000C0316">
            <w:pPr>
              <w:jc w:val="center"/>
            </w:pPr>
            <w:r>
              <w:rPr>
                <w:rFonts w:hint="eastAsia"/>
                <w:sz w:val="24"/>
              </w:rPr>
              <w:t>4,000,000</w:t>
            </w:r>
          </w:p>
        </w:tc>
        <w:tc>
          <w:tcPr>
            <w:tcW w:w="1503" w:type="dxa"/>
            <w:vAlign w:val="center"/>
          </w:tcPr>
          <w:p w:rsidR="00630F54" w:rsidRDefault="000C0316">
            <w:pPr>
              <w:jc w:val="center"/>
            </w:pPr>
            <w:r>
              <w:rPr>
                <w:rFonts w:hint="eastAsia"/>
                <w:sz w:val="24"/>
              </w:rPr>
              <w:t>390,997,532.70</w:t>
            </w:r>
          </w:p>
        </w:tc>
        <w:tc>
          <w:tcPr>
            <w:tcW w:w="1503" w:type="dxa"/>
            <w:vAlign w:val="center"/>
          </w:tcPr>
          <w:p w:rsidR="00630F54" w:rsidRDefault="000C0316">
            <w:pPr>
              <w:jc w:val="center"/>
            </w:pPr>
            <w:r>
              <w:rPr>
                <w:rFonts w:hint="eastAsia"/>
                <w:sz w:val="24"/>
              </w:rPr>
              <w:t>1.63</w:t>
            </w:r>
          </w:p>
        </w:tc>
      </w:tr>
      <w:tr w:rsidR="00630F54">
        <w:tc>
          <w:tcPr>
            <w:tcW w:w="1493" w:type="dxa"/>
            <w:vAlign w:val="center"/>
          </w:tcPr>
          <w:p w:rsidR="00630F54" w:rsidRDefault="000C0316">
            <w:pPr>
              <w:jc w:val="center"/>
            </w:pPr>
            <w:r>
              <w:rPr>
                <w:rFonts w:hint="eastAsia"/>
                <w:sz w:val="24"/>
              </w:rPr>
              <w:t>4</w:t>
            </w:r>
          </w:p>
        </w:tc>
        <w:tc>
          <w:tcPr>
            <w:tcW w:w="1493" w:type="dxa"/>
            <w:vAlign w:val="center"/>
          </w:tcPr>
          <w:p w:rsidR="00630F54" w:rsidRDefault="000C0316">
            <w:pPr>
              <w:jc w:val="center"/>
            </w:pPr>
            <w:r>
              <w:rPr>
                <w:rFonts w:hint="eastAsia"/>
                <w:sz w:val="24"/>
              </w:rPr>
              <w:t>111720223</w:t>
            </w:r>
          </w:p>
        </w:tc>
        <w:tc>
          <w:tcPr>
            <w:tcW w:w="1503" w:type="dxa"/>
            <w:vAlign w:val="center"/>
          </w:tcPr>
          <w:p w:rsidR="00630F54" w:rsidRDefault="000C0316">
            <w:pPr>
              <w:jc w:val="center"/>
            </w:pPr>
            <w:r>
              <w:rPr>
                <w:rFonts w:hint="eastAsia"/>
                <w:sz w:val="24"/>
              </w:rPr>
              <w:t>17</w:t>
            </w:r>
            <w:r>
              <w:rPr>
                <w:rFonts w:hint="eastAsia"/>
                <w:sz w:val="24"/>
              </w:rPr>
              <w:t>广发银行</w:t>
            </w:r>
            <w:r>
              <w:rPr>
                <w:rFonts w:hint="eastAsia"/>
                <w:sz w:val="24"/>
              </w:rPr>
              <w:t>CD223</w:t>
            </w:r>
          </w:p>
        </w:tc>
        <w:tc>
          <w:tcPr>
            <w:tcW w:w="1503" w:type="dxa"/>
            <w:vAlign w:val="center"/>
          </w:tcPr>
          <w:p w:rsidR="00630F54" w:rsidRDefault="000C0316">
            <w:pPr>
              <w:jc w:val="center"/>
            </w:pPr>
            <w:r>
              <w:rPr>
                <w:rFonts w:hint="eastAsia"/>
                <w:sz w:val="24"/>
              </w:rPr>
              <w:t>3,600,000</w:t>
            </w:r>
          </w:p>
        </w:tc>
        <w:tc>
          <w:tcPr>
            <w:tcW w:w="1503" w:type="dxa"/>
            <w:vAlign w:val="center"/>
          </w:tcPr>
          <w:p w:rsidR="00630F54" w:rsidRDefault="000C0316">
            <w:pPr>
              <w:jc w:val="center"/>
            </w:pPr>
            <w:r>
              <w:rPr>
                <w:rFonts w:hint="eastAsia"/>
                <w:sz w:val="24"/>
              </w:rPr>
              <w:t>356,288,138.64</w:t>
            </w:r>
          </w:p>
        </w:tc>
        <w:tc>
          <w:tcPr>
            <w:tcW w:w="1503" w:type="dxa"/>
            <w:vAlign w:val="center"/>
          </w:tcPr>
          <w:p w:rsidR="00630F54" w:rsidRDefault="000C0316">
            <w:pPr>
              <w:jc w:val="center"/>
            </w:pPr>
            <w:r>
              <w:rPr>
                <w:rFonts w:hint="eastAsia"/>
                <w:sz w:val="24"/>
              </w:rPr>
              <w:t>1.49</w:t>
            </w:r>
          </w:p>
        </w:tc>
      </w:tr>
      <w:tr w:rsidR="00630F54">
        <w:tc>
          <w:tcPr>
            <w:tcW w:w="1493" w:type="dxa"/>
            <w:vAlign w:val="center"/>
          </w:tcPr>
          <w:p w:rsidR="00630F54" w:rsidRDefault="000C0316">
            <w:pPr>
              <w:jc w:val="center"/>
            </w:pPr>
            <w:r>
              <w:rPr>
                <w:rFonts w:hint="eastAsia"/>
                <w:sz w:val="24"/>
              </w:rPr>
              <w:t>5</w:t>
            </w:r>
          </w:p>
        </w:tc>
        <w:tc>
          <w:tcPr>
            <w:tcW w:w="1493" w:type="dxa"/>
            <w:vAlign w:val="center"/>
          </w:tcPr>
          <w:p w:rsidR="00630F54" w:rsidRDefault="000C0316">
            <w:pPr>
              <w:jc w:val="center"/>
            </w:pPr>
            <w:r>
              <w:rPr>
                <w:rFonts w:hint="eastAsia"/>
                <w:sz w:val="24"/>
              </w:rPr>
              <w:t>111709511</w:t>
            </w:r>
          </w:p>
        </w:tc>
        <w:tc>
          <w:tcPr>
            <w:tcW w:w="1503" w:type="dxa"/>
            <w:vAlign w:val="center"/>
          </w:tcPr>
          <w:p w:rsidR="00630F54" w:rsidRDefault="000C0316">
            <w:pPr>
              <w:jc w:val="center"/>
            </w:pPr>
            <w:r>
              <w:rPr>
                <w:rFonts w:hint="eastAsia"/>
                <w:sz w:val="24"/>
              </w:rPr>
              <w:t>17</w:t>
            </w:r>
            <w:r>
              <w:rPr>
                <w:rFonts w:hint="eastAsia"/>
                <w:sz w:val="24"/>
              </w:rPr>
              <w:t>浦发银行</w:t>
            </w:r>
            <w:r>
              <w:rPr>
                <w:rFonts w:hint="eastAsia"/>
                <w:sz w:val="24"/>
              </w:rPr>
              <w:t>CD511</w:t>
            </w:r>
          </w:p>
        </w:tc>
        <w:tc>
          <w:tcPr>
            <w:tcW w:w="1503" w:type="dxa"/>
            <w:vAlign w:val="center"/>
          </w:tcPr>
          <w:p w:rsidR="00630F54" w:rsidRDefault="000C0316">
            <w:pPr>
              <w:jc w:val="center"/>
            </w:pPr>
            <w:r>
              <w:rPr>
                <w:rFonts w:hint="eastAsia"/>
                <w:sz w:val="24"/>
              </w:rPr>
              <w:t>3,000,000</w:t>
            </w:r>
          </w:p>
        </w:tc>
        <w:tc>
          <w:tcPr>
            <w:tcW w:w="1503" w:type="dxa"/>
            <w:vAlign w:val="center"/>
          </w:tcPr>
          <w:p w:rsidR="00630F54" w:rsidRDefault="000C0316">
            <w:pPr>
              <w:jc w:val="center"/>
            </w:pPr>
            <w:r>
              <w:rPr>
                <w:rFonts w:hint="eastAsia"/>
                <w:sz w:val="24"/>
              </w:rPr>
              <w:t>296,727,169.76</w:t>
            </w:r>
          </w:p>
        </w:tc>
        <w:tc>
          <w:tcPr>
            <w:tcW w:w="1503" w:type="dxa"/>
            <w:vAlign w:val="center"/>
          </w:tcPr>
          <w:p w:rsidR="00630F54" w:rsidRDefault="000C0316">
            <w:pPr>
              <w:jc w:val="center"/>
            </w:pPr>
            <w:r>
              <w:rPr>
                <w:rFonts w:hint="eastAsia"/>
                <w:sz w:val="24"/>
              </w:rPr>
              <w:t>1.24</w:t>
            </w:r>
          </w:p>
        </w:tc>
      </w:tr>
      <w:tr w:rsidR="00630F54">
        <w:tc>
          <w:tcPr>
            <w:tcW w:w="1493" w:type="dxa"/>
            <w:vAlign w:val="center"/>
          </w:tcPr>
          <w:p w:rsidR="00630F54" w:rsidRDefault="000C0316">
            <w:pPr>
              <w:jc w:val="center"/>
            </w:pPr>
            <w:r>
              <w:rPr>
                <w:rFonts w:hint="eastAsia"/>
                <w:sz w:val="24"/>
              </w:rPr>
              <w:t>6</w:t>
            </w:r>
          </w:p>
        </w:tc>
        <w:tc>
          <w:tcPr>
            <w:tcW w:w="1493" w:type="dxa"/>
            <w:vAlign w:val="center"/>
          </w:tcPr>
          <w:p w:rsidR="00630F54" w:rsidRDefault="000C0316">
            <w:pPr>
              <w:jc w:val="center"/>
            </w:pPr>
            <w:r>
              <w:rPr>
                <w:rFonts w:hint="eastAsia"/>
                <w:sz w:val="24"/>
              </w:rPr>
              <w:t>111711247</w:t>
            </w:r>
          </w:p>
        </w:tc>
        <w:tc>
          <w:tcPr>
            <w:tcW w:w="1503" w:type="dxa"/>
            <w:vAlign w:val="center"/>
          </w:tcPr>
          <w:p w:rsidR="00630F54" w:rsidRDefault="000C0316">
            <w:pPr>
              <w:jc w:val="center"/>
            </w:pPr>
            <w:r>
              <w:rPr>
                <w:rFonts w:hint="eastAsia"/>
                <w:sz w:val="24"/>
              </w:rPr>
              <w:t>17</w:t>
            </w:r>
            <w:r>
              <w:rPr>
                <w:rFonts w:hint="eastAsia"/>
                <w:sz w:val="24"/>
              </w:rPr>
              <w:t>平安银行</w:t>
            </w:r>
            <w:r>
              <w:rPr>
                <w:rFonts w:hint="eastAsia"/>
                <w:sz w:val="24"/>
              </w:rPr>
              <w:t>CD247</w:t>
            </w:r>
          </w:p>
        </w:tc>
        <w:tc>
          <w:tcPr>
            <w:tcW w:w="1503" w:type="dxa"/>
            <w:vAlign w:val="center"/>
          </w:tcPr>
          <w:p w:rsidR="00630F54" w:rsidRDefault="000C0316">
            <w:pPr>
              <w:jc w:val="center"/>
            </w:pPr>
            <w:r>
              <w:rPr>
                <w:rFonts w:hint="eastAsia"/>
                <w:sz w:val="24"/>
              </w:rPr>
              <w:t>3,000,000</w:t>
            </w:r>
          </w:p>
        </w:tc>
        <w:tc>
          <w:tcPr>
            <w:tcW w:w="1503" w:type="dxa"/>
            <w:vAlign w:val="center"/>
          </w:tcPr>
          <w:p w:rsidR="00630F54" w:rsidRDefault="000C0316">
            <w:pPr>
              <w:jc w:val="center"/>
            </w:pPr>
            <w:r>
              <w:rPr>
                <w:rFonts w:hint="eastAsia"/>
                <w:sz w:val="24"/>
              </w:rPr>
              <w:t>293,245,942.46</w:t>
            </w:r>
          </w:p>
        </w:tc>
        <w:tc>
          <w:tcPr>
            <w:tcW w:w="1503" w:type="dxa"/>
            <w:vAlign w:val="center"/>
          </w:tcPr>
          <w:p w:rsidR="00630F54" w:rsidRDefault="000C0316">
            <w:pPr>
              <w:jc w:val="center"/>
            </w:pPr>
            <w:r>
              <w:rPr>
                <w:rFonts w:hint="eastAsia"/>
                <w:sz w:val="24"/>
              </w:rPr>
              <w:t>1.22</w:t>
            </w:r>
          </w:p>
        </w:tc>
      </w:tr>
      <w:tr w:rsidR="00630F54">
        <w:tc>
          <w:tcPr>
            <w:tcW w:w="1493" w:type="dxa"/>
            <w:vAlign w:val="center"/>
          </w:tcPr>
          <w:p w:rsidR="00630F54" w:rsidRDefault="000C0316">
            <w:pPr>
              <w:jc w:val="center"/>
            </w:pPr>
            <w:r>
              <w:rPr>
                <w:rFonts w:hint="eastAsia"/>
                <w:sz w:val="24"/>
              </w:rPr>
              <w:t>7</w:t>
            </w:r>
          </w:p>
        </w:tc>
        <w:tc>
          <w:tcPr>
            <w:tcW w:w="1493" w:type="dxa"/>
            <w:vAlign w:val="center"/>
          </w:tcPr>
          <w:p w:rsidR="00630F54" w:rsidRDefault="000C0316">
            <w:pPr>
              <w:jc w:val="center"/>
            </w:pPr>
            <w:r>
              <w:rPr>
                <w:rFonts w:hint="eastAsia"/>
                <w:sz w:val="24"/>
              </w:rPr>
              <w:t>111771549</w:t>
            </w:r>
          </w:p>
        </w:tc>
        <w:tc>
          <w:tcPr>
            <w:tcW w:w="1503" w:type="dxa"/>
            <w:vAlign w:val="center"/>
          </w:tcPr>
          <w:p w:rsidR="00630F54" w:rsidRDefault="000C0316">
            <w:pPr>
              <w:jc w:val="center"/>
            </w:pPr>
            <w:r>
              <w:rPr>
                <w:rFonts w:hint="eastAsia"/>
                <w:sz w:val="24"/>
              </w:rPr>
              <w:t>17</w:t>
            </w:r>
            <w:r>
              <w:rPr>
                <w:rFonts w:hint="eastAsia"/>
                <w:sz w:val="24"/>
              </w:rPr>
              <w:t>重庆农村商行</w:t>
            </w:r>
            <w:r>
              <w:rPr>
                <w:rFonts w:hint="eastAsia"/>
                <w:sz w:val="24"/>
              </w:rPr>
              <w:t>CD222</w:t>
            </w:r>
          </w:p>
        </w:tc>
        <w:tc>
          <w:tcPr>
            <w:tcW w:w="1503" w:type="dxa"/>
            <w:vAlign w:val="center"/>
          </w:tcPr>
          <w:p w:rsidR="00630F54" w:rsidRDefault="000C0316">
            <w:pPr>
              <w:jc w:val="center"/>
            </w:pPr>
            <w:r>
              <w:rPr>
                <w:rFonts w:hint="eastAsia"/>
                <w:sz w:val="24"/>
              </w:rPr>
              <w:t>2,500,000</w:t>
            </w:r>
          </w:p>
        </w:tc>
        <w:tc>
          <w:tcPr>
            <w:tcW w:w="1503" w:type="dxa"/>
            <w:vAlign w:val="center"/>
          </w:tcPr>
          <w:p w:rsidR="00630F54" w:rsidRDefault="000C0316">
            <w:pPr>
              <w:jc w:val="center"/>
            </w:pPr>
            <w:r>
              <w:rPr>
                <w:rFonts w:hint="eastAsia"/>
                <w:sz w:val="24"/>
              </w:rPr>
              <w:t>243,982,500.51</w:t>
            </w:r>
          </w:p>
        </w:tc>
        <w:tc>
          <w:tcPr>
            <w:tcW w:w="1503" w:type="dxa"/>
            <w:vAlign w:val="center"/>
          </w:tcPr>
          <w:p w:rsidR="00630F54" w:rsidRDefault="000C0316">
            <w:pPr>
              <w:jc w:val="center"/>
            </w:pPr>
            <w:r>
              <w:rPr>
                <w:rFonts w:hint="eastAsia"/>
                <w:sz w:val="24"/>
              </w:rPr>
              <w:t>1.02</w:t>
            </w:r>
          </w:p>
        </w:tc>
      </w:tr>
      <w:tr w:rsidR="00630F54">
        <w:tc>
          <w:tcPr>
            <w:tcW w:w="1493" w:type="dxa"/>
            <w:vAlign w:val="center"/>
          </w:tcPr>
          <w:p w:rsidR="00630F54" w:rsidRDefault="000C0316">
            <w:pPr>
              <w:jc w:val="center"/>
            </w:pPr>
            <w:r>
              <w:rPr>
                <w:rFonts w:hint="eastAsia"/>
                <w:sz w:val="24"/>
              </w:rPr>
              <w:t>8</w:t>
            </w:r>
          </w:p>
        </w:tc>
        <w:tc>
          <w:tcPr>
            <w:tcW w:w="1493" w:type="dxa"/>
            <w:vAlign w:val="center"/>
          </w:tcPr>
          <w:p w:rsidR="00630F54" w:rsidRDefault="000C0316">
            <w:pPr>
              <w:jc w:val="center"/>
            </w:pPr>
            <w:r>
              <w:rPr>
                <w:rFonts w:hint="eastAsia"/>
                <w:sz w:val="24"/>
              </w:rPr>
              <w:t>111770577</w:t>
            </w:r>
          </w:p>
        </w:tc>
        <w:tc>
          <w:tcPr>
            <w:tcW w:w="1503" w:type="dxa"/>
            <w:vAlign w:val="center"/>
          </w:tcPr>
          <w:p w:rsidR="00630F54" w:rsidRDefault="000C0316">
            <w:pPr>
              <w:jc w:val="center"/>
            </w:pPr>
            <w:r>
              <w:rPr>
                <w:rFonts w:hint="eastAsia"/>
                <w:sz w:val="24"/>
              </w:rPr>
              <w:t>17</w:t>
            </w:r>
            <w:r>
              <w:rPr>
                <w:rFonts w:hint="eastAsia"/>
                <w:sz w:val="24"/>
              </w:rPr>
              <w:t>成都银行</w:t>
            </w:r>
            <w:r>
              <w:rPr>
                <w:rFonts w:hint="eastAsia"/>
                <w:sz w:val="24"/>
              </w:rPr>
              <w:t>CD192</w:t>
            </w:r>
          </w:p>
        </w:tc>
        <w:tc>
          <w:tcPr>
            <w:tcW w:w="1503" w:type="dxa"/>
            <w:vAlign w:val="center"/>
          </w:tcPr>
          <w:p w:rsidR="00630F54" w:rsidRDefault="000C0316">
            <w:pPr>
              <w:jc w:val="center"/>
            </w:pPr>
            <w:r>
              <w:rPr>
                <w:rFonts w:hint="eastAsia"/>
                <w:sz w:val="24"/>
              </w:rPr>
              <w:t>2,000,000</w:t>
            </w:r>
          </w:p>
        </w:tc>
        <w:tc>
          <w:tcPr>
            <w:tcW w:w="1503" w:type="dxa"/>
            <w:vAlign w:val="center"/>
          </w:tcPr>
          <w:p w:rsidR="00630F54" w:rsidRDefault="000C0316">
            <w:pPr>
              <w:jc w:val="center"/>
            </w:pPr>
            <w:r>
              <w:rPr>
                <w:rFonts w:hint="eastAsia"/>
                <w:sz w:val="24"/>
              </w:rPr>
              <w:t>199,804,893.35</w:t>
            </w:r>
          </w:p>
        </w:tc>
        <w:tc>
          <w:tcPr>
            <w:tcW w:w="1503" w:type="dxa"/>
            <w:vAlign w:val="center"/>
          </w:tcPr>
          <w:p w:rsidR="00630F54" w:rsidRDefault="000C0316">
            <w:pPr>
              <w:jc w:val="center"/>
            </w:pPr>
            <w:r>
              <w:rPr>
                <w:rFonts w:hint="eastAsia"/>
                <w:sz w:val="24"/>
              </w:rPr>
              <w:t>0.83</w:t>
            </w:r>
          </w:p>
        </w:tc>
      </w:tr>
      <w:tr w:rsidR="00630F54">
        <w:tc>
          <w:tcPr>
            <w:tcW w:w="1493" w:type="dxa"/>
            <w:vAlign w:val="center"/>
          </w:tcPr>
          <w:p w:rsidR="00630F54" w:rsidRDefault="000C0316">
            <w:pPr>
              <w:jc w:val="center"/>
            </w:pPr>
            <w:r>
              <w:rPr>
                <w:rFonts w:hint="eastAsia"/>
                <w:sz w:val="24"/>
              </w:rPr>
              <w:t>9</w:t>
            </w:r>
          </w:p>
        </w:tc>
        <w:tc>
          <w:tcPr>
            <w:tcW w:w="1493" w:type="dxa"/>
            <w:vAlign w:val="center"/>
          </w:tcPr>
          <w:p w:rsidR="00630F54" w:rsidRDefault="000C0316">
            <w:pPr>
              <w:jc w:val="center"/>
            </w:pPr>
            <w:r>
              <w:rPr>
                <w:rFonts w:hint="eastAsia"/>
                <w:sz w:val="24"/>
              </w:rPr>
              <w:t>111771237</w:t>
            </w:r>
          </w:p>
        </w:tc>
        <w:tc>
          <w:tcPr>
            <w:tcW w:w="1503" w:type="dxa"/>
            <w:vAlign w:val="center"/>
          </w:tcPr>
          <w:p w:rsidR="00630F54" w:rsidRDefault="000C0316">
            <w:pPr>
              <w:jc w:val="center"/>
            </w:pPr>
            <w:r>
              <w:rPr>
                <w:rFonts w:hint="eastAsia"/>
                <w:sz w:val="24"/>
              </w:rPr>
              <w:t>17</w:t>
            </w:r>
            <w:r>
              <w:rPr>
                <w:rFonts w:hint="eastAsia"/>
                <w:sz w:val="24"/>
              </w:rPr>
              <w:t>宁波银行</w:t>
            </w:r>
            <w:r>
              <w:rPr>
                <w:rFonts w:hint="eastAsia"/>
                <w:sz w:val="24"/>
              </w:rPr>
              <w:lastRenderedPageBreak/>
              <w:t>CD242</w:t>
            </w:r>
          </w:p>
        </w:tc>
        <w:tc>
          <w:tcPr>
            <w:tcW w:w="1503" w:type="dxa"/>
            <w:vAlign w:val="center"/>
          </w:tcPr>
          <w:p w:rsidR="00630F54" w:rsidRDefault="000C0316">
            <w:pPr>
              <w:jc w:val="center"/>
            </w:pPr>
            <w:r>
              <w:rPr>
                <w:rFonts w:hint="eastAsia"/>
                <w:sz w:val="24"/>
              </w:rPr>
              <w:lastRenderedPageBreak/>
              <w:t>2,000,000</w:t>
            </w:r>
          </w:p>
        </w:tc>
        <w:tc>
          <w:tcPr>
            <w:tcW w:w="1503" w:type="dxa"/>
            <w:vAlign w:val="center"/>
          </w:tcPr>
          <w:p w:rsidR="00630F54" w:rsidRDefault="000C0316">
            <w:pPr>
              <w:jc w:val="center"/>
            </w:pPr>
            <w:r>
              <w:rPr>
                <w:rFonts w:hint="eastAsia"/>
                <w:sz w:val="24"/>
              </w:rPr>
              <w:t>195,480,956.6</w:t>
            </w:r>
            <w:r>
              <w:rPr>
                <w:rFonts w:hint="eastAsia"/>
                <w:sz w:val="24"/>
              </w:rPr>
              <w:lastRenderedPageBreak/>
              <w:t>6</w:t>
            </w:r>
          </w:p>
        </w:tc>
        <w:tc>
          <w:tcPr>
            <w:tcW w:w="1503" w:type="dxa"/>
            <w:vAlign w:val="center"/>
          </w:tcPr>
          <w:p w:rsidR="00630F54" w:rsidRDefault="000C0316">
            <w:pPr>
              <w:jc w:val="center"/>
            </w:pPr>
            <w:r>
              <w:rPr>
                <w:rFonts w:hint="eastAsia"/>
                <w:sz w:val="24"/>
              </w:rPr>
              <w:lastRenderedPageBreak/>
              <w:t>0.82</w:t>
            </w:r>
          </w:p>
        </w:tc>
      </w:tr>
      <w:tr w:rsidR="00630F54">
        <w:tc>
          <w:tcPr>
            <w:tcW w:w="1493" w:type="dxa"/>
            <w:vAlign w:val="center"/>
          </w:tcPr>
          <w:p w:rsidR="00630F54" w:rsidRDefault="000C0316">
            <w:pPr>
              <w:jc w:val="center"/>
            </w:pPr>
            <w:r>
              <w:rPr>
                <w:rFonts w:hint="eastAsia"/>
                <w:sz w:val="24"/>
              </w:rPr>
              <w:t>10</w:t>
            </w:r>
          </w:p>
        </w:tc>
        <w:tc>
          <w:tcPr>
            <w:tcW w:w="1493" w:type="dxa"/>
            <w:vAlign w:val="center"/>
          </w:tcPr>
          <w:p w:rsidR="00630F54" w:rsidRDefault="000C0316">
            <w:pPr>
              <w:jc w:val="center"/>
            </w:pPr>
            <w:r>
              <w:rPr>
                <w:rFonts w:hint="eastAsia"/>
                <w:sz w:val="24"/>
              </w:rPr>
              <w:t>111771696</w:t>
            </w:r>
          </w:p>
        </w:tc>
        <w:tc>
          <w:tcPr>
            <w:tcW w:w="1503" w:type="dxa"/>
            <w:vAlign w:val="center"/>
          </w:tcPr>
          <w:p w:rsidR="00630F54" w:rsidRDefault="000C0316">
            <w:pPr>
              <w:jc w:val="center"/>
            </w:pPr>
            <w:r>
              <w:rPr>
                <w:rFonts w:hint="eastAsia"/>
                <w:sz w:val="24"/>
              </w:rPr>
              <w:t>17</w:t>
            </w:r>
            <w:r>
              <w:rPr>
                <w:rFonts w:hint="eastAsia"/>
                <w:sz w:val="24"/>
              </w:rPr>
              <w:t>成都银行</w:t>
            </w:r>
            <w:r>
              <w:rPr>
                <w:rFonts w:hint="eastAsia"/>
                <w:sz w:val="24"/>
              </w:rPr>
              <w:t>CD202</w:t>
            </w:r>
          </w:p>
        </w:tc>
        <w:tc>
          <w:tcPr>
            <w:tcW w:w="1503" w:type="dxa"/>
            <w:vAlign w:val="center"/>
          </w:tcPr>
          <w:p w:rsidR="00630F54" w:rsidRDefault="000C0316">
            <w:pPr>
              <w:jc w:val="center"/>
            </w:pPr>
            <w:r>
              <w:rPr>
                <w:rFonts w:hint="eastAsia"/>
                <w:sz w:val="24"/>
              </w:rPr>
              <w:t>2,000,000</w:t>
            </w:r>
          </w:p>
        </w:tc>
        <w:tc>
          <w:tcPr>
            <w:tcW w:w="1503" w:type="dxa"/>
            <w:vAlign w:val="center"/>
          </w:tcPr>
          <w:p w:rsidR="00630F54" w:rsidRDefault="000C0316">
            <w:pPr>
              <w:jc w:val="center"/>
            </w:pPr>
            <w:r>
              <w:rPr>
                <w:rFonts w:hint="eastAsia"/>
                <w:sz w:val="24"/>
              </w:rPr>
              <w:t>195,158,028.33</w:t>
            </w:r>
          </w:p>
        </w:tc>
        <w:tc>
          <w:tcPr>
            <w:tcW w:w="1503" w:type="dxa"/>
            <w:vAlign w:val="center"/>
          </w:tcPr>
          <w:p w:rsidR="00630F54" w:rsidRDefault="000C0316">
            <w:pPr>
              <w:jc w:val="center"/>
            </w:pPr>
            <w:r>
              <w:rPr>
                <w:rFonts w:hint="eastAsia"/>
                <w:sz w:val="24"/>
              </w:rPr>
              <w:t>0.81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0.0633%</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-0.0431%</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0.0195%</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CB1276" w:rsidRDefault="006D141C"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本基金本报告期末未持有资产支持证券。</w:t>
      </w: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lastRenderedPageBreak/>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126,954.71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82,302,620.42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87,018,005.10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169,447,580.23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交银活期通货币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742,680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14,743.39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29,248,569.13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0.27%</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10,920,373,343.48</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99.73%</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交银活期通货币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62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209,815,057.20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12,976,525,104.80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99.75%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32,008,441.44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0.25%</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742,742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32,256.36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13,005,773,673.93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54.29%</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10,952,381,784.92</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45.71%</w:t>
            </w:r>
          </w:p>
        </w:tc>
      </w:tr>
    </w:tbl>
    <w:p w:rsidR="00A66BB5" w:rsidRPr="00A85DBF" w:rsidRDefault="00A66BB5" w:rsidP="004B36C2">
      <w:pPr>
        <w:spacing w:line="360" w:lineRule="auto"/>
        <w:rPr>
          <w:rFonts w:asciiTheme="minorEastAsia" w:eastAsiaTheme="minorEastAsia" w:hAnsiTheme="minorEastAsia"/>
          <w:szCs w:val="21"/>
        </w:rPr>
      </w:pPr>
    </w:p>
    <w:p w:rsidR="000C0316" w:rsidRPr="000C0316" w:rsidRDefault="000C0316" w:rsidP="000C0316">
      <w:pPr>
        <w:pStyle w:val="20"/>
        <w:spacing w:before="29" w:after="0" w:line="288" w:lineRule="auto"/>
        <w:rPr>
          <w:rFonts w:ascii="Times New Roman" w:hAnsi="Times New Roman" w:cs="Times New Roman"/>
          <w:kern w:val="0"/>
          <w:szCs w:val="24"/>
        </w:rPr>
      </w:pPr>
      <w:bookmarkStart w:id="30" w:name="_Toc509579345"/>
      <w:r w:rsidRPr="000C0316">
        <w:rPr>
          <w:rFonts w:ascii="Times New Roman" w:hAnsi="Times New Roman" w:cs="Times New Roman"/>
          <w:kern w:val="0"/>
          <w:szCs w:val="24"/>
        </w:rPr>
        <w:t xml:space="preserve">9.2 </w:t>
      </w:r>
      <w:r w:rsidRPr="000C0316">
        <w:rPr>
          <w:rFonts w:ascii="Times New Roman" w:hAnsi="Times New Roman" w:cs="Times New Roman" w:hint="eastAsia"/>
          <w:kern w:val="0"/>
          <w:szCs w:val="24"/>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0C0316" w:rsidTr="005423FC">
        <w:tc>
          <w:tcPr>
            <w:tcW w:w="2814" w:type="dxa"/>
            <w:tcBorders>
              <w:top w:val="single" w:sz="4" w:space="0" w:color="auto"/>
              <w:left w:val="single" w:sz="4" w:space="0" w:color="auto"/>
              <w:bottom w:val="single" w:sz="4" w:space="0" w:color="auto"/>
              <w:right w:val="single" w:sz="4" w:space="0" w:color="auto"/>
            </w:tcBorders>
            <w:vAlign w:val="center"/>
            <w:hideMark/>
          </w:tcPr>
          <w:p w:rsidR="000C0316" w:rsidRDefault="000C0316" w:rsidP="005423FC">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0C0316" w:rsidRDefault="000C0316" w:rsidP="005423FC">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0C0316" w:rsidRDefault="000C0316" w:rsidP="005423FC">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0C0316" w:rsidRDefault="000C0316" w:rsidP="005423FC">
            <w:pPr>
              <w:spacing w:line="276" w:lineRule="auto"/>
              <w:jc w:val="center"/>
              <w:rPr>
                <w:rFonts w:eastAsia="仿宋_GB2312"/>
                <w:szCs w:val="21"/>
              </w:rPr>
            </w:pPr>
            <w:r>
              <w:rPr>
                <w:rFonts w:eastAsia="仿宋_GB2312" w:hint="eastAsia"/>
                <w:szCs w:val="21"/>
              </w:rPr>
              <w:t>占总份额比例</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1</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3,003,004,197.00</w:t>
            </w:r>
          </w:p>
        </w:tc>
        <w:tc>
          <w:tcPr>
            <w:tcW w:w="0" w:type="auto"/>
            <w:vAlign w:val="center"/>
          </w:tcPr>
          <w:p w:rsidR="000C0316" w:rsidRDefault="000C0316" w:rsidP="005423FC">
            <w:pPr>
              <w:jc w:val="right"/>
            </w:pPr>
            <w:r>
              <w:rPr>
                <w:rFonts w:eastAsiaTheme="minorEastAsia"/>
                <w:color w:val="000000" w:themeColor="text1"/>
                <w:szCs w:val="21"/>
              </w:rPr>
              <w:t>12.53%</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2</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1,014,080,098.00</w:t>
            </w:r>
          </w:p>
        </w:tc>
        <w:tc>
          <w:tcPr>
            <w:tcW w:w="0" w:type="auto"/>
            <w:vAlign w:val="center"/>
          </w:tcPr>
          <w:p w:rsidR="000C0316" w:rsidRDefault="000C0316" w:rsidP="005423FC">
            <w:pPr>
              <w:jc w:val="right"/>
            </w:pPr>
            <w:r>
              <w:rPr>
                <w:rFonts w:eastAsiaTheme="minorEastAsia"/>
                <w:color w:val="000000" w:themeColor="text1"/>
                <w:szCs w:val="21"/>
              </w:rPr>
              <w:t>4.23%</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3</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1,002,693,271.00</w:t>
            </w:r>
          </w:p>
        </w:tc>
        <w:tc>
          <w:tcPr>
            <w:tcW w:w="0" w:type="auto"/>
            <w:vAlign w:val="center"/>
          </w:tcPr>
          <w:p w:rsidR="000C0316" w:rsidRDefault="000C0316" w:rsidP="005423FC">
            <w:pPr>
              <w:jc w:val="right"/>
            </w:pPr>
            <w:r>
              <w:rPr>
                <w:rFonts w:eastAsiaTheme="minorEastAsia"/>
                <w:color w:val="000000" w:themeColor="text1"/>
                <w:szCs w:val="21"/>
              </w:rPr>
              <w:t>4.19%</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4</w:t>
            </w:r>
          </w:p>
        </w:tc>
        <w:tc>
          <w:tcPr>
            <w:tcW w:w="0" w:type="auto"/>
            <w:vAlign w:val="center"/>
          </w:tcPr>
          <w:p w:rsidR="000C0316" w:rsidRDefault="000C0316" w:rsidP="005423FC">
            <w:pPr>
              <w:jc w:val="right"/>
            </w:pPr>
            <w:r>
              <w:rPr>
                <w:rFonts w:eastAsiaTheme="minorEastAsia"/>
                <w:color w:val="000000" w:themeColor="text1"/>
                <w:szCs w:val="21"/>
              </w:rPr>
              <w:t>其他机构</w:t>
            </w:r>
          </w:p>
        </w:tc>
        <w:tc>
          <w:tcPr>
            <w:tcW w:w="0" w:type="auto"/>
            <w:vAlign w:val="center"/>
          </w:tcPr>
          <w:p w:rsidR="000C0316" w:rsidRDefault="000C0316" w:rsidP="005423FC">
            <w:pPr>
              <w:jc w:val="right"/>
            </w:pPr>
            <w:r>
              <w:rPr>
                <w:rFonts w:eastAsiaTheme="minorEastAsia"/>
                <w:color w:val="000000" w:themeColor="text1"/>
                <w:szCs w:val="21"/>
              </w:rPr>
              <w:t>1,001,451,783.00</w:t>
            </w:r>
          </w:p>
        </w:tc>
        <w:tc>
          <w:tcPr>
            <w:tcW w:w="0" w:type="auto"/>
            <w:vAlign w:val="center"/>
          </w:tcPr>
          <w:p w:rsidR="000C0316" w:rsidRDefault="000C0316" w:rsidP="005423FC">
            <w:pPr>
              <w:jc w:val="right"/>
            </w:pPr>
            <w:r>
              <w:rPr>
                <w:rFonts w:eastAsiaTheme="minorEastAsia"/>
                <w:color w:val="000000" w:themeColor="text1"/>
                <w:szCs w:val="21"/>
              </w:rPr>
              <w:t>4.18%</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5</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800,311,683.30</w:t>
            </w:r>
          </w:p>
        </w:tc>
        <w:tc>
          <w:tcPr>
            <w:tcW w:w="0" w:type="auto"/>
            <w:vAlign w:val="center"/>
          </w:tcPr>
          <w:p w:rsidR="000C0316" w:rsidRDefault="000C0316" w:rsidP="005423FC">
            <w:pPr>
              <w:jc w:val="right"/>
            </w:pPr>
            <w:r>
              <w:rPr>
                <w:rFonts w:eastAsiaTheme="minorEastAsia"/>
                <w:color w:val="000000" w:themeColor="text1"/>
                <w:szCs w:val="21"/>
              </w:rPr>
              <w:t>3.34%</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6</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507,384,833.60</w:t>
            </w:r>
          </w:p>
        </w:tc>
        <w:tc>
          <w:tcPr>
            <w:tcW w:w="0" w:type="auto"/>
            <w:vAlign w:val="center"/>
          </w:tcPr>
          <w:p w:rsidR="000C0316" w:rsidRDefault="000C0316" w:rsidP="005423FC">
            <w:pPr>
              <w:jc w:val="right"/>
            </w:pPr>
            <w:r>
              <w:rPr>
                <w:rFonts w:eastAsiaTheme="minorEastAsia"/>
                <w:color w:val="000000" w:themeColor="text1"/>
                <w:szCs w:val="21"/>
              </w:rPr>
              <w:t>2.12%</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lastRenderedPageBreak/>
              <w:t>7</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500,000,000.00</w:t>
            </w:r>
          </w:p>
        </w:tc>
        <w:tc>
          <w:tcPr>
            <w:tcW w:w="0" w:type="auto"/>
            <w:vAlign w:val="center"/>
          </w:tcPr>
          <w:p w:rsidR="000C0316" w:rsidRDefault="000C0316" w:rsidP="005423FC">
            <w:pPr>
              <w:jc w:val="right"/>
            </w:pPr>
            <w:r>
              <w:rPr>
                <w:rFonts w:eastAsiaTheme="minorEastAsia"/>
                <w:color w:val="000000" w:themeColor="text1"/>
                <w:szCs w:val="21"/>
              </w:rPr>
              <w:t>2.09%</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8</w:t>
            </w:r>
          </w:p>
        </w:tc>
        <w:tc>
          <w:tcPr>
            <w:tcW w:w="0" w:type="auto"/>
            <w:vAlign w:val="center"/>
          </w:tcPr>
          <w:p w:rsidR="000C0316" w:rsidRDefault="000C0316" w:rsidP="005423FC">
            <w:pPr>
              <w:jc w:val="right"/>
            </w:pPr>
            <w:r>
              <w:rPr>
                <w:rFonts w:eastAsiaTheme="minorEastAsia"/>
                <w:color w:val="000000" w:themeColor="text1"/>
                <w:szCs w:val="21"/>
              </w:rPr>
              <w:t>其他机构</w:t>
            </w:r>
          </w:p>
        </w:tc>
        <w:tc>
          <w:tcPr>
            <w:tcW w:w="0" w:type="auto"/>
            <w:vAlign w:val="center"/>
          </w:tcPr>
          <w:p w:rsidR="000C0316" w:rsidRDefault="000C0316" w:rsidP="005423FC">
            <w:pPr>
              <w:jc w:val="right"/>
            </w:pPr>
            <w:r>
              <w:rPr>
                <w:rFonts w:eastAsiaTheme="minorEastAsia"/>
                <w:color w:val="000000" w:themeColor="text1"/>
                <w:szCs w:val="21"/>
              </w:rPr>
              <w:t>402,454,192.70</w:t>
            </w:r>
          </w:p>
        </w:tc>
        <w:tc>
          <w:tcPr>
            <w:tcW w:w="0" w:type="auto"/>
            <w:vAlign w:val="center"/>
          </w:tcPr>
          <w:p w:rsidR="000C0316" w:rsidRDefault="000C0316" w:rsidP="005423FC">
            <w:pPr>
              <w:jc w:val="right"/>
            </w:pPr>
            <w:r>
              <w:rPr>
                <w:rFonts w:eastAsiaTheme="minorEastAsia"/>
                <w:color w:val="000000" w:themeColor="text1"/>
                <w:szCs w:val="21"/>
              </w:rPr>
              <w:t>1.68%</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9</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401,030,040.80</w:t>
            </w:r>
          </w:p>
        </w:tc>
        <w:tc>
          <w:tcPr>
            <w:tcW w:w="0" w:type="auto"/>
            <w:vAlign w:val="center"/>
          </w:tcPr>
          <w:p w:rsidR="000C0316" w:rsidRDefault="000C0316" w:rsidP="005423FC">
            <w:pPr>
              <w:jc w:val="right"/>
            </w:pPr>
            <w:r>
              <w:rPr>
                <w:rFonts w:eastAsiaTheme="minorEastAsia"/>
                <w:color w:val="000000" w:themeColor="text1"/>
                <w:szCs w:val="21"/>
              </w:rPr>
              <w:t>1.67%</w:t>
            </w:r>
          </w:p>
        </w:tc>
      </w:tr>
      <w:tr w:rsidR="000C0316" w:rsidTr="005423FC">
        <w:tc>
          <w:tcPr>
            <w:tcW w:w="0" w:type="auto"/>
            <w:vAlign w:val="center"/>
          </w:tcPr>
          <w:p w:rsidR="000C0316" w:rsidRDefault="000C0316" w:rsidP="005423FC">
            <w:pPr>
              <w:jc w:val="right"/>
            </w:pPr>
            <w:r>
              <w:rPr>
                <w:rFonts w:eastAsiaTheme="minorEastAsia"/>
                <w:color w:val="000000" w:themeColor="text1"/>
                <w:szCs w:val="21"/>
              </w:rPr>
              <w:t>10</w:t>
            </w:r>
          </w:p>
        </w:tc>
        <w:tc>
          <w:tcPr>
            <w:tcW w:w="0" w:type="auto"/>
            <w:vAlign w:val="center"/>
          </w:tcPr>
          <w:p w:rsidR="000C0316" w:rsidRDefault="000C0316" w:rsidP="005423FC">
            <w:pPr>
              <w:jc w:val="right"/>
            </w:pPr>
            <w:r>
              <w:rPr>
                <w:rFonts w:eastAsiaTheme="minorEastAsia"/>
                <w:color w:val="000000" w:themeColor="text1"/>
                <w:szCs w:val="21"/>
              </w:rPr>
              <w:t>银行类机构</w:t>
            </w:r>
          </w:p>
        </w:tc>
        <w:tc>
          <w:tcPr>
            <w:tcW w:w="0" w:type="auto"/>
            <w:vAlign w:val="center"/>
          </w:tcPr>
          <w:p w:rsidR="000C0316" w:rsidRDefault="000C0316" w:rsidP="005423FC">
            <w:pPr>
              <w:jc w:val="right"/>
            </w:pPr>
            <w:r>
              <w:rPr>
                <w:rFonts w:eastAsiaTheme="minorEastAsia"/>
                <w:color w:val="000000" w:themeColor="text1"/>
                <w:szCs w:val="21"/>
              </w:rPr>
              <w:t>400,051,557.10</w:t>
            </w:r>
          </w:p>
        </w:tc>
        <w:tc>
          <w:tcPr>
            <w:tcW w:w="0" w:type="auto"/>
            <w:vAlign w:val="center"/>
          </w:tcPr>
          <w:p w:rsidR="000C0316" w:rsidRDefault="000C0316" w:rsidP="005423FC">
            <w:pPr>
              <w:jc w:val="right"/>
            </w:pPr>
            <w:r>
              <w:rPr>
                <w:rFonts w:eastAsiaTheme="minorEastAsia"/>
                <w:color w:val="000000" w:themeColor="text1"/>
                <w:szCs w:val="21"/>
              </w:rPr>
              <w:t>1.67%</w:t>
            </w:r>
          </w:p>
        </w:tc>
      </w:tr>
    </w:tbl>
    <w:p w:rsidR="000C0316" w:rsidRDefault="000C0316" w:rsidP="000C0316">
      <w:pPr>
        <w:autoSpaceDE w:val="0"/>
        <w:autoSpaceDN w:val="0"/>
        <w:adjustRightInd w:val="0"/>
        <w:spacing w:before="29" w:line="288" w:lineRule="auto"/>
        <w:rPr>
          <w:sz w:val="24"/>
        </w:rPr>
      </w:pPr>
    </w:p>
    <w:p w:rsidR="000C0316" w:rsidRPr="00734D45" w:rsidRDefault="000C0316" w:rsidP="000C0316">
      <w:pPr>
        <w:pStyle w:val="20"/>
        <w:spacing w:before="29" w:after="0" w:line="288" w:lineRule="auto"/>
        <w:rPr>
          <w:rFonts w:ascii="Times New Roman" w:hAnsi="Times New Roman" w:cs="Times New Roman"/>
          <w:kern w:val="0"/>
          <w:szCs w:val="24"/>
        </w:rPr>
      </w:pPr>
      <w:bookmarkStart w:id="31" w:name="_Toc331410113"/>
      <w:bookmarkStart w:id="32" w:name="_Toc509579346"/>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0C0316" w:rsidRPr="00D564C7" w:rsidTr="005423FC">
        <w:trPr>
          <w:trHeight w:val="285"/>
        </w:trPr>
        <w:tc>
          <w:tcPr>
            <w:tcW w:w="2268" w:type="dxa"/>
            <w:noWrap/>
            <w:vAlign w:val="center"/>
          </w:tcPr>
          <w:p w:rsidR="000C0316" w:rsidRPr="00640CFF" w:rsidRDefault="000C0316" w:rsidP="005423F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0C0316" w:rsidRPr="00640CFF" w:rsidRDefault="000C0316" w:rsidP="005423F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0C0316" w:rsidRPr="00640CFF" w:rsidRDefault="000C0316" w:rsidP="005423F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0C0316" w:rsidRPr="00640CFF" w:rsidRDefault="000C0316" w:rsidP="005423FC">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0C0316" w:rsidRPr="00D564C7" w:rsidTr="005423FC">
        <w:trPr>
          <w:trHeight w:val="285"/>
        </w:trPr>
        <w:tc>
          <w:tcPr>
            <w:tcW w:w="2268" w:type="dxa"/>
            <w:vMerge w:val="restart"/>
            <w:noWrap/>
            <w:vAlign w:val="center"/>
          </w:tcPr>
          <w:p w:rsidR="000C0316" w:rsidRPr="00D0515B" w:rsidRDefault="000C0316" w:rsidP="005423FC">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0C0316" w:rsidRPr="00BF1B19" w:rsidRDefault="000C0316" w:rsidP="005423FC">
            <w:pPr>
              <w:spacing w:before="29" w:line="288" w:lineRule="auto"/>
              <w:rPr>
                <w:sz w:val="24"/>
              </w:rPr>
            </w:pPr>
            <w:r w:rsidRPr="00BF1B19">
              <w:rPr>
                <w:rFonts w:hint="eastAsia"/>
                <w:sz w:val="24"/>
              </w:rPr>
              <w:t>交银活期通货币</w:t>
            </w:r>
            <w:r w:rsidRPr="00BF1B19">
              <w:rPr>
                <w:rFonts w:hint="eastAsia"/>
                <w:sz w:val="24"/>
              </w:rPr>
              <w:t>A</w:t>
            </w:r>
          </w:p>
        </w:tc>
        <w:tc>
          <w:tcPr>
            <w:tcW w:w="2126" w:type="dxa"/>
            <w:noWrap/>
            <w:vAlign w:val="center"/>
          </w:tcPr>
          <w:p w:rsidR="000C0316" w:rsidRPr="00BF1B19" w:rsidRDefault="000C0316" w:rsidP="005423FC">
            <w:pPr>
              <w:widowControl/>
              <w:spacing w:before="29" w:line="288" w:lineRule="auto"/>
              <w:jc w:val="right"/>
              <w:rPr>
                <w:sz w:val="24"/>
              </w:rPr>
            </w:pPr>
            <w:r w:rsidRPr="00BF1B19">
              <w:rPr>
                <w:rFonts w:hint="eastAsia"/>
                <w:sz w:val="24"/>
              </w:rPr>
              <w:t>7,033,303.07</w:t>
            </w:r>
          </w:p>
        </w:tc>
        <w:tc>
          <w:tcPr>
            <w:tcW w:w="1910" w:type="dxa"/>
            <w:noWrap/>
            <w:vAlign w:val="center"/>
          </w:tcPr>
          <w:p w:rsidR="000C0316" w:rsidRPr="00BF1B19" w:rsidRDefault="000C0316" w:rsidP="005423FC">
            <w:pPr>
              <w:widowControl/>
              <w:spacing w:before="29" w:line="288" w:lineRule="auto"/>
              <w:jc w:val="right"/>
              <w:rPr>
                <w:sz w:val="24"/>
              </w:rPr>
            </w:pPr>
            <w:r w:rsidRPr="00BF1B19">
              <w:rPr>
                <w:rFonts w:hint="eastAsia"/>
                <w:sz w:val="24"/>
              </w:rPr>
              <w:t>0.06%</w:t>
            </w:r>
          </w:p>
        </w:tc>
      </w:tr>
      <w:tr w:rsidR="000C0316" w:rsidRPr="00D564C7" w:rsidTr="005423FC">
        <w:trPr>
          <w:trHeight w:val="285"/>
        </w:trPr>
        <w:tc>
          <w:tcPr>
            <w:tcW w:w="2268" w:type="dxa"/>
            <w:vMerge/>
            <w:vAlign w:val="center"/>
          </w:tcPr>
          <w:p w:rsidR="000C0316" w:rsidRPr="00D564C7" w:rsidRDefault="000C0316" w:rsidP="005423FC">
            <w:pPr>
              <w:widowControl/>
              <w:spacing w:line="360" w:lineRule="auto"/>
              <w:jc w:val="left"/>
              <w:rPr>
                <w:rFonts w:asciiTheme="minorEastAsia" w:eastAsiaTheme="minorEastAsia" w:hAnsiTheme="minorEastAsia"/>
                <w:color w:val="000000"/>
                <w:szCs w:val="21"/>
              </w:rPr>
            </w:pPr>
          </w:p>
        </w:tc>
        <w:tc>
          <w:tcPr>
            <w:tcW w:w="2694" w:type="dxa"/>
            <w:vAlign w:val="center"/>
          </w:tcPr>
          <w:p w:rsidR="000C0316" w:rsidRPr="006E3F38" w:rsidRDefault="000C0316" w:rsidP="005423FC">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0C0316" w:rsidRPr="006E3F38" w:rsidRDefault="000C0316" w:rsidP="005423FC">
            <w:pPr>
              <w:widowControl/>
              <w:spacing w:before="29" w:line="288" w:lineRule="auto"/>
              <w:jc w:val="right"/>
              <w:rPr>
                <w:color w:val="000000"/>
                <w:kern w:val="0"/>
                <w:sz w:val="24"/>
              </w:rPr>
            </w:pPr>
            <w:r>
              <w:rPr>
                <w:sz w:val="24"/>
              </w:rPr>
              <w:t>-</w:t>
            </w:r>
          </w:p>
        </w:tc>
        <w:tc>
          <w:tcPr>
            <w:tcW w:w="1910" w:type="dxa"/>
            <w:noWrap/>
            <w:vAlign w:val="center"/>
          </w:tcPr>
          <w:p w:rsidR="000C0316" w:rsidRPr="006E3F38" w:rsidRDefault="000C0316" w:rsidP="005423FC">
            <w:pPr>
              <w:widowControl/>
              <w:spacing w:before="29" w:line="288" w:lineRule="auto"/>
              <w:jc w:val="right"/>
              <w:rPr>
                <w:color w:val="000000"/>
                <w:kern w:val="0"/>
                <w:sz w:val="24"/>
              </w:rPr>
            </w:pPr>
            <w:r>
              <w:rPr>
                <w:sz w:val="24"/>
              </w:rPr>
              <w:t>-</w:t>
            </w:r>
          </w:p>
        </w:tc>
      </w:tr>
      <w:tr w:rsidR="000C0316" w:rsidRPr="00D564C7" w:rsidTr="005423FC">
        <w:trPr>
          <w:trHeight w:val="285"/>
        </w:trPr>
        <w:tc>
          <w:tcPr>
            <w:tcW w:w="2268" w:type="dxa"/>
            <w:vMerge/>
            <w:vAlign w:val="center"/>
          </w:tcPr>
          <w:p w:rsidR="000C0316" w:rsidRPr="00D564C7" w:rsidRDefault="000C0316" w:rsidP="005423FC">
            <w:pPr>
              <w:widowControl/>
              <w:spacing w:line="360" w:lineRule="auto"/>
              <w:jc w:val="left"/>
              <w:rPr>
                <w:rFonts w:asciiTheme="minorEastAsia" w:eastAsiaTheme="minorEastAsia" w:hAnsiTheme="minorEastAsia"/>
                <w:color w:val="000000"/>
                <w:szCs w:val="21"/>
              </w:rPr>
            </w:pPr>
          </w:p>
        </w:tc>
        <w:tc>
          <w:tcPr>
            <w:tcW w:w="2694" w:type="dxa"/>
            <w:vAlign w:val="center"/>
          </w:tcPr>
          <w:p w:rsidR="000C0316" w:rsidRPr="006E3F38" w:rsidRDefault="000C0316" w:rsidP="005423FC">
            <w:pPr>
              <w:spacing w:before="29" w:line="288" w:lineRule="auto"/>
              <w:jc w:val="center"/>
              <w:rPr>
                <w:color w:val="000000"/>
                <w:kern w:val="0"/>
                <w:sz w:val="24"/>
              </w:rPr>
            </w:pPr>
            <w:r w:rsidRPr="00BF1B19">
              <w:rPr>
                <w:rFonts w:hint="eastAsia"/>
                <w:sz w:val="24"/>
              </w:rPr>
              <w:t>合计</w:t>
            </w:r>
          </w:p>
        </w:tc>
        <w:tc>
          <w:tcPr>
            <w:tcW w:w="2126" w:type="dxa"/>
            <w:noWrap/>
            <w:vAlign w:val="center"/>
          </w:tcPr>
          <w:p w:rsidR="000C0316" w:rsidRPr="006E3F38" w:rsidRDefault="000C0316" w:rsidP="005423FC">
            <w:pPr>
              <w:spacing w:before="29" w:line="288" w:lineRule="auto"/>
              <w:jc w:val="right"/>
              <w:rPr>
                <w:color w:val="000000"/>
                <w:kern w:val="0"/>
                <w:sz w:val="24"/>
              </w:rPr>
            </w:pPr>
            <w:r w:rsidRPr="00BF1B19">
              <w:rPr>
                <w:rFonts w:hint="eastAsia"/>
                <w:sz w:val="24"/>
              </w:rPr>
              <w:t>7,033,303.07</w:t>
            </w:r>
          </w:p>
        </w:tc>
        <w:tc>
          <w:tcPr>
            <w:tcW w:w="1910" w:type="dxa"/>
            <w:noWrap/>
            <w:vAlign w:val="center"/>
          </w:tcPr>
          <w:p w:rsidR="000C0316" w:rsidRPr="006E3F38" w:rsidRDefault="000C0316" w:rsidP="005423FC">
            <w:pPr>
              <w:spacing w:before="29" w:line="288" w:lineRule="auto"/>
              <w:jc w:val="right"/>
              <w:rPr>
                <w:color w:val="000000"/>
                <w:kern w:val="0"/>
                <w:sz w:val="24"/>
              </w:rPr>
            </w:pPr>
            <w:r w:rsidRPr="00BF1B19">
              <w:rPr>
                <w:rFonts w:hint="eastAsia"/>
                <w:sz w:val="24"/>
              </w:rPr>
              <w:t>0.03%</w:t>
            </w:r>
          </w:p>
        </w:tc>
      </w:tr>
    </w:tbl>
    <w:p w:rsidR="000C0316" w:rsidRDefault="000C0316" w:rsidP="000C0316">
      <w:pPr>
        <w:spacing w:line="360" w:lineRule="auto"/>
        <w:rPr>
          <w:rFonts w:asciiTheme="minorEastAsia" w:eastAsiaTheme="minorEastAsia" w:hAnsiTheme="minorEastAsia"/>
          <w:szCs w:val="21"/>
        </w:rPr>
      </w:pPr>
    </w:p>
    <w:p w:rsidR="000C0316" w:rsidRPr="001A68B1" w:rsidRDefault="000C0316" w:rsidP="000C0316">
      <w:pPr>
        <w:pStyle w:val="20"/>
        <w:spacing w:before="29" w:after="0" w:line="288" w:lineRule="auto"/>
        <w:rPr>
          <w:rFonts w:ascii="Times New Roman" w:hAnsi="Times New Roman" w:cs="Times New Roman"/>
          <w:kern w:val="0"/>
          <w:szCs w:val="24"/>
        </w:rPr>
      </w:pPr>
      <w:bookmarkStart w:id="33" w:name="_Toc509579347"/>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3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0C0316" w:rsidRPr="00CF4F4B" w:rsidTr="005423FC">
        <w:trPr>
          <w:trHeight w:val="285"/>
        </w:trPr>
        <w:tc>
          <w:tcPr>
            <w:tcW w:w="2416" w:type="dxa"/>
            <w:shd w:val="clear" w:color="auto" w:fill="auto"/>
            <w:tcMar>
              <w:top w:w="0" w:type="dxa"/>
              <w:left w:w="108" w:type="dxa"/>
              <w:bottom w:w="0" w:type="dxa"/>
              <w:right w:w="108" w:type="dxa"/>
            </w:tcMar>
            <w:vAlign w:val="center"/>
            <w:hideMark/>
          </w:tcPr>
          <w:p w:rsidR="000C0316" w:rsidRPr="00F345FC" w:rsidRDefault="000C0316" w:rsidP="005423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0C0316" w:rsidRPr="00F345FC" w:rsidRDefault="000C0316" w:rsidP="005423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0C0316" w:rsidRPr="00F345FC" w:rsidRDefault="000C0316" w:rsidP="005423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0C0316" w:rsidRPr="00CF4F4B" w:rsidTr="005423FC">
        <w:trPr>
          <w:trHeight w:val="285"/>
        </w:trPr>
        <w:tc>
          <w:tcPr>
            <w:tcW w:w="2416" w:type="dxa"/>
            <w:vMerge w:val="restart"/>
            <w:shd w:val="clear" w:color="auto" w:fill="auto"/>
            <w:tcMar>
              <w:top w:w="0" w:type="dxa"/>
              <w:left w:w="108" w:type="dxa"/>
              <w:bottom w:w="0" w:type="dxa"/>
              <w:right w:w="108" w:type="dxa"/>
            </w:tcMar>
            <w:vAlign w:val="center"/>
            <w:hideMark/>
          </w:tcPr>
          <w:p w:rsidR="000C0316" w:rsidRPr="008F4760" w:rsidRDefault="000C0316" w:rsidP="005423FC">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10~50</w:t>
            </w:r>
          </w:p>
        </w:tc>
      </w:tr>
      <w:tr w:rsidR="000C0316" w:rsidRPr="00CF4F4B" w:rsidTr="005423FC">
        <w:trPr>
          <w:trHeight w:val="285"/>
        </w:trPr>
        <w:tc>
          <w:tcPr>
            <w:tcW w:w="2416" w:type="dxa"/>
            <w:vMerge/>
            <w:shd w:val="clear" w:color="auto" w:fill="auto"/>
            <w:vAlign w:val="center"/>
            <w:hideMark/>
          </w:tcPr>
          <w:p w:rsidR="000C0316" w:rsidRPr="008F4760" w:rsidRDefault="000C0316" w:rsidP="005423FC">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0</w:t>
            </w:r>
          </w:p>
        </w:tc>
      </w:tr>
      <w:tr w:rsidR="000C0316" w:rsidRPr="00CF4F4B" w:rsidTr="005423FC">
        <w:trPr>
          <w:trHeight w:val="285"/>
        </w:trPr>
        <w:tc>
          <w:tcPr>
            <w:tcW w:w="2416" w:type="dxa"/>
            <w:vMerge/>
            <w:shd w:val="clear" w:color="auto" w:fill="auto"/>
            <w:vAlign w:val="center"/>
            <w:hideMark/>
          </w:tcPr>
          <w:p w:rsidR="000C0316" w:rsidRPr="008F4760" w:rsidRDefault="000C0316" w:rsidP="005423FC">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10~50</w:t>
            </w:r>
          </w:p>
        </w:tc>
      </w:tr>
      <w:tr w:rsidR="000C0316" w:rsidRPr="00CF4F4B" w:rsidTr="005423FC">
        <w:trPr>
          <w:trHeight w:val="285"/>
        </w:trPr>
        <w:tc>
          <w:tcPr>
            <w:tcW w:w="2416" w:type="dxa"/>
            <w:vMerge w:val="restart"/>
            <w:shd w:val="clear" w:color="auto" w:fill="auto"/>
            <w:tcMar>
              <w:top w:w="0" w:type="dxa"/>
              <w:left w:w="108" w:type="dxa"/>
              <w:bottom w:w="0" w:type="dxa"/>
              <w:right w:w="108" w:type="dxa"/>
            </w:tcMar>
            <w:vAlign w:val="center"/>
            <w:hideMark/>
          </w:tcPr>
          <w:p w:rsidR="000C0316" w:rsidRPr="008F4760" w:rsidRDefault="000C0316" w:rsidP="005423FC">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0</w:t>
            </w:r>
          </w:p>
        </w:tc>
      </w:tr>
      <w:tr w:rsidR="000C0316" w:rsidRPr="00CF4F4B" w:rsidTr="005423FC">
        <w:trPr>
          <w:trHeight w:val="525"/>
        </w:trPr>
        <w:tc>
          <w:tcPr>
            <w:tcW w:w="2416" w:type="dxa"/>
            <w:vMerge/>
            <w:shd w:val="clear" w:color="auto" w:fill="auto"/>
            <w:vAlign w:val="center"/>
            <w:hideMark/>
          </w:tcPr>
          <w:p w:rsidR="000C0316" w:rsidRPr="00CF4F4B" w:rsidRDefault="000C0316" w:rsidP="005423FC">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0</w:t>
            </w:r>
          </w:p>
        </w:tc>
      </w:tr>
      <w:tr w:rsidR="000C0316" w:rsidRPr="00CF4F4B" w:rsidTr="005423FC">
        <w:trPr>
          <w:trHeight w:val="653"/>
        </w:trPr>
        <w:tc>
          <w:tcPr>
            <w:tcW w:w="2416" w:type="dxa"/>
            <w:vMerge/>
            <w:shd w:val="clear" w:color="auto" w:fill="auto"/>
            <w:vAlign w:val="center"/>
            <w:hideMark/>
          </w:tcPr>
          <w:p w:rsidR="000C0316" w:rsidRPr="00CF4F4B" w:rsidRDefault="000C0316" w:rsidP="005423FC">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0C0316" w:rsidRPr="00AE16A0" w:rsidRDefault="000C0316" w:rsidP="005423FC">
            <w:pPr>
              <w:spacing w:before="29" w:line="288" w:lineRule="auto"/>
              <w:jc w:val="right"/>
              <w:rPr>
                <w:sz w:val="24"/>
              </w:rPr>
            </w:pPr>
            <w:r w:rsidRPr="00AE16A0">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4" w:name="_Toc331410115"/>
      <w:bookmarkStart w:id="35"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4"/>
      <w:bookmarkEnd w:id="35"/>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交银活期通货币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交银活期通货币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7</w:t>
            </w:r>
            <w:r w:rsidRPr="0031518D">
              <w:rPr>
                <w:rFonts w:hint="eastAsia"/>
                <w:sz w:val="24"/>
              </w:rPr>
              <w:t>月</w:t>
            </w:r>
            <w:r w:rsidRPr="0031518D">
              <w:rPr>
                <w:rFonts w:hint="eastAsia"/>
                <w:sz w:val="24"/>
              </w:rPr>
              <w:t>27</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210,009,450.00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1,147,534,802.24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608,458,380.83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46,689,838,408.46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20,199,880,571.74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36,887,751,298.09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7,799,805,406.33</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10,949,621,912.61</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13,008,533,546.24</w:t>
            </w:r>
          </w:p>
        </w:tc>
      </w:tr>
    </w:tbl>
    <w:p w:rsidR="00630F54" w:rsidRDefault="000C031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w:t>
      </w:r>
      <w:r>
        <w:rPr>
          <w:rFonts w:hint="eastAsia"/>
          <w:kern w:val="0"/>
          <w:sz w:val="24"/>
        </w:rPr>
        <w:lastRenderedPageBreak/>
        <w:t>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6" w:name="_Toc331410116"/>
      <w:bookmarkStart w:id="37"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6"/>
      <w:bookmarkEnd w:id="37"/>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8"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8"/>
    </w:p>
    <w:p w:rsidR="006D141C" w:rsidRDefault="006D141C" w:rsidP="0081565E">
      <w:pPr>
        <w:spacing w:before="29" w:line="288" w:lineRule="auto"/>
        <w:ind w:firstLineChars="200" w:firstLine="480"/>
        <w:rPr>
          <w:color w:val="000000"/>
          <w:sz w:val="24"/>
        </w:rPr>
      </w:pPr>
      <w:bookmarkStart w:id="39"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9"/>
    </w:p>
    <w:p w:rsidR="00630F54" w:rsidRDefault="000C0316">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40"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40"/>
    </w:p>
    <w:p w:rsidR="006D141C" w:rsidRDefault="006D141C" w:rsidP="0081565E">
      <w:pPr>
        <w:spacing w:before="29" w:line="288" w:lineRule="auto"/>
        <w:ind w:firstLineChars="200" w:firstLine="480"/>
        <w:rPr>
          <w:color w:val="000000"/>
          <w:sz w:val="24"/>
        </w:rPr>
      </w:pPr>
      <w:bookmarkStart w:id="41"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41"/>
    </w:p>
    <w:p w:rsidR="006D141C" w:rsidRDefault="006D141C" w:rsidP="0081565E">
      <w:pPr>
        <w:spacing w:before="29" w:line="288" w:lineRule="auto"/>
        <w:ind w:firstLineChars="200" w:firstLine="480"/>
        <w:rPr>
          <w:color w:val="000000"/>
          <w:sz w:val="24"/>
        </w:rPr>
      </w:pPr>
      <w:bookmarkStart w:id="42"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2"/>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3" w:name="OLE_LINK3"/>
      <w:bookmarkStart w:id="44" w:name="_Toc331410122"/>
      <w:r w:rsidRPr="0081565E">
        <w:rPr>
          <w:rFonts w:hint="eastAsia"/>
          <w:color w:val="000000"/>
          <w:sz w:val="24"/>
        </w:rPr>
        <w:t>本报告期内，为本基金提供审计服务的会计师事务所为普华永道中天会计师事务所</w:t>
      </w:r>
      <w:r w:rsidRPr="0081565E">
        <w:rPr>
          <w:rFonts w:hint="eastAsia"/>
          <w:color w:val="000000"/>
          <w:sz w:val="24"/>
        </w:rPr>
        <w:t>(</w:t>
      </w:r>
      <w:r w:rsidRPr="0081565E">
        <w:rPr>
          <w:rFonts w:hint="eastAsia"/>
          <w:color w:val="000000"/>
          <w:sz w:val="24"/>
        </w:rPr>
        <w:t>特殊普通合伙</w:t>
      </w:r>
      <w:r w:rsidRPr="0081565E">
        <w:rPr>
          <w:rFonts w:hint="eastAsia"/>
          <w:color w:val="000000"/>
          <w:sz w:val="24"/>
        </w:rPr>
        <w:t>)</w:t>
      </w:r>
      <w:r w:rsidRPr="0081565E">
        <w:rPr>
          <w:rFonts w:hint="eastAsia"/>
          <w:color w:val="000000"/>
          <w:sz w:val="24"/>
        </w:rPr>
        <w:t>，本期审计费用为</w:t>
      </w:r>
      <w:r w:rsidRPr="0081565E">
        <w:rPr>
          <w:rFonts w:hint="eastAsia"/>
          <w:color w:val="000000"/>
          <w:sz w:val="24"/>
        </w:rPr>
        <w:t>70,000.00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3"/>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4"/>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630F54" w:rsidRDefault="000C0316">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30F54" w:rsidRDefault="000C0316">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5"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5"/>
    </w:p>
    <w:p w:rsidR="006D141C" w:rsidRPr="00FB19E8" w:rsidRDefault="00EE1CF9" w:rsidP="00FB19E8">
      <w:pPr>
        <w:pStyle w:val="20"/>
        <w:spacing w:before="29" w:after="0" w:line="288" w:lineRule="auto"/>
        <w:rPr>
          <w:rFonts w:ascii="Times New Roman" w:hAnsi="Times New Roman" w:cs="Times New Roman"/>
          <w:kern w:val="0"/>
          <w:szCs w:val="24"/>
        </w:rPr>
      </w:pPr>
      <w:bookmarkStart w:id="46"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6"/>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7"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630F54">
        <w:tc>
          <w:tcPr>
            <w:tcW w:w="1286" w:type="dxa"/>
            <w:vAlign w:val="center"/>
          </w:tcPr>
          <w:p w:rsidR="00630F54" w:rsidRDefault="000C0316">
            <w:pPr>
              <w:jc w:val="center"/>
            </w:pPr>
            <w:r>
              <w:rPr>
                <w:rFonts w:hint="eastAsia"/>
                <w:szCs w:val="21"/>
              </w:rPr>
              <w:t>海通证券股份有限公司</w:t>
            </w:r>
          </w:p>
        </w:tc>
        <w:tc>
          <w:tcPr>
            <w:tcW w:w="1286" w:type="dxa"/>
            <w:vAlign w:val="center"/>
          </w:tcPr>
          <w:p w:rsidR="00630F54" w:rsidRDefault="000C0316">
            <w:pPr>
              <w:jc w:val="right"/>
            </w:pPr>
            <w:r>
              <w:rPr>
                <w:rFonts w:hint="eastAsia"/>
                <w:szCs w:val="21"/>
              </w:rPr>
              <w:t>2</w:t>
            </w:r>
          </w:p>
        </w:tc>
        <w:tc>
          <w:tcPr>
            <w:tcW w:w="1286" w:type="dxa"/>
            <w:vAlign w:val="center"/>
          </w:tcPr>
          <w:p w:rsidR="00630F54" w:rsidRDefault="000C0316">
            <w:pPr>
              <w:jc w:val="right"/>
            </w:pPr>
            <w:r>
              <w:rPr>
                <w:rFonts w:hint="eastAsia"/>
                <w:szCs w:val="21"/>
              </w:rPr>
              <w:t>-</w:t>
            </w:r>
          </w:p>
        </w:tc>
        <w:tc>
          <w:tcPr>
            <w:tcW w:w="1285" w:type="dxa"/>
            <w:vAlign w:val="center"/>
          </w:tcPr>
          <w:p w:rsidR="00630F54" w:rsidRDefault="000C0316">
            <w:pPr>
              <w:jc w:val="right"/>
            </w:pPr>
            <w:r>
              <w:rPr>
                <w:rFonts w:hint="eastAsia"/>
                <w:szCs w:val="21"/>
              </w:rPr>
              <w:t>-</w:t>
            </w:r>
          </w:p>
        </w:tc>
        <w:tc>
          <w:tcPr>
            <w:tcW w:w="1285" w:type="dxa"/>
            <w:vAlign w:val="center"/>
          </w:tcPr>
          <w:p w:rsidR="00630F54" w:rsidRDefault="000C0316">
            <w:pPr>
              <w:jc w:val="right"/>
            </w:pPr>
            <w:r>
              <w:rPr>
                <w:rFonts w:hint="eastAsia"/>
                <w:szCs w:val="21"/>
              </w:rPr>
              <w:t>-</w:t>
            </w:r>
          </w:p>
        </w:tc>
        <w:tc>
          <w:tcPr>
            <w:tcW w:w="1285" w:type="dxa"/>
            <w:vAlign w:val="center"/>
          </w:tcPr>
          <w:p w:rsidR="00630F54" w:rsidRDefault="000C0316">
            <w:pPr>
              <w:jc w:val="right"/>
            </w:pPr>
            <w:r>
              <w:rPr>
                <w:rFonts w:hint="eastAsia"/>
                <w:szCs w:val="21"/>
              </w:rPr>
              <w:t>-</w:t>
            </w:r>
          </w:p>
        </w:tc>
        <w:tc>
          <w:tcPr>
            <w:tcW w:w="1285" w:type="dxa"/>
            <w:vAlign w:val="center"/>
          </w:tcPr>
          <w:p w:rsidR="00630F54" w:rsidRDefault="000C0316">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7"/>
    </w:p>
    <w:p w:rsidR="006D141C" w:rsidRPr="006A1080" w:rsidRDefault="00644AB5" w:rsidP="006A1080">
      <w:pPr>
        <w:spacing w:before="29" w:line="288" w:lineRule="auto"/>
        <w:ind w:right="105"/>
        <w:jc w:val="right"/>
        <w:rPr>
          <w:color w:val="000000"/>
          <w:sz w:val="24"/>
        </w:rPr>
      </w:pPr>
      <w:bookmarkStart w:id="48" w:name="_Toc249707408"/>
      <w:r w:rsidRPr="006A1080">
        <w:rPr>
          <w:rFonts w:hint="eastAsia"/>
          <w:color w:val="000000"/>
          <w:sz w:val="24"/>
        </w:rPr>
        <w:t>金额单位</w:t>
      </w:r>
      <w:r w:rsidR="006D141C" w:rsidRPr="006A1080">
        <w:rPr>
          <w:rFonts w:hint="eastAsia"/>
          <w:color w:val="000000"/>
          <w:sz w:val="24"/>
        </w:rPr>
        <w:t>：人民币元</w:t>
      </w:r>
      <w:bookmarkEnd w:id="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630F54">
        <w:tc>
          <w:tcPr>
            <w:tcW w:w="1286" w:type="dxa"/>
            <w:vAlign w:val="center"/>
          </w:tcPr>
          <w:p w:rsidR="00630F54" w:rsidRDefault="000C0316">
            <w:pPr>
              <w:jc w:val="left"/>
            </w:pPr>
            <w:r>
              <w:rPr>
                <w:rFonts w:hint="eastAsia"/>
                <w:szCs w:val="21"/>
              </w:rPr>
              <w:t>海通证券股份有限公司</w:t>
            </w:r>
          </w:p>
        </w:tc>
        <w:tc>
          <w:tcPr>
            <w:tcW w:w="1286" w:type="dxa"/>
            <w:vAlign w:val="center"/>
          </w:tcPr>
          <w:p w:rsidR="00630F54" w:rsidRDefault="000C0316">
            <w:pPr>
              <w:jc w:val="right"/>
            </w:pPr>
            <w:r>
              <w:rPr>
                <w:rFonts w:hint="eastAsia"/>
                <w:szCs w:val="21"/>
              </w:rPr>
              <w:t>-</w:t>
            </w:r>
          </w:p>
        </w:tc>
        <w:tc>
          <w:tcPr>
            <w:tcW w:w="1286" w:type="dxa"/>
            <w:vAlign w:val="center"/>
          </w:tcPr>
          <w:p w:rsidR="00630F54" w:rsidRDefault="000C0316">
            <w:pPr>
              <w:jc w:val="right"/>
            </w:pPr>
            <w:r>
              <w:rPr>
                <w:rFonts w:hint="eastAsia"/>
                <w:szCs w:val="21"/>
              </w:rPr>
              <w:t>-</w:t>
            </w:r>
          </w:p>
        </w:tc>
        <w:tc>
          <w:tcPr>
            <w:tcW w:w="1285" w:type="dxa"/>
            <w:vAlign w:val="center"/>
          </w:tcPr>
          <w:p w:rsidR="00630F54" w:rsidRDefault="000C0316">
            <w:pPr>
              <w:jc w:val="right"/>
            </w:pPr>
            <w:r>
              <w:rPr>
                <w:rFonts w:hint="eastAsia"/>
                <w:szCs w:val="21"/>
              </w:rPr>
              <w:t>11,291,000,000.00</w:t>
            </w:r>
          </w:p>
        </w:tc>
        <w:tc>
          <w:tcPr>
            <w:tcW w:w="1285" w:type="dxa"/>
            <w:vAlign w:val="center"/>
          </w:tcPr>
          <w:p w:rsidR="00630F54" w:rsidRDefault="000C0316">
            <w:pPr>
              <w:jc w:val="right"/>
            </w:pPr>
            <w:r>
              <w:rPr>
                <w:rFonts w:hint="eastAsia"/>
                <w:szCs w:val="21"/>
              </w:rPr>
              <w:t>100.00%</w:t>
            </w:r>
          </w:p>
        </w:tc>
        <w:tc>
          <w:tcPr>
            <w:tcW w:w="1285" w:type="dxa"/>
            <w:vAlign w:val="center"/>
          </w:tcPr>
          <w:p w:rsidR="00630F54" w:rsidRDefault="000C0316">
            <w:pPr>
              <w:jc w:val="right"/>
            </w:pPr>
            <w:r>
              <w:rPr>
                <w:rFonts w:hint="eastAsia"/>
                <w:szCs w:val="21"/>
              </w:rPr>
              <w:t>-</w:t>
            </w:r>
          </w:p>
        </w:tc>
        <w:tc>
          <w:tcPr>
            <w:tcW w:w="1285" w:type="dxa"/>
            <w:vAlign w:val="center"/>
          </w:tcPr>
          <w:p w:rsidR="00630F54" w:rsidRDefault="000C0316">
            <w:pPr>
              <w:jc w:val="right"/>
            </w:pPr>
            <w:r>
              <w:rPr>
                <w:rFonts w:hint="eastAsia"/>
                <w:szCs w:val="21"/>
              </w:rPr>
              <w:t>-</w:t>
            </w:r>
          </w:p>
        </w:tc>
      </w:tr>
    </w:tbl>
    <w:p w:rsidR="00630F54" w:rsidRDefault="000C031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630F54" w:rsidRDefault="000C0316">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31D" w:rsidRDefault="00EF631D">
      <w:r>
        <w:separator/>
      </w:r>
    </w:p>
  </w:endnote>
  <w:endnote w:type="continuationSeparator" w:id="0">
    <w:p w:rsidR="00EF631D" w:rsidRDefault="00EF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C1774D">
      <w:rPr>
        <w:noProof/>
        <w:kern w:val="0"/>
        <w:szCs w:val="21"/>
      </w:rPr>
      <w:t>29</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C1774D">
      <w:rPr>
        <w:noProof/>
        <w:kern w:val="0"/>
        <w:szCs w:val="21"/>
      </w:rPr>
      <w:t>34</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31D" w:rsidRDefault="00EF631D">
      <w:r>
        <w:separator/>
      </w:r>
    </w:p>
  </w:footnote>
  <w:footnote w:type="continuationSeparator" w:id="0">
    <w:p w:rsidR="00EF631D" w:rsidRDefault="00EF6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316"/>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204"/>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278"/>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0F54"/>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1774D"/>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631D"/>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2E3568B-636A-4175-B56A-E04EDDA2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7D17C-4303-46AF-A537-8EDB79FE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34</Pages>
  <Words>3527</Words>
  <Characters>20109</Characters>
  <Application>Microsoft Office Word</Application>
  <DocSecurity>0</DocSecurity>
  <Lines>167</Lines>
  <Paragraphs>47</Paragraphs>
  <ScaleCrop>false</ScaleCrop>
  <Company/>
  <LinksUpToDate>false</LinksUpToDate>
  <CharactersWithSpaces>23589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728</cp:revision>
  <cp:lastPrinted>2007-07-19T00:46:00Z</cp:lastPrinted>
  <dcterms:created xsi:type="dcterms:W3CDTF">2013-06-22T02:32:00Z</dcterms:created>
  <dcterms:modified xsi:type="dcterms:W3CDTF">2018-03-26T10:02:00Z</dcterms:modified>
</cp:coreProperties>
</file>