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交银施罗德裕通纯债债券型证券投资基金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2017年12月31日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兴业银行股份有限公司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
      </w:r>
      <w:r w:rsidR="00DB2B47" w:rsidRPr="00996E0F">
        <w:rPr>
          <w:rFonts w:hint="eastAsia"/>
          <w:b/>
          <w:color w:val="000000"/>
          <w:sz w:val="24"/>
        </w:rPr>
        <w:t/>
      </w:r>
      <w:r w:rsidRPr="00996E0F">
        <w:rPr>
          <w:b/>
          <w:color w:val="000000"/>
          <w:sz w:val="24"/>
        </w:rPr>
        <w:t>二〇一八年三月二十八日</w:t>
      </w:r>
    </w:p>
    <w:p w:rsidR="001A59F9" w:rsidRDefault="001A59F9" w:rsidP="00A25C9D">
      <w:pPr>
        <w:pStyle w:val="1"/>
        <w:keepNext/>
        <w:keepLines/>
        <w:widowControl w:val="0"/>
        <w:spacing w:beforeLines="100" w:afterLines="100"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兴业银行股份有限公司</w:t>
      </w:r>
      <w:r w:rsidR="00432FE3">
        <w:rPr>
          <w:color w:val="000000"/>
          <w:sz w:val="24"/>
        </w:rPr>
        <w:t>(</w:t>
      </w:r>
      <w:r w:rsidR="00432FE3">
        <w:rPr>
          <w:rFonts w:hint="eastAsia"/>
          <w:color w:val="000000"/>
          <w:sz w:val="24"/>
        </w:rPr>
        <w:t>以下简称“</w:t>
      </w:r>
      <w:r w:rsidR="00432FE3">
        <w:rPr>
          <w:color w:val="000000"/>
          <w:sz w:val="24"/>
        </w:rPr>
        <w:t>兴业银行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2018年3月27日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2017年1月1日</w:t>
      </w:r>
      <w:r w:rsidRPr="00C97222">
        <w:rPr>
          <w:rFonts w:hint="eastAsia"/>
          <w:color w:val="000000"/>
          <w:sz w:val="24"/>
        </w:rPr>
        <w:t>起至</w:t>
      </w:r>
      <w:r w:rsidR="008B0CA2" w:rsidRPr="00C97222">
        <w:rPr>
          <w:color w:val="000000"/>
          <w:sz w:val="24"/>
        </w:rPr>
        <w:t xml:space="preserve"/>
      </w:r>
      <w:r w:rsidRPr="00C97222">
        <w:rPr>
          <w:color w:val="000000"/>
          <w:sz w:val="24"/>
        </w:rPr>
        <w:t>12月31日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afterLines="100"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2880"/>
        <w:gridCol w:w="9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3"/>
            <w:vAlign w:val="center"/>
          </w:tcPr>
          <w:p w:rsidR="001A59F9" w:rsidRPr="00E25C2A" w:rsidRDefault="001A59F9" w:rsidP="0084545B">
            <w:pPr>
              <w:spacing w:before="29" w:line="288" w:lineRule="auto"/>
              <w:jc w:val="center"/>
              <w:rPr>
                <w:sz w:val="24"/>
              </w:rPr>
            </w:pPr>
            <w:r w:rsidRPr="00E25C2A">
              <w:rPr>
                <w:sz w:val="24"/>
              </w:rPr>
              <w:t>交银裕通纯债债券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3"/>
            <w:vAlign w:val="center"/>
          </w:tcPr>
          <w:p w:rsidR="001A59F9" w:rsidRPr="00E25C2A" w:rsidRDefault="001A59F9" w:rsidP="0084545B">
            <w:pPr>
              <w:spacing w:before="29" w:line="288" w:lineRule="auto"/>
              <w:jc w:val="center"/>
              <w:rPr>
                <w:sz w:val="24"/>
              </w:rPr>
            </w:pPr>
            <w:r w:rsidRPr="00E25C2A">
              <w:rPr>
                <w:sz w:val="24"/>
              </w:rPr>
              <w:t>519762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3"/>
            <w:vAlign w:val="center"/>
          </w:tcPr>
          <w:p w:rsidR="003D26BD" w:rsidRPr="00E25C2A" w:rsidRDefault="003D26BD" w:rsidP="0084545B">
            <w:pPr>
              <w:spacing w:before="29" w:line="288" w:lineRule="auto"/>
              <w:jc w:val="center"/>
              <w:rPr>
                <w:sz w:val="24"/>
              </w:rPr>
            </w:pPr>
            <w:r w:rsidRPr="00E25C2A">
              <w:rPr>
                <w:rFonts w:hint="eastAsia"/>
                <w:sz w:val="24"/>
              </w:rPr>
              <w:t/>
            </w:r>
            <w:r w:rsidRPr="00E25C2A">
              <w:rPr>
                <w:sz w:val="24"/>
              </w:rPr>
              <w:t>519762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2015年12月29日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兴业银行股份有限公司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1,196,290,344.13</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3"/>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gridSpan w:val="2"/>
            <w:vAlign w:val="center"/>
          </w:tcPr>
          <w:p w:rsidR="003D26BD" w:rsidRPr="00E25C2A" w:rsidRDefault="003D26BD" w:rsidP="0084545B">
            <w:pPr>
              <w:spacing w:before="29" w:line="288" w:lineRule="auto"/>
              <w:jc w:val="center"/>
              <w:rPr>
                <w:sz w:val="24"/>
              </w:rPr>
            </w:pPr>
            <w:r w:rsidRPr="00E25C2A">
              <w:rPr>
                <w:sz w:val="24"/>
              </w:rPr>
              <w:t>交银裕通纯债债券A</w:t>
            </w:r>
          </w:p>
        </w:tc>
        <w:tc>
          <w:tcPr>
            <w:tcW w:w="2902" w:type="dxa"/>
            <w:vAlign w:val="center"/>
          </w:tcPr>
          <w:p w:rsidR="003D26BD" w:rsidRPr="00E25C2A" w:rsidRDefault="003D26BD" w:rsidP="0084545B">
            <w:pPr>
              <w:spacing w:before="29" w:line="288" w:lineRule="auto"/>
              <w:jc w:val="center"/>
              <w:rPr>
                <w:sz w:val="24"/>
              </w:rPr>
            </w:pPr>
            <w:r w:rsidRPr="00E25C2A">
              <w:rPr>
                <w:sz w:val="24"/>
              </w:rPr>
              <w:t>交银裕通纯债债券C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r w:rsidRPr="007F52FA">
              <w:rPr>
                <w:color w:val="000000" w:themeColor="text1"/>
                <w:sz w:val="24"/>
              </w:rPr>
              <w:t/>
            </w:r>
            <w:r w:rsidRPr="000E4C40">
              <w:rPr>
                <w:color w:val="000000"/>
                <w:kern w:val="0"/>
                <w:sz w:val="24"/>
              </w:rPr>
              <w:t/>
            </w:r>
            <w:r>
              <w:rPr>
                <w:rFonts w:hint="eastAsia"/>
                <w:color w:val="000000"/>
                <w:kern w:val="0"/>
                <w:sz w:val="24"/>
              </w:rPr>
              <w:t/>
            </w:r>
            <w:r w:rsidRPr="000E4C40">
              <w:rPr>
                <w:sz w:val="24"/>
              </w:rPr>
              <w:t/>
            </w:r>
          </w:p>
        </w:tc>
        <w:tc>
          <w:tcPr>
            <w:tcW w:w="2977" w:type="dxa"/>
            <w:gridSpan w:val="2"/>
            <w:vAlign w:val="center"/>
          </w:tcPr>
          <w:p w:rsidR="009511B7" w:rsidRPr="000E4C40" w:rsidRDefault="009511B7" w:rsidP="00C57BBB">
            <w:pPr>
              <w:spacing w:before="29" w:line="288" w:lineRule="auto"/>
              <w:jc w:val="left"/>
              <w:rPr>
                <w:sz w:val="24"/>
              </w:rPr>
            </w:pPr>
            <w:r w:rsidRPr="007F52FA">
              <w:rPr>
                <w:color w:val="000000" w:themeColor="text1"/>
                <w:sz w:val="24"/>
              </w:rPr>
              <w:t/>
            </w:r>
            <w:r w:rsidRPr="000E4C40">
              <w:rPr>
                <w:color w:val="000000"/>
                <w:kern w:val="0"/>
                <w:sz w:val="24"/>
              </w:rPr>
              <w:t/>
            </w:r>
            <w:r w:rsidRPr="000E4C40">
              <w:rPr>
                <w:sz w:val="24"/>
              </w:rPr>
              <w:t>519762</w:t>
            </w:r>
          </w:p>
        </w:tc>
        <w:tc>
          <w:tcPr>
            <w:tcW w:w="2902" w:type="dxa"/>
            <w:vAlign w:val="center"/>
          </w:tcPr>
          <w:p w:rsidR="009511B7" w:rsidRPr="000E4C40" w:rsidRDefault="009511B7" w:rsidP="00C57BBB">
            <w:pPr>
              <w:spacing w:before="29" w:line="288" w:lineRule="auto"/>
              <w:jc w:val="left"/>
              <w:rPr>
                <w:sz w:val="24"/>
              </w:rPr>
            </w:pPr>
            <w:r w:rsidRPr="007F52FA">
              <w:rPr>
                <w:color w:val="000000" w:themeColor="text1"/>
                <w:sz w:val="24"/>
              </w:rPr>
              <w:t/>
            </w:r>
            <w:r w:rsidRPr="000E4C40">
              <w:rPr>
                <w:color w:val="000000"/>
                <w:kern w:val="0"/>
                <w:sz w:val="24"/>
              </w:rPr>
              <w:t/>
            </w:r>
            <w:r w:rsidRPr="000E4C40">
              <w:rPr>
                <w:sz w:val="24"/>
              </w:rPr>
              <w:t/>
            </w:r>
            <w:r>
              <w:rPr>
                <w:rFonts w:hint="eastAsia"/>
                <w:sz w:val="24"/>
              </w:rPr>
              <w:t/>
            </w:r>
            <w:r w:rsidRPr="000E4C40">
              <w:rPr>
                <w:sz w:val="24"/>
              </w:rPr>
              <w:t>519763</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gridSpan w:val="2"/>
            <w:vAlign w:val="center"/>
          </w:tcPr>
          <w:p w:rsidR="009511B7" w:rsidRPr="00E25C2A" w:rsidRDefault="009511B7" w:rsidP="0084545B">
            <w:pPr>
              <w:spacing w:before="29" w:line="288" w:lineRule="auto"/>
              <w:jc w:val="center"/>
              <w:rPr>
                <w:sz w:val="24"/>
              </w:rPr>
            </w:pPr>
            <w:r w:rsidRPr="00E25C2A">
              <w:rPr>
                <w:sz w:val="24"/>
              </w:rPr>
              <w:t>1,195,845,546.58</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444,797.55</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lastRenderedPageBreak/>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119"/>
        <w:gridCol w:w="2977"/>
        <w:gridCol w:w="2902"/>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gridSpan w:val="2"/>
            <w:vAlign w:val="center"/>
          </w:tcPr>
          <w:p w:rsidR="001A59F9" w:rsidRPr="00CF0C3D" w:rsidRDefault="001A59F9" w:rsidP="00CF0C3D">
            <w:pPr>
              <w:spacing w:before="29" w:line="288" w:lineRule="auto"/>
              <w:rPr>
                <w:sz w:val="24"/>
              </w:rPr>
            </w:pPr>
            <w:r w:rsidRPr="00CF0C3D">
              <w:rPr>
                <w:sz w:val="24"/>
              </w:rPr>
              <w:t>在严格控制风险的基础上，通过积极主动的投资管理，追求基金资产的长期稳健增值，力争实现超越业绩比较基准的投资回报。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gridSpan w:val="2"/>
            <w:vAlign w:val="center"/>
          </w:tcPr>
          <w:p w:rsidR="001A59F9" w:rsidRPr="00CF0C3D" w:rsidRDefault="001A59F9" w:rsidP="00CF0C3D">
            <w:pPr>
              <w:spacing w:before="29" w:line="288" w:lineRule="auto"/>
              <w:rPr>
                <w:sz w:val="24"/>
              </w:rPr>
            </w:pPr>
            <w:r w:rsidRPr="00CF0C3D">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gridSpan w:val="2"/>
            <w:vAlign w:val="center"/>
          </w:tcPr>
          <w:p w:rsidR="001A59F9" w:rsidRPr="00CF0C3D" w:rsidRDefault="001A59F9" w:rsidP="00CF0C3D">
            <w:pPr>
              <w:spacing w:before="29" w:line="288" w:lineRule="auto"/>
              <w:rPr>
                <w:sz w:val="24"/>
              </w:rPr>
            </w:pPr>
            <w:r w:rsidRPr="00CF0C3D">
              <w:rPr>
                <w:sz w:val="24"/>
              </w:rPr>
              <w:t>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gridSpan w:val="2"/>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兴业银行股份有限公司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吴玉婷</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021-52629999-212052</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015289@cib.com.cn</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95561</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021-62535823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afterLines="100"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lastRenderedPageBreak/>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276"/>
        <w:gridCol w:w="1278"/>
        <w:gridCol w:w="1276"/>
        <w:gridCol w:w="1278"/>
        <w:gridCol w:w="1415"/>
        <w:gridCol w:w="1237"/>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r w:rsidRPr="00A942AC">
              <w:rPr>
                <w:b/>
                <w:szCs w:val="21"/>
              </w:rPr>
              <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2015年12月29日（基金合同生效日）至2015年12月31日</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交银裕通纯债债券A</w:t>
            </w:r>
          </w:p>
        </w:tc>
        <w:tc>
          <w:tcPr>
            <w:tcW w:w="688" w:type="pct"/>
            <w:vAlign w:val="center"/>
          </w:tcPr>
          <w:p w:rsidR="00B44DBC" w:rsidRPr="00A942AC" w:rsidRDefault="00B44DBC" w:rsidP="009E2529">
            <w:pPr>
              <w:spacing w:before="29" w:line="288" w:lineRule="auto"/>
              <w:rPr>
                <w:szCs w:val="21"/>
              </w:rPr>
            </w:pPr>
            <w:r w:rsidRPr="00A942AC">
              <w:rPr>
                <w:szCs w:val="21"/>
              </w:rPr>
              <w:t>交银裕通纯债债券C</w:t>
            </w:r>
          </w:p>
        </w:tc>
        <w:tc>
          <w:tcPr>
            <w:tcW w:w="687" w:type="pct"/>
            <w:vAlign w:val="center"/>
          </w:tcPr>
          <w:p w:rsidR="00B44DBC" w:rsidRPr="00A942AC" w:rsidRDefault="00B44DBC" w:rsidP="009E2529">
            <w:pPr>
              <w:spacing w:before="29" w:line="288" w:lineRule="auto"/>
              <w:rPr>
                <w:szCs w:val="21"/>
              </w:rPr>
            </w:pPr>
            <w:r w:rsidRPr="00A942AC">
              <w:rPr>
                <w:szCs w:val="21"/>
              </w:rPr>
              <w:t>交银裕通纯债债券A</w:t>
            </w:r>
          </w:p>
        </w:tc>
        <w:tc>
          <w:tcPr>
            <w:tcW w:w="688" w:type="pct"/>
            <w:vAlign w:val="center"/>
          </w:tcPr>
          <w:p w:rsidR="00B44DBC" w:rsidRPr="00A942AC" w:rsidRDefault="00B44DBC" w:rsidP="009E2529">
            <w:pPr>
              <w:spacing w:before="29" w:line="288" w:lineRule="auto"/>
              <w:rPr>
                <w:szCs w:val="21"/>
              </w:rPr>
            </w:pPr>
            <w:r w:rsidRPr="00A942AC">
              <w:rPr>
                <w:szCs w:val="21"/>
              </w:rPr>
              <w:t>交银裕通纯债债券C</w:t>
            </w:r>
          </w:p>
        </w:tc>
        <w:tc>
          <w:tcPr>
            <w:tcW w:w="762" w:type="pct"/>
            <w:vAlign w:val="center"/>
          </w:tcPr>
          <w:p w:rsidR="00B44DBC" w:rsidRPr="00A942AC" w:rsidRDefault="00B44DBC" w:rsidP="009E2529">
            <w:pPr>
              <w:spacing w:before="29" w:line="288" w:lineRule="auto"/>
              <w:rPr>
                <w:szCs w:val="21"/>
              </w:rPr>
            </w:pPr>
            <w:r w:rsidRPr="00A942AC">
              <w:rPr>
                <w:szCs w:val="21"/>
              </w:rPr>
              <w:t>交银裕通纯债债券A</w:t>
            </w:r>
          </w:p>
        </w:tc>
        <w:tc>
          <w:tcPr>
            <w:tcW w:w="666" w:type="pct"/>
            <w:vAlign w:val="center"/>
          </w:tcPr>
          <w:p w:rsidR="00B44DBC" w:rsidRPr="00A942AC" w:rsidRDefault="00B44DBC" w:rsidP="009E2529">
            <w:pPr>
              <w:spacing w:before="29" w:line="288" w:lineRule="auto"/>
              <w:rPr>
                <w:szCs w:val="21"/>
              </w:rPr>
            </w:pPr>
            <w:r w:rsidRPr="00A942AC">
              <w:rPr>
                <w:szCs w:val="21"/>
              </w:rPr>
              <w:t>交银裕通纯债债券C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-33,594,707.57</w:t>
            </w:r>
          </w:p>
        </w:tc>
        <w:tc>
          <w:tcPr>
            <w:tcW w:w="688" w:type="pct"/>
            <w:vAlign w:val="center"/>
          </w:tcPr>
          <w:p w:rsidR="00B44DBC" w:rsidRPr="00A942AC" w:rsidRDefault="00B44DBC" w:rsidP="00674CBD">
            <w:pPr>
              <w:spacing w:before="29" w:line="288" w:lineRule="auto"/>
              <w:jc w:val="right"/>
              <w:rPr>
                <w:szCs w:val="21"/>
              </w:rPr>
            </w:pPr>
            <w:r w:rsidRPr="00A942AC">
              <w:rPr>
                <w:szCs w:val="21"/>
              </w:rPr>
              <w:t>-20,815.82</w:t>
            </w:r>
          </w:p>
        </w:tc>
        <w:tc>
          <w:tcPr>
            <w:tcW w:w="687" w:type="pct"/>
            <w:vAlign w:val="center"/>
          </w:tcPr>
          <w:p w:rsidR="00B44DBC" w:rsidRPr="00A942AC" w:rsidRDefault="00B44DBC" w:rsidP="00674CBD">
            <w:pPr>
              <w:spacing w:before="29" w:line="288" w:lineRule="auto"/>
              <w:jc w:val="right"/>
              <w:rPr>
                <w:szCs w:val="21"/>
              </w:rPr>
            </w:pPr>
            <w:r w:rsidRPr="00A942AC">
              <w:rPr>
                <w:szCs w:val="21"/>
              </w:rPr>
              <w:t>44,341,631.55</w:t>
            </w:r>
          </w:p>
        </w:tc>
        <w:tc>
          <w:tcPr>
            <w:tcW w:w="688" w:type="pct"/>
            <w:vAlign w:val="center"/>
          </w:tcPr>
          <w:p w:rsidR="00B44DBC" w:rsidRPr="00A942AC" w:rsidRDefault="00B44DBC" w:rsidP="00674CBD">
            <w:pPr>
              <w:spacing w:before="29" w:line="288" w:lineRule="auto"/>
              <w:jc w:val="right"/>
              <w:rPr>
                <w:szCs w:val="21"/>
              </w:rPr>
            </w:pPr>
            <w:r w:rsidRPr="00A942AC">
              <w:rPr>
                <w:szCs w:val="21"/>
              </w:rPr>
              <w:t/>
            </w:r>
            <w:r w:rsidRPr="00A942AC">
              <w:rPr>
                <w:rFonts w:hint="eastAsia"/>
                <w:szCs w:val="21"/>
              </w:rPr>
              <w:t/>
            </w:r>
            <w:r w:rsidRPr="00A942AC">
              <w:rPr>
                <w:szCs w:val="21"/>
              </w:rPr>
              <w:t>25,521.82</w:t>
            </w:r>
          </w:p>
        </w:tc>
        <w:tc>
          <w:tcPr>
            <w:tcW w:w="762" w:type="pct"/>
            <w:vAlign w:val="center"/>
          </w:tcPr>
          <w:p w:rsidR="00B44DBC" w:rsidRPr="00A942AC" w:rsidRDefault="00B44DBC" w:rsidP="00674CBD">
            <w:pPr>
              <w:spacing w:before="29" w:line="288" w:lineRule="auto"/>
              <w:jc w:val="right"/>
              <w:rPr>
                <w:szCs w:val="21"/>
              </w:rPr>
            </w:pPr>
            <w:r w:rsidRPr="00A942AC">
              <w:rPr>
                <w:szCs w:val="21"/>
              </w:rPr>
              <w:t>36,634.40</w:t>
            </w:r>
          </w:p>
        </w:tc>
        <w:tc>
          <w:tcPr>
            <w:tcW w:w="666" w:type="pct"/>
            <w:vAlign w:val="center"/>
          </w:tcPr>
          <w:p w:rsidR="00B44DBC" w:rsidRPr="00A942AC" w:rsidRDefault="00B44DBC" w:rsidP="00674CBD">
            <w:pPr>
              <w:spacing w:before="29" w:line="288" w:lineRule="auto"/>
              <w:jc w:val="right"/>
              <w:rPr>
                <w:szCs w:val="21"/>
              </w:rPr>
            </w:pPr>
            <w:r w:rsidRPr="00A942AC">
              <w:rPr>
                <w:szCs w:val="21"/>
              </w:rPr>
              <w:t/>
            </w:r>
            <w:r w:rsidRPr="00A942AC">
              <w:rPr>
                <w:rFonts w:hint="eastAsia"/>
                <w:szCs w:val="21"/>
              </w:rPr>
              <w:t/>
            </w:r>
            <w:r w:rsidRPr="00A942AC">
              <w:rPr>
                <w:szCs w:val="21"/>
              </w:rPr>
              <w:t>200.11</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5,760,774.61</w:t>
            </w:r>
          </w:p>
        </w:tc>
        <w:tc>
          <w:tcPr>
            <w:tcW w:w="688" w:type="pct"/>
            <w:vAlign w:val="center"/>
          </w:tcPr>
          <w:p w:rsidR="00B44DBC" w:rsidRPr="00A942AC" w:rsidRDefault="00B44DBC" w:rsidP="00674CBD">
            <w:pPr>
              <w:spacing w:before="29" w:line="288" w:lineRule="auto"/>
              <w:jc w:val="right"/>
              <w:rPr>
                <w:szCs w:val="21"/>
              </w:rPr>
            </w:pPr>
            <w:r w:rsidRPr="00A942AC">
              <w:rPr>
                <w:szCs w:val="21"/>
              </w:rPr>
              <w:t>2,412.79</w:t>
            </w:r>
          </w:p>
        </w:tc>
        <w:tc>
          <w:tcPr>
            <w:tcW w:w="687" w:type="pct"/>
            <w:vAlign w:val="center"/>
          </w:tcPr>
          <w:p w:rsidR="00B44DBC" w:rsidRPr="00A942AC" w:rsidRDefault="00B44DBC" w:rsidP="00674CBD">
            <w:pPr>
              <w:spacing w:before="29" w:line="288" w:lineRule="auto"/>
              <w:jc w:val="right"/>
              <w:rPr>
                <w:szCs w:val="21"/>
              </w:rPr>
            </w:pPr>
            <w:r w:rsidRPr="00A942AC">
              <w:rPr>
                <w:szCs w:val="21"/>
              </w:rPr>
              <w:t>-10,731,577.56</w:t>
            </w:r>
          </w:p>
        </w:tc>
        <w:tc>
          <w:tcPr>
            <w:tcW w:w="688" w:type="pct"/>
            <w:vAlign w:val="center"/>
          </w:tcPr>
          <w:p w:rsidR="00B44DBC" w:rsidRPr="00A942AC" w:rsidRDefault="00B44DBC" w:rsidP="00674CBD">
            <w:pPr>
              <w:spacing w:before="29" w:line="288" w:lineRule="auto"/>
              <w:jc w:val="right"/>
              <w:rPr>
                <w:szCs w:val="21"/>
              </w:rPr>
            </w:pPr>
            <w:r w:rsidRPr="00A942AC">
              <w:rPr>
                <w:szCs w:val="21"/>
              </w:rPr>
              <w:t/>
            </w:r>
            <w:r w:rsidRPr="00A942AC">
              <w:rPr>
                <w:rFonts w:hint="eastAsia"/>
                <w:szCs w:val="21"/>
              </w:rPr>
              <w:t/>
            </w:r>
            <w:r w:rsidRPr="00A942AC">
              <w:rPr>
                <w:szCs w:val="21"/>
              </w:rPr>
              <w:t>-3,504.37</w:t>
            </w:r>
          </w:p>
        </w:tc>
        <w:tc>
          <w:tcPr>
            <w:tcW w:w="762" w:type="pct"/>
            <w:vAlign w:val="center"/>
          </w:tcPr>
          <w:p w:rsidR="00B44DBC" w:rsidRPr="00A942AC" w:rsidRDefault="00B44DBC" w:rsidP="00674CBD">
            <w:pPr>
              <w:spacing w:before="29" w:line="288" w:lineRule="auto"/>
              <w:jc w:val="right"/>
              <w:rPr>
                <w:szCs w:val="21"/>
              </w:rPr>
            </w:pPr>
            <w:r w:rsidRPr="00A942AC">
              <w:rPr>
                <w:szCs w:val="21"/>
              </w:rPr>
              <w:t>36,634.40</w:t>
            </w:r>
          </w:p>
        </w:tc>
        <w:tc>
          <w:tcPr>
            <w:tcW w:w="666" w:type="pct"/>
            <w:vAlign w:val="center"/>
          </w:tcPr>
          <w:p w:rsidR="00B44DBC" w:rsidRPr="00A942AC" w:rsidRDefault="00B44DBC" w:rsidP="00674CBD">
            <w:pPr>
              <w:spacing w:before="29" w:line="288" w:lineRule="auto"/>
              <w:jc w:val="right"/>
              <w:rPr>
                <w:szCs w:val="21"/>
              </w:rPr>
            </w:pPr>
            <w:r w:rsidRPr="00A942AC">
              <w:rPr>
                <w:szCs w:val="21"/>
              </w:rPr>
              <w:t/>
            </w:r>
            <w:r w:rsidRPr="00A942AC">
              <w:rPr>
                <w:rFonts w:hint="eastAsia"/>
                <w:szCs w:val="21"/>
              </w:rPr>
              <w:t/>
            </w:r>
            <w:r w:rsidRPr="00A942AC">
              <w:rPr>
                <w:szCs w:val="21"/>
              </w:rPr>
              <w:t>200.11</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0.0047</w:t>
            </w:r>
          </w:p>
        </w:tc>
        <w:tc>
          <w:tcPr>
            <w:tcW w:w="688" w:type="pct"/>
            <w:vAlign w:val="center"/>
          </w:tcPr>
          <w:p w:rsidR="008C42FD" w:rsidRPr="00E52F9F" w:rsidRDefault="008C42FD" w:rsidP="00AF7CB5">
            <w:pPr>
              <w:spacing w:before="29" w:line="288" w:lineRule="auto"/>
              <w:jc w:val="right"/>
              <w:rPr>
                <w:szCs w:val="21"/>
              </w:rPr>
            </w:pPr>
            <w:r w:rsidRPr="00E52F9F">
              <w:rPr>
                <w:szCs w:val="21"/>
              </w:rPr>
              <w:t>0.0035</w:t>
            </w:r>
          </w:p>
        </w:tc>
        <w:tc>
          <w:tcPr>
            <w:tcW w:w="687" w:type="pct"/>
            <w:vAlign w:val="center"/>
          </w:tcPr>
          <w:p w:rsidR="008C42FD" w:rsidRPr="00E52F9F" w:rsidRDefault="008C42FD" w:rsidP="00AF7CB5">
            <w:pPr>
              <w:spacing w:before="29" w:line="288" w:lineRule="auto"/>
              <w:jc w:val="right"/>
              <w:rPr>
                <w:szCs w:val="21"/>
              </w:rPr>
            </w:pPr>
            <w:r w:rsidRPr="00E52F9F">
              <w:rPr>
                <w:szCs w:val="21"/>
              </w:rPr>
              <w:t>-0.0069</w:t>
            </w:r>
          </w:p>
        </w:tc>
        <w:tc>
          <w:tcPr>
            <w:tcW w:w="688" w:type="pct"/>
            <w:vAlign w:val="center"/>
          </w:tcPr>
          <w:p w:rsidR="008C42FD" w:rsidRPr="00E52F9F" w:rsidRDefault="008C42FD" w:rsidP="00AF7CB5">
            <w:pPr>
              <w:spacing w:before="29" w:line="288" w:lineRule="auto"/>
              <w:jc w:val="right"/>
              <w:rPr>
                <w:szCs w:val="21"/>
              </w:rPr>
            </w:pPr>
            <w:r w:rsidRPr="00E52F9F">
              <w:rPr>
                <w:szCs w:val="21"/>
              </w:rPr>
              <w:t/>
            </w:r>
            <w:r w:rsidRPr="00E52F9F">
              <w:rPr>
                <w:rFonts w:hint="eastAsia"/>
                <w:szCs w:val="21"/>
              </w:rPr>
              <w:t/>
            </w:r>
            <w:r w:rsidRPr="00E52F9F">
              <w:rPr>
                <w:szCs w:val="21"/>
              </w:rPr>
              <w:t>-0.0033</w:t>
            </w:r>
          </w:p>
        </w:tc>
        <w:tc>
          <w:tcPr>
            <w:tcW w:w="762" w:type="pct"/>
            <w:vAlign w:val="center"/>
          </w:tcPr>
          <w:p w:rsidR="008C42FD" w:rsidRPr="00E52F9F" w:rsidRDefault="008C42FD" w:rsidP="00AF7CB5">
            <w:pPr>
              <w:spacing w:before="29" w:line="288" w:lineRule="auto"/>
              <w:jc w:val="right"/>
              <w:rPr>
                <w:szCs w:val="21"/>
              </w:rPr>
            </w:pPr>
            <w:r w:rsidRPr="00E52F9F">
              <w:rPr>
                <w:szCs w:val="21"/>
              </w:rPr>
              <w:t>0.0002</w:t>
            </w:r>
          </w:p>
        </w:tc>
        <w:tc>
          <w:tcPr>
            <w:tcW w:w="666" w:type="pct"/>
            <w:vAlign w:val="center"/>
          </w:tcPr>
          <w:p w:rsidR="008C42FD" w:rsidRPr="00E52F9F" w:rsidRDefault="008C42FD" w:rsidP="00AF7CB5">
            <w:pPr>
              <w:spacing w:before="29" w:line="288" w:lineRule="auto"/>
              <w:jc w:val="right"/>
              <w:rPr>
                <w:szCs w:val="21"/>
              </w:rPr>
            </w:pPr>
            <w:r w:rsidRPr="00E52F9F">
              <w:rPr>
                <w:szCs w:val="21"/>
              </w:rPr>
              <w:t/>
            </w:r>
            <w:r w:rsidRPr="00E52F9F">
              <w:rPr>
                <w:rFonts w:hint="eastAsia"/>
                <w:szCs w:val="21"/>
              </w:rPr>
              <w:t/>
            </w:r>
            <w:r w:rsidRPr="00E52F9F">
              <w:rPr>
                <w:szCs w:val="21"/>
              </w:rPr>
              <w:t>0.0001</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1.00%</w:t>
            </w:r>
          </w:p>
        </w:tc>
        <w:tc>
          <w:tcPr>
            <w:tcW w:w="688" w:type="pct"/>
            <w:vAlign w:val="center"/>
          </w:tcPr>
          <w:p w:rsidR="00A62AD8" w:rsidRPr="00A942AC" w:rsidRDefault="00A62AD8" w:rsidP="00674CBD">
            <w:pPr>
              <w:spacing w:before="29" w:line="288" w:lineRule="auto"/>
              <w:jc w:val="right"/>
              <w:rPr>
                <w:szCs w:val="21"/>
              </w:rPr>
            </w:pPr>
            <w:r w:rsidRPr="00A942AC">
              <w:rPr>
                <w:szCs w:val="21"/>
              </w:rPr>
              <w:t>0.60%</w:t>
            </w:r>
          </w:p>
        </w:tc>
        <w:tc>
          <w:tcPr>
            <w:tcW w:w="687" w:type="pct"/>
            <w:vAlign w:val="center"/>
          </w:tcPr>
          <w:p w:rsidR="00A62AD8" w:rsidRPr="00A942AC" w:rsidRDefault="00A62AD8" w:rsidP="00674CBD">
            <w:pPr>
              <w:spacing w:before="29" w:line="288" w:lineRule="auto"/>
              <w:jc w:val="right"/>
              <w:rPr>
                <w:szCs w:val="21"/>
              </w:rPr>
            </w:pPr>
            <w:r w:rsidRPr="00A942AC">
              <w:rPr>
                <w:szCs w:val="21"/>
              </w:rPr>
              <w:t>-0.30%</w:t>
            </w:r>
          </w:p>
        </w:tc>
        <w:tc>
          <w:tcPr>
            <w:tcW w:w="688" w:type="pct"/>
            <w:vAlign w:val="center"/>
          </w:tcPr>
          <w:p w:rsidR="00A62AD8" w:rsidRPr="00A942AC" w:rsidRDefault="00A62AD8" w:rsidP="00674CBD">
            <w:pPr>
              <w:spacing w:before="29" w:line="288" w:lineRule="auto"/>
              <w:jc w:val="right"/>
              <w:rPr>
                <w:szCs w:val="21"/>
              </w:rPr>
            </w:pPr>
            <w:r w:rsidRPr="00A942AC">
              <w:rPr>
                <w:szCs w:val="21"/>
              </w:rPr>
              <w:t/>
            </w:r>
            <w:r w:rsidRPr="00A942AC">
              <w:rPr>
                <w:rFonts w:hint="eastAsia"/>
                <w:szCs w:val="21"/>
              </w:rPr>
              <w:t/>
            </w:r>
            <w:r w:rsidRPr="00A942AC">
              <w:rPr>
                <w:szCs w:val="21"/>
              </w:rPr>
              <w:t>-0.70%</w:t>
            </w:r>
          </w:p>
        </w:tc>
        <w:tc>
          <w:tcPr>
            <w:tcW w:w="762" w:type="pct"/>
            <w:vAlign w:val="center"/>
          </w:tcPr>
          <w:p w:rsidR="00A62AD8" w:rsidRPr="00A942AC" w:rsidRDefault="00A62AD8" w:rsidP="00674CBD">
            <w:pPr>
              <w:spacing w:before="29" w:line="288" w:lineRule="auto"/>
              <w:jc w:val="right"/>
              <w:rPr>
                <w:szCs w:val="21"/>
              </w:rPr>
            </w:pPr>
            <w:r w:rsidRPr="00A942AC">
              <w:rPr>
                <w:szCs w:val="21"/>
              </w:rPr>
              <w:t>0.00%</w:t>
            </w:r>
          </w:p>
        </w:tc>
        <w:tc>
          <w:tcPr>
            <w:tcW w:w="666" w:type="pct"/>
            <w:vAlign w:val="center"/>
          </w:tcPr>
          <w:p w:rsidR="00A62AD8" w:rsidRPr="00A942AC" w:rsidRDefault="00A62AD8" w:rsidP="00674CBD">
            <w:pPr>
              <w:spacing w:before="29" w:line="288" w:lineRule="auto"/>
              <w:jc w:val="right"/>
              <w:rPr>
                <w:szCs w:val="21"/>
              </w:rPr>
            </w:pPr>
            <w:r w:rsidRPr="00A942AC">
              <w:rPr>
                <w:szCs w:val="21"/>
              </w:rPr>
              <w:t/>
            </w:r>
            <w:r w:rsidRPr="00A942AC">
              <w:rPr>
                <w:rFonts w:hint="eastAsia"/>
                <w:szCs w:val="21"/>
              </w:rPr>
              <w:t/>
            </w:r>
            <w:r w:rsidRPr="00A942AC">
              <w:rPr>
                <w:szCs w:val="21"/>
              </w:rPr>
              <w:t>0.00%</w:t>
            </w:r>
          </w:p>
        </w:tc>
      </w:tr>
    </w:tbl>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1276"/>
        <w:gridCol w:w="1276"/>
        <w:gridCol w:w="1276"/>
        <w:gridCol w:w="1276"/>
        <w:gridCol w:w="1419"/>
        <w:gridCol w:w="1237"/>
      </w:tblGrid>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r w:rsidRPr="00A942AC">
              <w:rPr>
                <w:b/>
                <w:szCs w:val="21"/>
              </w:rPr>
              <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
            </w:r>
            <w:r w:rsidRPr="00A942AC">
              <w:rPr>
                <w:rFonts w:hint="eastAsia"/>
                <w:b/>
                <w:szCs w:val="21"/>
              </w:rPr>
              <w:t/>
            </w:r>
            <w:r w:rsidRPr="00A942AC">
              <w:rPr>
                <w:b/>
                <w:szCs w:val="21"/>
              </w:rPr>
              <w:t>2016</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
            </w:r>
            <w:r w:rsidRPr="00A942AC">
              <w:rPr>
                <w:rFonts w:hint="eastAsia"/>
                <w:b/>
                <w:szCs w:val="21"/>
              </w:rPr>
              <w:t/>
            </w:r>
            <w:r w:rsidRPr="00A942AC">
              <w:rPr>
                <w:b/>
                <w:szCs w:val="21"/>
              </w:rPr>
              <w:t>2015</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交银裕通纯债债券A</w:t>
            </w:r>
          </w:p>
        </w:tc>
        <w:tc>
          <w:tcPr>
            <w:tcW w:w="687" w:type="pct"/>
            <w:vAlign w:val="center"/>
          </w:tcPr>
          <w:p w:rsidR="00B44DBC" w:rsidRPr="00A942AC" w:rsidRDefault="00B44DBC" w:rsidP="00FF4447">
            <w:pPr>
              <w:spacing w:before="29" w:line="288" w:lineRule="auto"/>
              <w:rPr>
                <w:szCs w:val="21"/>
              </w:rPr>
            </w:pPr>
            <w:r w:rsidRPr="00A942AC">
              <w:rPr>
                <w:szCs w:val="21"/>
              </w:rPr>
              <w:t>交银裕通纯债债券C</w:t>
            </w:r>
          </w:p>
        </w:tc>
        <w:tc>
          <w:tcPr>
            <w:tcW w:w="687" w:type="pct"/>
            <w:vAlign w:val="center"/>
          </w:tcPr>
          <w:p w:rsidR="00B44DBC" w:rsidRPr="00A942AC" w:rsidRDefault="00B44DBC" w:rsidP="00FF4447">
            <w:pPr>
              <w:spacing w:before="29" w:line="288" w:lineRule="auto"/>
              <w:rPr>
                <w:szCs w:val="21"/>
              </w:rPr>
            </w:pPr>
            <w:r w:rsidRPr="00A942AC">
              <w:rPr>
                <w:szCs w:val="21"/>
              </w:rPr>
              <w:t>交银裕通纯债债券A</w:t>
            </w:r>
          </w:p>
        </w:tc>
        <w:tc>
          <w:tcPr>
            <w:tcW w:w="687" w:type="pct"/>
            <w:vAlign w:val="center"/>
          </w:tcPr>
          <w:p w:rsidR="00B44DBC" w:rsidRPr="00A942AC" w:rsidRDefault="00B44DBC" w:rsidP="00FF4447">
            <w:pPr>
              <w:spacing w:before="29" w:line="288" w:lineRule="auto"/>
              <w:rPr>
                <w:szCs w:val="21"/>
              </w:rPr>
            </w:pPr>
            <w:r w:rsidRPr="00A942AC">
              <w:rPr>
                <w:szCs w:val="21"/>
              </w:rPr>
              <w:t>交银裕通纯债债券C</w:t>
            </w:r>
          </w:p>
        </w:tc>
        <w:tc>
          <w:tcPr>
            <w:tcW w:w="764" w:type="pct"/>
            <w:vAlign w:val="center"/>
          </w:tcPr>
          <w:p w:rsidR="00B44DBC" w:rsidRPr="00A942AC" w:rsidRDefault="00B44DBC" w:rsidP="00FF4447">
            <w:pPr>
              <w:spacing w:before="29" w:line="288" w:lineRule="auto"/>
              <w:rPr>
                <w:szCs w:val="21"/>
              </w:rPr>
            </w:pPr>
            <w:r w:rsidRPr="00A942AC">
              <w:rPr>
                <w:szCs w:val="21"/>
              </w:rPr>
              <w:t>交银裕通纯债债券A</w:t>
            </w:r>
          </w:p>
        </w:tc>
        <w:tc>
          <w:tcPr>
            <w:tcW w:w="667" w:type="pct"/>
            <w:vAlign w:val="center"/>
          </w:tcPr>
          <w:p w:rsidR="00B44DBC" w:rsidRPr="00A942AC" w:rsidRDefault="00B44DBC" w:rsidP="00FF4447">
            <w:pPr>
              <w:spacing w:before="29" w:line="288" w:lineRule="auto"/>
              <w:rPr>
                <w:szCs w:val="21"/>
              </w:rPr>
            </w:pPr>
            <w:r w:rsidRPr="00A942AC">
              <w:rPr>
                <w:szCs w:val="21"/>
              </w:rPr>
              <w:t>交银裕通纯债债券C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0.007</w:t>
            </w:r>
          </w:p>
        </w:tc>
        <w:tc>
          <w:tcPr>
            <w:tcW w:w="687" w:type="pct"/>
            <w:vAlign w:val="center"/>
          </w:tcPr>
          <w:p w:rsidR="00B44DBC" w:rsidRPr="00A942AC" w:rsidRDefault="00B44DBC" w:rsidP="00674CBD">
            <w:pPr>
              <w:spacing w:before="29" w:line="288" w:lineRule="auto"/>
              <w:jc w:val="right"/>
              <w:rPr>
                <w:szCs w:val="21"/>
              </w:rPr>
            </w:pPr>
            <w:r w:rsidRPr="00A942AC">
              <w:rPr>
                <w:szCs w:val="21"/>
              </w:rPr>
              <w:t>-0.001</w:t>
            </w:r>
          </w:p>
        </w:tc>
        <w:tc>
          <w:tcPr>
            <w:tcW w:w="687" w:type="pct"/>
            <w:vAlign w:val="center"/>
          </w:tcPr>
          <w:p w:rsidR="00B44DBC" w:rsidRPr="00A942AC" w:rsidRDefault="00B44DBC" w:rsidP="00674CBD">
            <w:pPr>
              <w:spacing w:before="29" w:line="288" w:lineRule="auto"/>
              <w:jc w:val="right"/>
              <w:rPr>
                <w:szCs w:val="21"/>
              </w:rPr>
            </w:pPr>
            <w:r w:rsidRPr="00A942AC">
              <w:rPr>
                <w:szCs w:val="21"/>
              </w:rPr>
              <w:t>-0.003</w:t>
            </w:r>
          </w:p>
        </w:tc>
        <w:tc>
          <w:tcPr>
            <w:tcW w:w="687" w:type="pct"/>
            <w:vAlign w:val="center"/>
          </w:tcPr>
          <w:p w:rsidR="00B44DBC" w:rsidRPr="00A942AC" w:rsidRDefault="00B44DBC" w:rsidP="00674CBD">
            <w:pPr>
              <w:spacing w:before="29" w:line="288" w:lineRule="auto"/>
              <w:jc w:val="right"/>
              <w:rPr>
                <w:szCs w:val="21"/>
              </w:rPr>
            </w:pPr>
            <w:r w:rsidRPr="00A942AC">
              <w:rPr>
                <w:szCs w:val="21"/>
              </w:rPr>
              <w:t/>
            </w:r>
            <w:r w:rsidRPr="00A942AC">
              <w:rPr>
                <w:rFonts w:hint="eastAsia"/>
                <w:szCs w:val="21"/>
              </w:rPr>
              <w:t/>
            </w:r>
            <w:r w:rsidRPr="00A942AC">
              <w:rPr>
                <w:szCs w:val="21"/>
              </w:rPr>
              <w:t>-0.007</w:t>
            </w:r>
          </w:p>
        </w:tc>
        <w:tc>
          <w:tcPr>
            <w:tcW w:w="764" w:type="pct"/>
            <w:vAlign w:val="center"/>
          </w:tcPr>
          <w:p w:rsidR="00B44DBC" w:rsidRPr="00A942AC" w:rsidRDefault="00B44DBC" w:rsidP="00674CBD">
            <w:pPr>
              <w:spacing w:before="29" w:line="288" w:lineRule="auto"/>
              <w:jc w:val="right"/>
              <w:rPr>
                <w:szCs w:val="21"/>
              </w:rPr>
            </w:pPr>
            <w:r w:rsidRPr="00A942AC">
              <w:rPr>
                <w:szCs w:val="21"/>
              </w:rPr>
              <w:t>0.000</w:t>
            </w:r>
          </w:p>
        </w:tc>
        <w:tc>
          <w:tcPr>
            <w:tcW w:w="667" w:type="pct"/>
            <w:vAlign w:val="center"/>
          </w:tcPr>
          <w:p w:rsidR="00B44DBC" w:rsidRPr="00A942AC" w:rsidRDefault="00B44DBC" w:rsidP="00674CBD">
            <w:pPr>
              <w:spacing w:before="29" w:line="288" w:lineRule="auto"/>
              <w:jc w:val="right"/>
              <w:rPr>
                <w:szCs w:val="21"/>
              </w:rPr>
            </w:pPr>
            <w:r w:rsidRPr="00A942AC">
              <w:rPr>
                <w:szCs w:val="21"/>
              </w:rPr>
              <w:t/>
            </w:r>
            <w:r w:rsidRPr="00A942AC">
              <w:rPr>
                <w:rFonts w:hint="eastAsia"/>
                <w:szCs w:val="21"/>
              </w:rPr>
              <w:t/>
            </w:r>
            <w:r w:rsidRPr="00A942AC">
              <w:rPr>
                <w:szCs w:val="21"/>
              </w:rPr>
              <w:t>0.000</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1,204,788,019.95</w:t>
            </w:r>
          </w:p>
        </w:tc>
        <w:tc>
          <w:tcPr>
            <w:tcW w:w="687" w:type="pct"/>
            <w:vAlign w:val="center"/>
          </w:tcPr>
          <w:p w:rsidR="00B44DBC" w:rsidRPr="00A942AC" w:rsidRDefault="00B44DBC" w:rsidP="00674CBD">
            <w:pPr>
              <w:spacing w:before="29" w:line="288" w:lineRule="auto"/>
              <w:jc w:val="right"/>
              <w:rPr>
                <w:szCs w:val="21"/>
              </w:rPr>
            </w:pPr>
            <w:r w:rsidRPr="00A942AC">
              <w:rPr>
                <w:szCs w:val="21"/>
              </w:rPr>
              <w:t>444,435.21</w:t>
            </w:r>
          </w:p>
        </w:tc>
        <w:tc>
          <w:tcPr>
            <w:tcW w:w="687" w:type="pct"/>
            <w:vAlign w:val="center"/>
          </w:tcPr>
          <w:p w:rsidR="00B44DBC" w:rsidRPr="00A942AC" w:rsidRDefault="00B44DBC" w:rsidP="00674CBD">
            <w:pPr>
              <w:spacing w:before="29" w:line="288" w:lineRule="auto"/>
              <w:jc w:val="right"/>
              <w:rPr>
                <w:szCs w:val="21"/>
              </w:rPr>
            </w:pPr>
            <w:r w:rsidRPr="00A942AC">
              <w:rPr>
                <w:szCs w:val="21"/>
              </w:rPr>
              <w:t>1,700,027,273.69</w:t>
            </w:r>
          </w:p>
        </w:tc>
        <w:tc>
          <w:tcPr>
            <w:tcW w:w="687" w:type="pct"/>
            <w:vAlign w:val="center"/>
          </w:tcPr>
          <w:p w:rsidR="00B44DBC" w:rsidRPr="00A942AC" w:rsidRDefault="00B44DBC" w:rsidP="00674CBD">
            <w:pPr>
              <w:spacing w:before="29" w:line="288" w:lineRule="auto"/>
              <w:jc w:val="right"/>
              <w:rPr>
                <w:szCs w:val="21"/>
              </w:rPr>
            </w:pPr>
            <w:r w:rsidRPr="00A942AC">
              <w:rPr>
                <w:szCs w:val="21"/>
              </w:rPr>
              <w:t/>
            </w:r>
            <w:r w:rsidRPr="00A942AC">
              <w:rPr>
                <w:rFonts w:hint="eastAsia"/>
                <w:szCs w:val="21"/>
              </w:rPr>
              <w:t/>
            </w:r>
            <w:r w:rsidRPr="00A942AC">
              <w:rPr>
                <w:szCs w:val="21"/>
              </w:rPr>
              <w:t>848,642.18</w:t>
            </w:r>
          </w:p>
        </w:tc>
        <w:tc>
          <w:tcPr>
            <w:tcW w:w="764" w:type="pct"/>
            <w:vAlign w:val="center"/>
          </w:tcPr>
          <w:p w:rsidR="00B44DBC" w:rsidRPr="00A942AC" w:rsidRDefault="00B44DBC" w:rsidP="00674CBD">
            <w:pPr>
              <w:spacing w:before="29" w:line="288" w:lineRule="auto"/>
              <w:jc w:val="right"/>
              <w:rPr>
                <w:szCs w:val="21"/>
              </w:rPr>
            </w:pPr>
            <w:r w:rsidRPr="00A942AC">
              <w:rPr>
                <w:szCs w:val="21"/>
              </w:rPr>
              <w:t>219,930,809.78</w:t>
            </w:r>
          </w:p>
        </w:tc>
        <w:tc>
          <w:tcPr>
            <w:tcW w:w="667" w:type="pct"/>
            <w:vAlign w:val="center"/>
          </w:tcPr>
          <w:p w:rsidR="00B44DBC" w:rsidRPr="00A942AC" w:rsidRDefault="00B44DBC" w:rsidP="00674CBD">
            <w:pPr>
              <w:spacing w:before="29" w:line="288" w:lineRule="auto"/>
              <w:jc w:val="right"/>
              <w:rPr>
                <w:szCs w:val="21"/>
              </w:rPr>
            </w:pPr>
            <w:r w:rsidRPr="00A942AC">
              <w:rPr>
                <w:szCs w:val="21"/>
              </w:rPr>
              <w:t/>
            </w:r>
            <w:r w:rsidRPr="00A942AC">
              <w:rPr>
                <w:rFonts w:hint="eastAsia"/>
                <w:szCs w:val="21"/>
              </w:rPr>
              <w:t/>
            </w:r>
            <w:r w:rsidRPr="00A942AC">
              <w:rPr>
                <w:szCs w:val="21"/>
              </w:rPr>
              <w:t>1,383,362.09</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1.007</w:t>
            </w:r>
          </w:p>
        </w:tc>
        <w:tc>
          <w:tcPr>
            <w:tcW w:w="687" w:type="pct"/>
            <w:vAlign w:val="center"/>
          </w:tcPr>
          <w:p w:rsidR="00B44DBC" w:rsidRPr="00A942AC" w:rsidRDefault="00B44DBC" w:rsidP="00674CBD">
            <w:pPr>
              <w:spacing w:before="29" w:line="288" w:lineRule="auto"/>
              <w:jc w:val="right"/>
              <w:rPr>
                <w:szCs w:val="21"/>
              </w:rPr>
            </w:pPr>
            <w:r w:rsidRPr="00A942AC">
              <w:rPr>
                <w:szCs w:val="21"/>
              </w:rPr>
              <w:t>0.999</w:t>
            </w:r>
          </w:p>
        </w:tc>
        <w:tc>
          <w:tcPr>
            <w:tcW w:w="687" w:type="pct"/>
            <w:vAlign w:val="center"/>
          </w:tcPr>
          <w:p w:rsidR="00B44DBC" w:rsidRPr="00A942AC" w:rsidRDefault="00B44DBC" w:rsidP="00674CBD">
            <w:pPr>
              <w:spacing w:before="29" w:line="288" w:lineRule="auto"/>
              <w:jc w:val="right"/>
              <w:rPr>
                <w:szCs w:val="21"/>
              </w:rPr>
            </w:pPr>
            <w:r w:rsidRPr="00A942AC">
              <w:rPr>
                <w:szCs w:val="21"/>
              </w:rPr>
              <w:t>0.997</w:t>
            </w:r>
          </w:p>
        </w:tc>
        <w:tc>
          <w:tcPr>
            <w:tcW w:w="687" w:type="pct"/>
            <w:vAlign w:val="center"/>
          </w:tcPr>
          <w:p w:rsidR="00B44DBC" w:rsidRPr="00A942AC" w:rsidRDefault="00B44DBC" w:rsidP="00674CBD">
            <w:pPr>
              <w:spacing w:before="29" w:line="288" w:lineRule="auto"/>
              <w:jc w:val="right"/>
              <w:rPr>
                <w:szCs w:val="21"/>
              </w:rPr>
            </w:pPr>
            <w:r w:rsidRPr="00A942AC">
              <w:rPr>
                <w:szCs w:val="21"/>
              </w:rPr>
              <w:t/>
            </w:r>
            <w:r w:rsidRPr="00A942AC">
              <w:rPr>
                <w:rFonts w:hint="eastAsia"/>
                <w:szCs w:val="21"/>
              </w:rPr>
              <w:t/>
            </w:r>
            <w:r w:rsidRPr="00A942AC">
              <w:rPr>
                <w:szCs w:val="21"/>
              </w:rPr>
              <w:t>0.993</w:t>
            </w:r>
          </w:p>
        </w:tc>
        <w:tc>
          <w:tcPr>
            <w:tcW w:w="764" w:type="pct"/>
            <w:vAlign w:val="center"/>
          </w:tcPr>
          <w:p w:rsidR="00B44DBC" w:rsidRPr="00A942AC" w:rsidRDefault="00B44DBC" w:rsidP="00674CBD">
            <w:pPr>
              <w:spacing w:before="29" w:line="288" w:lineRule="auto"/>
              <w:jc w:val="right"/>
              <w:rPr>
                <w:szCs w:val="21"/>
              </w:rPr>
            </w:pPr>
            <w:r w:rsidRPr="00A942AC">
              <w:rPr>
                <w:szCs w:val="21"/>
              </w:rPr>
              <w:t>1.000</w:t>
            </w:r>
          </w:p>
        </w:tc>
        <w:tc>
          <w:tcPr>
            <w:tcW w:w="667" w:type="pct"/>
            <w:vAlign w:val="center"/>
          </w:tcPr>
          <w:p w:rsidR="00B44DBC" w:rsidRPr="00A942AC" w:rsidRDefault="00B44DBC" w:rsidP="00674CBD">
            <w:pPr>
              <w:spacing w:before="29" w:line="288" w:lineRule="auto"/>
              <w:jc w:val="right"/>
              <w:rPr>
                <w:szCs w:val="21"/>
              </w:rPr>
            </w:pPr>
            <w:r w:rsidRPr="00A942AC">
              <w:rPr>
                <w:szCs w:val="21"/>
              </w:rPr>
              <w:t/>
            </w:r>
            <w:r w:rsidRPr="00A942AC">
              <w:rPr>
                <w:rFonts w:hint="eastAsia"/>
                <w:szCs w:val="21"/>
              </w:rPr>
              <w:t/>
            </w:r>
            <w:r w:rsidRPr="00A942AC">
              <w:rPr>
                <w:szCs w:val="21"/>
              </w:rPr>
              <w:t>1.000</w:t>
            </w:r>
          </w:p>
        </w:tc>
      </w:tr>
    </w:tbl>
    <w:p>
      <w:pPr>
        <w:tabs>
          <w:tab w:val="left" w:pos="426"/>
        </w:tabs>
        <w:spacing w:before="29" w:line="288" w:lineRule="auto"/>
        <w:jc w:val="left"/>
        <w:rPr>
          <w:kern w:val="0"/>
          <w:sz w:val="24"/>
        </w:rPr>
      </w:pPr>
      <w:r>
        <w:rPr>
          <w:kern w:val="0"/>
          <w:sz w:val="24"/>
        </w:rPr>
        <w:t>注：1、本基金A类业绩指标不包括持有人认购或交易基金的各项费用，计入费用后的实际收益水平要低于所列数字；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2、本期已实现收益指基金本期利息收入、投资收益、其他收入（不含公允价值变动收益）扣除相关费用后的余额，本期利润为本期已实现收益加上本期公允价值变动收益。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3D26BD"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
      </w:r>
      <w:r w:rsidR="001A59F9" w:rsidRPr="00A46F35">
        <w:rPr>
          <w:rFonts w:ascii="Times New Roman" w:hAnsi="Times New Roman"/>
          <w:color w:val="auto"/>
        </w:rPr>
        <w:t>1</w:t>
      </w:r>
      <w:r w:rsidR="001A59F9" w:rsidRPr="00A46F35">
        <w:rPr>
          <w:rFonts w:ascii="Times New Roman" w:hAnsi="Times New Roman" w:hint="eastAsia"/>
          <w:color w:val="auto"/>
        </w:rPr>
        <w:t>．</w:t>
      </w:r>
      <w:r w:rsidR="001A59F9" w:rsidRPr="00A46F35">
        <w:rPr>
          <w:rFonts w:ascii="Times New Roman" w:hAnsi="Times New Roman"/>
          <w:color w:val="auto"/>
        </w:rPr>
        <w:t>交银裕通纯债债券A</w:t>
      </w:r>
      <w:r w:rsidR="001A59F9"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r w:rsidR="00592B3C" w:rsidRPr="00A46F35">
              <w:rPr>
                <w:color w:val="000000"/>
                <w:sz w:val="24"/>
              </w:rPr>
              <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tc>
          <w:tcPr>
            <w:vAlign w:val="center"/>
          </w:tcPr>
          <w:p>
            <w:pPr>
              <w:jc w:val="left"/>
            </w:pPr>
            <w:r>
              <w:rPr>
                <w:color w:val="000000"/>
                <w:sz w:val="24"/>
              </w:rPr>
              <w:t>过去三个月</w:t>
            </w:r>
          </w:p>
        </w:tc>
        <w:tc>
          <w:tcPr>
            <w:vAlign w:val="center"/>
          </w:tcPr>
          <w:p>
            <w:pPr>
              <w:jc w:val="center"/>
            </w:pPr>
            <w:r>
              <w:rPr>
                <w:color w:val="000000"/>
                <w:sz w:val="24"/>
              </w:rPr>
              <w:t>0.30%</w:t>
            </w:r>
          </w:p>
        </w:tc>
        <w:tc>
          <w:tcPr>
            <w:vAlign w:val="center"/>
          </w:tcPr>
          <w:p>
            <w:pPr>
              <w:jc w:val="center"/>
            </w:pPr>
            <w:r>
              <w:rPr>
                <w:color w:val="000000"/>
                <w:sz w:val="24"/>
              </w:rPr>
              <w:t>0.03%</w:t>
            </w:r>
          </w:p>
        </w:tc>
        <w:tc>
          <w:tcPr>
            <w:vAlign w:val="center"/>
          </w:tcPr>
          <w:p>
            <w:pPr>
              <w:jc w:val="center"/>
            </w:pPr>
            <w:r>
              <w:rPr>
                <w:color w:val="000000"/>
                <w:sz w:val="24"/>
              </w:rPr>
              <w:t>-1.15%</w:t>
            </w:r>
          </w:p>
        </w:tc>
        <w:tc>
          <w:tcPr>
            <w:vAlign w:val="center"/>
          </w:tcPr>
          <w:p>
            <w:pPr>
              <w:jc w:val="center"/>
            </w:pPr>
            <w:r>
              <w:rPr>
                <w:color w:val="000000"/>
                <w:sz w:val="24"/>
              </w:rPr>
              <w:t>0.06%</w:t>
            </w:r>
          </w:p>
        </w:tc>
        <w:tc>
          <w:tcPr>
            <w:vAlign w:val="center"/>
          </w:tcPr>
          <w:p>
            <w:pPr>
              <w:jc w:val="center"/>
            </w:pPr>
            <w:r>
              <w:rPr>
                <w:color w:val="000000"/>
                <w:sz w:val="24"/>
              </w:rPr>
              <w:t>1.45%</w:t>
            </w:r>
          </w:p>
        </w:tc>
        <w:tc>
          <w:tcPr>
            <w:vAlign w:val="center"/>
          </w:tcPr>
          <w:p>
            <w:pPr>
              <w:jc w:val="center"/>
            </w:pPr>
            <w:r>
              <w:rPr>
                <w:color w:val="000000"/>
                <w:sz w:val="24"/>
              </w:rPr>
              <w:t>-0.03%</w:t>
            </w:r>
          </w:p>
        </w:tc>
      </w:tr>
      <w:tr>
        <w:tc>
          <w:tcPr>
            <w:vAlign w:val="center"/>
          </w:tcPr>
          <w:p>
            <w:pPr>
              <w:jc w:val="left"/>
            </w:pPr>
            <w:r>
              <w:rPr>
                <w:color w:val="000000"/>
                <w:sz w:val="24"/>
              </w:rPr>
              <w:t>过去六个月</w:t>
            </w:r>
          </w:p>
        </w:tc>
        <w:tc>
          <w:tcPr>
            <w:vAlign w:val="center"/>
          </w:tcPr>
          <w:p>
            <w:pPr>
              <w:jc w:val="center"/>
            </w:pPr>
            <w:r>
              <w:rPr>
                <w:color w:val="000000"/>
                <w:sz w:val="24"/>
              </w:rPr>
              <w:t>1.10%</w:t>
            </w:r>
          </w:p>
        </w:tc>
        <w:tc>
          <w:tcPr>
            <w:vAlign w:val="center"/>
          </w:tcPr>
          <w:p>
            <w:pPr>
              <w:jc w:val="center"/>
            </w:pPr>
            <w:r>
              <w:rPr>
                <w:color w:val="000000"/>
                <w:sz w:val="24"/>
              </w:rPr>
              <w:t>0.04%</w:t>
            </w:r>
          </w:p>
        </w:tc>
        <w:tc>
          <w:tcPr>
            <w:vAlign w:val="center"/>
          </w:tcPr>
          <w:p>
            <w:pPr>
              <w:jc w:val="center"/>
            </w:pPr>
            <w:r>
              <w:rPr>
                <w:color w:val="000000"/>
                <w:sz w:val="24"/>
              </w:rPr>
              <w:t>-1.30%</w:t>
            </w:r>
          </w:p>
        </w:tc>
        <w:tc>
          <w:tcPr>
            <w:vAlign w:val="center"/>
          </w:tcPr>
          <w:p>
            <w:pPr>
              <w:jc w:val="center"/>
            </w:pPr>
            <w:r>
              <w:rPr>
                <w:color w:val="000000"/>
                <w:sz w:val="24"/>
              </w:rPr>
              <w:t>0.05%</w:t>
            </w:r>
          </w:p>
        </w:tc>
        <w:tc>
          <w:tcPr>
            <w:vAlign w:val="center"/>
          </w:tcPr>
          <w:p>
            <w:pPr>
              <w:jc w:val="center"/>
            </w:pPr>
            <w:r>
              <w:rPr>
                <w:color w:val="000000"/>
                <w:sz w:val="24"/>
              </w:rPr>
              <w:t>2.40%</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1.00%</w:t>
            </w:r>
          </w:p>
        </w:tc>
        <w:tc>
          <w:tcPr>
            <w:vAlign w:val="center"/>
          </w:tcPr>
          <w:p>
            <w:pPr>
              <w:jc w:val="center"/>
            </w:pPr>
            <w:r>
              <w:rPr>
                <w:color w:val="000000"/>
                <w:sz w:val="24"/>
              </w:rPr>
              <w:t>0.07%</w:t>
            </w:r>
          </w:p>
        </w:tc>
        <w:tc>
          <w:tcPr>
            <w:vAlign w:val="center"/>
          </w:tcPr>
          <w:p>
            <w:pPr>
              <w:jc w:val="center"/>
            </w:pPr>
            <w:r>
              <w:rPr>
                <w:color w:val="000000"/>
                <w:sz w:val="24"/>
              </w:rPr>
              <w:t>-3.38%</w:t>
            </w:r>
          </w:p>
        </w:tc>
        <w:tc>
          <w:tcPr>
            <w:vAlign w:val="center"/>
          </w:tcPr>
          <w:p>
            <w:pPr>
              <w:jc w:val="center"/>
            </w:pPr>
            <w:r>
              <w:rPr>
                <w:color w:val="000000"/>
                <w:sz w:val="24"/>
              </w:rPr>
              <w:t>0.06%</w:t>
            </w:r>
          </w:p>
        </w:tc>
        <w:tc>
          <w:tcPr>
            <w:vAlign w:val="center"/>
          </w:tcPr>
          <w:p>
            <w:pPr>
              <w:jc w:val="center"/>
            </w:pPr>
            <w:r>
              <w:rPr>
                <w:color w:val="000000"/>
                <w:sz w:val="24"/>
              </w:rPr>
              <w:t>4.38%</w:t>
            </w:r>
          </w:p>
        </w:tc>
        <w:tc>
          <w:tcPr>
            <w:vAlign w:val="center"/>
          </w:tcPr>
          <w:p>
            <w:pPr>
              <w:jc w:val="center"/>
            </w:pPr>
            <w:r>
              <w:rPr>
                <w:color w:val="000000"/>
                <w:sz w:val="24"/>
              </w:rPr>
              <w:t>0.01%</w:t>
            </w:r>
          </w:p>
        </w:tc>
      </w:tr>
      <w:tr>
        <w:tc>
          <w:tcPr>
            <w:vAlign w:val="center"/>
          </w:tcPr>
          <w:p>
            <w:pPr>
              <w:jc w:val="left"/>
            </w:pPr>
            <w:r>
              <w:rPr>
                <w:color w:val="000000"/>
                <w:sz w:val="24"/>
              </w:rPr>
              <w:t>自基金合同生效起至今</w:t>
            </w:r>
          </w:p>
        </w:tc>
        <w:tc>
          <w:tcPr>
            <w:vAlign w:val="center"/>
          </w:tcPr>
          <w:p>
            <w:pPr>
              <w:jc w:val="center"/>
            </w:pPr>
            <w:r>
              <w:rPr>
                <w:color w:val="000000"/>
                <w:sz w:val="24"/>
              </w:rPr>
              <w:t>0.70%</w:t>
            </w:r>
          </w:p>
        </w:tc>
        <w:tc>
          <w:tcPr>
            <w:vAlign w:val="center"/>
          </w:tcPr>
          <w:p>
            <w:pPr>
              <w:jc w:val="center"/>
            </w:pPr>
            <w:r>
              <w:rPr>
                <w:color w:val="000000"/>
                <w:sz w:val="24"/>
              </w:rPr>
              <w:t>0.09%</w:t>
            </w:r>
          </w:p>
        </w:tc>
        <w:tc>
          <w:tcPr>
            <w:vAlign w:val="center"/>
          </w:tcPr>
          <w:p>
            <w:pPr>
              <w:jc w:val="center"/>
            </w:pPr>
            <w:r>
              <w:rPr>
                <w:color w:val="000000"/>
                <w:sz w:val="24"/>
              </w:rPr>
              <w:t>-4.94%</w:t>
            </w:r>
          </w:p>
        </w:tc>
        <w:tc>
          <w:tcPr>
            <w:vAlign w:val="center"/>
          </w:tcPr>
          <w:p>
            <w:pPr>
              <w:jc w:val="center"/>
            </w:pPr>
            <w:r>
              <w:rPr>
                <w:color w:val="000000"/>
                <w:sz w:val="24"/>
              </w:rPr>
              <w:t>0.08%</w:t>
            </w:r>
          </w:p>
        </w:tc>
        <w:tc>
          <w:tcPr>
            <w:vAlign w:val="center"/>
          </w:tcPr>
          <w:p>
            <w:pPr>
              <w:jc w:val="center"/>
            </w:pPr>
            <w:r>
              <w:rPr>
                <w:color w:val="000000"/>
                <w:sz w:val="24"/>
              </w:rPr>
              <w:t>5.64%</w:t>
            </w:r>
          </w:p>
        </w:tc>
        <w:tc>
          <w:tcPr>
            <w:vAlign w:val="center"/>
          </w:tcPr>
          <w:p>
            <w:pPr>
              <w:jc w:val="center"/>
            </w:pPr>
            <w:r>
              <w:rPr>
                <w:color w:val="000000"/>
                <w:sz w:val="24"/>
              </w:rPr>
              <w:t>0.01%</w:t>
            </w:r>
          </w:p>
        </w:tc>
      </w:tr>
    </w:tbl>
    <w:p w:rsidR="001A59F9" w:rsidRDefault="001A59F9" w:rsidP="00E25C2A">
      <w:pPr>
        <w:tabs>
          <w:tab w:val="left" w:pos="426"/>
        </w:tabs>
        <w:spacing w:before="29" w:line="288" w:lineRule="auto"/>
        <w:jc w:val="left"/>
        <w:rPr>
          <w:kern w:val="0"/>
          <w:sz w:val="24"/>
        </w:rPr>
      </w:pPr>
      <w:r w:rsidRPr="00E25C2A">
        <w:rPr>
          <w:kern w:val="0"/>
          <w:sz w:val="24"/>
        </w:rPr>
        <w:lastRenderedPageBreak/>
        <w:t>注：本基金业绩比较基准为中债综合全价指数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3D26BD"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
      </w:r>
      <w:r w:rsidR="001A59F9" w:rsidRPr="00A46F35">
        <w:rPr>
          <w:rFonts w:ascii="Times New Roman" w:hAnsi="Times New Roman"/>
          <w:color w:val="auto"/>
        </w:rPr>
        <w:t>2</w:t>
      </w:r>
      <w:r w:rsidR="001A59F9" w:rsidRPr="00A46F35">
        <w:rPr>
          <w:rFonts w:ascii="Times New Roman" w:hAnsi="Times New Roman" w:hint="eastAsia"/>
          <w:color w:val="auto"/>
        </w:rPr>
        <w:t>．</w:t>
      </w:r>
      <w:r w:rsidR="001A59F9" w:rsidRPr="00A46F35">
        <w:rPr>
          <w:rFonts w:ascii="Times New Roman" w:hAnsi="Times New Roman"/>
          <w:color w:val="auto"/>
        </w:rPr>
        <w:t/>
      </w:r>
      <w:r w:rsidR="00465368" w:rsidRPr="00A46F35">
        <w:rPr>
          <w:rFonts w:ascii="Times New Roman" w:hAnsi="Times New Roman"/>
          <w:color w:val="auto"/>
        </w:rPr>
        <w:t/>
      </w:r>
      <w:r w:rsidR="001A59F9" w:rsidRPr="00A46F35">
        <w:rPr>
          <w:rFonts w:ascii="Times New Roman" w:hAnsi="Times New Roman"/>
          <w:color w:val="auto"/>
        </w:rPr>
        <w:t>交银裕通纯债债券C</w:t>
      </w:r>
      <w:r w:rsidR="001A59F9"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r w:rsidR="00592B3C" w:rsidRPr="00D65F82">
              <w:rPr>
                <w:color w:val="000000"/>
                <w:sz w:val="24"/>
              </w:rPr>
              <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tc>
          <w:tcPr>
            <w:vAlign w:val="center"/>
          </w:tcPr>
          <w:p>
            <w:pPr>
              <w:jc w:val="left"/>
            </w:pPr>
            <w:r>
              <w:rPr>
                <w:color w:val="000000"/>
                <w:sz w:val="24"/>
              </w:rPr>
              <w:t>过去三个月</w:t>
            </w:r>
          </w:p>
        </w:tc>
        <w:tc>
          <w:tcPr>
            <w:vAlign w:val="center"/>
          </w:tcPr>
          <w:p>
            <w:pPr>
              <w:jc w:val="center"/>
            </w:pPr>
            <w:r>
              <w:rPr>
                <w:color w:val="000000"/>
                <w:sz w:val="24"/>
              </w:rPr>
              <w:t>0.30%</w:t>
            </w:r>
          </w:p>
        </w:tc>
        <w:tc>
          <w:tcPr>
            <w:vAlign w:val="center"/>
          </w:tcPr>
          <w:p>
            <w:pPr>
              <w:jc w:val="center"/>
            </w:pPr>
            <w:r>
              <w:rPr>
                <w:color w:val="000000"/>
                <w:sz w:val="24"/>
              </w:rPr>
              <w:t>0.04%</w:t>
            </w:r>
          </w:p>
        </w:tc>
        <w:tc>
          <w:tcPr>
            <w:vAlign w:val="center"/>
          </w:tcPr>
          <w:p>
            <w:pPr>
              <w:jc w:val="center"/>
            </w:pPr>
            <w:r>
              <w:rPr>
                <w:color w:val="000000"/>
                <w:sz w:val="24"/>
              </w:rPr>
              <w:t>-1.15%</w:t>
            </w:r>
          </w:p>
        </w:tc>
        <w:tc>
          <w:tcPr>
            <w:vAlign w:val="center"/>
          </w:tcPr>
          <w:p>
            <w:pPr>
              <w:jc w:val="center"/>
            </w:pPr>
            <w:r>
              <w:rPr>
                <w:color w:val="000000"/>
                <w:sz w:val="24"/>
              </w:rPr>
              <w:t>0.06%</w:t>
            </w:r>
          </w:p>
        </w:tc>
        <w:tc>
          <w:tcPr>
            <w:vAlign w:val="center"/>
          </w:tcPr>
          <w:p>
            <w:pPr>
              <w:jc w:val="center"/>
            </w:pPr>
            <w:r>
              <w:rPr>
                <w:color w:val="000000"/>
                <w:sz w:val="24"/>
              </w:rPr>
              <w:t>1.45%</w:t>
            </w:r>
          </w:p>
        </w:tc>
        <w:tc>
          <w:tcPr>
            <w:vAlign w:val="center"/>
          </w:tcPr>
          <w:p>
            <w:pPr>
              <w:jc w:val="center"/>
            </w:pPr>
            <w:r>
              <w:rPr>
                <w:color w:val="000000"/>
                <w:sz w:val="24"/>
              </w:rPr>
              <w:t>-0.02%</w:t>
            </w:r>
          </w:p>
        </w:tc>
      </w:tr>
      <w:tr>
        <w:tc>
          <w:tcPr>
            <w:vAlign w:val="center"/>
          </w:tcPr>
          <w:p>
            <w:pPr>
              <w:jc w:val="left"/>
            </w:pPr>
            <w:r>
              <w:rPr>
                <w:color w:val="000000"/>
                <w:sz w:val="24"/>
              </w:rPr>
              <w:t>过去六个月</w:t>
            </w:r>
          </w:p>
        </w:tc>
        <w:tc>
          <w:tcPr>
            <w:vAlign w:val="center"/>
          </w:tcPr>
          <w:p>
            <w:pPr>
              <w:jc w:val="center"/>
            </w:pPr>
            <w:r>
              <w:rPr>
                <w:color w:val="000000"/>
                <w:sz w:val="24"/>
              </w:rPr>
              <w:t>0.91%</w:t>
            </w:r>
          </w:p>
        </w:tc>
        <w:tc>
          <w:tcPr>
            <w:vAlign w:val="center"/>
          </w:tcPr>
          <w:p>
            <w:pPr>
              <w:jc w:val="center"/>
            </w:pPr>
            <w:r>
              <w:rPr>
                <w:color w:val="000000"/>
                <w:sz w:val="24"/>
              </w:rPr>
              <w:t>0.04%</w:t>
            </w:r>
          </w:p>
        </w:tc>
        <w:tc>
          <w:tcPr>
            <w:vAlign w:val="center"/>
          </w:tcPr>
          <w:p>
            <w:pPr>
              <w:jc w:val="center"/>
            </w:pPr>
            <w:r>
              <w:rPr>
                <w:color w:val="000000"/>
                <w:sz w:val="24"/>
              </w:rPr>
              <w:t>-1.30%</w:t>
            </w:r>
          </w:p>
        </w:tc>
        <w:tc>
          <w:tcPr>
            <w:vAlign w:val="center"/>
          </w:tcPr>
          <w:p>
            <w:pPr>
              <w:jc w:val="center"/>
            </w:pPr>
            <w:r>
              <w:rPr>
                <w:color w:val="000000"/>
                <w:sz w:val="24"/>
              </w:rPr>
              <w:t>0.05%</w:t>
            </w:r>
          </w:p>
        </w:tc>
        <w:tc>
          <w:tcPr>
            <w:vAlign w:val="center"/>
          </w:tcPr>
          <w:p>
            <w:pPr>
              <w:jc w:val="center"/>
            </w:pPr>
            <w:r>
              <w:rPr>
                <w:color w:val="000000"/>
                <w:sz w:val="24"/>
              </w:rPr>
              <w:t>2.21%</w:t>
            </w:r>
          </w:p>
        </w:tc>
        <w:tc>
          <w:tcPr>
            <w:vAlign w:val="center"/>
          </w:tcPr>
          <w:p>
            <w:pPr>
              <w:jc w:val="center"/>
            </w:pPr>
            <w:r>
              <w:rPr>
                <w:color w:val="000000"/>
                <w:sz w:val="24"/>
              </w:rPr>
              <w:t>-0.01%</w:t>
            </w:r>
          </w:p>
        </w:tc>
      </w:tr>
      <w:tr>
        <w:tc>
          <w:tcPr>
            <w:vAlign w:val="center"/>
          </w:tcPr>
          <w:p>
            <w:pPr>
              <w:jc w:val="left"/>
            </w:pPr>
            <w:r>
              <w:rPr>
                <w:color w:val="000000"/>
                <w:sz w:val="24"/>
              </w:rPr>
              <w:t>过去一年</w:t>
            </w:r>
          </w:p>
        </w:tc>
        <w:tc>
          <w:tcPr>
            <w:vAlign w:val="center"/>
          </w:tcPr>
          <w:p>
            <w:pPr>
              <w:jc w:val="center"/>
            </w:pPr>
            <w:r>
              <w:rPr>
                <w:color w:val="000000"/>
                <w:sz w:val="24"/>
              </w:rPr>
              <w:t>0.60%</w:t>
            </w:r>
          </w:p>
        </w:tc>
        <w:tc>
          <w:tcPr>
            <w:vAlign w:val="center"/>
          </w:tcPr>
          <w:p>
            <w:pPr>
              <w:jc w:val="center"/>
            </w:pPr>
            <w:r>
              <w:rPr>
                <w:color w:val="000000"/>
                <w:sz w:val="24"/>
              </w:rPr>
              <w:t>0.07%</w:t>
            </w:r>
          </w:p>
        </w:tc>
        <w:tc>
          <w:tcPr>
            <w:vAlign w:val="center"/>
          </w:tcPr>
          <w:p>
            <w:pPr>
              <w:jc w:val="center"/>
            </w:pPr>
            <w:r>
              <w:rPr>
                <w:color w:val="000000"/>
                <w:sz w:val="24"/>
              </w:rPr>
              <w:t>-3.38%</w:t>
            </w:r>
          </w:p>
        </w:tc>
        <w:tc>
          <w:tcPr>
            <w:vAlign w:val="center"/>
          </w:tcPr>
          <w:p>
            <w:pPr>
              <w:jc w:val="center"/>
            </w:pPr>
            <w:r>
              <w:rPr>
                <w:color w:val="000000"/>
                <w:sz w:val="24"/>
              </w:rPr>
              <w:t>0.06%</w:t>
            </w:r>
          </w:p>
        </w:tc>
        <w:tc>
          <w:tcPr>
            <w:vAlign w:val="center"/>
          </w:tcPr>
          <w:p>
            <w:pPr>
              <w:jc w:val="center"/>
            </w:pPr>
            <w:r>
              <w:rPr>
                <w:color w:val="000000"/>
                <w:sz w:val="24"/>
              </w:rPr>
              <w:t>3.98%</w:t>
            </w:r>
          </w:p>
        </w:tc>
        <w:tc>
          <w:tcPr>
            <w:vAlign w:val="center"/>
          </w:tcPr>
          <w:p>
            <w:pPr>
              <w:jc w:val="center"/>
            </w:pPr>
            <w:r>
              <w:rPr>
                <w:color w:val="000000"/>
                <w:sz w:val="24"/>
              </w:rPr>
              <w:t>0.01%</w:t>
            </w:r>
          </w:p>
        </w:tc>
      </w:tr>
      <w:tr>
        <w:tc>
          <w:tcPr>
            <w:vAlign w:val="center"/>
          </w:tcPr>
          <w:p>
            <w:pPr>
              <w:jc w:val="left"/>
            </w:pPr>
            <w:r>
              <w:rPr>
                <w:color w:val="000000"/>
                <w:sz w:val="24"/>
              </w:rPr>
              <w:t>自基金合同生效起至今</w:t>
            </w:r>
          </w:p>
        </w:tc>
        <w:tc>
          <w:tcPr>
            <w:vAlign w:val="center"/>
          </w:tcPr>
          <w:p>
            <w:pPr>
              <w:jc w:val="center"/>
            </w:pPr>
            <w:r>
              <w:rPr>
                <w:color w:val="000000"/>
                <w:sz w:val="24"/>
              </w:rPr>
              <w:t>-0.10%</w:t>
            </w:r>
          </w:p>
        </w:tc>
        <w:tc>
          <w:tcPr>
            <w:vAlign w:val="center"/>
          </w:tcPr>
          <w:p>
            <w:pPr>
              <w:jc w:val="center"/>
            </w:pPr>
            <w:r>
              <w:rPr>
                <w:color w:val="000000"/>
                <w:sz w:val="24"/>
              </w:rPr>
              <w:t>0.09%</w:t>
            </w:r>
          </w:p>
        </w:tc>
        <w:tc>
          <w:tcPr>
            <w:vAlign w:val="center"/>
          </w:tcPr>
          <w:p>
            <w:pPr>
              <w:jc w:val="center"/>
            </w:pPr>
            <w:r>
              <w:rPr>
                <w:color w:val="000000"/>
                <w:sz w:val="24"/>
              </w:rPr>
              <w:t>-4.94%</w:t>
            </w:r>
          </w:p>
        </w:tc>
        <w:tc>
          <w:tcPr>
            <w:vAlign w:val="center"/>
          </w:tcPr>
          <w:p>
            <w:pPr>
              <w:jc w:val="center"/>
            </w:pPr>
            <w:r>
              <w:rPr>
                <w:color w:val="000000"/>
                <w:sz w:val="24"/>
              </w:rPr>
              <w:t>0.08%</w:t>
            </w:r>
          </w:p>
        </w:tc>
        <w:tc>
          <w:tcPr>
            <w:vAlign w:val="center"/>
          </w:tcPr>
          <w:p>
            <w:pPr>
              <w:jc w:val="center"/>
            </w:pPr>
            <w:r>
              <w:rPr>
                <w:color w:val="000000"/>
                <w:sz w:val="24"/>
              </w:rPr>
              <w:t>4.84%</w:t>
            </w:r>
          </w:p>
        </w:tc>
        <w:tc>
          <w:tcPr>
            <w:vAlign w:val="center"/>
          </w:tcPr>
          <w:p>
            <w:pPr>
              <w:jc w:val="center"/>
            </w:pPr>
            <w:r>
              <w:rPr>
                <w:color w:val="000000"/>
                <w:sz w:val="24"/>
              </w:rPr>
              <w:t>0.01%</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
      </w:r>
      <w:r w:rsidR="00465368" w:rsidRPr="00E25C2A">
        <w:rPr>
          <w:kern w:val="0"/>
          <w:sz w:val="24"/>
        </w:rPr>
        <w:t/>
      </w:r>
      <w:r w:rsidRPr="00E25C2A">
        <w:rPr>
          <w:kern w:val="0"/>
          <w:sz w:val="24"/>
        </w:rPr>
        <w:t>注：本基金业绩比较基准为中债综合全价指数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3D26BD"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
      </w:r>
      <w:r w:rsidR="00097CBA" w:rsidRPr="001B48EA">
        <w:rPr>
          <w:rFonts w:ascii="Times New Roman" w:hAnsi="Times New Roman"/>
          <w:color w:val="auto"/>
        </w:rPr>
        <w:t>1</w:t>
      </w:r>
      <w:r w:rsidR="00097CBA" w:rsidRPr="001B48EA">
        <w:rPr>
          <w:rFonts w:ascii="Times New Roman" w:hAnsi="Times New Roman" w:hint="eastAsia"/>
          <w:color w:val="auto"/>
        </w:rPr>
        <w:t>、</w:t>
      </w:r>
      <w:r w:rsidR="00097CBA" w:rsidRPr="001B48EA">
        <w:rPr>
          <w:rFonts w:ascii="Times New Roman" w:hAnsi="Times New Roman"/>
          <w:color w:val="auto"/>
        </w:rPr>
        <w:t>交银裕通纯债债券A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C6464F" w:rsidP="00E25C2A">
      <w:pPr>
        <w:tabs>
          <w:tab w:val="left" w:pos="426"/>
        </w:tabs>
        <w:spacing w:before="29" w:line="288" w:lineRule="auto"/>
        <w:jc w:val="left"/>
        <w:rPr>
          <w:kern w:val="0"/>
          <w:sz w:val="24"/>
        </w:rPr>
      </w:pPr>
      <w:r w:rsidRPr="00E25C2A">
        <w:rPr>
          <w:kern w:val="0"/>
          <w:sz w:val="24"/>
        </w:rPr>
        <w:t/>
      </w:r>
      <w:r w:rsidR="001A59F9" w:rsidRPr="00E25C2A">
        <w:rPr>
          <w:kern w:val="0"/>
          <w:sz w:val="24"/>
        </w:rPr>
        <w:t>注：本基金建仓期为自基金合同生效日起的6个月。截至建仓期结束，本基金各项资产配置比例符合基金合同及招募说明书有关投资比例的约定。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3D26BD"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
      </w:r>
      <w:r w:rsidR="001A59F9" w:rsidRPr="001B48EA">
        <w:rPr>
          <w:rFonts w:ascii="Times New Roman" w:hAnsi="Times New Roman"/>
          <w:color w:val="auto"/>
        </w:rPr>
        <w:t>2</w:t>
      </w:r>
      <w:r w:rsidR="001A59F9" w:rsidRPr="001B48EA">
        <w:rPr>
          <w:rFonts w:ascii="Times New Roman" w:hAnsi="Times New Roman" w:hint="eastAsia"/>
          <w:color w:val="auto"/>
        </w:rPr>
        <w:t>、</w:t>
      </w:r>
      <w:r w:rsidR="001A59F9" w:rsidRPr="001B48EA">
        <w:rPr>
          <w:rFonts w:ascii="Times New Roman" w:hAnsi="Times New Roman"/>
          <w:color w:val="auto"/>
        </w:rPr>
        <w:t/>
      </w:r>
      <w:r w:rsidR="00465368" w:rsidRPr="001B48EA">
        <w:rPr>
          <w:rFonts w:ascii="Times New Roman" w:hAnsi="Times New Roman"/>
          <w:color w:val="auto"/>
        </w:rPr>
        <w:t/>
      </w:r>
      <w:r w:rsidR="001A59F9" w:rsidRPr="001B48EA">
        <w:rPr>
          <w:rFonts w:ascii="Times New Roman" w:hAnsi="Times New Roman"/>
          <w:color w:val="auto"/>
        </w:rPr>
        <w:t>交银裕通纯债债券C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C6464F" w:rsidP="00E25C2A">
      <w:pPr>
        <w:tabs>
          <w:tab w:val="left" w:pos="426"/>
        </w:tabs>
        <w:spacing w:before="29" w:line="288" w:lineRule="auto"/>
        <w:jc w:val="left"/>
        <w:rPr>
          <w:kern w:val="0"/>
          <w:sz w:val="24"/>
        </w:rPr>
      </w:pPr>
      <w:r w:rsidRPr="00E25C2A">
        <w:rPr>
          <w:kern w:val="0"/>
          <w:sz w:val="24"/>
        </w:rPr>
        <w:t/>
      </w:r>
      <w:r w:rsidR="001A59F9" w:rsidRPr="00E25C2A">
        <w:rPr>
          <w:kern w:val="0"/>
          <w:sz w:val="24"/>
        </w:rPr>
        <w:t/>
      </w:r>
      <w:r w:rsidR="00465368" w:rsidRPr="00E25C2A">
        <w:rPr>
          <w:kern w:val="0"/>
          <w:sz w:val="24"/>
        </w:rPr>
        <w:t/>
      </w:r>
      <w:r w:rsidR="001A59F9" w:rsidRPr="00E25C2A">
        <w:rPr>
          <w:kern w:val="0"/>
          <w:sz w:val="24"/>
        </w:rPr>
        <w:t>注：本基金建仓期为自基金合同生效日起的6个月。截至建仓期结束，本基金各项资产配置比例符合基金合同及招募说明书有关投资比例的约定。</w:t>
      </w:r>
    </w:p>
    <w:p w:rsidR="001A59F9" w:rsidRPr="00E25C2A" w:rsidRDefault="00C6464F" w:rsidP="00E25C2A">
      <w:pPr>
        <w:tabs>
          <w:tab w:val="left" w:pos="426"/>
        </w:tabs>
        <w:spacing w:before="29" w:line="288" w:lineRule="auto"/>
        <w:jc w:val="left"/>
        <w:rPr>
          <w:kern w:val="0"/>
          <w:sz w:val="24"/>
        </w:rPr>
      </w:pPr>
      <w:r w:rsidRPr="00E25C2A">
        <w:rPr>
          <w:kern w:val="0"/>
          <w:sz w:val="24"/>
        </w:rPr>
        <w:t/>
      </w:r>
      <w:r w:rsidR="00592B3C" w:rsidRPr="00E25C2A">
        <w:rPr>
          <w:rFonts w:hint="eastAsia"/>
          <w:kern w:val="0"/>
          <w:sz w:val="24"/>
        </w:rPr>
        <w:t/>
      </w:r>
      <w:r w:rsidRPr="00E25C2A">
        <w:rPr>
          <w:kern w:val="0"/>
          <w:sz w:val="24"/>
        </w:rPr>
        <w:t/>
      </w:r>
      <w:r w:rsidR="001A59F9" w:rsidRPr="00E25C2A">
        <w:rPr>
          <w:kern w:val="0"/>
          <w:sz w:val="24"/>
        </w:rPr>
        <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3D26BD"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
      </w:r>
      <w:r w:rsidR="00444936" w:rsidRPr="002D2B7D">
        <w:rPr>
          <w:rFonts w:ascii="Times New Roman" w:hAnsi="Times New Roman" w:hint="eastAsia"/>
          <w:color w:val="auto"/>
        </w:rPr>
        <w:t>1</w:t>
      </w:r>
      <w:r w:rsidR="00444936" w:rsidRPr="002D2B7D">
        <w:rPr>
          <w:rFonts w:ascii="Times New Roman" w:hAnsi="Times New Roman" w:hint="eastAsia"/>
          <w:color w:val="auto"/>
        </w:rPr>
        <w:t>、</w:t>
      </w:r>
      <w:r w:rsidR="00097CBA" w:rsidRPr="002D2B7D">
        <w:rPr>
          <w:rFonts w:ascii="Times New Roman" w:hAnsi="Times New Roman"/>
          <w:color w:val="auto"/>
        </w:rPr>
        <w:t>交银裕通纯债债券A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
      </w:r>
      <w:r w:rsidR="00592B3C" w:rsidRPr="00E25C2A">
        <w:rPr>
          <w:rFonts w:hint="eastAsia"/>
          <w:kern w:val="0"/>
          <w:sz w:val="24"/>
        </w:rPr>
        <w:t/>
      </w:r>
      <w:r w:rsidRPr="00E25C2A">
        <w:rPr>
          <w:kern w:val="0"/>
          <w:sz w:val="24"/>
        </w:rPr>
        <w:t>注：图示日期为2015年12月29日至2017年12月31日。基金合同生效当年的净值增长率按照当年实际存续期计算。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3D26BD"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
      </w:r>
      <w:r w:rsidR="001A59F9" w:rsidRPr="002D2B7D">
        <w:rPr>
          <w:rFonts w:ascii="Times New Roman" w:hAnsi="Times New Roman"/>
          <w:color w:val="auto"/>
        </w:rPr>
        <w:t>2</w:t>
      </w:r>
      <w:r w:rsidR="001A59F9" w:rsidRPr="002D2B7D">
        <w:rPr>
          <w:rFonts w:ascii="Times New Roman" w:hAnsi="Times New Roman" w:hint="eastAsia"/>
          <w:color w:val="auto"/>
        </w:rPr>
        <w:t>、</w:t>
      </w:r>
      <w:r w:rsidR="001A59F9" w:rsidRPr="002D2B7D">
        <w:rPr>
          <w:rFonts w:ascii="Times New Roman" w:hAnsi="Times New Roman"/>
          <w:color w:val="auto"/>
        </w:rPr>
        <w:t/>
      </w:r>
      <w:r w:rsidR="00465368" w:rsidRPr="002D2B7D">
        <w:rPr>
          <w:rFonts w:ascii="Times New Roman" w:hAnsi="Times New Roman"/>
          <w:color w:val="auto"/>
        </w:rPr>
        <w:t/>
      </w:r>
      <w:r w:rsidR="001A59F9" w:rsidRPr="002D2B7D">
        <w:rPr>
          <w:rFonts w:ascii="Times New Roman" w:hAnsi="Times New Roman"/>
          <w:color w:val="auto"/>
        </w:rPr>
        <w:t>交银裕通纯债债券C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p14="http://schemas.microsoft.com/office/word/2010/wordprocessingDrawing" xmlns:mc="http://schemas.openxmlformats.org/markup-compatibility/2006" xmlns:wpc="http://schemas.microsoft.com/office/word/2010/wordprocessingCanvas"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
      </w:r>
      <w:r w:rsidR="00592B3C" w:rsidRPr="00E25C2A">
        <w:rPr>
          <w:rFonts w:hint="eastAsia"/>
          <w:kern w:val="0"/>
          <w:sz w:val="24"/>
        </w:rPr>
        <w:t/>
      </w:r>
      <w:r w:rsidRPr="00E25C2A">
        <w:rPr>
          <w:kern w:val="0"/>
          <w:sz w:val="24"/>
        </w:rPr>
        <w:t/>
      </w:r>
      <w:r w:rsidR="00465368" w:rsidRPr="00E25C2A">
        <w:rPr>
          <w:kern w:val="0"/>
          <w:sz w:val="24"/>
        </w:rPr>
        <w:t/>
      </w:r>
      <w:r w:rsidRPr="00E25C2A">
        <w:rPr>
          <w:kern w:val="0"/>
          <w:sz w:val="24"/>
        </w:rPr>
        <w:t>注：图示日期为2015年12月29日至2017年12月31日。基金合同生效当年的净值增长率按照当年实际存续期计算。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r w:rsidRPr="00E25C2A">
        <w:rPr>
          <w:kern w:val="0"/>
          <w:sz w:val="24"/>
        </w:rPr>
        <w:t/>
      </w:r>
      <w:r w:rsidR="00592B3C" w:rsidRPr="00E25C2A">
        <w:rPr>
          <w:rFonts w:hint="eastAsia"/>
          <w:kern w:val="0"/>
          <w:sz w:val="24"/>
        </w:rPr>
        <w:t/>
      </w:r>
      <w:r w:rsidRPr="00E25C2A">
        <w:rPr>
          <w:kern w:val="0"/>
          <w:sz w:val="24"/>
        </w:rPr>
        <w:t/>
      </w: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0B2C76" w:rsidP="0051387F">
      <w:pPr>
        <w:pStyle w:val="21"/>
        <w:spacing w:before="29" w:line="288" w:lineRule="auto"/>
        <w:ind w:firstLineChars="0" w:firstLine="0"/>
        <w:rPr>
          <w:rFonts w:ascii="Times New Roman" w:hAnsi="Times New Roman"/>
          <w:color w:val="auto"/>
        </w:rPr>
      </w:pPr>
      <w:r w:rsidRPr="0051387F">
        <w:rPr>
          <w:rFonts w:ascii="Times New Roman" w:hAnsi="Times New Roman"/>
          <w:color w:val="auto"/>
        </w:rPr>
        <w:t/>
      </w:r>
      <w:r w:rsidR="0071054A" w:rsidRPr="0051387F">
        <w:rPr>
          <w:rFonts w:ascii="Times New Roman" w:hAnsi="Times New Roman" w:hint="eastAsia"/>
          <w:color w:val="auto"/>
        </w:rPr>
        <w:t>1</w:t>
      </w:r>
      <w:r w:rsidR="0071054A" w:rsidRPr="0051387F">
        <w:rPr>
          <w:rFonts w:ascii="Times New Roman" w:hAnsi="Times New Roman" w:hint="eastAsia"/>
          <w:color w:val="auto"/>
        </w:rPr>
        <w:t>、</w:t>
      </w:r>
      <w:r w:rsidRPr="0051387F">
        <w:rPr>
          <w:rFonts w:ascii="Times New Roman" w:hAnsi="Times New Roman"/>
          <w:color w:val="auto"/>
        </w:rPr>
        <w:t>交银裕通纯债债券A</w:t>
      </w:r>
      <w:r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color w:val="000000"/>
          <w:kern w:val="0"/>
          <w:sz w:val="24"/>
        </w:rPr>
        <w:t/>
      </w: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r w:rsidRPr="00595119">
              <w:rPr>
                <w:color w:val="000000"/>
                <w:sz w:val="24"/>
              </w:rPr>
              <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tc>
          <w:tcPr>
            <w:vAlign w:val="center"/>
          </w:tcPr>
          <w:p>
            <w:pPr>
              <w:jc w:val="center"/>
            </w:pPr>
            <w:r>
              <w:rPr>
                <w:color w:val="000000"/>
                <w:sz w:val="24"/>
              </w:rPr>
              <w:t>2017年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2016年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2015年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lastRenderedPageBreak/>
              <w:t>合计</w:t>
            </w:r>
          </w:p>
        </w:tc>
        <w:tc>
          <w:tcPr>
            <w:tcW w:w="1701" w:type="dxa"/>
            <w:vAlign w:val="center"/>
          </w:tcPr>
          <w:p w:rsidR="006C3415" w:rsidRPr="00755904" w:rsidRDefault="006C3415" w:rsidP="0044734B">
            <w:pPr>
              <w:spacing w:before="29" w:line="288" w:lineRule="auto"/>
              <w:ind w:leftChars="-51" w:left="-107" w:rightChars="-51" w:right="-107"/>
              <w:jc w:val="right"/>
              <w:rPr>
                <w:color w:val="000000"/>
                <w:sz w:val="24"/>
              </w:rPr>
            </w:pPr>
            <w:r w:rsidRPr="00755904">
              <w:rPr>
                <w:color w:val="000000"/>
                <w:sz w:val="24"/>
              </w:rPr>
              <w:t/>
            </w:r>
            <w:r w:rsidR="00FB72AB" w:rsidRPr="00755904">
              <w:rPr>
                <w:rFonts w:hint="eastAsia"/>
                <w:color w:val="000000"/>
                <w:sz w:val="24"/>
              </w:rPr>
              <w:t>-</w:t>
            </w:r>
          </w:p>
        </w:tc>
        <w:tc>
          <w:tcPr>
            <w:tcW w:w="1701" w:type="dxa"/>
            <w:vAlign w:val="center"/>
          </w:tcPr>
          <w:p w:rsidR="006C3415" w:rsidRPr="00755904" w:rsidRDefault="006C3415" w:rsidP="0044734B">
            <w:pPr>
              <w:spacing w:before="29" w:line="288" w:lineRule="auto"/>
              <w:ind w:leftChars="-51" w:left="-107" w:rightChars="-51" w:right="-107"/>
              <w:jc w:val="right"/>
              <w:rPr>
                <w:color w:val="000000"/>
                <w:sz w:val="24"/>
              </w:rPr>
            </w:pPr>
            <w:r w:rsidRPr="00755904">
              <w:rPr>
                <w:color w:val="000000"/>
                <w:sz w:val="24"/>
              </w:rPr>
              <w:t/>
            </w:r>
            <w:r w:rsidR="00FB72AB" w:rsidRPr="00755904">
              <w:rPr>
                <w:rFonts w:hint="eastAsia"/>
                <w:color w:val="000000"/>
                <w:sz w:val="24"/>
              </w:rPr>
              <w:t>-</w:t>
            </w:r>
          </w:p>
        </w:tc>
        <w:tc>
          <w:tcPr>
            <w:tcW w:w="1701" w:type="dxa"/>
            <w:vAlign w:val="center"/>
          </w:tcPr>
          <w:p w:rsidR="006C3415" w:rsidRPr="00755904" w:rsidRDefault="006C3415" w:rsidP="0044734B">
            <w:pPr>
              <w:spacing w:before="29" w:line="288" w:lineRule="auto"/>
              <w:ind w:leftChars="-51" w:left="-107" w:rightChars="-51" w:right="-107"/>
              <w:jc w:val="right"/>
              <w:rPr>
                <w:color w:val="000000"/>
                <w:sz w:val="24"/>
              </w:rPr>
            </w:pPr>
            <w:r w:rsidRPr="00755904">
              <w:rPr>
                <w:color w:val="000000"/>
                <w:sz w:val="24"/>
              </w:rPr>
              <w:t/>
            </w:r>
            <w:r w:rsidR="00FB72AB" w:rsidRPr="00755904">
              <w:rPr>
                <w:rFonts w:hint="eastAsia"/>
                <w:color w:val="000000"/>
                <w:sz w:val="24"/>
              </w:rPr>
              <w:t>-</w:t>
            </w:r>
          </w:p>
        </w:tc>
        <w:tc>
          <w:tcPr>
            <w:tcW w:w="1559" w:type="dxa"/>
            <w:vAlign w:val="center"/>
          </w:tcPr>
          <w:p w:rsidR="006C3415" w:rsidRPr="00755904" w:rsidRDefault="006C3415" w:rsidP="0044734B">
            <w:pPr>
              <w:spacing w:before="29" w:line="288" w:lineRule="auto"/>
              <w:ind w:leftChars="-51" w:left="-107" w:rightChars="-51" w:right="-107"/>
              <w:jc w:val="right"/>
              <w:rPr>
                <w:color w:val="000000"/>
                <w:sz w:val="24"/>
              </w:rPr>
            </w:pPr>
            <w:r w:rsidRPr="00755904">
              <w:rPr>
                <w:color w:val="000000"/>
                <w:sz w:val="24"/>
              </w:rPr>
              <w:t/>
            </w:r>
            <w:r w:rsidR="00FB72AB" w:rsidRPr="00755904">
              <w:rPr>
                <w:rFonts w:hint="eastAsia"/>
                <w:color w:val="000000"/>
                <w:sz w:val="24"/>
              </w:rPr>
              <w:t>-</w:t>
            </w:r>
          </w:p>
        </w:tc>
        <w:tc>
          <w:tcPr>
            <w:tcW w:w="1060" w:type="dxa"/>
            <w:vAlign w:val="center"/>
          </w:tcPr>
          <w:p w:rsidR="006C3415" w:rsidRPr="00755904" w:rsidRDefault="006C3415" w:rsidP="0044734B">
            <w:pPr>
              <w:spacing w:before="29" w:line="288" w:lineRule="auto"/>
              <w:ind w:leftChars="-51" w:left="-107" w:rightChars="-51" w:right="-107"/>
              <w:jc w:val="right"/>
              <w:rPr>
                <w:color w:val="000000"/>
                <w:sz w:val="24"/>
              </w:rPr>
            </w:pPr>
            <w:r w:rsidRPr="00755904">
              <w:rPr>
                <w:color w:val="000000"/>
                <w:sz w:val="24"/>
              </w:rPr>
              <w:t/>
            </w:r>
            <w:r w:rsidR="00FB72AB"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0B2C76" w:rsidP="0051387F">
      <w:pPr>
        <w:pStyle w:val="21"/>
        <w:spacing w:before="29" w:line="288" w:lineRule="auto"/>
        <w:ind w:firstLineChars="0" w:firstLine="0"/>
        <w:rPr>
          <w:rFonts w:ascii="Times New Roman" w:hAnsi="Times New Roman"/>
          <w:color w:val="auto"/>
        </w:rPr>
      </w:pPr>
      <w:r w:rsidRPr="0051387F">
        <w:rPr>
          <w:rFonts w:ascii="Times New Roman" w:hAnsi="Times New Roman"/>
          <w:color w:val="auto"/>
        </w:rPr>
        <w:t/>
      </w:r>
      <w:r w:rsidR="0071054A" w:rsidRPr="0051387F">
        <w:rPr>
          <w:rFonts w:ascii="Times New Roman" w:hAnsi="Times New Roman" w:hint="eastAsia"/>
          <w:color w:val="auto"/>
        </w:rPr>
        <w:t>2</w:t>
      </w:r>
      <w:r w:rsidR="0071054A" w:rsidRPr="0051387F">
        <w:rPr>
          <w:rFonts w:ascii="Times New Roman" w:hAnsi="Times New Roman" w:hint="eastAsia"/>
          <w:color w:val="auto"/>
        </w:rPr>
        <w:t>、</w:t>
      </w:r>
      <w:r w:rsidRPr="0051387F">
        <w:rPr>
          <w:rFonts w:ascii="Times New Roman" w:hAnsi="Times New Roman"/>
          <w:color w:val="auto"/>
        </w:rPr>
        <w:t>交银裕通纯债债券C</w:t>
      </w:r>
      <w:r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color w:val="000000"/>
          <w:kern w:val="0"/>
          <w:sz w:val="24"/>
        </w:rPr>
        <w:t/>
      </w: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r w:rsidRPr="00595119">
              <w:rPr>
                <w:color w:val="000000"/>
                <w:sz w:val="24"/>
              </w:rPr>
              <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tc>
          <w:tcPr>
            <w:vAlign w:val="center"/>
          </w:tcPr>
          <w:p>
            <w:pPr>
              <w:jc w:val="center"/>
            </w:pPr>
            <w:r>
              <w:rPr>
                <w:color w:val="000000"/>
                <w:sz w:val="24"/>
              </w:rPr>
              <w:t>2017年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2016年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2015年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0525D9" w:rsidP="0044734B">
            <w:pPr>
              <w:spacing w:before="29" w:line="288" w:lineRule="auto"/>
              <w:ind w:leftChars="-51" w:left="-107" w:rightChars="-51" w:right="-107"/>
              <w:jc w:val="right"/>
              <w:rPr>
                <w:color w:val="000000"/>
                <w:sz w:val="24"/>
              </w:rPr>
            </w:pPr>
            <w:r w:rsidRPr="00755904">
              <w:rPr>
                <w:color w:val="000000"/>
                <w:sz w:val="24"/>
              </w:rPr>
              <w:t/>
            </w:r>
            <w:r w:rsidR="00FB72AB" w:rsidRPr="00755904">
              <w:rPr>
                <w:rFonts w:hint="eastAsia"/>
                <w:color w:val="000000"/>
                <w:sz w:val="24"/>
              </w:rPr>
              <w:t>-</w:t>
            </w:r>
          </w:p>
        </w:tc>
        <w:tc>
          <w:tcPr>
            <w:tcW w:w="1701" w:type="dxa"/>
            <w:vAlign w:val="center"/>
          </w:tcPr>
          <w:p w:rsidR="000525D9" w:rsidRPr="00755904" w:rsidRDefault="000525D9" w:rsidP="0044734B">
            <w:pPr>
              <w:spacing w:before="29" w:line="288" w:lineRule="auto"/>
              <w:ind w:leftChars="-51" w:left="-107" w:rightChars="-51" w:right="-107"/>
              <w:jc w:val="right"/>
              <w:rPr>
                <w:color w:val="000000"/>
                <w:sz w:val="24"/>
              </w:rPr>
            </w:pPr>
            <w:r w:rsidRPr="00755904">
              <w:rPr>
                <w:color w:val="000000"/>
                <w:sz w:val="24"/>
              </w:rPr>
              <w:t/>
            </w:r>
            <w:r w:rsidR="00FB72AB" w:rsidRPr="00755904">
              <w:rPr>
                <w:rFonts w:hint="eastAsia"/>
                <w:color w:val="000000"/>
                <w:sz w:val="24"/>
              </w:rPr>
              <w:t>-</w:t>
            </w:r>
          </w:p>
        </w:tc>
        <w:tc>
          <w:tcPr>
            <w:tcW w:w="1701" w:type="dxa"/>
            <w:vAlign w:val="center"/>
          </w:tcPr>
          <w:p w:rsidR="000525D9" w:rsidRPr="00755904" w:rsidRDefault="000525D9" w:rsidP="0044734B">
            <w:pPr>
              <w:spacing w:before="29" w:line="288" w:lineRule="auto"/>
              <w:ind w:leftChars="-51" w:left="-107" w:rightChars="-51" w:right="-107"/>
              <w:jc w:val="right"/>
              <w:rPr>
                <w:color w:val="000000"/>
                <w:sz w:val="24"/>
              </w:rPr>
            </w:pPr>
            <w:r w:rsidRPr="00755904">
              <w:rPr>
                <w:color w:val="000000"/>
                <w:sz w:val="24"/>
              </w:rPr>
              <w:t/>
            </w:r>
            <w:r w:rsidR="00FB72AB" w:rsidRPr="00755904">
              <w:rPr>
                <w:rFonts w:hint="eastAsia"/>
                <w:color w:val="000000"/>
                <w:sz w:val="24"/>
              </w:rPr>
              <w:t>-</w:t>
            </w:r>
          </w:p>
        </w:tc>
        <w:tc>
          <w:tcPr>
            <w:tcW w:w="1559" w:type="dxa"/>
            <w:vAlign w:val="center"/>
          </w:tcPr>
          <w:p w:rsidR="000525D9" w:rsidRPr="00755904" w:rsidRDefault="000525D9" w:rsidP="0044734B">
            <w:pPr>
              <w:spacing w:before="29" w:line="288" w:lineRule="auto"/>
              <w:ind w:leftChars="-51" w:left="-107" w:rightChars="-51" w:right="-107"/>
              <w:jc w:val="right"/>
              <w:rPr>
                <w:color w:val="000000"/>
                <w:sz w:val="24"/>
              </w:rPr>
            </w:pPr>
            <w:r w:rsidRPr="00755904">
              <w:rPr>
                <w:color w:val="000000"/>
                <w:sz w:val="24"/>
              </w:rPr>
              <w:t/>
            </w:r>
            <w:r w:rsidR="00FB72AB" w:rsidRPr="00755904">
              <w:rPr>
                <w:rFonts w:hint="eastAsia"/>
                <w:color w:val="000000"/>
                <w:sz w:val="24"/>
              </w:rPr>
              <w:t>-</w:t>
            </w:r>
          </w:p>
        </w:tc>
        <w:tc>
          <w:tcPr>
            <w:tcW w:w="1060" w:type="dxa"/>
            <w:vAlign w:val="center"/>
          </w:tcPr>
          <w:p w:rsidR="000525D9" w:rsidRPr="00755904" w:rsidRDefault="000525D9" w:rsidP="0044734B">
            <w:pPr>
              <w:spacing w:before="29" w:line="288" w:lineRule="auto"/>
              <w:ind w:leftChars="-51" w:left="-107" w:rightChars="-51" w:right="-107"/>
              <w:jc w:val="right"/>
              <w:rPr>
                <w:color w:val="000000"/>
                <w:sz w:val="24"/>
              </w:rPr>
            </w:pPr>
            <w:r w:rsidRPr="00755904">
              <w:rPr>
                <w:color w:val="000000"/>
                <w:sz w:val="24"/>
              </w:rPr>
              <w:t/>
            </w:r>
            <w:r w:rsidR="00FB72AB"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afterLines="100"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pPr>
        <w:spacing w:before="29" w:line="288" w:lineRule="auto"/>
        <w:ind w:firstLineChars="200" w:firstLine="48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截至报告期末，公司管理了包括货币型、债券型、保本混合型、普通混合型和股票型在内的78只基金，其中股票型涵盖普通指数型、交易型开放式（ETF）、QDII等不同类型基金。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丰泽收益债券、交银裕通纯债债券、交银活期通货币、交银天利宝货币、交银裕隆纯债债券、交银天鑫宝货币、交银天益宝货币、交银境尚收益债券的基金经理</w:t>
            </w:r>
          </w:p>
        </w:tc>
        <w:tc>
          <w:tcPr>
            <w:vAlign w:val="center"/>
          </w:tcPr>
          <w:p>
            <w:pPr>
              <w:jc w:val="center"/>
            </w:pPr>
            <w:r>
              <w:rPr>
                <w:color w:val="000000"/>
                <w:sz w:val="24"/>
              </w:rPr>
              <w:t>2015-12-29</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w:t>
            </w:r>
          </w:p>
        </w:tc>
      </w:tr>
      <w:tr>
        <w:tc>
          <w:tcPr>
            <w:vAlign w:val="center"/>
          </w:tcPr>
          <w:p>
            <w:pPr>
              <w:jc w:val="center"/>
            </w:pPr>
            <w:r>
              <w:rPr>
                <w:color w:val="000000"/>
                <w:sz w:val="24"/>
              </w:rPr>
              <w:t>唐赟</w:t>
            </w:r>
          </w:p>
        </w:tc>
        <w:tc>
          <w:tcPr>
            <w:vAlign w:val="center"/>
          </w:tcPr>
          <w:p>
            <w:pPr>
              <w:jc w:val="center"/>
            </w:pPr>
            <w:r>
              <w:rPr>
                <w:color w:val="000000"/>
                <w:sz w:val="24"/>
              </w:rPr>
              <w:t>交银信用添利债券(LOF)、交银双利债券、交银双轮动债券、交银荣和保本混合、交银裕通纯债债券的基金经理</w:t>
            </w:r>
          </w:p>
        </w:tc>
        <w:tc>
          <w:tcPr>
            <w:vAlign w:val="center"/>
          </w:tcPr>
          <w:p>
            <w:pPr>
              <w:jc w:val="center"/>
            </w:pPr>
            <w:r>
              <w:rPr>
                <w:color w:val="000000"/>
                <w:sz w:val="24"/>
              </w:rPr>
              <w:t>2017-03-31</w:t>
            </w:r>
          </w:p>
        </w:tc>
        <w:tc>
          <w:tcPr>
            <w:vAlign w:val="center"/>
          </w:tcPr>
          <w:p>
            <w:pPr>
              <w:jc w:val="center"/>
            </w:pPr>
            <w:r>
              <w:rPr>
                <w:color w:val="000000"/>
                <w:sz w:val="24"/>
              </w:rPr>
              <w:t>-</w:t>
            </w:r>
          </w:p>
        </w:tc>
        <w:tc>
          <w:tcPr>
            <w:vAlign w:val="center"/>
          </w:tcPr>
          <w:p>
            <w:pPr>
              <w:jc w:val="center"/>
            </w:pPr>
            <w:r>
              <w:rPr>
                <w:color w:val="000000"/>
                <w:sz w:val="24"/>
              </w:rPr>
              <w:t>5年</w:t>
            </w:r>
          </w:p>
        </w:tc>
        <w:tc>
          <w:tcPr>
            <w:vAlign w:val="center"/>
          </w:tcPr>
          <w:p>
            <w:pPr>
              <w:jc w:val="both"/>
            </w:pPr>
            <w:r>
              <w:rPr>
                <w:color w:val="000000"/>
                <w:sz w:val="24"/>
              </w:rPr>
              <w:t>唐赟先生，香港城市大学电子工程硕士。历任渣打银行环球企业部助理客户经理、平安资产管理公司信用分析员。2012年加入交银施罗德基金管理有限公司，历任固定收益研究员、基金经理助理。</w:t>
            </w:r>
          </w:p>
        </w:tc>
      </w:tr>
      <w:tr>
        <w:tc>
          <w:tcPr>
            <w:vAlign w:val="center"/>
          </w:tcPr>
          <w:p>
            <w:pPr>
              <w:jc w:val="center"/>
            </w:pPr>
            <w:r>
              <w:rPr>
                <w:color w:val="000000"/>
                <w:sz w:val="24"/>
              </w:rPr>
              <w:t>章妍</w:t>
            </w:r>
          </w:p>
        </w:tc>
        <w:tc>
          <w:tcPr>
            <w:vAlign w:val="center"/>
          </w:tcPr>
          <w:p>
            <w:pPr>
              <w:jc w:val="center"/>
            </w:pPr>
            <w:r>
              <w:rPr>
                <w:color w:val="000000"/>
                <w:sz w:val="24"/>
              </w:rPr>
              <w:t>交银荣祥保本混合、交银增强收益债券、交银裕通纯债债券、交银裕兴纯债债券、交银裕盈纯债债券、交银裕利纯债债券、交银启通灵活配置混合的基金经理</w:t>
            </w:r>
          </w:p>
        </w:tc>
        <w:tc>
          <w:tcPr>
            <w:vAlign w:val="center"/>
          </w:tcPr>
          <w:p>
            <w:pPr>
              <w:jc w:val="center"/>
            </w:pPr>
            <w:r>
              <w:rPr>
                <w:color w:val="000000"/>
                <w:sz w:val="24"/>
              </w:rPr>
              <w:t>2016-01-09</w:t>
            </w:r>
          </w:p>
        </w:tc>
        <w:tc>
          <w:tcPr>
            <w:vAlign w:val="center"/>
          </w:tcPr>
          <w:p>
            <w:pPr>
              <w:jc w:val="center"/>
            </w:pPr>
            <w:r>
              <w:rPr>
                <w:color w:val="000000"/>
                <w:sz w:val="24"/>
              </w:rPr>
              <w:t>2017-03-31</w:t>
            </w:r>
          </w:p>
        </w:tc>
        <w:tc>
          <w:tcPr>
            <w:vAlign w:val="center"/>
          </w:tcPr>
          <w:p>
            <w:pPr>
              <w:jc w:val="center"/>
            </w:pPr>
            <w:r>
              <w:rPr>
                <w:color w:val="000000"/>
                <w:sz w:val="24"/>
              </w:rPr>
              <w:t>2年</w:t>
            </w:r>
          </w:p>
        </w:tc>
        <w:tc>
          <w:tcPr>
            <w:vAlign w:val="center"/>
          </w:tcPr>
          <w:p>
            <w:pPr>
              <w:jc w:val="both"/>
            </w:pPr>
            <w:r>
              <w:rPr>
                <w:color w:val="000000"/>
                <w:sz w:val="24"/>
              </w:rPr>
              <w:t>章妍女士，复旦大学金融学硕士、中央财经大学统计学学士。9年金融行业证券投资工作经验，历任太平洋资产管理有限公司高级投资经理、资深投资经理。2015年加入交银施罗德基金管理有限公司。2015年11月21日至2016年12月29日担任交银施罗德荣泰保本混合型证券投资基金的基金经理，2016年1月9日至2017年3月30日担任交银施罗德裕通纯债债券型证券投资基金的基金经理，2016年6月20日至2017年3月30日担任交银施罗德荣祥保本混合型证券投资基金的基金经理，2016年9月7日至2017年3月30日担任交银施罗德裕兴纯债债券型证券投资基金的基金经理，2016年11月4日至2017年3月30日担任交银施罗德裕盈纯债债券型证券投资基金的基金经理，2016年11月23日至2017年3月30日担任交银施罗德裕利纯债债券型证券投资基金的基金经理，2016年12月30日至2017年3月30日担任交银施罗德增强收益债券型证券投资基金的基金经理，2017年2月24日至2017年3月30日担任交银施罗德启通灵活配置混合型证券投资基金的基金经理。</w:t>
            </w:r>
          </w:p>
        </w:tc>
      </w:tr>
    </w:tbl>
    <w:p>
      <w:pPr>
        <w:tabs>
          <w:tab w:val="left" w:pos="426"/>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val="left" w:pos="426"/>
        </w:tabs>
        <w:spacing w:before="29" w:line="288" w:lineRule="auto"/>
        <w:jc w:val="left"/>
        <w:rPr>
          <w:kern w:val="0"/>
          <w:sz w:val="24"/>
        </w:rPr>
      </w:pPr>
      <w:r>
        <w:rPr>
          <w:kern w:val="0"/>
          <w:sz w:val="24"/>
        </w:rPr>
        <w:t xml:space="preserve">2、本表所列基金经理（助理）证券从业年限中的“证券从业”的含义遵从中国证券业协会《证券业从业人员资格管理办法》的相关规定； </w:t>
      </w:r>
    </w:p>
    <w:p w:rsidR="001A59F9" w:rsidRPr="00E25C2A" w:rsidRDefault="001A59F9" w:rsidP="00E25C2A">
      <w:pPr>
        <w:tabs>
          <w:tab w:val="left" w:pos="426"/>
        </w:tabs>
        <w:spacing w:before="29" w:line="288" w:lineRule="auto"/>
        <w:jc w:val="left"/>
        <w:rPr>
          <w:kern w:val="0"/>
          <w:sz w:val="24"/>
        </w:rPr>
      </w:pPr>
      <w:r w:rsidRPr="00E25C2A">
        <w:rPr>
          <w:kern w:val="0"/>
          <w:sz w:val="24"/>
        </w:rPr>
        <w:t>3、基金经理（或基金经理小组）期后变动（如有）敬请关注基金管理人发布的相关公告。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spacing w:before="29" w:line="288" w:lineRule="auto"/>
        <w:ind w:firstLineChars="200" w:firstLine="480"/>
        <w:rPr>
          <w:color w:val="000000"/>
          <w:sz w:val="24"/>
        </w:rPr>
      </w:pPr>
      <w:r>
        <w:rPr>
          <w:color w:val="000000"/>
          <w:sz w:val="24"/>
        </w:rPr>
        <w:t>（1）公司建立资源共享的投资研究信息平台，所有研究成果对所有投资组合公平开放，确保各投资组合在获得研究支持和实施投资决策方面享有公平的机会。</w:t>
      </w:r>
    </w:p>
    <w:p>
      <w:pPr>
        <w:spacing w:before="29" w:line="288" w:lineRule="auto"/>
        <w:ind w:firstLineChars="200" w:firstLine="480"/>
        <w:rPr>
          <w:color w:val="000000"/>
          <w:sz w:val="24"/>
        </w:rPr>
      </w:pPr>
      <w:r>
        <w:rPr>
          <w:color w:val="00000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Chars="200" w:firstLine="480"/>
        <w:rPr>
          <w:color w:val="000000"/>
          <w:sz w:val="24"/>
        </w:rPr>
      </w:pPr>
      <w:r>
        <w:rPr>
          <w:color w:val="00000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spacing w:before="29" w:line="288" w:lineRule="auto"/>
        <w:ind w:firstLineChars="200" w:firstLine="480"/>
        <w:rPr>
          <w:color w:val="000000"/>
          <w:sz w:val="24"/>
        </w:rPr>
      </w:pPr>
      <w:r>
        <w:rPr>
          <w:color w:val="00000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pPr>
        <w:spacing w:before="29" w:line="288" w:lineRule="auto"/>
        <w:ind w:firstLineChars="200" w:firstLine="480"/>
        <w:rPr>
          <w:color w:val="000000"/>
          <w:sz w:val="24"/>
        </w:rPr>
      </w:pPr>
      <w:r>
        <w:rPr>
          <w:color w:val="000000"/>
          <w:sz w:val="24"/>
        </w:rPr>
        <w:t>2017年债券市场收益率大幅上行。基本面方面，2017年年初市场形成经济前高后低的一致预期，但实际始终未能兑现，经济保持了强劲的韧性。通胀方面，虽然CPI保持在低位运行，但环保限产引发的PPI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监管方面屡超预期，市场情绪不稳。总而言之，在2017年经济基本面表现出较强韧性的背景下，受偏紧的货币政策和频出的监管政策影响，债券市场收益率出现了较大幅度上行。</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报告期内，基于对债券市场偏谨慎的判断，本基金始终维持以短期融资券、同业存单为主的短久期债券底仓组合，在市场收益率大幅上行的过程中获取了稳定的票息收入。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2017年12月31日，交银裕通纯债债券A份额净值为1.007元，本报告期份额净值增长率为1.00%，同期业绩比较基准增长率为-3.38%；交银裕通纯债债券C份额净值为0.999元，本报告期份额净值增长率为0.60%，同期业绩比较基准增长率为-3.38%。</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pPr>
        <w:spacing w:before="29" w:line="288" w:lineRule="auto"/>
        <w:ind w:firstLineChars="200" w:firstLine="480"/>
        <w:rPr>
          <w:color w:val="000000"/>
          <w:sz w:val="24"/>
        </w:rPr>
      </w:pPr>
      <w:r>
        <w:rPr>
          <w:color w:val="000000"/>
          <w:sz w:val="24"/>
        </w:rPr>
        <w:t>展望2018年，房地产、基建和出口均显出一定疲态，我们预计这将带动经济增速逐步下行，对债市形成一定支撑，而收益率上行到高位之后具有一定的配置价值。但一季度通胀回升压力加大，监管落地的力度和节奏以及金融机构的应对行为不甚明朗，超储率低位及银行流动性监管指标强化将导致资金利率波动加大等负面因素仍然存在，债券收益率或将继续维持高位震荡。</w:t>
      </w:r>
    </w:p>
    <w:p w:rsidR="00D54B59" w:rsidRPr="001358D2" w:rsidRDefault="00D54B59" w:rsidP="001358D2">
      <w:pPr>
        <w:spacing w:before="29" w:line="288" w:lineRule="auto"/>
        <w:ind w:firstLineChars="200" w:firstLine="480"/>
        <w:rPr>
          <w:color w:val="000000"/>
          <w:sz w:val="24"/>
        </w:rPr>
      </w:pPr>
      <w:r w:rsidRPr="001358D2">
        <w:rPr>
          <w:color w:val="000000"/>
          <w:sz w:val="24"/>
        </w:rPr>
        <w:t>信用债方面，信用利差自去年以来有所走阔，但随着资管新规的实施，信用债投资模式的改变是否会导致信用利差中枢抬高值得关注。此外，现阶段低等级信用债利差未能充分反应未来的信用风险，我们将一如既往地规避中低评级信用债，在利率曲线平坦的情况下，我们将维持目前偏短的久期配置，并审慎择机进行利率债的波段操作。</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本基金本报告期内曾连续二十个工作日以上出现基金份额持有人数量不满200人的情形，但截至本报告期末，本基金基金份额持有人数量已高于200人。</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afterLines="100" w:line="288" w:lineRule="auto"/>
        <w:jc w:val="center"/>
        <w:rPr>
          <w:b/>
          <w:bCs/>
          <w:szCs w:val="24"/>
          <w:lang w:val="en-US"/>
        </w:rPr>
      </w:pPr>
      <w:bookmarkStart w:id="43" w:name="_Toc225498263"/>
      <w:bookmarkStart w:id="44"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3"/>
      <w:bookmarkEnd w:id="4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5" w:name="_Toc225498264"/>
      <w:bookmarkStart w:id="46"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5"/>
      <w:bookmarkEnd w:id="46"/>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5"/>
      <w:bookmarkStart w:id="48"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7"/>
      <w:r w:rsidRPr="00C2179A">
        <w:rPr>
          <w:rFonts w:ascii="Times New Roman" w:hAnsi="Times New Roman" w:hint="eastAsia"/>
          <w:kern w:val="0"/>
          <w:szCs w:val="24"/>
        </w:rPr>
        <w:t>说明</w:t>
      </w:r>
      <w:bookmarkEnd w:id="48"/>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9" w:name="_Toc225498266"/>
      <w:bookmarkStart w:id="50"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9"/>
      <w:bookmarkEnd w:id="50"/>
    </w:p>
    <w:p w:rsidR="001A59F9" w:rsidRDefault="001A59F9" w:rsidP="005A1E76">
      <w:pPr>
        <w:spacing w:before="29" w:line="288" w:lineRule="auto"/>
        <w:ind w:firstLineChars="200" w:firstLine="480"/>
        <w:rPr>
          <w:color w:val="000000"/>
          <w:sz w:val="24"/>
        </w:rPr>
      </w:pPr>
      <w:r w:rsidRPr="005A1E76">
        <w:rPr>
          <w:color w:val="000000"/>
          <w:sz w:val="24"/>
        </w:rPr>
        <w:t>本托管人认真复核了本年度报告中的财务指标、净值表现、收益分配情况、财务会计报告、投资组合报告等内容，认为其真实、准确和完整，不存在虚假记载、误导性陈述或者重大遗漏。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afterLines="100" w:line="288" w:lineRule="auto"/>
        <w:jc w:val="center"/>
        <w:rPr>
          <w:b/>
          <w:bCs/>
          <w:szCs w:val="24"/>
          <w:lang w:val="en-US"/>
        </w:rPr>
      </w:pPr>
      <w:bookmarkStart w:id="51" w:name="_Toc245801814"/>
      <w:bookmarkStart w:id="52" w:name="_Toc247959464"/>
      <w:bookmarkStart w:id="53"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51"/>
      <w:bookmarkEnd w:id="52"/>
      <w:bookmarkEnd w:id="53"/>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
      </w:r>
      <w:r w:rsidRPr="005A2182">
        <w:rPr>
          <w:rFonts w:hint="eastAsia"/>
          <w:color w:val="000000"/>
          <w:sz w:val="24"/>
        </w:rPr>
        <w:t/>
      </w:r>
      <w:r w:rsidRPr="003C6BFD">
        <w:rPr>
          <w:color w:val="000000"/>
          <w:sz w:val="24"/>
        </w:rPr>
        <w:t>交银施罗德裕通纯债债券型证券投资基金</w:t>
      </w:r>
      <w:r w:rsidRPr="0077027C">
        <w:rPr>
          <w:color w:val="000000"/>
          <w:sz w:val="24"/>
        </w:rPr>
        <w:t/>
      </w:r>
      <w:r w:rsidRPr="003C6BFD">
        <w:rPr>
          <w:color w:val="000000"/>
          <w:sz w:val="24"/>
        </w:rPr>
        <w:t>2017年12月31日</w:t>
      </w:r>
      <w:r w:rsidRPr="00A009EE">
        <w:rPr>
          <w:rFonts w:hint="eastAsia"/>
          <w:color w:val="000000"/>
          <w:sz w:val="24"/>
        </w:rPr>
        <w:t>的资产负债表，</w:t>
      </w:r>
      <w:r w:rsidRPr="003C6BFD">
        <w:rPr>
          <w:color w:val="000000"/>
          <w:sz w:val="24"/>
        </w:rPr>
        <w:t/>
      </w:r>
      <w:r>
        <w:rPr>
          <w:rFonts w:hint="eastAsia"/>
          <w:color w:val="000000"/>
          <w:sz w:val="24"/>
        </w:rPr>
        <w:t/>
      </w:r>
      <w:r w:rsidRPr="003C6BFD">
        <w:rPr>
          <w:color w:val="000000"/>
          <w:sz w:val="24"/>
        </w:rPr>
        <w:t>2017年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普华永道中天审字(2018)第21934号</w:t>
      </w:r>
      <w:r w:rsidR="002F1C6C">
        <w:rPr>
          <w:rFonts w:hint="eastAsia"/>
          <w:color w:val="000000"/>
          <w:sz w:val="24"/>
        </w:rPr>
        <w:t>】</w:t>
      </w:r>
      <w:r w:rsidRPr="001F3653">
        <w:rPr>
          <w:rFonts w:hint="eastAsia"/>
          <w:color w:val="000000"/>
          <w:sz w:val="24"/>
        </w:rPr>
        <w:t>。投资者可通过</w:t>
      </w:r>
      <w:r>
        <w:rPr>
          <w:rFonts w:hint="eastAsia"/>
          <w:color w:val="000000"/>
          <w:sz w:val="24"/>
        </w:rPr>
        <w:t>本基</w:t>
      </w:r>
      <w:r>
        <w:rPr>
          <w:rFonts w:hint="eastAsia"/>
          <w:color w:val="000000"/>
          <w:sz w:val="24"/>
        </w:rPr>
        <w:lastRenderedPageBreak/>
        <w:t>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afterLines="100" w:line="288" w:lineRule="auto"/>
        <w:jc w:val="center"/>
        <w:rPr>
          <w:b/>
          <w:bCs/>
          <w:szCs w:val="24"/>
          <w:lang w:val="en-US"/>
        </w:rPr>
      </w:pPr>
      <w:bookmarkStart w:id="54"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5" w:name="_Toc225498268"/>
      <w:bookmarkStart w:id="56"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5"/>
      <w:bookmarkEnd w:id="56"/>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交银施罗德裕通纯债债券型证券投资基金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2017年12月31日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r w:rsidRPr="00F3632F">
              <w:rPr>
                <w:rFonts w:ascii="Times New Roman" w:hAnsi="Times New Roman"/>
                <w:b/>
                <w:color w:val="000000"/>
              </w:rPr>
              <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2017年12月31日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2016年12月31日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
            </w: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715,978.43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5,414,819.99</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3,373,192.66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454,584.60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4,350.36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1,391,134,692.00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1,737,164,624.00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r>
              <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r>
              <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1,391,134,692.00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1,737,164,624.00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r>
              <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r>
              <w:t/>
            </w: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
            </w:r>
            <w:r w:rsidRPr="003971A1">
              <w:rPr>
                <w:color w:val="000000"/>
                <w:sz w:val="24"/>
              </w:rPr>
              <w:t/>
            </w:r>
            <w:r w:rsidRPr="003971A1">
              <w:rPr>
                <w:color w:val="000000"/>
                <w:sz w:val="24"/>
              </w:rPr>
              <w:lastRenderedPageBreak/>
              <w:t/>
            </w: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lastRenderedPageBreak/>
              <w:t/>
            </w:r>
            <w:r w:rsidRPr="003971A1">
              <w:rPr>
                <w:color w:val="000000"/>
                <w:sz w:val="24"/>
              </w:rPr>
              <w:t/>
            </w:r>
            <w:r w:rsidRPr="003971A1">
              <w:rPr>
                <w:color w:val="000000"/>
                <w:sz w:val="24"/>
              </w:rPr>
              <w:lastRenderedPageBreak/>
              <w:t/>
            </w: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lastRenderedPageBreak/>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3,800,000.00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24,722,979.65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25,003,839.44</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r>
              <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1,423,751,193.10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1,768,037,868.03</w:t>
            </w:r>
          </w:p>
        </w:tc>
      </w:tr>
    </w:tbl>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4"/>
        <w:gridCol w:w="992"/>
        <w:gridCol w:w="2268"/>
        <w:gridCol w:w="2194"/>
      </w:tblGrid>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r w:rsidRPr="00F3632F">
              <w:rPr>
                <w:rFonts w:ascii="Times New Roman" w:hAnsi="Times New Roman"/>
                <w:b/>
                <w:color w:val="000000"/>
              </w:rPr>
              <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2017年12月31日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r w:rsidRPr="00A14B0E">
              <w:rPr>
                <w:rFonts w:ascii="Times New Roman" w:hAnsi="Times New Roman" w:hint="eastAsia"/>
                <w:b/>
                <w:color w:val="000000"/>
              </w:rPr>
              <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2016年12月31日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
            </w: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
            </w:r>
            <w:r w:rsidRPr="003971A1">
              <w:rPr>
                <w:color w:val="000000"/>
                <w:sz w:val="24"/>
              </w:rPr>
              <w:lastRenderedPageBreak/>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lastRenderedPageBreak/>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213,871,619.89</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66,000,000.00</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3,721,166.57</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460,167.52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648,117.62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102,259.45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144,026.15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151.10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287.69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16,039.50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14,202.12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17,333.91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25,318.58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330,000.00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330,000.00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218,518,737.94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67,161,952.16</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
            </w: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lastRenderedPageBreak/>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1,196,290,344.13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1,705,247,328.78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8,942,111.03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-4,371,412.91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1,205,232,455.16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1,700,875,915.87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1,423,751,193.10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1,768,037,868.03</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报告截止日2017年12月31日，A类基金份额净值1.007元，C类基金份额净值0.999元，基金份额总额1,196,290,344.13份，其中A类基金份额1,195,845,546.58份，C类基金份额444,797.55份。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69"/>
      <w:bookmarkStart w:id="58"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交银施罗德裕通纯债债券型证券投资基金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2017年1月1日</w:t>
      </w:r>
      <w:r w:rsidRPr="00D73BCD">
        <w:rPr>
          <w:rFonts w:hint="eastAsia"/>
          <w:color w:val="000000"/>
          <w:sz w:val="24"/>
        </w:rPr>
        <w:t>至</w:t>
      </w:r>
      <w:r w:rsidR="00F64FAD" w:rsidRPr="00D73BCD">
        <w:rPr>
          <w:color w:val="000000"/>
          <w:sz w:val="24"/>
        </w:rPr>
        <w:t>2017年12月31日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r w:rsidRPr="00F3632F">
              <w:rPr>
                <w:rFonts w:ascii="Times New Roman" w:hAnsi="Times New Roman"/>
                <w:b/>
                <w:color w:val="000000"/>
              </w:rPr>
              <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2017年1月1日</w:t>
            </w:r>
            <w:r w:rsidRPr="00D73BCD">
              <w:rPr>
                <w:rFonts w:ascii="Times New Roman" w:hAnsi="Times New Roman" w:hint="eastAsia"/>
                <w:b/>
                <w:color w:val="000000"/>
              </w:rPr>
              <w:t>至</w:t>
            </w:r>
            <w:r w:rsidRPr="00D73BCD">
              <w:rPr>
                <w:rFonts w:ascii="Times New Roman" w:hAnsi="Times New Roman"/>
                <w:b/>
                <w:color w:val="000000"/>
              </w:rPr>
              <w:t>2017年12月31日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2016年1月1日至2016年12月31日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r>
              <w:t/>
            </w: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16,136,718.80</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777,200.73</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52,965,740.38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52,178,064.71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238,832.66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704,129.12</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r>
              <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52,607,268.98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50,849,482.71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r>
              <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53,095.89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r>
              <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
            </w:r>
            <w:r w:rsidRPr="003971A1">
              <w:rPr>
                <w:color w:val="000000"/>
                <w:sz w:val="24"/>
              </w:rPr>
              <w:lastRenderedPageBreak/>
              <w:t>66,542.85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lastRenderedPageBreak/>
              <w:t/>
            </w:r>
            <w:r w:rsidRPr="003971A1">
              <w:rPr>
                <w:color w:val="000000"/>
                <w:sz w:val="24"/>
              </w:rPr>
              <w:lastRenderedPageBreak/>
              <w:t>624,452.88</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lastRenderedPageBreak/>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r>
              <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-76,282,869.71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3,699,030.31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-76,282,869.71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3,699,030.31</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
            </w: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
            </w:r>
            <w:r w:rsidRPr="003971A1">
              <w:rPr>
                <w:color w:val="000000"/>
                <w:sz w:val="24"/>
              </w:rPr>
              <w:t/>
            </w: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
            </w:r>
            <w:r w:rsidRPr="003971A1">
              <w:rPr>
                <w:color w:val="000000"/>
                <w:sz w:val="24"/>
              </w:rPr>
              <w:t/>
            </w: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39,378,710.79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-55,102,235.30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75,137.34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2,341.01</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
            </w: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10,373,531.40</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11,512,282.66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lastRenderedPageBreak/>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5,485,833.14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7,034,224.20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1,219,074.04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1,563,160.89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2,717.76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4,315.21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33,373.08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37,496.60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3,245,242.02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2,492,101.81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3,245,242.02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2,492,101.81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387,291.36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380,983.95</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
            </w: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5,763,187.40</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-10,735,081.93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
            </w: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5,763,187.40</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-10,735,081.93</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0"/>
      <w:bookmarkStart w:id="60"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9"/>
      <w:bookmarkEnd w:id="60"/>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交银施罗德裕通纯债债券型证券投资基金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2017年1月1日</w:t>
      </w:r>
      <w:r w:rsidRPr="00D73BCD">
        <w:rPr>
          <w:rFonts w:hint="eastAsia"/>
          <w:color w:val="000000"/>
          <w:sz w:val="24"/>
        </w:rPr>
        <w:t>至</w:t>
      </w:r>
      <w:r w:rsidR="00F64FAD" w:rsidRPr="00D73BCD">
        <w:rPr>
          <w:color w:val="000000"/>
          <w:sz w:val="24"/>
        </w:rPr>
        <w:t>2017年12月31日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2017年1月1日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2017年12月31日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1,705,247,328.78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
            </w:r>
            <w:r w:rsidRPr="003971A1">
              <w:rPr>
                <w:color w:val="000000"/>
                <w:sz w:val="24"/>
              </w:rPr>
              <w:lastRenderedPageBreak/>
              <w:t>-4,371,412.91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lastRenderedPageBreak/>
              <w:t/>
            </w:r>
            <w:r w:rsidRPr="003971A1">
              <w:rPr>
                <w:color w:val="000000"/>
                <w:sz w:val="24"/>
              </w:rPr>
              <w:lastRenderedPageBreak/>
              <w:t>1,700,875,915.87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5,763,187.40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5,763,187.40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-508,956,984.65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7,550,336.54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-501,406,648.11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99,701,881.58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299,081.77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100,000,963.35</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-608,658,866.23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7,251,254.77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-601,407,611.46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1,196,290,344.13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8,942,111.03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1,205,232,455.16</w:t>
            </w:r>
          </w:p>
        </w:tc>
      </w:tr>
    </w:tbl>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r w:rsidR="002334A5" w:rsidRPr="009005D8">
              <w:rPr>
                <w:b/>
                <w:color w:val="000000"/>
                <w:sz w:val="24"/>
              </w:rPr>
              <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2016年1月1日至2016年12月31日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r w:rsidRPr="009005D8">
              <w:rPr>
                <w:b/>
                <w:color w:val="000000"/>
                <w:sz w:val="24"/>
              </w:rPr>
              <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221,277,337.36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36,834.51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221,314,171.87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w:t>
            </w:r>
            <w:r w:rsidRPr="009058BA">
              <w:rPr>
                <w:rFonts w:hint="eastAsia"/>
                <w:color w:val="000000"/>
                <w:sz w:val="24"/>
              </w:rPr>
              <w:lastRenderedPageBreak/>
              <w:t>（本期利润）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lastRenderedPageBreak/>
              <w:t/>
            </w:r>
            <w:r w:rsidRPr="003971A1">
              <w:rPr>
                <w:color w:val="000000"/>
                <w:sz w:val="24"/>
              </w:rPr>
              <w:lastRenderedPageBreak/>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lastRenderedPageBreak/>
              <w:t/>
            </w:r>
            <w:r w:rsidRPr="003971A1">
              <w:rPr>
                <w:color w:val="000000"/>
                <w:sz w:val="24"/>
              </w:rPr>
              <w:lastRenderedPageBreak/>
              <w:t>-10,735,081.93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lastRenderedPageBreak/>
              <w:t/>
            </w:r>
            <w:r w:rsidRPr="003971A1">
              <w:rPr>
                <w:color w:val="000000"/>
                <w:sz w:val="24"/>
              </w:rPr>
              <w:lastRenderedPageBreak/>
              <w:t>-10,735,081.93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1,483,969,991.42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6,326,834.51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1,490,296,825.93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1,494,097,078.57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6,461,148.70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1,500,558,227.27</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-10,127,087.15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-134,314.19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-10,261,401.34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1,705,247,328.78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-4,371,412.91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1,700,875,915.87</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w:t>
      </w:r>
      <w:r w:rsidR="001F790F" w:rsidRPr="00C52806">
        <w:rPr>
          <w:rFonts w:hint="eastAsia"/>
          <w:sz w:val="24"/>
        </w:rPr>
        <w:t>阮红</w:t>
      </w:r>
      <w:r w:rsidR="001F790F" w:rsidRPr="00C52806">
        <w:rPr>
          <w:rFonts w:hint="eastAsia"/>
          <w:sz w:val="24"/>
        </w:rPr>
        <w:t>，主管会计工作负责人：</w:t>
      </w:r>
      <w:r w:rsidR="001F790F" w:rsidRPr="00C52806">
        <w:rPr>
          <w:rFonts w:hint="eastAsia"/>
          <w:sz w:val="24"/>
        </w:rPr>
        <w:t>夏华龙</w:t>
      </w:r>
      <w:r w:rsidR="001F790F" w:rsidRPr="00C52806">
        <w:rPr>
          <w:rFonts w:hint="eastAsia"/>
          <w:sz w:val="24"/>
        </w:rPr>
        <w:t>，会计机构负责人：</w:t>
      </w:r>
      <w:r w:rsidR="001F790F" w:rsidRPr="00C52806">
        <w:rPr>
          <w:rFonts w:hint="eastAsia"/>
          <w:sz w:val="24"/>
        </w:rPr>
        <w:t>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D54B59" w:rsidP="00C2179A">
      <w:pPr>
        <w:pStyle w:val="20"/>
        <w:spacing w:before="29" w:after="0" w:line="288" w:lineRule="auto"/>
        <w:rPr>
          <w:rFonts w:ascii="Times New Roman" w:hAnsi="Times New Roman"/>
          <w:kern w:val="0"/>
          <w:szCs w:val="24"/>
        </w:rPr>
      </w:pPr>
      <w:bookmarkStart w:id="61" w:name="_Toc225498271"/>
      <w:bookmarkStart w:id="62" w:name="_Toc361324876"/>
      <w:r w:rsidRPr="00C2179A">
        <w:rPr>
          <w:rFonts w:ascii="Times New Roman" w:hAnsi="Times New Roman"/>
          <w:kern w:val="0"/>
          <w:szCs w:val="24"/>
        </w:rPr>
        <w:t/>
      </w:r>
      <w:r w:rsidRPr="00C2179A">
        <w:rPr>
          <w:rFonts w:ascii="Times New Roman" w:hAnsi="Times New Roman" w:hint="eastAsia"/>
          <w:kern w:val="0"/>
          <w:szCs w:val="24"/>
        </w:rPr>
        <w:t/>
      </w:r>
      <w:r w:rsidR="001A59F9" w:rsidRPr="00C2179A">
        <w:rPr>
          <w:rFonts w:ascii="Times New Roman" w:hAnsi="Times New Roman"/>
          <w:kern w:val="0"/>
          <w:szCs w:val="24"/>
        </w:rPr>
        <w:t xml:space="preserve">7.4 </w:t>
      </w:r>
      <w:r w:rsidR="001A59F9" w:rsidRPr="00C2179A">
        <w:rPr>
          <w:rFonts w:ascii="Times New Roman" w:hAnsi="Times New Roman" w:hint="eastAsia"/>
          <w:kern w:val="0"/>
          <w:szCs w:val="24"/>
        </w:rPr>
        <w:t>报表附注</w:t>
      </w:r>
      <w:bookmarkEnd w:id="61"/>
      <w:bookmarkEnd w:id="62"/>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pPr>
        <w:spacing w:before="29" w:line="288" w:lineRule="auto"/>
        <w:ind w:firstLineChars="200" w:firstLine="480"/>
        <w:rPr>
          <w:color w:val="000000"/>
          <w:sz w:val="24"/>
        </w:rPr>
      </w:pPr>
      <w:r>
        <w:rPr>
          <w:color w:val="000000"/>
          <w:sz w:val="24"/>
        </w:rPr>
        <w:t>交银施罗德裕通纯债债券型证券投资基金(以下简称“本基金”)经中国证券监督管理委员会(以下简称“中国证监会”)证监许可[2015]第2792号《关于准予交银施罗德裕通纯债债券型证券投资基金注册的批复》核准，由交银施罗德基金管理有限公司依照《中华人民共和国证券投资基金法》和《交银施罗德裕通纯债债券型证券投资基金基金合同》负责公开募集。本基金为契约型开放式，存续期限不定，首次设立募集不包括认购资金利息共募集人民币221,260,895.71元，业经普华永道中天会计师事务所(特殊普通合伙)普华永道中天验字(2015)第1435号验资报告予以验证。经向中国证监会备案，《交银施罗德裕通纯债债券型证券投资基金基金合同》于2015年12月29日正式生效，基金合同生效日的基金份额总额为221,277,337.36份基金份额，其中认购资金利息折合16,441.65份基金份额。本基金的基金管理人为交银施罗德基金管理有限公司，基金托管人为兴业银行股份有限公司。</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根据《交银施罗德裕通纯债债券型证券投资基金基金合同》和《交银施罗德裕通纯债债券型证券投资基金招募说明书》，本基金根据认购/申购费用、赎回费用、销售服务费收取方式的不同，将基金份额分为不同的类别。在投资人认购/申购时收取认购/申购费用、赎回时收取赎回费用的，称为A类基金份额；在投资人认购/申购时不收取认购/申购费用、赎回时不收取赎回费用，但从本类别基金资产中计提销售服务费的，称为C类基金份额。本基金A类、C类两种收费模式并存，各类基金份额分别计算基金份额净值。投资人可自由选择申购某一类别的基金份额，但各类别基金份额之间不能相互转换。</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根据《中华人民共和国证券投资基金法》和《交银施罗德裕通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本基金的投资组合比例为：债券资产的比例不低于基金资产的80%，现金或到期日在一年以为的政府债券的投资比例合计不低于基金资产净值的5%。本基金的业绩比较基准为中债综合全价指数。</w:t>
      </w:r>
    </w:p>
    <w:p>
      <w:pPr>
        <w:spacing w:before="29" w:line="288" w:lineRule="auto"/>
        <w:ind w:firstLineChars="200" w:firstLine="480"/>
        <w:rPr>
          <w:color w:val="000000"/>
          <w:sz w:val="24"/>
        </w:rPr>
      </w:pPr>
      <w:r>
        <w:rPr>
          <w:color w:val="000000"/>
          <w:sz w:val="24"/>
        </w:rPr>
        <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本财务报表由本基金的基金管理人交银施罗德基金管理有限公司于2018年3月26日批准报出。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pPr>
        <w:spacing w:before="29" w:line="288" w:lineRule="auto"/>
        <w:ind w:firstLineChars="200" w:firstLine="48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裕通纯债债券型证券投资基金基金合同》和在财务报表附注7.4.4所列示的中国证监会、中国基金业协会发布的有关规定及允许的基金行业实务操作编制。</w:t>
      </w:r>
    </w:p>
    <w:p>
      <w:pPr>
        <w:spacing w:before="29" w:line="288" w:lineRule="auto"/>
        <w:ind w:firstLineChars="200" w:firstLine="480"/>
        <w:rPr>
          <w:color w:val="000000"/>
          <w:sz w:val="24"/>
        </w:rPr>
      </w:pPr>
      <w:r>
        <w:rPr>
          <w:color w:val="000000"/>
          <w:sz w:val="24"/>
        </w:rPr>
        <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本基金2017年度财务报表符合企业会计准则的要求，真实、完整地反映了本基金2017年12月31日的财务状况以及2017年度的经营成果和基金净值变动情况等有关信息。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r w:rsidR="0022347C" w:rsidRPr="00C2179A">
        <w:rPr>
          <w:rFonts w:ascii="Times New Roman" w:hAnsi="Times New Roman"/>
          <w:kern w:val="0"/>
          <w:szCs w:val="24"/>
        </w:rPr>
        <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r w:rsidR="0022347C" w:rsidRPr="00C2179A">
        <w:rPr>
          <w:rFonts w:ascii="Times New Roman" w:hAnsi="Times New Roman"/>
          <w:kern w:val="0"/>
          <w:szCs w:val="24"/>
        </w:rPr>
        <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r w:rsidR="0022347C" w:rsidRPr="00C2179A">
        <w:rPr>
          <w:rFonts w:ascii="Times New Roman" w:hAnsi="Times New Roman"/>
          <w:kern w:val="0"/>
          <w:szCs w:val="24"/>
        </w:rPr>
        <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pPr>
        <w:spacing w:before="29" w:line="288" w:lineRule="auto"/>
        <w:ind w:firstLineChars="200" w:firstLine="480"/>
        <w:rPr>
          <w:color w:val="000000"/>
          <w:sz w:val="24"/>
        </w:rPr>
      </w:pPr>
      <w:r>
        <w:rPr>
          <w:color w:val="000000"/>
          <w:sz w:val="24"/>
        </w:rPr>
        <w:t>根据财政部、国家税务总局财税[2004]78号《财政部、国家税务总局关于证券投资基金税收政策的通知》、财税[2008]1号《关于企业所得税若干优惠政策的通知》财税[2016]36号《关于全面推开营业税改征增值税试点的通知》、财税[2016]46号《关于进一步明确全面推开营改增试点金融业有关政策的通知》、财税[2016]70号《关于金融机构同业往来等增值税政策的补充通知》及其他相关财税法规和实务操作，主要税项列示如下：</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(1) 于2016年5月1日前，以发行基金方式募集资金不属于营业税征收范围，不征收营业税。对证券投资基金管理人运用基金买卖债券的差价收入免征营业税。自2016年5月1日起，金融业由缴纳营业税改为缴纳增值税。对证券投资基金管理人运用基金买卖债券的转让收入免征增值税，对国债、地方政府债以及金融同业往来利息收入亦免征增值税。</w:t>
      </w:r>
    </w:p>
    <w:p>
      <w:pPr>
        <w:spacing w:before="29" w:line="288" w:lineRule="auto"/>
        <w:ind w:firstLineChars="200" w:firstLine="480"/>
        <w:rPr>
          <w:color w:val="000000"/>
          <w:sz w:val="24"/>
        </w:rPr>
      </w:pPr>
      <w:r>
        <w:rPr>
          <w:color w:val="000000"/>
          <w:sz w:val="24"/>
        </w:rPr>
        <w:t xml:space="preserve"> </w:t>
      </w:r>
    </w:p>
    <w:p>
      <w:pPr>
        <w:spacing w:before="29" w:line="288" w:lineRule="auto"/>
        <w:ind w:firstLineChars="200" w:firstLine="480"/>
        <w:rPr>
          <w:color w:val="000000"/>
          <w:sz w:val="24"/>
        </w:rPr>
      </w:pPr>
      <w:r>
        <w:rPr>
          <w:color w:val="000000"/>
          <w:sz w:val="24"/>
        </w:rPr>
        <w:t>(2) 对基金从证券市场中取得的收入，包括买卖债券的差价收入，债券的利息收入及其他收入，暂不征收企业所得税。</w:t>
      </w:r>
    </w:p>
    <w:p>
      <w:pPr>
        <w:spacing w:before="29" w:line="288" w:lineRule="auto"/>
        <w:ind w:firstLineChars="200" w:firstLine="480"/>
        <w:rPr>
          <w:color w:val="000000"/>
          <w:sz w:val="24"/>
        </w:rPr>
      </w:pPr>
      <w:r>
        <w:rPr>
          <w:color w:val="000000"/>
          <w:sz w:val="24"/>
        </w:rPr>
        <w:t/>
      </w:r>
    </w:p>
    <w:p w:rsidR="001A59F9" w:rsidRPr="0076649F" w:rsidRDefault="001A59F9" w:rsidP="0076649F">
      <w:pPr>
        <w:spacing w:before="29" w:line="288" w:lineRule="auto"/>
        <w:ind w:firstLineChars="200" w:firstLine="480"/>
        <w:rPr>
          <w:color w:val="000000"/>
          <w:sz w:val="24"/>
        </w:rPr>
      </w:pPr>
      <w:r w:rsidRPr="0076649F">
        <w:rPr>
          <w:color w:val="000000"/>
          <w:sz w:val="24"/>
        </w:rPr>
        <w:t>(3) 对基金取得的企业债券利息收入，应由发行债券的企业在向基金支付利息时代扣代缴20%的个人所得税。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center"/>
            </w:pPr>
            <w:r>
              <w:rPr>
                <w:color w:val="000000"/>
                <w:sz w:val="24"/>
              </w:rPr>
              <w:t>基金管理人、基金销售机构</w:t>
            </w:r>
          </w:p>
        </w:tc>
      </w:tr>
      <w:tr>
        <w:tc>
          <w:tcPr>
            <w:vAlign w:val="center"/>
          </w:tcPr>
          <w:p>
            <w:pPr>
              <w:jc w:val="left"/>
            </w:pPr>
            <w:r>
              <w:rPr>
                <w:color w:val="000000"/>
                <w:sz w:val="24"/>
              </w:rPr>
              <w:t>兴业银行股份有限公司(“兴业银行”)</w:t>
            </w:r>
          </w:p>
        </w:tc>
        <w:tc>
          <w:tcPr>
            <w:vAlign w:val="center"/>
          </w:tcPr>
          <w:p>
            <w:pPr>
              <w:jc w:val="center"/>
            </w:pPr>
            <w:r>
              <w:rPr>
                <w:color w:val="000000"/>
                <w:sz w:val="24"/>
              </w:rPr>
              <w:t>基金托管人</w:t>
            </w:r>
          </w:p>
        </w:tc>
      </w:tr>
      <w:tr>
        <w:tc>
          <w:tcPr>
            <w:vAlign w:val="center"/>
          </w:tcPr>
          <w:p>
            <w:pPr>
              <w:jc w:val="left"/>
            </w:pPr>
            <w:r>
              <w:rPr>
                <w:color w:val="000000"/>
                <w:sz w:val="24"/>
              </w:rPr>
              <w:t>交通银行股份有限公司(“交通银行”)</w:t>
            </w:r>
          </w:p>
        </w:tc>
        <w:tc>
          <w:tcPr>
            <w:vAlign w:val="center"/>
          </w:tcPr>
          <w:p>
            <w:pPr>
              <w:jc w:val="center"/>
            </w:pPr>
            <w:r>
              <w:rPr>
                <w:color w:val="000000"/>
                <w:sz w:val="24"/>
              </w:rPr>
              <w:t>基金管理人的股东、基金销售机构</w:t>
            </w:r>
          </w:p>
        </w:tc>
      </w:tr>
      <w:tr>
        <w:tc>
          <w:tcPr>
            <w:vAlign w:val="center"/>
          </w:tcPr>
          <w:p>
            <w:pPr>
              <w:jc w:val="left"/>
            </w:pPr>
            <w:r>
              <w:rPr>
                <w:color w:val="000000"/>
                <w:sz w:val="24"/>
              </w:rPr>
              <w:t>施罗德投资管理有限公司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中国国际海运集装箱(集团)股份有限公司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交银施罗德资产管理有限公司</w:t>
            </w:r>
          </w:p>
        </w:tc>
        <w:tc>
          <w:tcPr>
            <w:vAlign w:val="center"/>
          </w:tcPr>
          <w:p>
            <w:pPr>
              <w:jc w:val="center"/>
            </w:pPr>
            <w:r>
              <w:rPr>
                <w:color w:val="000000"/>
                <w:sz w:val="24"/>
              </w:rPr>
              <w:t>基金管理人的子公司</w:t>
            </w:r>
          </w:p>
        </w:tc>
      </w:tr>
      <w:tr>
        <w:tc>
          <w:tcPr>
            <w:vAlign w:val="center"/>
          </w:tcPr>
          <w:p>
            <w:pPr>
              <w:jc w:val="left"/>
            </w:pPr>
            <w:r>
              <w:rPr>
                <w:color w:val="000000"/>
                <w:sz w:val="24"/>
              </w:rPr>
              <w:t>上海直源投资管理有限公司</w:t>
            </w:r>
          </w:p>
        </w:tc>
        <w:tc>
          <w:tcPr>
            <w:vAlign w:val="center"/>
          </w:tcPr>
          <w:p>
            <w:pPr>
              <w:jc w:val="center"/>
            </w:pPr>
            <w:r>
              <w:rPr>
                <w:color w:val="000000"/>
                <w:sz w:val="24"/>
              </w:rPr>
              <w:t>受基金管理人控制的公司</w:t>
            </w:r>
          </w:p>
        </w:tc>
      </w:tr>
      <w:tr>
        <w:tc>
          <w:tcPr>
            <w:vAlign w:val="center"/>
          </w:tcPr>
          <w:p>
            <w:pPr>
              <w:jc w:val="left"/>
            </w:pPr>
            <w:r>
              <w:rPr>
                <w:color w:val="000000"/>
                <w:sz w:val="24"/>
              </w:rPr>
              <w:t>交烨投资管理(上海)有限公司</w:t>
            </w:r>
          </w:p>
        </w:tc>
        <w:tc>
          <w:tcPr>
            <w:vAlign w:val="center"/>
          </w:tcPr>
          <w:p>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color w:val="000000"/>
          <w:kern w:val="0"/>
          <w:sz w:val="24"/>
        </w:rPr>
        <w:t/>
      </w: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r w:rsidRPr="00CD0071">
              <w:rPr>
                <w:bCs/>
                <w:color w:val="000000"/>
                <w:sz w:val="24"/>
              </w:rPr>
              <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2017年1月1日</w:t>
            </w:r>
            <w:r w:rsidR="001A59F9" w:rsidRPr="00CD0071">
              <w:rPr>
                <w:rFonts w:hint="eastAsia"/>
                <w:bCs/>
                <w:color w:val="000000"/>
                <w:sz w:val="24"/>
              </w:rPr>
              <w:t>至</w:t>
            </w:r>
            <w:r w:rsidRPr="00CD0071">
              <w:rPr>
                <w:bCs/>
                <w:color w:val="000000"/>
                <w:sz w:val="24"/>
              </w:rPr>
              <w:t>2017年12月31日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2016年1月1日至2016年12月31日</w:t>
            </w:r>
            <w:r w:rsidR="001A59F9" w:rsidRPr="00CD0071">
              <w:rPr>
                <w:bCs/>
                <w:color w:val="000000"/>
                <w:sz w:val="24"/>
              </w:rPr>
              <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5,485,833.14</w:t>
            </w:r>
          </w:p>
        </w:tc>
        <w:tc>
          <w:tcPr>
            <w:tcW w:w="2657" w:type="dxa"/>
            <w:vAlign w:val="center"/>
          </w:tcPr>
          <w:p w:rsidR="001A59F9" w:rsidRPr="00817316" w:rsidRDefault="001A59F9" w:rsidP="00817316">
            <w:pPr>
              <w:spacing w:before="29" w:line="288" w:lineRule="auto"/>
              <w:jc w:val="right"/>
              <w:rPr>
                <w:sz w:val="24"/>
              </w:rPr>
            </w:pPr>
            <w:r w:rsidRPr="00817316">
              <w:rPr>
                <w:sz w:val="24"/>
              </w:rPr>
              <w:t>7,034,224.20</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w:t>
            </w:r>
            <w:r w:rsidRPr="00817316">
              <w:rPr>
                <w:rFonts w:hint="eastAsia"/>
                <w:sz w:val="24"/>
              </w:rPr>
              <w:lastRenderedPageBreak/>
              <w:t>费</w:t>
            </w:r>
          </w:p>
        </w:tc>
        <w:tc>
          <w:tcPr>
            <w:tcW w:w="2657" w:type="dxa"/>
            <w:vAlign w:val="center"/>
          </w:tcPr>
          <w:p w:rsidR="001A59F9" w:rsidRPr="00817316" w:rsidRDefault="001A59F9" w:rsidP="00817316">
            <w:pPr>
              <w:spacing w:before="29" w:line="288" w:lineRule="auto"/>
              <w:jc w:val="right"/>
              <w:rPr>
                <w:sz w:val="24"/>
              </w:rPr>
            </w:pPr>
            <w:r w:rsidRPr="00817316">
              <w:rPr>
                <w:sz w:val="24"/>
              </w:rPr>
              <w:lastRenderedPageBreak/>
              <w:t/>
            </w:r>
            <w:r w:rsidRPr="00817316">
              <w:rPr>
                <w:sz w:val="24"/>
              </w:rPr>
              <w:lastRenderedPageBreak/>
              <w:t>12,666.81</w:t>
            </w:r>
          </w:p>
        </w:tc>
        <w:tc>
          <w:tcPr>
            <w:tcW w:w="2657" w:type="dxa"/>
            <w:vAlign w:val="center"/>
          </w:tcPr>
          <w:p w:rsidR="001A59F9" w:rsidRPr="00817316" w:rsidRDefault="001A59F9" w:rsidP="00817316">
            <w:pPr>
              <w:spacing w:before="29" w:line="288" w:lineRule="auto"/>
              <w:jc w:val="right"/>
              <w:rPr>
                <w:sz w:val="24"/>
              </w:rPr>
            </w:pPr>
            <w:r w:rsidRPr="00817316">
              <w:rPr>
                <w:sz w:val="24"/>
              </w:rPr>
              <w:lastRenderedPageBreak/>
              <w:t/>
            </w:r>
            <w:r w:rsidRPr="00817316">
              <w:rPr>
                <w:sz w:val="24"/>
              </w:rPr>
              <w:lastRenderedPageBreak/>
              <w:t>30,204.50</w:t>
            </w:r>
          </w:p>
        </w:tc>
      </w:tr>
    </w:tbl>
    <w:p>
      <w:pPr>
        <w:tabs>
          <w:tab w:val="left" w:pos="426"/>
        </w:tabs>
        <w:spacing w:before="29" w:line="288" w:lineRule="auto"/>
        <w:jc w:val="left"/>
        <w:rPr>
          <w:kern w:val="0"/>
          <w:sz w:val="24"/>
        </w:rPr>
      </w:pPr>
      <w:r>
        <w:rPr>
          <w:kern w:val="0"/>
          <w:sz w:val="24"/>
        </w:rPr>
        <w:t>注：支付基金管理人的管理人报酬按前一日基金资产净值0.45%的年费率计提，逐日累计至每月月底，按月支付。 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lastRenderedPageBreak/>
        <w:t>日管理人报酬＝前一日基金资产净值×0.45%÷当年天数。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color w:val="000000"/>
          <w:kern w:val="0"/>
          <w:sz w:val="24"/>
        </w:rPr>
        <w:t/>
      </w: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r w:rsidRPr="00CD0071">
              <w:rPr>
                <w:bCs/>
                <w:color w:val="000000"/>
                <w:sz w:val="24"/>
              </w:rPr>
              <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2017年1月1日</w:t>
            </w:r>
            <w:r w:rsidR="001A59F9" w:rsidRPr="00CD0071">
              <w:rPr>
                <w:rFonts w:hint="eastAsia"/>
                <w:bCs/>
                <w:color w:val="000000"/>
                <w:sz w:val="24"/>
              </w:rPr>
              <w:t>至</w:t>
            </w:r>
            <w:r w:rsidRPr="00CD0071">
              <w:rPr>
                <w:bCs/>
                <w:color w:val="000000"/>
                <w:sz w:val="24"/>
              </w:rPr>
              <w:t>2017年12月31日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2016年1月1日至2016年12月31日</w:t>
            </w:r>
            <w:r w:rsidR="001A59F9" w:rsidRPr="00CD0071">
              <w:rPr>
                <w:bCs/>
                <w:color w:val="000000"/>
                <w:sz w:val="24"/>
              </w:rPr>
              <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1,219,074.04</w:t>
            </w:r>
          </w:p>
        </w:tc>
        <w:tc>
          <w:tcPr>
            <w:tcW w:w="2657" w:type="dxa"/>
            <w:vAlign w:val="center"/>
          </w:tcPr>
          <w:p w:rsidR="001A59F9" w:rsidRPr="00817316" w:rsidRDefault="001A59F9" w:rsidP="00817316">
            <w:pPr>
              <w:spacing w:before="29" w:line="288" w:lineRule="auto"/>
              <w:jc w:val="right"/>
              <w:rPr>
                <w:sz w:val="24"/>
              </w:rPr>
            </w:pPr>
            <w:r w:rsidRPr="00817316">
              <w:rPr>
                <w:sz w:val="24"/>
              </w:rPr>
              <w:t>1,563,160.89</w:t>
            </w:r>
          </w:p>
        </w:tc>
      </w:tr>
    </w:tbl>
    <w:p>
      <w:pPr>
        <w:tabs>
          <w:tab w:val="left" w:pos="426"/>
        </w:tabs>
        <w:spacing w:before="29" w:line="288" w:lineRule="auto"/>
        <w:jc w:val="left"/>
        <w:rPr>
          <w:kern w:val="0"/>
          <w:sz w:val="24"/>
        </w:rPr>
      </w:pPr>
      <w:r>
        <w:rPr>
          <w:kern w:val="0"/>
          <w:sz w:val="24"/>
        </w:rPr>
        <w:t>注：支付基金托管人的托管费按前一日基金资产净值0.10%的年费率计提，逐日累计至每月月底，按月支付。 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日托管费＝前一日基金资产净值×0.10%÷当年天数。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
      </w:r>
      <w:r w:rsidRPr="007F5B2F">
        <w:rPr>
          <w:bCs/>
          <w:color w:val="000000"/>
          <w:sz w:val="24"/>
        </w:rPr>
        <w:t>单位：人民币元</w:t>
      </w:r>
    </w:p>
    <w:tbl>
      <w:tblPr>
        <w:tblStyle w:val="af7"/>
        <w:tblW w:w="8998" w:type="dxa"/>
        <w:tblInd w:w="108" w:type="dxa"/>
        <w:tblLayout w:type="fixed"/>
        <w:tblLook w:val="04A0"/>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r w:rsidRPr="00251201">
              <w:rPr>
                <w:color w:val="000000"/>
                <w:sz w:val="24"/>
              </w:rPr>
              <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r w:rsidRPr="00251201">
              <w:rPr>
                <w:color w:val="000000"/>
                <w:sz w:val="24"/>
              </w:rPr>
              <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2017年1月1日</w:t>
            </w:r>
            <w:r w:rsidRPr="00251201">
              <w:rPr>
                <w:color w:val="000000"/>
                <w:sz w:val="24"/>
              </w:rPr>
              <w:t>至</w:t>
            </w:r>
            <w:r w:rsidRPr="00251201">
              <w:rPr>
                <w:color w:val="000000"/>
                <w:sz w:val="24"/>
              </w:rPr>
              <w:t>2017年12月31日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tc>
          <w:tcPr>
            <w:vAlign w:val="center"/>
          </w:tcPr>
          <w:p>
            <w:pPr>
              <w:jc w:val="left"/>
            </w:pPr>
            <w:r>
              <w:rPr>
                <w:sz w:val="24"/>
              </w:rPr>
              <w:t>兴业银行</w:t>
            </w:r>
          </w:p>
        </w:tc>
        <w:tc>
          <w:tcPr>
            <w:vAlign w:val="center"/>
          </w:tcPr>
          <w:p>
            <w:pPr>
              <w:jc w:val="right"/>
            </w:pPr>
            <w:r>
              <w:rPr>
                <w:sz w:val="24"/>
              </w:rPr>
              <w:t>-</w:t>
            </w:r>
          </w:p>
        </w:tc>
        <w:tc>
          <w:tcPr>
            <w:vAlign w:val="center"/>
          </w:tcPr>
          <w:p>
            <w:pPr>
              <w:jc w:val="right"/>
            </w:pPr>
            <w:r>
              <w:rPr>
                <w:sz w:val="24"/>
              </w:rPr>
              <w:t>-</w:t>
            </w:r>
          </w:p>
        </w:tc>
        <w:tc>
          <w:tcPr>
            <w:vAlign w:val="center"/>
          </w:tcPr>
          <w:p>
            <w:pPr>
              <w:jc w:val="right"/>
            </w:pPr>
            <w:r>
              <w:rPr>
                <w:sz w:val="24"/>
              </w:rPr>
              <w:t>-</w:t>
            </w:r>
          </w:p>
        </w:tc>
      </w:tr>
      <w:tr>
        <w:tc>
          <w:tcPr>
            <w:vAlign w:val="center"/>
          </w:tcPr>
          <w:p>
            <w:pPr>
              <w:jc w:val="left"/>
            </w:pPr>
            <w:r>
              <w:rPr>
                <w:sz w:val="24"/>
              </w:rPr>
              <w:t>交通银行</w:t>
            </w:r>
          </w:p>
        </w:tc>
        <w:tc>
          <w:tcPr>
            <w:vAlign w:val="center"/>
          </w:tcPr>
          <w:p>
            <w:pPr>
              <w:jc w:val="right"/>
            </w:pPr>
            <w:r>
              <w:rPr>
                <w:sz w:val="24"/>
              </w:rPr>
              <w:t>-</w:t>
            </w:r>
          </w:p>
        </w:tc>
        <w:tc>
          <w:tcPr>
            <w:vAlign w:val="center"/>
          </w:tcPr>
          <w:p>
            <w:pPr>
              <w:jc w:val="right"/>
            </w:pPr>
            <w:r>
              <w:rPr>
                <w:sz w:val="24"/>
              </w:rPr>
              <w:t>1,792.98</w:t>
            </w:r>
          </w:p>
        </w:tc>
        <w:tc>
          <w:tcPr>
            <w:vAlign w:val="center"/>
          </w:tcPr>
          <w:p>
            <w:pPr>
              <w:jc w:val="right"/>
            </w:pPr>
            <w:r>
              <w:rPr>
                <w:sz w:val="24"/>
              </w:rPr>
              <w:t>1,792.98</w:t>
            </w:r>
          </w:p>
        </w:tc>
      </w:tr>
      <w:tr>
        <w:tc>
          <w:tcPr>
            <w:vAlign w:val="center"/>
          </w:tcPr>
          <w:p>
            <w:pPr>
              <w:jc w:val="left"/>
            </w:pPr>
            <w:r>
              <w:rPr>
                <w:sz w:val="24"/>
              </w:rPr>
              <w:t>交银施罗德基金公司</w:t>
            </w:r>
          </w:p>
        </w:tc>
        <w:tc>
          <w:tcPr>
            <w:vAlign w:val="center"/>
          </w:tcPr>
          <w:p>
            <w:pPr>
              <w:jc w:val="right"/>
            </w:pPr>
            <w:r>
              <w:rPr>
                <w:sz w:val="24"/>
              </w:rPr>
              <w:t>-</w:t>
            </w:r>
          </w:p>
        </w:tc>
        <w:tc>
          <w:tcPr>
            <w:vAlign w:val="center"/>
          </w:tcPr>
          <w:p>
            <w:pPr>
              <w:jc w:val="right"/>
            </w:pPr>
            <w:r>
              <w:rPr>
                <w:sz w:val="24"/>
              </w:rPr>
              <w:t>924.78</w:t>
            </w:r>
          </w:p>
        </w:tc>
        <w:tc>
          <w:tcPr>
            <w:vAlign w:val="center"/>
          </w:tcPr>
          <w:p>
            <w:pPr>
              <w:jc w:val="right"/>
            </w:pPr>
            <w:r>
              <w:rPr>
                <w:sz w:val="24"/>
              </w:rPr>
              <w:t>924.78</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2,717.76</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2,717.76</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2016年1月1日至2016年12月31日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tc>
          <w:tcPr>
            <w:vAlign w:val="center"/>
          </w:tcPr>
          <w:p>
            <w:pPr>
              <w:jc w:val="left"/>
            </w:pPr>
            <w:r>
              <w:rPr>
                <w:sz w:val="24"/>
              </w:rPr>
              <w:t>兴业银行</w:t>
            </w:r>
          </w:p>
        </w:tc>
        <w:tc>
          <w:tcPr>
            <w:vAlign w:val="center"/>
          </w:tcPr>
          <w:p>
            <w:pPr>
              <w:jc w:val="right"/>
            </w:pPr>
            <w:r>
              <w:rPr>
                <w:sz w:val="24"/>
              </w:rPr>
              <w:t>-</w:t>
            </w:r>
          </w:p>
        </w:tc>
        <w:tc>
          <w:tcPr>
            <w:vAlign w:val="center"/>
          </w:tcPr>
          <w:p>
            <w:pPr>
              <w:jc w:val="right"/>
            </w:pPr>
            <w:r>
              <w:rPr>
                <w:sz w:val="24"/>
              </w:rPr>
              <w:t>-</w:t>
            </w:r>
          </w:p>
        </w:tc>
        <w:tc>
          <w:tcPr>
            <w:vAlign w:val="center"/>
          </w:tcPr>
          <w:p>
            <w:pPr>
              <w:jc w:val="right"/>
            </w:pPr>
            <w:r>
              <w:rPr>
                <w:sz w:val="24"/>
              </w:rPr>
              <w:t>-</w:t>
            </w:r>
          </w:p>
        </w:tc>
      </w:tr>
      <w:tr>
        <w:tc>
          <w:tcPr>
            <w:vAlign w:val="center"/>
          </w:tcPr>
          <w:p>
            <w:pPr>
              <w:jc w:val="left"/>
            </w:pPr>
            <w:r>
              <w:rPr>
                <w:sz w:val="24"/>
              </w:rPr>
              <w:t>交通银行</w:t>
            </w:r>
          </w:p>
        </w:tc>
        <w:tc>
          <w:tcPr>
            <w:vAlign w:val="center"/>
          </w:tcPr>
          <w:p>
            <w:pPr>
              <w:jc w:val="right"/>
            </w:pPr>
            <w:r>
              <w:rPr>
                <w:sz w:val="24"/>
              </w:rPr>
              <w:t>-</w:t>
            </w:r>
          </w:p>
        </w:tc>
        <w:tc>
          <w:tcPr>
            <w:vAlign w:val="center"/>
          </w:tcPr>
          <w:p>
            <w:pPr>
              <w:jc w:val="right"/>
            </w:pPr>
            <w:r>
              <w:rPr>
                <w:sz w:val="24"/>
              </w:rPr>
              <w:t>2,937.24</w:t>
            </w:r>
          </w:p>
        </w:tc>
        <w:tc>
          <w:tcPr>
            <w:vAlign w:val="center"/>
          </w:tcPr>
          <w:p>
            <w:pPr>
              <w:jc w:val="right"/>
            </w:pPr>
            <w:r>
              <w:rPr>
                <w:sz w:val="24"/>
              </w:rPr>
              <w:t>2,937.24</w:t>
            </w:r>
          </w:p>
        </w:tc>
      </w:tr>
      <w:tr>
        <w:tc>
          <w:tcPr>
            <w:vAlign w:val="center"/>
          </w:tcPr>
          <w:p>
            <w:pPr>
              <w:jc w:val="left"/>
            </w:pPr>
            <w:r>
              <w:rPr>
                <w:sz w:val="24"/>
              </w:rPr>
              <w:t>交银施罗德基金公司</w:t>
            </w:r>
          </w:p>
        </w:tc>
        <w:tc>
          <w:tcPr>
            <w:vAlign w:val="center"/>
          </w:tcPr>
          <w:p>
            <w:pPr>
              <w:jc w:val="right"/>
            </w:pPr>
            <w:r>
              <w:rPr>
                <w:sz w:val="24"/>
              </w:rPr>
              <w:t>-</w:t>
            </w:r>
          </w:p>
        </w:tc>
        <w:tc>
          <w:tcPr>
            <w:vAlign w:val="center"/>
          </w:tcPr>
          <w:p>
            <w:pPr>
              <w:jc w:val="right"/>
            </w:pPr>
            <w:r>
              <w:rPr>
                <w:sz w:val="24"/>
              </w:rPr>
              <w:t>1,377.97</w:t>
            </w:r>
          </w:p>
        </w:tc>
        <w:tc>
          <w:tcPr>
            <w:vAlign w:val="center"/>
          </w:tcPr>
          <w:p>
            <w:pPr>
              <w:jc w:val="right"/>
            </w:pPr>
            <w:r>
              <w:rPr>
                <w:sz w:val="24"/>
              </w:rPr>
              <w:t>1,377.97</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4,315.21</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4,315.21</w:t>
            </w:r>
          </w:p>
        </w:tc>
      </w:tr>
    </w:tbl>
    <w:p>
      <w:pPr>
        <w:tabs>
          <w:tab w:val="left" w:pos="426"/>
        </w:tabs>
        <w:spacing w:before="29" w:line="288" w:lineRule="auto"/>
        <w:jc w:val="left"/>
        <w:rPr>
          <w:kern w:val="0"/>
          <w:sz w:val="24"/>
        </w:rPr>
      </w:pPr>
      <w:r>
        <w:rPr>
          <w:kern w:val="0"/>
          <w:sz w:val="24"/>
        </w:rPr>
        <w:t>注：支付基金销售机构的基金销售服务费按前一日C类基金份额对应的基金资产净值0.40%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日基金销售服务费＝前一日C类基金份额对应的资产净值×0.40%÷当年天数。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color w:val="000000"/>
          <w:kern w:val="0"/>
          <w:sz w:val="24"/>
        </w:rPr>
        <w:t/>
      </w: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355"/>
        <w:gridCol w:w="1729"/>
        <w:gridCol w:w="1203"/>
        <w:gridCol w:w="1203"/>
        <w:gridCol w:w="1033"/>
        <w:gridCol w:w="1440"/>
        <w:gridCol w:w="1035"/>
      </w:tblGrid>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本期</w:t>
            </w:r>
            <w:r w:rsidRPr="007F4FA9">
              <w:rPr>
                <w:bCs/>
                <w:color w:val="000000"/>
                <w:sz w:val="24"/>
              </w:rPr>
              <w:t/>
            </w:r>
            <w:r w:rsidR="003C0AF8" w:rsidRPr="007F4FA9">
              <w:rPr>
                <w:bCs/>
                <w:color w:val="000000"/>
                <w:sz w:val="24"/>
              </w:rPr>
              <w:t/>
            </w:r>
            <w:r w:rsidR="003C0AF8" w:rsidRPr="007F4FA9">
              <w:rPr>
                <w:rFonts w:hint="eastAsia"/>
                <w:bCs/>
                <w:color w:val="000000"/>
                <w:sz w:val="24"/>
              </w:rPr>
              <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2017年1月1日</w:t>
            </w:r>
            <w:r w:rsidRPr="007F4FA9">
              <w:rPr>
                <w:rFonts w:hint="eastAsia"/>
                <w:bCs/>
                <w:color w:val="000000"/>
                <w:sz w:val="24"/>
              </w:rPr>
              <w:t>至</w:t>
            </w:r>
            <w:r w:rsidRPr="007F4FA9">
              <w:rPr>
                <w:bCs/>
                <w:color w:val="000000"/>
                <w:sz w:val="24"/>
              </w:rPr>
              <w:t>2017年12月31日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tc>
          <w:tcPr>
            <w:vAlign w:val="center"/>
          </w:tcPr>
          <w:p>
            <w:pPr>
              <w:jc w:val="left"/>
            </w:pPr>
            <w:r>
              <w:rPr>
                <w:bCs/>
                <w:color w:val="000000"/>
                <w:sz w:val="24"/>
              </w:rPr>
              <w:t>兴业银行</w:t>
            </w:r>
          </w:p>
        </w:tc>
        <w:tc>
          <w:tcPr>
            <w:vAlign w:val="center"/>
          </w:tcPr>
          <w:p>
            <w:pPr>
              <w:jc w:val="right"/>
            </w:pPr>
            <w:r>
              <w:rPr>
                <w:bCs/>
                <w:color w:val="000000"/>
                <w:sz w:val="24"/>
              </w:rPr>
              <w:t>29,520,563.01</w:t>
            </w:r>
          </w:p>
        </w:tc>
        <w:tc>
          <w:tcPr>
            <w:vAlign w:val="center"/>
          </w:tcPr>
          <w:p>
            <w:pPr>
              <w:jc w:val="right"/>
            </w:pPr>
            <w:r>
              <w:rPr>
                <w:bCs/>
                <w:color w:val="000000"/>
                <w:sz w:val="24"/>
              </w:rPr>
              <w:t>-</w:t>
            </w:r>
          </w:p>
        </w:tc>
        <w:tc>
          <w:tcPr>
            <w:vAlign w:val="center"/>
          </w:tcPr>
          <w:p>
            <w:pPr>
              <w:jc w:val="right"/>
            </w:pPr>
            <w:r>
              <w:rPr>
                <w:bCs/>
                <w:color w:val="000000"/>
                <w:sz w:val="24"/>
              </w:rPr>
              <w:t>-</w:t>
            </w:r>
          </w:p>
        </w:tc>
        <w:tc>
          <w:tcPr>
            <w:vAlign w:val="center"/>
          </w:tcPr>
          <w:p>
            <w:pPr>
              <w:jc w:val="right"/>
            </w:pPr>
            <w:r>
              <w:rPr>
                <w:bCs/>
                <w:color w:val="000000"/>
                <w:sz w:val="24"/>
              </w:rPr>
              <w:t>-</w:t>
            </w:r>
          </w:p>
        </w:tc>
        <w:tc>
          <w:tcPr>
            <w:vAlign w:val="center"/>
          </w:tcPr>
          <w:p>
            <w:pPr>
              <w:jc w:val="right"/>
            </w:pPr>
            <w:r>
              <w:rPr>
                <w:bCs/>
                <w:color w:val="000000"/>
                <w:sz w:val="24"/>
              </w:rPr>
              <w:t>-</w:t>
            </w:r>
          </w:p>
        </w:tc>
        <w:tc>
          <w:tcPr>
            <w:vAlign w:val="center"/>
          </w:tcPr>
          <w:p>
            <w:pPr>
              <w:jc w:val="right"/>
            </w:pPr>
            <w:r>
              <w:rPr>
                <w:bCs/>
                <w:color w:val="000000"/>
                <w:sz w:val="24"/>
              </w:rPr>
              <w:t>-</w:t>
            </w:r>
          </w:p>
        </w:tc>
      </w:tr>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lastRenderedPageBreak/>
              <w:t>上年度可比期间</w:t>
            </w:r>
            <w:r w:rsidRPr="007F4FA9">
              <w:rPr>
                <w:bCs/>
                <w:color w:val="000000"/>
                <w:sz w:val="24"/>
              </w:rPr>
              <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2016年1月1日至2016年12月31日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tc>
          <w:tcPr>
            <w:vAlign w:val="center"/>
          </w:tcPr>
          <w:p>
            <w:pPr>
              <w:jc w:val="left"/>
            </w:pPr>
            <w:r>
              <w:rPr>
                <w:bCs/>
                <w:color w:val="000000"/>
                <w:sz w:val="24"/>
              </w:rPr>
              <w:t>兴业银行</w:t>
            </w:r>
          </w:p>
        </w:tc>
        <w:tc>
          <w:tcPr>
            <w:vAlign w:val="center"/>
          </w:tcPr>
          <w:p>
            <w:pPr>
              <w:jc w:val="right"/>
            </w:pPr>
            <w:r>
              <w:rPr>
                <w:bCs/>
                <w:color w:val="000000"/>
                <w:sz w:val="24"/>
              </w:rPr>
              <w:t>21,305,440.87</w:t>
            </w:r>
          </w:p>
        </w:tc>
        <w:tc>
          <w:tcPr>
            <w:vAlign w:val="center"/>
          </w:tcPr>
          <w:p>
            <w:pPr>
              <w:jc w:val="right"/>
            </w:pPr>
            <w:r>
              <w:rPr>
                <w:bCs/>
                <w:color w:val="000000"/>
                <w:sz w:val="24"/>
              </w:rPr>
              <w:t>-</w:t>
            </w:r>
          </w:p>
        </w:tc>
        <w:tc>
          <w:tcPr>
            <w:vAlign w:val="center"/>
          </w:tcPr>
          <w:p>
            <w:pPr>
              <w:jc w:val="right"/>
            </w:pPr>
            <w:r>
              <w:rPr>
                <w:bCs/>
                <w:color w:val="000000"/>
                <w:sz w:val="24"/>
              </w:rPr>
              <w:t>-</w:t>
            </w:r>
          </w:p>
        </w:tc>
        <w:tc>
          <w:tcPr>
            <w:vAlign w:val="center"/>
          </w:tcPr>
          <w:p>
            <w:pPr>
              <w:jc w:val="right"/>
            </w:pPr>
            <w:r>
              <w:rPr>
                <w:bCs/>
                <w:color w:val="000000"/>
                <w:sz w:val="24"/>
              </w:rPr>
              <w:t>-</w:t>
            </w:r>
          </w:p>
        </w:tc>
        <w:tc>
          <w:tcPr>
            <w:vAlign w:val="center"/>
          </w:tcPr>
          <w:p>
            <w:pPr>
              <w:jc w:val="right"/>
            </w:pPr>
            <w:r>
              <w:rPr>
                <w:bCs/>
                <w:color w:val="000000"/>
                <w:sz w:val="24"/>
              </w:rPr>
              <w:t>-</w:t>
            </w:r>
          </w:p>
        </w:tc>
        <w:tc>
          <w:tcPr>
            <w:vAlign w:val="center"/>
          </w:tcPr>
          <w:p>
            <w:pPr>
              <w:jc w:val="right"/>
            </w:pPr>
            <w:r>
              <w:rPr>
                <w:bCs/>
                <w:color w:val="000000"/>
                <w:sz w:val="24"/>
              </w:rPr>
              <w:t>-</w:t>
            </w:r>
          </w:p>
        </w:tc>
      </w:tr>
    </w:tbl>
    <w:p w:rsidR="00385EFB" w:rsidRDefault="00385EFB" w:rsidP="00E91360">
      <w:pPr>
        <w:autoSpaceDE w:val="0"/>
        <w:autoSpaceDN w:val="0"/>
        <w:adjustRightInd w:val="0"/>
        <w:spacing w:before="29" w:line="288" w:lineRule="auto"/>
        <w:ind w:left="15"/>
        <w:jc w:val="right"/>
        <w:rPr>
          <w:color w:val="000000"/>
          <w:kern w:val="0"/>
          <w:sz w:val="24"/>
        </w:rPr>
      </w:pP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lastRenderedPageBreak/>
        <w:t/>
      </w:r>
      <w:r w:rsidR="00225FC3" w:rsidRPr="00E25C2A">
        <w:rPr>
          <w:rFonts w:hint="eastAsia"/>
          <w:kern w:val="0"/>
          <w:sz w:val="24"/>
        </w:rPr>
        <w:t/>
      </w: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E54270" w:rsidRPr="008B2C7A" w:rsidRDefault="00147394" w:rsidP="00275EC0">
      <w:pPr>
        <w:adjustRightInd w:val="0"/>
        <w:snapToGrid w:val="0"/>
        <w:spacing w:before="29" w:line="288" w:lineRule="auto"/>
        <w:rPr>
          <w:rFonts w:asciiTheme="minorEastAsia" w:eastAsiaTheme="minorEastAsia" w:hAnsiTheme="minorEastAsia"/>
          <w:color w:val="000000"/>
          <w:szCs w:val="21"/>
        </w:rPr>
      </w:pPr>
      <w:r w:rsidRPr="00275EC0">
        <w:rPr>
          <w:rFonts w:hint="eastAsia"/>
          <w:color w:val="000000"/>
          <w:sz w:val="24"/>
        </w:rPr>
        <w:t/>
      </w:r>
      <w:r w:rsidR="00E54270" w:rsidRPr="00275EC0">
        <w:rPr>
          <w:color w:val="000000"/>
          <w:sz w:val="24"/>
        </w:rPr>
        <w:t>交银裕通纯债债券A</w:t>
      </w:r>
    </w:p>
    <w:p w:rsidR="00A63161" w:rsidRPr="00564CEA" w:rsidRDefault="00A63161" w:rsidP="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799"/>
        <w:gridCol w:w="1979"/>
        <w:gridCol w:w="1440"/>
        <w:gridCol w:w="2160"/>
        <w:gridCol w:w="1620"/>
      </w:tblGrid>
      <w:tr w:rsidR="00F8216D" w:rsidRPr="008B2C7A" w:rsidTr="00C03231">
        <w:tc>
          <w:tcPr>
            <w:tcW w:w="1800" w:type="dxa"/>
            <w:vMerge w:val="restart"/>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rFonts w:hint="eastAsia"/>
                <w:sz w:val="24"/>
              </w:rPr>
              <w:t>关联方名称</w:t>
            </w:r>
            <w:r w:rsidRPr="00275EC0">
              <w:rPr>
                <w:sz w:val="24"/>
              </w:rPr>
              <w:t/>
            </w:r>
            <w:r w:rsidR="0081797B" w:rsidRPr="00275EC0">
              <w:rPr>
                <w:sz w:val="24"/>
              </w:rPr>
              <w:t/>
            </w:r>
          </w:p>
        </w:tc>
        <w:tc>
          <w:tcPr>
            <w:tcW w:w="342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交银裕通纯债债券A</w:t>
            </w:r>
            <w:r w:rsidRPr="00275EC0">
              <w:rPr>
                <w:rFonts w:hint="eastAsia"/>
                <w:sz w:val="24"/>
              </w:rPr>
              <w:t>本期末</w:t>
            </w:r>
            <w:r w:rsidRPr="00275EC0">
              <w:rPr>
                <w:sz w:val="24"/>
              </w:rPr>
              <w:t>2017年12月31日</w:t>
            </w:r>
          </w:p>
        </w:tc>
        <w:tc>
          <w:tcPr>
            <w:tcW w:w="378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交银裕通纯债债券A</w:t>
            </w:r>
            <w:r w:rsidRPr="00275EC0">
              <w:rPr>
                <w:rFonts w:hint="eastAsia"/>
                <w:sz w:val="24"/>
              </w:rPr>
              <w:t>上年度末</w:t>
            </w:r>
            <w:r w:rsidR="00955CB7" w:rsidRPr="00275EC0">
              <w:rPr>
                <w:sz w:val="24"/>
              </w:rPr>
              <w:t>2016年12月31日</w:t>
            </w:r>
          </w:p>
        </w:tc>
      </w:tr>
      <w:tr w:rsidR="00F8216D" w:rsidRPr="008B2C7A" w:rsidTr="00C03231">
        <w:tc>
          <w:tcPr>
            <w:tcW w:w="1800" w:type="dxa"/>
            <w:vMerge/>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p>
        </w:tc>
        <w:tc>
          <w:tcPr>
            <w:tcW w:w="198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44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c>
          <w:tcPr>
            <w:tcW w:w="216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62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r>
      <w:tr>
        <w:tc>
          <w:tcPr>
            <w:vAlign w:val="center"/>
          </w:tcPr>
          <w:p>
            <w:pPr>
              <w:jc w:val="left"/>
            </w:pPr>
            <w:r>
              <w:rPr>
                <w:sz w:val="24"/>
              </w:rPr>
              <w:t>交通银行股份有限公司</w:t>
            </w:r>
          </w:p>
        </w:tc>
        <w:tc>
          <w:tcPr>
            <w:vAlign w:val="center"/>
          </w:tcPr>
          <w:p>
            <w:pPr>
              <w:jc w:val="right"/>
            </w:pPr>
            <w:r>
              <w:rPr>
                <w:sz w:val="24"/>
              </w:rPr>
              <w:t>1,093,550,141.68</w:t>
            </w:r>
          </w:p>
        </w:tc>
        <w:tc>
          <w:tcPr>
            <w:vAlign w:val="center"/>
          </w:tcPr>
          <w:p>
            <w:pPr>
              <w:jc w:val="right"/>
            </w:pPr>
            <w:r>
              <w:rPr>
                <w:sz w:val="24"/>
              </w:rPr>
              <w:t>91.41%</w:t>
            </w:r>
          </w:p>
        </w:tc>
        <w:tc>
          <w:tcPr>
            <w:vAlign w:val="center"/>
          </w:tcPr>
          <w:p>
            <w:pPr>
              <w:jc w:val="right"/>
            </w:pPr>
            <w:r>
              <w:rPr>
                <w:sz w:val="24"/>
              </w:rPr>
              <w:t>1,693,550,141.68</w:t>
            </w:r>
          </w:p>
        </w:tc>
        <w:tc>
          <w:tcPr>
            <w:vAlign w:val="center"/>
          </w:tcPr>
          <w:p>
            <w:pPr>
              <w:jc w:val="right"/>
            </w:pPr>
            <w:r>
              <w:rPr>
                <w:sz w:val="24"/>
              </w:rPr>
              <w:t>99.31%</w:t>
            </w:r>
          </w:p>
        </w:tc>
      </w:tr>
    </w:tbl>
    <w:p w:rsidR="00F8216D" w:rsidRDefault="00F8216D" w:rsidP="00E25C2A">
      <w:pPr>
        <w:tabs>
          <w:tab w:val="left" w:pos="426"/>
        </w:tabs>
        <w:spacing w:before="29" w:line="288" w:lineRule="auto"/>
        <w:jc w:val="left"/>
        <w:rPr>
          <w:kern w:val="0"/>
          <w:sz w:val="24"/>
        </w:rPr>
      </w:pPr>
      <w:r w:rsidRPr="00E25C2A">
        <w:rPr>
          <w:kern w:val="0"/>
          <w:sz w:val="24"/>
        </w:rPr>
        <w:t/>
      </w:r>
      <w:r w:rsidRPr="00E25C2A">
        <w:rPr>
          <w:rFonts w:hint="eastAsia"/>
          <w:kern w:val="0"/>
          <w:sz w:val="24"/>
        </w:rPr>
        <w:t/>
      </w:r>
      <w:r w:rsidRPr="00E25C2A">
        <w:rPr>
          <w:kern w:val="0"/>
          <w:sz w:val="24"/>
        </w:rPr>
        <w:t/>
      </w:r>
      <w:r w:rsidRPr="00E25C2A">
        <w:rPr>
          <w:rFonts w:hint="eastAsia"/>
          <w:kern w:val="0"/>
          <w:sz w:val="24"/>
        </w:rPr>
        <w:t/>
      </w:r>
      <w:r w:rsidRPr="00E25C2A">
        <w:rPr>
          <w:kern w:val="0"/>
          <w:sz w:val="24"/>
        </w:rPr>
        <w:t>注：关联方投资本基金的费率按照基金合同和招募说明书规定的确定，符合公允性要求。</w:t>
      </w:r>
    </w:p>
    <w:p w:rsidR="00BF4D95" w:rsidRPr="00E25C2A" w:rsidRDefault="00BF4D95" w:rsidP="00E25C2A">
      <w:pPr>
        <w:tabs>
          <w:tab w:val="left" w:pos="426"/>
        </w:tabs>
        <w:spacing w:before="29" w:line="288" w:lineRule="auto"/>
        <w:jc w:val="left"/>
        <w:rPr>
          <w:kern w:val="0"/>
          <w:sz w:val="24"/>
        </w:rPr>
      </w:pPr>
    </w:p>
    <w:p w:rsidR="00E54270" w:rsidRPr="00BF4D95" w:rsidRDefault="00147394" w:rsidP="00BF4D95">
      <w:pPr>
        <w:adjustRightInd w:val="0"/>
        <w:snapToGrid w:val="0"/>
        <w:spacing w:before="29" w:line="288" w:lineRule="auto"/>
        <w:rPr>
          <w:color w:val="000000"/>
          <w:sz w:val="24"/>
        </w:rPr>
      </w:pPr>
      <w:r w:rsidRPr="00BF4D95">
        <w:rPr>
          <w:rFonts w:hint="eastAsia"/>
          <w:color w:val="000000"/>
          <w:sz w:val="24"/>
        </w:rPr>
        <w:t/>
      </w:r>
      <w:r w:rsidR="00E54270" w:rsidRPr="00BF4D95">
        <w:rPr>
          <w:color w:val="000000"/>
          <w:sz w:val="24"/>
        </w:rPr>
        <w:t/>
      </w:r>
      <w:r w:rsidR="00E54270" w:rsidRPr="00BF4D95">
        <w:rPr>
          <w:rFonts w:hint="eastAsia"/>
          <w:color w:val="000000"/>
          <w:sz w:val="24"/>
        </w:rPr>
        <w:t/>
      </w:r>
      <w:r w:rsidR="00E54270" w:rsidRPr="00BF4D95">
        <w:rPr>
          <w:color w:val="000000"/>
          <w:sz w:val="24"/>
        </w:rPr>
        <w:t>交银裕通纯债债券C</w:t>
      </w:r>
    </w:p>
    <w:p w:rsidR="00F8216D" w:rsidRDefault="00F8216D" w:rsidP="00E25C2A">
      <w:pPr>
        <w:tabs>
          <w:tab w:val="left" w:pos="426"/>
        </w:tabs>
        <w:spacing w:before="29" w:line="288" w:lineRule="auto"/>
        <w:jc w:val="left"/>
        <w:rPr>
          <w:kern w:val="0"/>
          <w:sz w:val="24"/>
        </w:rPr>
      </w:pPr>
      <w:r w:rsidRPr="00E25C2A">
        <w:rPr>
          <w:kern w:val="0"/>
          <w:sz w:val="24"/>
        </w:rPr>
        <w:t/>
      </w:r>
      <w:r w:rsidRPr="00E25C2A">
        <w:rPr>
          <w:rFonts w:hint="eastAsia"/>
          <w:kern w:val="0"/>
          <w:sz w:val="24"/>
        </w:rPr>
        <w:t/>
      </w:r>
      <w:r w:rsidRPr="00E25C2A">
        <w:rPr>
          <w:kern w:val="0"/>
          <w:sz w:val="24"/>
        </w:rPr>
        <w:t/>
      </w:r>
      <w:r w:rsidR="00427D2F" w:rsidRPr="00E25C2A">
        <w:rPr>
          <w:rFonts w:hint="eastAsia"/>
          <w:kern w:val="0"/>
          <w:sz w:val="24"/>
        </w:rPr>
        <w:t/>
      </w:r>
      <w:r w:rsidRPr="00E25C2A">
        <w:rPr>
          <w:kern w:val="0"/>
          <w:sz w:val="24"/>
        </w:rPr>
        <w:t>本报告期末及上年度末除基金管理人之外的其他关联方未持有本基金。</w:t>
      </w:r>
    </w:p>
    <w:p w:rsidR="001A59F9" w:rsidRPr="008B2C7A" w:rsidRDefault="001A59F9" w:rsidP="00026C9C">
      <w:pPr>
        <w:spacing w:line="360" w:lineRule="auto"/>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r w:rsidR="0081797B" w:rsidRPr="0013672A">
              <w:rPr>
                <w:szCs w:val="21"/>
              </w:rPr>
              <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2017年1月1日</w:t>
            </w:r>
            <w:r w:rsidRPr="0013672A">
              <w:rPr>
                <w:rFonts w:hint="eastAsia"/>
                <w:szCs w:val="21"/>
              </w:rPr>
              <w:t>至</w:t>
            </w:r>
            <w:r w:rsidRPr="0013672A">
              <w:rPr>
                <w:szCs w:val="21"/>
              </w:rPr>
              <w:t>2017年12月31日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2016年1月1日至2016年12月31日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tc>
          <w:tcPr>
            <w:vAlign w:val="center"/>
          </w:tcPr>
          <w:p>
            <w:pPr>
              <w:jc w:val="left"/>
            </w:pPr>
            <w:r>
              <w:rPr>
                <w:szCs w:val="21"/>
              </w:rPr>
              <w:t>兴业银行-协议存款</w:t>
            </w:r>
          </w:p>
        </w:tc>
        <w:tc>
          <w:tcPr>
            <w:vAlign w:val="center"/>
          </w:tcPr>
          <w:p>
            <w:pPr>
              <w:jc w:val="right"/>
            </w:pPr>
            <w:r>
              <w:rPr>
                <w:szCs w:val="21"/>
              </w:rPr>
              <w:t>-</w:t>
            </w:r>
          </w:p>
        </w:tc>
        <w:tc>
          <w:tcPr>
            <w:vAlign w:val="center"/>
          </w:tcPr>
          <w:p>
            <w:pPr>
              <w:jc w:val="right"/>
            </w:pPr>
            <w:r>
              <w:rPr>
                <w:szCs w:val="21"/>
              </w:rPr>
              <w:t>-</w:t>
            </w:r>
          </w:p>
        </w:tc>
        <w:tc>
          <w:tcPr>
            <w:vAlign w:val="center"/>
          </w:tcPr>
          <w:p>
            <w:pPr>
              <w:jc w:val="right"/>
            </w:pPr>
            <w:r>
              <w:rPr>
                <w:szCs w:val="21"/>
              </w:rPr>
              <w:t>-</w:t>
            </w:r>
          </w:p>
        </w:tc>
        <w:tc>
          <w:tcPr>
            <w:vAlign w:val="center"/>
          </w:tcPr>
          <w:p>
            <w:pPr>
              <w:jc w:val="right"/>
            </w:pPr>
            <w:r>
              <w:rPr>
                <w:szCs w:val="21"/>
              </w:rPr>
              <w:t>90,222.23</w:t>
            </w:r>
          </w:p>
        </w:tc>
      </w:tr>
      <w:tr>
        <w:tc>
          <w:tcPr>
            <w:vAlign w:val="center"/>
          </w:tcPr>
          <w:p>
            <w:pPr>
              <w:jc w:val="left"/>
            </w:pPr>
            <w:r>
              <w:rPr>
                <w:szCs w:val="21"/>
              </w:rPr>
              <w:t>兴业银行-活期存款</w:t>
            </w:r>
          </w:p>
        </w:tc>
        <w:tc>
          <w:tcPr>
            <w:vAlign w:val="center"/>
          </w:tcPr>
          <w:p>
            <w:pPr>
              <w:jc w:val="right"/>
            </w:pPr>
            <w:r>
              <w:rPr>
                <w:szCs w:val="21"/>
              </w:rPr>
              <w:t>715,978.43</w:t>
            </w:r>
          </w:p>
        </w:tc>
        <w:tc>
          <w:tcPr>
            <w:vAlign w:val="center"/>
          </w:tcPr>
          <w:p>
            <w:pPr>
              <w:jc w:val="right"/>
            </w:pPr>
            <w:r>
              <w:rPr>
                <w:szCs w:val="21"/>
              </w:rPr>
              <w:t>198,058.87</w:t>
            </w:r>
          </w:p>
        </w:tc>
        <w:tc>
          <w:tcPr>
            <w:vAlign w:val="center"/>
          </w:tcPr>
          <w:p>
            <w:pPr>
              <w:jc w:val="right"/>
            </w:pPr>
            <w:r>
              <w:rPr>
                <w:szCs w:val="21"/>
              </w:rPr>
              <w:t>5,414,819.99</w:t>
            </w:r>
          </w:p>
        </w:tc>
        <w:tc>
          <w:tcPr>
            <w:vAlign w:val="center"/>
          </w:tcPr>
          <w:p>
            <w:pPr>
              <w:jc w:val="right"/>
            </w:pPr>
            <w:r>
              <w:rPr>
                <w:szCs w:val="21"/>
              </w:rPr>
              <w:t>214,373.63</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
      </w:r>
      <w:r w:rsidRPr="00E25C2A">
        <w:rPr>
          <w:rFonts w:hint="eastAsia"/>
          <w:kern w:val="0"/>
          <w:sz w:val="24"/>
        </w:rPr>
        <w:t/>
      </w:r>
      <w:r w:rsidRPr="00E25C2A">
        <w:rPr>
          <w:kern w:val="0"/>
          <w:sz w:val="24"/>
        </w:rPr>
        <w:t>注：本基金的银行活期存款和表格中列示的银行协议存款均由基金托管人保管，按银行同业利率或约定利率计息。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
      </w:r>
      <w:r w:rsidRPr="00E25C2A">
        <w:rPr>
          <w:rFonts w:hint="eastAsia"/>
          <w:kern w:val="0"/>
          <w:sz w:val="24"/>
        </w:rPr>
        <w:t/>
      </w: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2017年12月31日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lastRenderedPageBreak/>
        <w:t/>
      </w:r>
      <w:r w:rsidR="00996BAA" w:rsidRPr="00E25C2A">
        <w:rPr>
          <w:rFonts w:hint="eastAsia"/>
          <w:kern w:val="0"/>
          <w:sz w:val="24"/>
        </w:rPr>
        <w:t/>
      </w:r>
      <w:r w:rsidRPr="00E25C2A">
        <w:rPr>
          <w:kern w:val="0"/>
          <w:sz w:val="24"/>
        </w:rPr>
        <w:t>本基金本报告期末未持有因认购新发/增发证券而流通受限的证券。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r w:rsidR="00767EA9" w:rsidRPr="00C2179A">
        <w:rPr>
          <w:rFonts w:ascii="Times New Roman" w:hAnsi="Times New Roman"/>
          <w:kern w:val="0"/>
          <w:szCs w:val="24"/>
        </w:rPr>
        <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截至本报告期末2017年12月31日止，本基金从事银行间市场债券正回购交易形成的卖出回购证券款余额120,071,619.89元，是以如下债券作为抵押：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r w:rsidRPr="00AA721C">
              <w:rPr>
                <w:color w:val="000000"/>
                <w:sz w:val="24"/>
              </w:rPr>
              <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tc>
          <w:tcPr>
            <w:vAlign w:val="center"/>
          </w:tcPr>
          <w:p>
            <w:pPr>
              <w:jc w:val="center"/>
            </w:pPr>
            <w:r>
              <w:rPr>
                <w:color w:val="000000"/>
                <w:kern w:val="0"/>
                <w:sz w:val="24"/>
              </w:rPr>
              <w:t>011758104</w:t>
            </w:r>
          </w:p>
        </w:tc>
        <w:tc>
          <w:tcPr>
            <w:vAlign w:val="center"/>
          </w:tcPr>
          <w:p>
            <w:pPr>
              <w:jc w:val="center"/>
            </w:pPr>
            <w:r>
              <w:rPr>
                <w:color w:val="000000"/>
                <w:kern w:val="0"/>
                <w:sz w:val="24"/>
              </w:rPr>
              <w:t>17中航资本SCP003</w:t>
            </w:r>
          </w:p>
        </w:tc>
        <w:tc>
          <w:tcPr>
            <w:vAlign w:val="center"/>
          </w:tcPr>
          <w:p>
            <w:pPr>
              <w:jc w:val="center"/>
            </w:pPr>
            <w:r>
              <w:rPr>
                <w:color w:val="000000"/>
                <w:kern w:val="0"/>
                <w:sz w:val="24"/>
              </w:rPr>
              <w:t>2018-01-03</w:t>
            </w:r>
          </w:p>
        </w:tc>
        <w:tc>
          <w:tcPr>
            <w:vAlign w:val="center"/>
          </w:tcPr>
          <w:p>
            <w:pPr>
              <w:jc w:val="right"/>
            </w:pPr>
            <w:r>
              <w:rPr>
                <w:color w:val="000000"/>
                <w:kern w:val="0"/>
                <w:sz w:val="24"/>
              </w:rPr>
              <w:t>99.79</w:t>
            </w:r>
          </w:p>
        </w:tc>
        <w:tc>
          <w:tcPr>
            <w:vAlign w:val="center"/>
          </w:tcPr>
          <w:p>
            <w:pPr>
              <w:jc w:val="right"/>
            </w:pPr>
            <w:r>
              <w:rPr>
                <w:color w:val="000000"/>
                <w:kern w:val="0"/>
                <w:sz w:val="24"/>
              </w:rPr>
              <w:t>500,000</w:t>
            </w:r>
          </w:p>
        </w:tc>
        <w:tc>
          <w:tcPr>
            <w:vAlign w:val="center"/>
          </w:tcPr>
          <w:p>
            <w:pPr>
              <w:jc w:val="right"/>
            </w:pPr>
            <w:r>
              <w:rPr>
                <w:color w:val="000000"/>
                <w:kern w:val="0"/>
                <w:sz w:val="24"/>
              </w:rPr>
              <w:t>49,895,000.00</w:t>
            </w:r>
          </w:p>
        </w:tc>
      </w:tr>
      <w:tr>
        <w:tc>
          <w:tcPr>
            <w:vAlign w:val="center"/>
          </w:tcPr>
          <w:p>
            <w:pPr>
              <w:jc w:val="center"/>
            </w:pPr>
            <w:r>
              <w:rPr>
                <w:color w:val="000000"/>
                <w:kern w:val="0"/>
                <w:sz w:val="24"/>
              </w:rPr>
              <w:t>011764053</w:t>
            </w:r>
          </w:p>
        </w:tc>
        <w:tc>
          <w:tcPr>
            <w:vAlign w:val="center"/>
          </w:tcPr>
          <w:p>
            <w:pPr>
              <w:jc w:val="center"/>
            </w:pPr>
            <w:r>
              <w:rPr>
                <w:color w:val="000000"/>
                <w:kern w:val="0"/>
                <w:sz w:val="24"/>
              </w:rPr>
              <w:t>17粤珠江SCP002</w:t>
            </w:r>
          </w:p>
        </w:tc>
        <w:tc>
          <w:tcPr>
            <w:vAlign w:val="center"/>
          </w:tcPr>
          <w:p>
            <w:pPr>
              <w:jc w:val="center"/>
            </w:pPr>
            <w:r>
              <w:rPr>
                <w:color w:val="000000"/>
                <w:kern w:val="0"/>
                <w:sz w:val="24"/>
              </w:rPr>
              <w:t>2018-01-03</w:t>
            </w:r>
          </w:p>
        </w:tc>
        <w:tc>
          <w:tcPr>
            <w:vAlign w:val="center"/>
          </w:tcPr>
          <w:p>
            <w:pPr>
              <w:jc w:val="right"/>
            </w:pPr>
            <w:r>
              <w:rPr>
                <w:color w:val="000000"/>
                <w:kern w:val="0"/>
                <w:sz w:val="24"/>
              </w:rPr>
              <w:t>100.53</w:t>
            </w:r>
          </w:p>
        </w:tc>
        <w:tc>
          <w:tcPr>
            <w:vAlign w:val="center"/>
          </w:tcPr>
          <w:p>
            <w:pPr>
              <w:jc w:val="right"/>
            </w:pPr>
            <w:r>
              <w:rPr>
                <w:color w:val="000000"/>
                <w:kern w:val="0"/>
                <w:sz w:val="24"/>
              </w:rPr>
              <w:t>300,000</w:t>
            </w:r>
          </w:p>
        </w:tc>
        <w:tc>
          <w:tcPr>
            <w:vAlign w:val="center"/>
          </w:tcPr>
          <w:p>
            <w:pPr>
              <w:jc w:val="right"/>
            </w:pPr>
            <w:r>
              <w:rPr>
                <w:color w:val="000000"/>
                <w:kern w:val="0"/>
                <w:sz w:val="24"/>
              </w:rPr>
              <w:t>30,159,000.00</w:t>
            </w:r>
          </w:p>
        </w:tc>
      </w:tr>
      <w:tr>
        <w:tc>
          <w:tcPr>
            <w:vAlign w:val="center"/>
          </w:tcPr>
          <w:p>
            <w:pPr>
              <w:jc w:val="center"/>
            </w:pPr>
            <w:r>
              <w:rPr>
                <w:color w:val="000000"/>
                <w:kern w:val="0"/>
                <w:sz w:val="24"/>
              </w:rPr>
              <w:t>111788853</w:t>
            </w:r>
          </w:p>
        </w:tc>
        <w:tc>
          <w:tcPr>
            <w:vAlign w:val="center"/>
          </w:tcPr>
          <w:p>
            <w:pPr>
              <w:jc w:val="center"/>
            </w:pPr>
            <w:r>
              <w:rPr>
                <w:color w:val="000000"/>
                <w:kern w:val="0"/>
                <w:sz w:val="24"/>
              </w:rPr>
              <w:t>17广东南粤银行CD128</w:t>
            </w:r>
          </w:p>
        </w:tc>
        <w:tc>
          <w:tcPr>
            <w:vAlign w:val="center"/>
          </w:tcPr>
          <w:p>
            <w:pPr>
              <w:jc w:val="center"/>
            </w:pPr>
            <w:r>
              <w:rPr>
                <w:color w:val="000000"/>
                <w:kern w:val="0"/>
                <w:sz w:val="24"/>
              </w:rPr>
              <w:t>2018-01-03</w:t>
            </w:r>
          </w:p>
        </w:tc>
        <w:tc>
          <w:tcPr>
            <w:vAlign w:val="center"/>
          </w:tcPr>
          <w:p>
            <w:pPr>
              <w:jc w:val="right"/>
            </w:pPr>
            <w:r>
              <w:rPr>
                <w:color w:val="000000"/>
                <w:kern w:val="0"/>
                <w:sz w:val="24"/>
              </w:rPr>
              <w:t>97.42</w:t>
            </w:r>
          </w:p>
        </w:tc>
        <w:tc>
          <w:tcPr>
            <w:vAlign w:val="center"/>
          </w:tcPr>
          <w:p>
            <w:pPr>
              <w:jc w:val="right"/>
            </w:pPr>
            <w:r>
              <w:rPr>
                <w:color w:val="000000"/>
                <w:kern w:val="0"/>
                <w:sz w:val="24"/>
              </w:rPr>
              <w:t>300,000</w:t>
            </w:r>
          </w:p>
        </w:tc>
        <w:tc>
          <w:tcPr>
            <w:vAlign w:val="center"/>
          </w:tcPr>
          <w:p>
            <w:pPr>
              <w:jc w:val="right"/>
            </w:pPr>
            <w:r>
              <w:rPr>
                <w:color w:val="000000"/>
                <w:kern w:val="0"/>
                <w:sz w:val="24"/>
              </w:rPr>
              <w:t>29,226,000.00</w:t>
            </w:r>
          </w:p>
        </w:tc>
      </w:tr>
      <w:tr>
        <w:tc>
          <w:tcPr>
            <w:vAlign w:val="center"/>
          </w:tcPr>
          <w:p>
            <w:pPr>
              <w:jc w:val="center"/>
            </w:pPr>
            <w:r>
              <w:rPr>
                <w:color w:val="000000"/>
                <w:kern w:val="0"/>
                <w:sz w:val="24"/>
              </w:rPr>
              <w:t>041761008</w:t>
            </w:r>
          </w:p>
        </w:tc>
        <w:tc>
          <w:tcPr>
            <w:vAlign w:val="center"/>
          </w:tcPr>
          <w:p>
            <w:pPr>
              <w:jc w:val="center"/>
            </w:pPr>
            <w:r>
              <w:rPr>
                <w:color w:val="000000"/>
                <w:kern w:val="0"/>
                <w:sz w:val="24"/>
              </w:rPr>
              <w:t>17皖投集CP001</w:t>
            </w:r>
          </w:p>
        </w:tc>
        <w:tc>
          <w:tcPr>
            <w:vAlign w:val="center"/>
          </w:tcPr>
          <w:p>
            <w:pPr>
              <w:jc w:val="center"/>
            </w:pPr>
            <w:r>
              <w:rPr>
                <w:color w:val="000000"/>
                <w:kern w:val="0"/>
                <w:sz w:val="24"/>
              </w:rPr>
              <w:t>2018-01-03</w:t>
            </w:r>
          </w:p>
        </w:tc>
        <w:tc>
          <w:tcPr>
            <w:vAlign w:val="center"/>
          </w:tcPr>
          <w:p>
            <w:pPr>
              <w:jc w:val="right"/>
            </w:pPr>
            <w:r>
              <w:rPr>
                <w:color w:val="000000"/>
                <w:kern w:val="0"/>
                <w:sz w:val="24"/>
              </w:rPr>
              <w:t>99.98</w:t>
            </w:r>
          </w:p>
        </w:tc>
        <w:tc>
          <w:tcPr>
            <w:vAlign w:val="center"/>
          </w:tcPr>
          <w:p>
            <w:pPr>
              <w:jc w:val="right"/>
            </w:pPr>
            <w:r>
              <w:rPr>
                <w:color w:val="000000"/>
                <w:kern w:val="0"/>
                <w:sz w:val="24"/>
              </w:rPr>
              <w:t>157,000</w:t>
            </w:r>
          </w:p>
        </w:tc>
        <w:tc>
          <w:tcPr>
            <w:vAlign w:val="center"/>
          </w:tcPr>
          <w:p>
            <w:pPr>
              <w:jc w:val="right"/>
            </w:pPr>
            <w:r>
              <w:rPr>
                <w:color w:val="000000"/>
                <w:kern w:val="0"/>
                <w:sz w:val="24"/>
              </w:rPr>
              <w:t>15,696,860.00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
            </w:r>
            <w:r w:rsidRPr="00AA721C">
              <w:rPr>
                <w:sz w:val="24"/>
              </w:rPr>
              <w:lastRenderedPageBreak/>
              <w:t>1,257,000</w:t>
            </w:r>
          </w:p>
        </w:tc>
        <w:tc>
          <w:tcPr>
            <w:tcW w:w="1836" w:type="dxa"/>
            <w:vAlign w:val="center"/>
          </w:tcPr>
          <w:p w:rsidR="001A59F9" w:rsidRPr="00AA721C" w:rsidRDefault="001A59F9" w:rsidP="00AA721C">
            <w:pPr>
              <w:spacing w:before="29" w:line="288" w:lineRule="auto"/>
              <w:jc w:val="right"/>
              <w:rPr>
                <w:sz w:val="24"/>
              </w:rPr>
            </w:pPr>
            <w:r w:rsidRPr="00AA721C">
              <w:rPr>
                <w:sz w:val="24"/>
              </w:rPr>
              <w:lastRenderedPageBreak/>
              <w:t/>
            </w:r>
            <w:r w:rsidRPr="00AA721C">
              <w:rPr>
                <w:sz w:val="24"/>
              </w:rPr>
              <w:lastRenderedPageBreak/>
              <w:t>124,976,860.00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r w:rsidR="00767EA9" w:rsidRPr="00C2179A">
        <w:rPr>
          <w:rFonts w:ascii="Times New Roman" w:hAnsi="Times New Roman"/>
          <w:kern w:val="0"/>
          <w:szCs w:val="24"/>
        </w:rPr>
        <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2017年12月31日止，本基金从事证券交易所债券正回购交易形成的卖出回购证券款余额93,800,000.00元，于2018年1月2日到期。该类交易要求本基金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pPr>
        <w:spacing w:before="29" w:line="288" w:lineRule="auto"/>
        <w:ind w:firstLineChars="200" w:firstLine="480"/>
        <w:rPr>
          <w:color w:val="000000"/>
          <w:sz w:val="24"/>
        </w:rPr>
      </w:pPr>
      <w:r>
        <w:rPr>
          <w:color w:val="000000"/>
          <w:sz w:val="24"/>
        </w:rPr>
        <w:t>(1)	公允价值</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(a)	金融工具公允价值计量的方法</w:t>
      </w:r>
    </w:p>
    <w:p>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第一层次：相同资产或负债在活跃市场上未经调整的报价。</w:t>
      </w:r>
    </w:p>
    <w:p>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pPr>
        <w:spacing w:before="29" w:line="288" w:lineRule="auto"/>
        <w:ind w:firstLineChars="200" w:firstLine="480"/>
        <w:rPr>
          <w:color w:val="000000"/>
          <w:sz w:val="24"/>
        </w:rPr>
      </w:pPr>
      <w:r>
        <w:rPr>
          <w:color w:val="000000"/>
          <w:sz w:val="24"/>
        </w:rPr>
        <w:t>第三层次：相关资产或负债的不可观察输入值。</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(b)	持续的以公允价值计量的金融工具</w:t>
      </w:r>
    </w:p>
    <w:p>
      <w:pPr>
        <w:spacing w:before="29" w:line="288" w:lineRule="auto"/>
        <w:ind w:firstLineChars="200" w:firstLine="480"/>
        <w:rPr>
          <w:color w:val="000000"/>
          <w:sz w:val="24"/>
        </w:rPr>
      </w:pPr>
      <w:r>
        <w:rPr>
          <w:color w:val="000000"/>
          <w:sz w:val="24"/>
        </w:rPr>
        <w:t>(i)	各层次金融工具公允价值</w:t>
      </w:r>
    </w:p>
    <w:p>
      <w:pPr>
        <w:spacing w:before="29" w:line="288" w:lineRule="auto"/>
        <w:ind w:firstLineChars="200" w:firstLine="480"/>
        <w:rPr>
          <w:color w:val="000000"/>
          <w:sz w:val="24"/>
        </w:rPr>
      </w:pPr>
      <w:r>
        <w:rPr>
          <w:color w:val="000000"/>
          <w:sz w:val="24"/>
        </w:rPr>
        <w:t>于2017年12月31日，本基金持有的以公允价值计量且其变动计入当期损益的金融资产中属于属于第二层次的余额为1,391,134,692.00元，无属于第一层次和第三层次的余额(2016年12月31日：第二层次1,716,204,624.00元，第三层次20,960,000.00元，无第一层次)。</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(ii)	公允价值所属层次间的重大变动</w:t>
      </w:r>
    </w:p>
    <w:p>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pPr>
        <w:spacing w:before="29" w:line="288" w:lineRule="auto"/>
        <w:ind w:firstLineChars="200" w:firstLine="480"/>
        <w:rPr>
          <w:color w:val="000000"/>
          <w:sz w:val="24"/>
        </w:rPr>
      </w:pPr>
      <w:r>
        <w:rPr>
          <w:color w:val="000000"/>
          <w:sz w:val="24"/>
        </w:rPr>
        <w:t>(iii)	第三层次公允价值余额和本期变动金额</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			交易性金融资产</w:t>
      </w:r>
    </w:p>
    <w:p>
      <w:pPr>
        <w:spacing w:before="29" w:line="288" w:lineRule="auto"/>
        <w:ind w:firstLineChars="200" w:firstLine="480"/>
        <w:rPr>
          <w:color w:val="000000"/>
          <w:sz w:val="24"/>
        </w:rPr>
      </w:pPr>
      <w:r>
        <w:rPr>
          <w:color w:val="000000"/>
          <w:sz w:val="24"/>
        </w:rPr>
        <w:t>					 ——债券投资</w:t>
      </w:r>
    </w:p>
    <w:p>
      <w:pPr>
        <w:spacing w:before="29" w:line="288" w:lineRule="auto"/>
        <w:ind w:firstLineChars="200" w:firstLine="480"/>
        <w:rPr>
          <w:color w:val="000000"/>
          <w:sz w:val="24"/>
        </w:rPr>
      </w:pPr>
      <w:r>
        <w:rPr>
          <w:color w:val="000000"/>
          <w:sz w:val="24"/>
        </w:rPr>
        <w:t>					</w:t>
      </w:r>
    </w:p>
    <w:p>
      <w:pPr>
        <w:spacing w:before="29" w:line="288" w:lineRule="auto"/>
        <w:ind w:firstLineChars="200" w:firstLine="480"/>
        <w:rPr>
          <w:color w:val="000000"/>
          <w:sz w:val="24"/>
        </w:rPr>
      </w:pPr>
      <w:r>
        <w:rPr>
          <w:color w:val="000000"/>
          <w:sz w:val="24"/>
        </w:rPr>
        <w:t>2017年1月1日						20,960,000.00</w:t>
      </w:r>
    </w:p>
    <w:p>
      <w:pPr>
        <w:spacing w:before="29" w:line="288" w:lineRule="auto"/>
        <w:ind w:firstLineChars="200" w:firstLine="480"/>
        <w:rPr>
          <w:color w:val="000000"/>
          <w:sz w:val="24"/>
        </w:rPr>
      </w:pPr>
      <w:r>
        <w:rPr>
          <w:color w:val="000000"/>
          <w:sz w:val="24"/>
        </w:rPr>
        <w:t>转入第三层次						-</w:t>
      </w:r>
    </w:p>
    <w:p>
      <w:pPr>
        <w:spacing w:before="29" w:line="288" w:lineRule="auto"/>
        <w:ind w:firstLineChars="200" w:firstLine="480"/>
        <w:rPr>
          <w:color w:val="000000"/>
          <w:sz w:val="24"/>
        </w:rPr>
      </w:pPr>
      <w:r>
        <w:rPr>
          <w:color w:val="000000"/>
          <w:sz w:val="24"/>
        </w:rPr>
        <w:t>转出第三层次						6,494,684.24</w:t>
      </w:r>
    </w:p>
    <w:p>
      <w:pPr>
        <w:spacing w:before="29" w:line="288" w:lineRule="auto"/>
        <w:ind w:firstLineChars="200" w:firstLine="480"/>
        <w:rPr>
          <w:color w:val="000000"/>
          <w:sz w:val="24"/>
        </w:rPr>
      </w:pPr>
      <w:r>
        <w:rPr>
          <w:color w:val="000000"/>
          <w:sz w:val="24"/>
        </w:rPr>
        <w:t>当期利得或损失总额						</w:t>
      </w:r>
    </w:p>
    <w:p>
      <w:pPr>
        <w:spacing w:before="29" w:line="288" w:lineRule="auto"/>
        <w:ind w:firstLineChars="200" w:firstLine="480"/>
        <w:rPr>
          <w:color w:val="000000"/>
          <w:sz w:val="24"/>
        </w:rPr>
      </w:pPr>
      <w:r>
        <w:rPr>
          <w:color w:val="000000"/>
          <w:sz w:val="24"/>
        </w:rPr>
        <w:t>——计入损益的利得或损失						-14,465,315.76</w:t>
      </w:r>
    </w:p>
    <w:p>
      <w:pPr>
        <w:spacing w:before="29" w:line="288" w:lineRule="auto"/>
        <w:ind w:firstLineChars="200" w:firstLine="480"/>
        <w:rPr>
          <w:color w:val="000000"/>
          <w:sz w:val="24"/>
        </w:rPr>
      </w:pPr>
      <w:r>
        <w:rPr>
          <w:color w:val="000000"/>
          <w:sz w:val="24"/>
        </w:rPr>
        <w:t>2017年12月31日						-</w:t>
      </w:r>
    </w:p>
    <w:p>
      <w:pPr>
        <w:spacing w:before="29" w:line="288" w:lineRule="auto"/>
        <w:ind w:firstLineChars="200" w:firstLine="480"/>
        <w:rPr>
          <w:color w:val="000000"/>
          <w:sz w:val="24"/>
        </w:rPr>
      </w:pPr>
      <w:r>
        <w:rPr>
          <w:color w:val="000000"/>
          <w:sz w:val="24"/>
        </w:rPr>
        <w:t>						-</w:t>
      </w:r>
    </w:p>
    <w:p>
      <w:pPr>
        <w:spacing w:before="29" w:line="288" w:lineRule="auto"/>
        <w:ind w:firstLineChars="200" w:firstLine="480"/>
        <w:rPr>
          <w:color w:val="000000"/>
          <w:sz w:val="24"/>
        </w:rPr>
      </w:pPr>
      <w:r>
        <w:rPr>
          <w:color w:val="000000"/>
          <w:sz w:val="24"/>
        </w:rPr>
        <w:t>2017年12月31日扔持有的资产计入2017年度损益的未实现利得或损失的变动</w:t>
      </w:r>
    </w:p>
    <w:p>
      <w:pPr>
        <w:spacing w:before="29" w:line="288" w:lineRule="auto"/>
        <w:ind w:firstLineChars="200" w:firstLine="480"/>
        <w:rPr>
          <w:color w:val="000000"/>
          <w:sz w:val="24"/>
        </w:rPr>
      </w:pPr>
      <w:r>
        <w:rPr>
          <w:color w:val="000000"/>
          <w:sz w:val="24"/>
        </w:rPr>
        <w:t>——公允价值变动损益						</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计入损益的利得或损失分别计入利润表中的公允价值变动收益、投资收益等项目。</w:t>
      </w:r>
    </w:p>
    <w:p>
      <w:pPr>
        <w:spacing w:before="29" w:line="288" w:lineRule="auto"/>
        <w:ind w:firstLineChars="200" w:firstLine="480"/>
        <w:rPr>
          <w:color w:val="000000"/>
          <w:sz w:val="24"/>
        </w:rPr>
      </w:pPr>
      <w:r>
        <w:rPr>
          <w:color w:val="000000"/>
          <w:sz w:val="24"/>
        </w:rPr>
        <w:t>		交易性金融资产</w:t>
      </w:r>
    </w:p>
    <w:p>
      <w:pPr>
        <w:spacing w:before="29" w:line="288" w:lineRule="auto"/>
        <w:ind w:firstLineChars="200" w:firstLine="480"/>
        <w:rPr>
          <w:color w:val="000000"/>
          <w:sz w:val="24"/>
        </w:rPr>
      </w:pPr>
      <w:r>
        <w:rPr>
          <w:color w:val="000000"/>
          <w:sz w:val="24"/>
        </w:rPr>
        <w:t>		——债券投资</w:t>
      </w:r>
    </w:p>
    <w:p>
      <w:pPr>
        <w:spacing w:before="29" w:line="288" w:lineRule="auto"/>
        <w:ind w:firstLineChars="200" w:firstLine="480"/>
        <w:rPr>
          <w:color w:val="000000"/>
          <w:sz w:val="24"/>
        </w:rPr>
      </w:pPr>
      <w:r>
        <w:rPr>
          <w:color w:val="000000"/>
          <w:sz w:val="24"/>
        </w:rPr>
        <w:t>		</w:t>
      </w:r>
    </w:p>
    <w:p>
      <w:pPr>
        <w:spacing w:before="29" w:line="288" w:lineRule="auto"/>
        <w:ind w:firstLineChars="200" w:firstLine="480"/>
        <w:rPr>
          <w:color w:val="000000"/>
          <w:sz w:val="24"/>
        </w:rPr>
      </w:pPr>
      <w:r>
        <w:rPr>
          <w:color w:val="000000"/>
          <w:sz w:val="24"/>
        </w:rPr>
        <w:t>2016年1月1日			-</w:t>
      </w:r>
    </w:p>
    <w:p>
      <w:pPr>
        <w:spacing w:before="29" w:line="288" w:lineRule="auto"/>
        <w:ind w:firstLineChars="200" w:firstLine="480"/>
        <w:rPr>
          <w:color w:val="000000"/>
          <w:sz w:val="24"/>
        </w:rPr>
      </w:pPr>
      <w:r>
        <w:rPr>
          <w:color w:val="000000"/>
          <w:sz w:val="24"/>
        </w:rPr>
        <w:t>转入第三层级			20,960,000.00</w:t>
      </w:r>
    </w:p>
    <w:p>
      <w:pPr>
        <w:spacing w:before="29" w:line="288" w:lineRule="auto"/>
        <w:ind w:firstLineChars="200" w:firstLine="480"/>
        <w:rPr>
          <w:color w:val="000000"/>
          <w:sz w:val="24"/>
        </w:rPr>
      </w:pPr>
      <w:r>
        <w:rPr>
          <w:color w:val="000000"/>
          <w:sz w:val="24"/>
        </w:rPr>
        <w:t>转出第三层级			-</w:t>
      </w:r>
    </w:p>
    <w:p>
      <w:pPr>
        <w:spacing w:before="29" w:line="288" w:lineRule="auto"/>
        <w:ind w:firstLineChars="200" w:firstLine="480"/>
        <w:rPr>
          <w:color w:val="000000"/>
          <w:sz w:val="24"/>
        </w:rPr>
      </w:pPr>
      <w:r>
        <w:rPr>
          <w:color w:val="000000"/>
          <w:sz w:val="24"/>
        </w:rPr>
        <w:t>计入损益的利得或损失			-</w:t>
      </w:r>
    </w:p>
    <w:p>
      <w:pPr>
        <w:spacing w:before="29" w:line="288" w:lineRule="auto"/>
        <w:ind w:firstLineChars="200" w:firstLine="480"/>
        <w:rPr>
          <w:color w:val="000000"/>
          <w:sz w:val="24"/>
        </w:rPr>
      </w:pPr>
      <w:r>
        <w:rPr>
          <w:color w:val="000000"/>
          <w:sz w:val="24"/>
        </w:rPr>
        <w:t>2016年12月31日			20,960,000.00</w:t>
      </w:r>
    </w:p>
    <w:p>
      <w:pPr>
        <w:spacing w:before="29" w:line="288" w:lineRule="auto"/>
        <w:ind w:firstLineChars="200" w:firstLine="480"/>
        <w:rPr>
          <w:color w:val="000000"/>
          <w:sz w:val="24"/>
        </w:rPr>
      </w:pPr>
      <w:r>
        <w:rPr>
          <w:color w:val="000000"/>
          <w:sz w:val="24"/>
        </w:rPr>
        <w:t>			-29,015,000.00</w:t>
      </w:r>
    </w:p>
    <w:p>
      <w:pPr>
        <w:spacing w:before="29" w:line="288" w:lineRule="auto"/>
        <w:ind w:firstLineChars="200" w:firstLine="480"/>
        <w:rPr>
          <w:color w:val="000000"/>
          <w:sz w:val="24"/>
        </w:rPr>
      </w:pPr>
      <w:r>
        <w:rPr>
          <w:color w:val="000000"/>
          <w:sz w:val="24"/>
        </w:rPr>
        <w:t>2016年12月31日扔持有的资产计入2016年度损益的未实现利得或损失的变动</w:t>
      </w:r>
    </w:p>
    <w:p>
      <w:pPr>
        <w:spacing w:before="29" w:line="288" w:lineRule="auto"/>
        <w:ind w:firstLineChars="200" w:firstLine="480"/>
        <w:rPr>
          <w:color w:val="000000"/>
          <w:sz w:val="24"/>
        </w:rPr>
      </w:pPr>
      <w:r>
        <w:rPr>
          <w:color w:val="000000"/>
          <w:sz w:val="24"/>
        </w:rPr>
        <w:t>——公允价值变动损益			</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计入损益的利得或损失分别计入利润表中的公允价值变动收益等项目。</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由于相关债券投资的信用风险是不可观察输入值，故分类为第三层级。</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(c)	非持续的以公允价值计量的金融工具</w:t>
      </w:r>
    </w:p>
    <w:p>
      <w:pPr>
        <w:spacing w:before="29" w:line="288" w:lineRule="auto"/>
        <w:ind w:firstLineChars="200" w:firstLine="480"/>
        <w:rPr>
          <w:color w:val="000000"/>
          <w:sz w:val="24"/>
        </w:rPr>
      </w:pPr>
      <w:r>
        <w:rPr>
          <w:color w:val="000000"/>
          <w:sz w:val="24"/>
        </w:rPr>
        <w:t>于2017年12月31日，本基金未持有非持续的以公允价值计量的金融资产(2016年12月31日：同)。</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(d)	不以公允价值计量的金融工具</w:t>
      </w:r>
    </w:p>
    <w:p>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(2)	增值税</w:t>
      </w:r>
    </w:p>
    <w:p>
      <w:pPr>
        <w:spacing w:before="29" w:line="288" w:lineRule="auto"/>
        <w:ind w:firstLineChars="200" w:firstLine="480"/>
        <w:rPr>
          <w:color w:val="000000"/>
          <w:sz w:val="24"/>
        </w:rPr>
      </w:pPr>
      <w:r>
        <w:rPr>
          <w:color w:val="000000"/>
          <w:sz w:val="24"/>
        </w:rPr>
        <w:t>根据财政部、国家税务总局于2016年12月21日颁布的财税[2016]140号《关于明确金融 房地产开发 教育辅助服务等增值税政策的通知》的规定，资管产品运营过程中发生的增值税应税行为，以资管产品管理人为增值税纳税人。</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根据财政部、国家税务总局于2017年6月30日颁布的财税[2017]56号《关于资管产品增值税有关问题的通知》的规定，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此外，财政部、国家税务总局于2017年12月25日颁布的财税[2017]90号《关于租入固定资产进行税额抵扣等增值税政策的通知》对资管产品管理人自2018年1月1日起运营资管产品提供的贷款服务、发生的部分金融商品转让业务的销售额确定做出规定。</w:t>
      </w:r>
    </w:p>
    <w:p>
      <w:pPr>
        <w:spacing w:before="29" w:line="288" w:lineRule="auto"/>
        <w:ind w:firstLineChars="200" w:firstLine="480"/>
        <w:rPr>
          <w:color w:val="000000"/>
          <w:sz w:val="24"/>
        </w:rPr>
      </w:pPr>
      <w:r>
        <w:rPr>
          <w:color w:val="000000"/>
          <w:sz w:val="24"/>
        </w:rPr>
        <w:t/>
      </w:r>
    </w:p>
    <w:p>
      <w:pPr>
        <w:spacing w:before="29" w:line="288" w:lineRule="auto"/>
        <w:ind w:firstLineChars="200" w:firstLine="480"/>
        <w:rPr>
          <w:color w:val="000000"/>
          <w:sz w:val="24"/>
        </w:rPr>
      </w:pPr>
      <w:r>
        <w:rPr>
          <w:color w:val="000000"/>
          <w:sz w:val="24"/>
        </w:rPr>
        <w:t>上述税收政策对本基金截至2017年12月31日止的财务状况和经营成果无影响。</w:t>
      </w:r>
    </w:p>
    <w:p>
      <w:pPr>
        <w:spacing w:before="29" w:line="288" w:lineRule="auto"/>
        <w:ind w:firstLineChars="200" w:firstLine="480"/>
        <w:rPr>
          <w:color w:val="000000"/>
          <w:sz w:val="24"/>
        </w:rPr>
      </w:pPr>
      <w:r>
        <w:rPr>
          <w:color w:val="000000"/>
          <w:sz w:val="24"/>
        </w:rPr>
        <w:t/>
      </w:r>
    </w:p>
    <w:p w:rsidR="001A59F9" w:rsidRDefault="001A59F9" w:rsidP="00D92A8E">
      <w:pPr>
        <w:spacing w:before="29" w:line="288" w:lineRule="auto"/>
        <w:ind w:firstLineChars="200" w:firstLine="480"/>
        <w:rPr>
          <w:color w:val="000000"/>
          <w:sz w:val="24"/>
        </w:rPr>
      </w:pPr>
      <w:r w:rsidRPr="00D92A8E">
        <w:rPr>
          <w:color w:val="000000"/>
          <w:sz w:val="24"/>
        </w:rPr>
        <w:t>(3)	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afterLines="100" w:line="288" w:lineRule="auto"/>
        <w:jc w:val="center"/>
        <w:rPr>
          <w:b/>
          <w:bCs/>
          <w:szCs w:val="24"/>
          <w:lang w:val="en-US"/>
        </w:rPr>
      </w:pPr>
      <w:bookmarkStart w:id="63" w:name="_Toc225498272"/>
      <w:bookmarkStart w:id="64"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3"/>
      <w:bookmarkEnd w:id="6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5" w:name="_Toc225498273"/>
      <w:bookmarkStart w:id="66"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5"/>
      <w:bookmarkEnd w:id="66"/>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r w:rsidRPr="00BB271E">
              <w:rPr>
                <w:color w:val="000000"/>
                <w:sz w:val="24"/>
              </w:rPr>
              <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
            </w:r>
            <w:r w:rsidRPr="00103BEB">
              <w:rPr>
                <w:sz w:val="24"/>
              </w:rPr>
              <w:lastRenderedPageBreak/>
              <w:t>1,391,134,692.00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lastRenderedPageBreak/>
              <w:t/>
            </w:r>
            <w:r w:rsidRPr="00103BEB">
              <w:rPr>
                <w:sz w:val="24"/>
              </w:rPr>
              <w:lastRenderedPageBreak/>
              <w:t>97.71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1,391,134,692.00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97.71</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
            </w:r>
            <w:r w:rsidRPr="00103BEB">
              <w:rPr>
                <w:sz w:val="24"/>
              </w:rPr>
              <w:t/>
            </w: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
            </w:r>
            <w:r w:rsidRPr="00103BEB">
              <w:rPr>
                <w:sz w:val="24"/>
              </w:rPr>
              <w:t/>
            </w: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lastRenderedPageBreak/>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4,089,171.09</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0.29</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
            </w:r>
            <w:r w:rsidRPr="00103BEB">
              <w:rPr>
                <w:rFonts w:hint="eastAsia"/>
                <w:sz w:val="24"/>
              </w:rPr>
              <w:t/>
            </w: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28,527,330.01</w:t>
            </w:r>
          </w:p>
        </w:tc>
        <w:tc>
          <w:tcPr>
            <w:tcW w:w="1980" w:type="dxa"/>
            <w:vAlign w:val="center"/>
          </w:tcPr>
          <w:p w:rsidR="001E6CEE" w:rsidRPr="000008D1" w:rsidRDefault="001E6CEE" w:rsidP="00026C9C">
            <w:pPr>
              <w:spacing w:line="360" w:lineRule="auto"/>
              <w:jc w:val="right"/>
              <w:rPr>
                <w:sz w:val="24"/>
              </w:rPr>
            </w:pPr>
            <w:r w:rsidRPr="000008D1">
              <w:rPr>
                <w:sz w:val="24"/>
              </w:rPr>
              <w:t>2.00</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
            </w:r>
            <w:r w:rsidRPr="00103BEB">
              <w:rPr>
                <w:rFonts w:hint="eastAsia"/>
                <w:sz w:val="24"/>
              </w:rPr>
              <w:t/>
            </w: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1,423,751,193.10</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7" w:name="_Toc225498274"/>
      <w:bookmarkStart w:id="68"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7"/>
      <w:bookmarkEnd w:id="68"/>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72"/>
    </w:p>
    <w:p w:rsidR="001A59F9" w:rsidRDefault="001A59F9" w:rsidP="00E25C2A">
      <w:pPr>
        <w:tabs>
          <w:tab w:val="left" w:pos="426"/>
        </w:tabs>
        <w:spacing w:before="29" w:line="288" w:lineRule="auto"/>
        <w:jc w:val="left"/>
        <w:rPr>
          <w:kern w:val="0"/>
          <w:sz w:val="24"/>
        </w:rPr>
      </w:pPr>
      <w:r w:rsidRPr="00E25C2A">
        <w:rPr>
          <w:kern w:val="0"/>
          <w:sz w:val="24"/>
        </w:rPr>
        <w:t/>
      </w:r>
      <w:r w:rsidR="006678E7">
        <w:rPr>
          <w:rFonts w:hint="eastAsia"/>
          <w:kern w:val="0"/>
          <w:sz w:val="24"/>
        </w:rPr>
        <w:t/>
      </w:r>
      <w:r w:rsidRPr="00E25C2A">
        <w:rPr>
          <w:kern w:val="0"/>
          <w:sz w:val="24"/>
        </w:rPr>
        <w:t/>
      </w:r>
      <w:r w:rsidR="006678E7">
        <w:rPr>
          <w:rFonts w:hint="eastAsia"/>
          <w:kern w:val="0"/>
          <w:sz w:val="24"/>
        </w:rPr>
        <w:t/>
      </w:r>
      <w:r w:rsidR="00940998" w:rsidRPr="00940998">
        <w:rPr>
          <w:rFonts w:hint="eastAsia"/>
          <w:kern w:val="0"/>
          <w:sz w:val="24"/>
        </w:rPr>
        <w:t xml:space="preserve"/>
      </w:r>
      <w:r w:rsidR="00940998">
        <w:rPr>
          <w:rFonts w:hint="eastAsia"/>
          <w:kern w:val="0"/>
          <w:sz w:val="24"/>
        </w:rPr>
        <w:t xml:space="preserve"/>
      </w:r>
      <w:r w:rsidR="00D939FD">
        <w:rPr>
          <w:rFonts w:hint="eastAsia"/>
          <w:kern w:val="0"/>
          <w:sz w:val="24"/>
        </w:rPr>
        <w:t/>
      </w:r>
      <w:r w:rsidR="00D939FD">
        <w:rPr>
          <w:rFonts w:hint="eastAsia"/>
          <w:kern w:val="0"/>
          <w:sz w:val="24"/>
        </w:rPr>
        <w:t/>
      </w:r>
      <w:r w:rsidR="00D939FD">
        <w:rPr>
          <w:rFonts w:hint="eastAsia"/>
          <w:kern w:val="0"/>
          <w:sz w:val="24"/>
        </w:rPr>
        <w:t/>
      </w: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73" w:name="_Toc361324882"/>
      <w:r w:rsidRPr="00C2179A">
        <w:rPr>
          <w:rFonts w:ascii="Times New Roman" w:hAnsi="Times New Roman"/>
          <w:kern w:val="0"/>
          <w:szCs w:val="24"/>
        </w:rPr>
        <w:t>8.4</w:t>
      </w:r>
      <w:bookmarkStart w:id="74"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73"/>
      <w:bookmarkEnd w:id="74"/>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75" w:name="_Toc234814104"/>
      <w:bookmarkStart w:id="76"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5"/>
      <w:bookmarkEnd w:id="76"/>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r w:rsidRPr="0094326E">
              <w:rPr>
                <w:color w:val="000000"/>
                <w:sz w:val="24"/>
              </w:rPr>
              <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60,985,800.00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5.06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60,985,800.00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5.06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
            </w:r>
            <w:r w:rsidRPr="006E14CE">
              <w:rPr>
                <w:sz w:val="24"/>
              </w:rPr>
              <w:lastRenderedPageBreak/>
              <w:t>190,016,892.00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lastRenderedPageBreak/>
              <w:t/>
            </w:r>
            <w:r w:rsidRPr="006E14CE">
              <w:rPr>
                <w:sz w:val="24"/>
              </w:rPr>
              <w:lastRenderedPageBreak/>
              <w:t>15.77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lastRenderedPageBreak/>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531,051,000.00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44.06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427,140,000.00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35.44</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bookmarkStart w:id="77" w:name="_GoBack"/>
            <w:r w:rsidRPr="006E14CE">
              <w:rPr>
                <w:rFonts w:hint="eastAsia"/>
                <w:color w:val="000000"/>
                <w:sz w:val="24"/>
              </w:rPr>
              <w:t>可转债</w:t>
            </w:r>
            <w:bookmarkEnd w:id="77"/>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181,941,000.00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15.10</w:t>
            </w:r>
          </w:p>
        </w:tc>
      </w:tr>
      <w:tr w:rsidR="001A59F9" w:rsidRPr="008B2C7A" w:rsidTr="00804B04">
        <w:tc>
          <w:tcPr>
            <w:tcW w:w="862" w:type="dxa"/>
            <w:vAlign w:val="center"/>
          </w:tcPr>
          <w:p w:rsidR="001A59F9" w:rsidRPr="006E14CE" w:rsidRDefault="00804B04" w:rsidP="006E14CE">
            <w:pPr>
              <w:spacing w:before="29" w:line="288" w:lineRule="auto"/>
              <w:ind w:left="17"/>
              <w:jc w:val="center"/>
              <w:rPr>
                <w:color w:val="000000"/>
                <w:sz w:val="24"/>
              </w:rPr>
            </w:pPr>
            <w:r>
              <w:rPr>
                <w:color w:val="000000"/>
                <w:sz w:val="24"/>
              </w:rPr>
              <w:t/>
            </w:r>
            <w:r w:rsidR="001A59F9"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804B04" w:rsidP="006E14CE">
            <w:pPr>
              <w:spacing w:before="29" w:line="288" w:lineRule="auto"/>
              <w:ind w:left="17"/>
              <w:jc w:val="center"/>
              <w:rPr>
                <w:color w:val="000000"/>
                <w:sz w:val="24"/>
              </w:rPr>
            </w:pPr>
            <w:r>
              <w:rPr>
                <w:color w:val="000000"/>
                <w:sz w:val="24"/>
              </w:rPr>
              <w:t/>
            </w:r>
            <w:r w:rsidR="001A59F9"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1,391,134,692.00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115.42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8" w:name="_Toc361324884"/>
      <w:r w:rsidRPr="00C2179A">
        <w:rPr>
          <w:rFonts w:ascii="Times New Roman" w:hAnsi="Times New Roman"/>
          <w:kern w:val="0"/>
          <w:szCs w:val="24"/>
        </w:rPr>
        <w:t>8.6</w:t>
      </w:r>
      <w:bookmarkStart w:id="79"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8"/>
      <w:bookmarkEnd w:id="79"/>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1182277</w:t>
            </w:r>
          </w:p>
        </w:tc>
        <w:tc>
          <w:tcPr>
            <w:vAlign w:val="center"/>
          </w:tcPr>
          <w:p>
            <w:pPr>
              <w:jc w:val="center"/>
            </w:pPr>
            <w:r>
              <w:rPr>
                <w:color w:val="000000"/>
                <w:sz w:val="24"/>
              </w:rPr>
              <w:t>11中铁建MTN1</w:t>
            </w:r>
          </w:p>
        </w:tc>
        <w:tc>
          <w:tcPr>
            <w:vAlign w:val="center"/>
          </w:tcPr>
          <w:p>
            <w:pPr>
              <w:jc w:val="right"/>
            </w:pPr>
            <w:r>
              <w:rPr>
                <w:color w:val="000000"/>
                <w:sz w:val="24"/>
              </w:rPr>
              <w:t>600,000</w:t>
            </w:r>
          </w:p>
        </w:tc>
        <w:tc>
          <w:tcPr>
            <w:vAlign w:val="center"/>
          </w:tcPr>
          <w:p>
            <w:pPr>
              <w:jc w:val="right"/>
            </w:pPr>
            <w:r>
              <w:rPr>
                <w:color w:val="000000"/>
                <w:sz w:val="24"/>
              </w:rPr>
              <w:t>60,528,000.00</w:t>
            </w:r>
          </w:p>
        </w:tc>
        <w:tc>
          <w:tcPr>
            <w:vAlign w:val="center"/>
          </w:tcPr>
          <w:p>
            <w:pPr>
              <w:jc w:val="right"/>
            </w:pPr>
            <w:r>
              <w:rPr>
                <w:color w:val="000000"/>
                <w:sz w:val="24"/>
              </w:rPr>
              <w:t>5.02</w:t>
            </w:r>
          </w:p>
        </w:tc>
      </w:tr>
      <w:tr>
        <w:tc>
          <w:tcPr>
            <w:vAlign w:val="center"/>
          </w:tcPr>
          <w:p>
            <w:pPr>
              <w:jc w:val="center"/>
            </w:pPr>
            <w:r>
              <w:rPr>
                <w:color w:val="000000"/>
                <w:sz w:val="24"/>
              </w:rPr>
              <w:t>2</w:t>
            </w:r>
          </w:p>
        </w:tc>
        <w:tc>
          <w:tcPr>
            <w:vAlign w:val="center"/>
          </w:tcPr>
          <w:p>
            <w:pPr>
              <w:jc w:val="center"/>
            </w:pPr>
            <w:r>
              <w:rPr>
                <w:color w:val="000000"/>
                <w:sz w:val="24"/>
              </w:rPr>
              <w:t>041763005</w:t>
            </w:r>
          </w:p>
        </w:tc>
        <w:tc>
          <w:tcPr>
            <w:vAlign w:val="center"/>
          </w:tcPr>
          <w:p>
            <w:pPr>
              <w:jc w:val="center"/>
            </w:pPr>
            <w:r>
              <w:rPr>
                <w:color w:val="000000"/>
                <w:sz w:val="24"/>
              </w:rPr>
              <w:t>17湖北科投CP001</w:t>
            </w:r>
          </w:p>
        </w:tc>
        <w:tc>
          <w:tcPr>
            <w:vAlign w:val="center"/>
          </w:tcPr>
          <w:p>
            <w:pPr>
              <w:jc w:val="right"/>
            </w:pPr>
            <w:r>
              <w:rPr>
                <w:color w:val="000000"/>
                <w:sz w:val="24"/>
              </w:rPr>
              <w:t>600,000</w:t>
            </w:r>
          </w:p>
        </w:tc>
        <w:tc>
          <w:tcPr>
            <w:vAlign w:val="center"/>
          </w:tcPr>
          <w:p>
            <w:pPr>
              <w:jc w:val="right"/>
            </w:pPr>
            <w:r>
              <w:rPr>
                <w:color w:val="000000"/>
                <w:sz w:val="24"/>
              </w:rPr>
              <w:t>60,180,000.00</w:t>
            </w:r>
          </w:p>
        </w:tc>
        <w:tc>
          <w:tcPr>
            <w:vAlign w:val="center"/>
          </w:tcPr>
          <w:p>
            <w:pPr>
              <w:jc w:val="right"/>
            </w:pPr>
            <w:r>
              <w:rPr>
                <w:color w:val="000000"/>
                <w:sz w:val="24"/>
              </w:rPr>
              <w:t>4.99</w:t>
            </w:r>
          </w:p>
        </w:tc>
      </w:tr>
      <w:tr>
        <w:tc>
          <w:tcPr>
            <w:vAlign w:val="center"/>
          </w:tcPr>
          <w:p>
            <w:pPr>
              <w:jc w:val="center"/>
            </w:pPr>
            <w:r>
              <w:rPr>
                <w:color w:val="000000"/>
                <w:sz w:val="24"/>
              </w:rPr>
              <w:t>3</w:t>
            </w:r>
          </w:p>
        </w:tc>
        <w:tc>
          <w:tcPr>
            <w:vAlign w:val="center"/>
          </w:tcPr>
          <w:p>
            <w:pPr>
              <w:jc w:val="center"/>
            </w:pPr>
            <w:r>
              <w:rPr>
                <w:color w:val="000000"/>
                <w:sz w:val="24"/>
              </w:rPr>
              <w:t>170401</w:t>
            </w:r>
          </w:p>
        </w:tc>
        <w:tc>
          <w:tcPr>
            <w:vAlign w:val="center"/>
          </w:tcPr>
          <w:p>
            <w:pPr>
              <w:jc w:val="center"/>
            </w:pPr>
            <w:r>
              <w:rPr>
                <w:color w:val="000000"/>
                <w:sz w:val="24"/>
              </w:rPr>
              <w:t>17农发01</w:t>
            </w:r>
          </w:p>
        </w:tc>
        <w:tc>
          <w:tcPr>
            <w:vAlign w:val="center"/>
          </w:tcPr>
          <w:p>
            <w:pPr>
              <w:jc w:val="right"/>
            </w:pPr>
            <w:r>
              <w:rPr>
                <w:color w:val="000000"/>
                <w:sz w:val="24"/>
              </w:rPr>
              <w:t>600,000</w:t>
            </w:r>
          </w:p>
        </w:tc>
        <w:tc>
          <w:tcPr>
            <w:vAlign w:val="center"/>
          </w:tcPr>
          <w:p>
            <w:pPr>
              <w:jc w:val="right"/>
            </w:pPr>
            <w:r>
              <w:rPr>
                <w:color w:val="000000"/>
                <w:sz w:val="24"/>
              </w:rPr>
              <w:t>59,988,000.00</w:t>
            </w:r>
          </w:p>
        </w:tc>
        <w:tc>
          <w:tcPr>
            <w:vAlign w:val="center"/>
          </w:tcPr>
          <w:p>
            <w:pPr>
              <w:jc w:val="right"/>
            </w:pPr>
            <w:r>
              <w:rPr>
                <w:color w:val="000000"/>
                <w:sz w:val="24"/>
              </w:rPr>
              <w:t>4.98</w:t>
            </w:r>
          </w:p>
        </w:tc>
      </w:tr>
      <w:tr>
        <w:tc>
          <w:tcPr>
            <w:vAlign w:val="center"/>
          </w:tcPr>
          <w:p>
            <w:pPr>
              <w:jc w:val="center"/>
            </w:pPr>
            <w:r>
              <w:rPr>
                <w:color w:val="000000"/>
                <w:sz w:val="24"/>
              </w:rPr>
              <w:t>4</w:t>
            </w:r>
          </w:p>
        </w:tc>
        <w:tc>
          <w:tcPr>
            <w:vAlign w:val="center"/>
          </w:tcPr>
          <w:p>
            <w:pPr>
              <w:jc w:val="center"/>
            </w:pPr>
            <w:r>
              <w:rPr>
                <w:color w:val="000000"/>
                <w:sz w:val="24"/>
              </w:rPr>
              <w:t>011761063</w:t>
            </w:r>
          </w:p>
        </w:tc>
        <w:tc>
          <w:tcPr>
            <w:vAlign w:val="center"/>
          </w:tcPr>
          <w:p>
            <w:pPr>
              <w:jc w:val="center"/>
            </w:pPr>
            <w:r>
              <w:rPr>
                <w:color w:val="000000"/>
                <w:sz w:val="24"/>
              </w:rPr>
              <w:t>17柯桥国资SCP004</w:t>
            </w:r>
          </w:p>
        </w:tc>
        <w:tc>
          <w:tcPr>
            <w:vAlign w:val="center"/>
          </w:tcPr>
          <w:p>
            <w:pPr>
              <w:jc w:val="right"/>
            </w:pPr>
            <w:r>
              <w:rPr>
                <w:color w:val="000000"/>
                <w:sz w:val="24"/>
              </w:rPr>
              <w:t>500,000</w:t>
            </w:r>
          </w:p>
        </w:tc>
        <w:tc>
          <w:tcPr>
            <w:vAlign w:val="center"/>
          </w:tcPr>
          <w:p>
            <w:pPr>
              <w:jc w:val="right"/>
            </w:pPr>
            <w:r>
              <w:rPr>
                <w:color w:val="000000"/>
                <w:sz w:val="24"/>
              </w:rPr>
              <w:t>50,015,000.00</w:t>
            </w:r>
          </w:p>
        </w:tc>
        <w:tc>
          <w:tcPr>
            <w:vAlign w:val="center"/>
          </w:tcPr>
          <w:p>
            <w:pPr>
              <w:jc w:val="right"/>
            </w:pPr>
            <w:r>
              <w:rPr>
                <w:color w:val="000000"/>
                <w:sz w:val="24"/>
              </w:rPr>
              <w:t>4.15</w:t>
            </w:r>
          </w:p>
        </w:tc>
      </w:tr>
      <w:tr>
        <w:tc>
          <w:tcPr>
            <w:vAlign w:val="center"/>
          </w:tcPr>
          <w:p>
            <w:pPr>
              <w:jc w:val="center"/>
            </w:pPr>
            <w:r>
              <w:rPr>
                <w:color w:val="000000"/>
                <w:sz w:val="24"/>
              </w:rPr>
              <w:t>5</w:t>
            </w:r>
          </w:p>
        </w:tc>
        <w:tc>
          <w:tcPr>
            <w:vAlign w:val="center"/>
          </w:tcPr>
          <w:p>
            <w:pPr>
              <w:jc w:val="center"/>
            </w:pPr>
            <w:r>
              <w:rPr>
                <w:color w:val="000000"/>
                <w:sz w:val="24"/>
              </w:rPr>
              <w:t>011758104</w:t>
            </w:r>
          </w:p>
        </w:tc>
        <w:tc>
          <w:tcPr>
            <w:vAlign w:val="center"/>
          </w:tcPr>
          <w:p>
            <w:pPr>
              <w:jc w:val="center"/>
            </w:pPr>
            <w:r>
              <w:rPr>
                <w:color w:val="000000"/>
                <w:sz w:val="24"/>
              </w:rPr>
              <w:t>17中航资本SCP003</w:t>
            </w:r>
          </w:p>
        </w:tc>
        <w:tc>
          <w:tcPr>
            <w:vAlign w:val="center"/>
          </w:tcPr>
          <w:p>
            <w:pPr>
              <w:jc w:val="right"/>
            </w:pPr>
            <w:r>
              <w:rPr>
                <w:color w:val="000000"/>
                <w:sz w:val="24"/>
              </w:rPr>
              <w:t>500,000</w:t>
            </w:r>
          </w:p>
        </w:tc>
        <w:tc>
          <w:tcPr>
            <w:vAlign w:val="center"/>
          </w:tcPr>
          <w:p>
            <w:pPr>
              <w:jc w:val="right"/>
            </w:pPr>
            <w:r>
              <w:rPr>
                <w:color w:val="000000"/>
                <w:sz w:val="24"/>
              </w:rPr>
              <w:t>49,895,000.00</w:t>
            </w:r>
          </w:p>
        </w:tc>
        <w:tc>
          <w:tcPr>
            <w:vAlign w:val="center"/>
          </w:tcPr>
          <w:p>
            <w:pPr>
              <w:jc w:val="right"/>
            </w:pPr>
            <w:r>
              <w:rPr>
                <w:color w:val="000000"/>
                <w:sz w:val="24"/>
              </w:rPr>
              <w:t>4.14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0"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80"/>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81"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81"/>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rFonts w:hint="eastAsia"/>
          <w:kern w:val="0"/>
          <w:sz w:val="24"/>
        </w:rPr>
        <w:t/>
      </w: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B67021" w:rsidP="00C2179A">
      <w:pPr>
        <w:pStyle w:val="20"/>
        <w:spacing w:before="29" w:after="0" w:line="288" w:lineRule="auto"/>
        <w:rPr>
          <w:rFonts w:ascii="Times New Roman" w:hAnsi="Times New Roman"/>
          <w:kern w:val="0"/>
          <w:szCs w:val="24"/>
        </w:rPr>
      </w:pPr>
      <w:bookmarkStart w:id="82" w:name="_Toc361324887"/>
      <w:r w:rsidRPr="00C2179A">
        <w:rPr>
          <w:rFonts w:ascii="Times New Roman" w:hAnsi="Times New Roman"/>
          <w:kern w:val="0"/>
          <w:szCs w:val="24"/>
        </w:rPr>
        <w:t/>
      </w:r>
      <w:r w:rsidR="001A59F9" w:rsidRPr="00C2179A">
        <w:rPr>
          <w:rFonts w:ascii="Times New Roman" w:hAnsi="Times New Roman"/>
          <w:kern w:val="0"/>
          <w:szCs w:val="24"/>
        </w:rPr>
        <w:t xml:space="preserve">8.12 </w:t>
      </w:r>
      <w:r w:rsidR="001A59F9" w:rsidRPr="00C2179A">
        <w:rPr>
          <w:rFonts w:ascii="Times New Roman" w:hAnsi="Times New Roman" w:hint="eastAsia"/>
          <w:kern w:val="0"/>
          <w:szCs w:val="24"/>
        </w:rPr>
        <w:t>投资组合报告附注</w:t>
      </w:r>
      <w:bookmarkEnd w:id="82"/>
    </w:p>
    <w:p w:rsidR="001A59F9" w:rsidRDefault="00B67021" w:rsidP="003C214A">
      <w:pPr>
        <w:spacing w:before="29" w:line="288" w:lineRule="auto"/>
        <w:rPr>
          <w:sz w:val="24"/>
        </w:rPr>
      </w:pPr>
      <w:r w:rsidRPr="0072621B">
        <w:rPr>
          <w:b/>
          <w:sz w:val="24"/>
        </w:rPr>
        <w:t/>
      </w:r>
      <w:r w:rsidRPr="0072621B">
        <w:rPr>
          <w:rFonts w:hint="eastAsia"/>
          <w:b/>
          <w:sz w:val="24"/>
        </w:rPr>
        <w:t/>
      </w:r>
      <w:r w:rsidRPr="0072621B">
        <w:rPr>
          <w:b/>
          <w:sz w:val="24"/>
        </w:rPr>
        <w:t/>
      </w:r>
      <w:r w:rsidR="001A59F9" w:rsidRPr="0072621B">
        <w:rPr>
          <w:b/>
          <w:sz w:val="24"/>
        </w:rPr>
        <w:t>8.12.1</w:t>
      </w:r>
      <w:r w:rsidR="001A59F9" w:rsidRPr="004E66D4">
        <w:rPr>
          <w:sz w:val="24"/>
        </w:rPr>
        <w:t>报告期内本基金投资的前十名证券的发行主体除17中航资本SCP003（证券代码：011758104）外，未出现被监管部门立案调查，或在报告编制日前一年内受到公开谴责、处罚的情形。</w:t>
      </w:r>
    </w:p>
    <w:p>
      <w:pPr>
        <w:spacing w:before="29" w:line="288" w:lineRule="auto"/>
        <w:rPr>
          <w:sz w:val="24"/>
        </w:rPr>
      </w:pPr>
      <w:r>
        <w:rPr>
          <w:sz w:val="24"/>
        </w:rPr>
        <w:t>报告期内本基金投资的前十名证券之一17中航资本SCP003（证券代码：011758104）的发行主体中航资本于2017年12月13日公告，2017年12月11日公司子公司中航财务收到北京银监局的行政处罚决定书（京银监罚决字[2017]27号），北京银监局决定对中航财务做出如下行政处罚：责令中航财务改正，并给予50万元罚款的行政处罚。公司于2017年12月13日公告，近日公司控股子公司中航信托收到江西银监局出具的《行政处罚决定书》（赣银监罚决字[2017]48号），江西银监局决定对中航信托处以20万元罚款。</w:t>
      </w:r>
    </w:p>
    <w:p>
      <w:pPr>
        <w:spacing w:before="29" w:line="288" w:lineRule="auto"/>
        <w:rPr>
          <w:sz w:val="24"/>
        </w:rPr>
      </w:pPr>
      <w:r>
        <w:rPr>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824C87" w:rsidRPr="004E66D4" w:rsidRDefault="00824C87" w:rsidP="003C214A">
      <w:pPr>
        <w:spacing w:before="29" w:line="288" w:lineRule="auto"/>
        <w:rPr>
          <w:sz w:val="24"/>
        </w:rPr>
      </w:pPr>
    </w:p>
    <w:p w:rsidR="001A59F9" w:rsidRDefault="00B67021" w:rsidP="003C214A">
      <w:pPr>
        <w:spacing w:before="29" w:line="288" w:lineRule="auto"/>
        <w:rPr>
          <w:sz w:val="24"/>
        </w:rPr>
      </w:pPr>
      <w:r w:rsidRPr="0072621B">
        <w:rPr>
          <w:b/>
          <w:sz w:val="24"/>
        </w:rPr>
        <w:t/>
      </w:r>
      <w:r w:rsidRPr="0072621B">
        <w:rPr>
          <w:rFonts w:hint="eastAsia"/>
          <w:b/>
          <w:sz w:val="24"/>
        </w:rPr>
        <w:t/>
      </w:r>
      <w:r w:rsidRPr="0072621B">
        <w:rPr>
          <w:b/>
          <w:sz w:val="24"/>
        </w:rPr>
        <w:t/>
      </w:r>
      <w:r w:rsidR="001A59F9" w:rsidRPr="0072621B">
        <w:rPr>
          <w:b/>
          <w:sz w:val="24"/>
        </w:rPr>
        <w:t>8.12.2</w:t>
      </w:r>
      <w:r w:rsidR="001A59F9"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color w:val="000000"/>
          <w:kern w:val="0"/>
          <w:sz w:val="24"/>
        </w:rPr>
        <w:t/>
      </w: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r w:rsidRPr="00563B99">
              <w:rPr>
                <w:color w:val="000000"/>
                <w:sz w:val="24"/>
              </w:rPr>
              <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4,350.36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3,800,000.00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24,722,979.65</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28,527,330.01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A563D1" w:rsidP="00A25C9D">
      <w:pPr>
        <w:pStyle w:val="1"/>
        <w:keepNext/>
        <w:keepLines/>
        <w:widowControl w:val="0"/>
        <w:spacing w:beforeLines="100" w:afterLines="100" w:line="288" w:lineRule="auto"/>
        <w:jc w:val="center"/>
        <w:rPr>
          <w:b/>
          <w:bCs/>
          <w:szCs w:val="24"/>
          <w:lang w:val="en-US"/>
        </w:rPr>
      </w:pPr>
      <w:bookmarkStart w:id="83" w:name="_Toc225500050"/>
      <w:bookmarkStart w:id="84" w:name="_Toc361324888"/>
      <w:r w:rsidRPr="009E78DA">
        <w:rPr>
          <w:rFonts w:hint="eastAsia"/>
          <w:b/>
          <w:bCs/>
          <w:szCs w:val="24"/>
          <w:lang w:val="en-US"/>
        </w:rPr>
        <w:lastRenderedPageBreak/>
        <w:t/>
      </w:r>
      <w:r w:rsidR="001A59F9" w:rsidRPr="009E78DA">
        <w:rPr>
          <w:rFonts w:hint="eastAsia"/>
          <w:b/>
          <w:bCs/>
          <w:szCs w:val="24"/>
          <w:lang w:val="en-US"/>
        </w:rPr>
        <w:t>§</w:t>
      </w:r>
      <w:r w:rsidR="001A59F9" w:rsidRPr="009E78DA">
        <w:rPr>
          <w:b/>
          <w:bCs/>
          <w:szCs w:val="24"/>
          <w:lang w:val="en-US"/>
        </w:rPr>
        <w:t>9</w:t>
      </w:r>
      <w:r w:rsidR="009153A3" w:rsidRPr="009E78DA">
        <w:rPr>
          <w:rFonts w:hint="eastAsia"/>
          <w:b/>
          <w:bCs/>
          <w:szCs w:val="24"/>
          <w:lang w:val="en-US"/>
        </w:rPr>
        <w:t xml:space="preserve">  </w:t>
      </w:r>
      <w:r w:rsidR="001A59F9" w:rsidRPr="009E78DA">
        <w:rPr>
          <w:rFonts w:hint="eastAsia"/>
          <w:b/>
          <w:bCs/>
          <w:szCs w:val="24"/>
          <w:lang w:val="en-US"/>
        </w:rPr>
        <w:t>基金份额持有人信息</w:t>
      </w:r>
      <w:bookmarkEnd w:id="83"/>
      <w:bookmarkEnd w:id="84"/>
    </w:p>
    <w:p w:rsidR="001A59F9" w:rsidRPr="00C2179A" w:rsidRDefault="00A563D1" w:rsidP="00C2179A">
      <w:pPr>
        <w:pStyle w:val="20"/>
        <w:spacing w:before="29" w:after="0" w:line="288" w:lineRule="auto"/>
        <w:rPr>
          <w:rFonts w:ascii="Times New Roman" w:hAnsi="Times New Roman"/>
          <w:kern w:val="0"/>
          <w:szCs w:val="24"/>
        </w:rPr>
      </w:pPr>
      <w:bookmarkStart w:id="85" w:name="_Toc225500051"/>
      <w:bookmarkStart w:id="86" w:name="_Toc361324889"/>
      <w:r w:rsidRPr="00C2179A">
        <w:rPr>
          <w:rFonts w:ascii="Times New Roman" w:hAnsi="Times New Roman" w:hint="eastAsia"/>
          <w:kern w:val="0"/>
          <w:szCs w:val="24"/>
        </w:rPr>
        <w:t/>
      </w:r>
      <w:r w:rsidR="001A59F9" w:rsidRPr="00C2179A">
        <w:rPr>
          <w:rFonts w:ascii="Times New Roman" w:hAnsi="Times New Roman"/>
          <w:kern w:val="0"/>
          <w:szCs w:val="24"/>
        </w:rPr>
        <w:t xml:space="preserve">9.1 </w:t>
      </w:r>
      <w:r w:rsidR="001A59F9" w:rsidRPr="00C2179A">
        <w:rPr>
          <w:rFonts w:ascii="Times New Roman" w:hAnsi="Times New Roman" w:hint="eastAsia"/>
          <w:kern w:val="0"/>
          <w:szCs w:val="24"/>
        </w:rPr>
        <w:t>期末基金份额持有人户数及持有人结构</w:t>
      </w:r>
      <w:bookmarkEnd w:id="85"/>
      <w:bookmarkEnd w:id="86"/>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color w:val="000000"/>
          <w:kern w:val="0"/>
          <w:sz w:val="24"/>
        </w:rPr>
        <w:t/>
      </w:r>
      <w:r w:rsidRPr="002D6D65">
        <w:rPr>
          <w:rFonts w:hint="eastAsia"/>
          <w:color w:val="000000"/>
          <w:kern w:val="0"/>
          <w:sz w:val="24"/>
        </w:rPr>
        <w:t>份额单位：份</w:t>
      </w:r>
    </w:p>
    <w:tbl>
      <w:tblPr>
        <w:tblW w:w="5000" w:type="pct"/>
        <w:tblInd w:w="108" w:type="dxa"/>
        <w:tblLayout w:type="fixed"/>
        <w:tblLook w:val="00A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r w:rsidRPr="001A428A">
              <w:rPr>
                <w:szCs w:val="21"/>
              </w:rPr>
              <w:t/>
            </w:r>
            <w:r w:rsidRPr="001A428A">
              <w:rPr>
                <w:rFonts w:hint="eastAsia"/>
                <w:szCs w:val="21"/>
              </w:rPr>
              <w:t/>
            </w:r>
            <w:r w:rsidRPr="001A428A">
              <w:rPr>
                <w:szCs w:val="21"/>
              </w:rPr>
              <w:t/>
            </w:r>
            <w:r w:rsidRPr="001A428A">
              <w:rPr>
                <w:rFonts w:hint="eastAsia"/>
                <w:szCs w:val="21"/>
              </w:rPr>
              <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
            </w:r>
            <w:r w:rsidRPr="001A428A">
              <w:rPr>
                <w:rFonts w:hint="eastAsia"/>
                <w:szCs w:val="21"/>
              </w:rPr>
              <w:t/>
            </w:r>
            <w:r w:rsidRPr="001A428A">
              <w:rPr>
                <w:szCs w:val="21"/>
              </w:rPr>
              <w:t>交银裕通纯债债券A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22,145,287.90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1,193,250,041.98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99.78%</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2,595,504.60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0.22%</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lastRenderedPageBreak/>
              <w:t/>
            </w:r>
            <w:r w:rsidRPr="001A428A">
              <w:rPr>
                <w:rFonts w:hint="eastAsia"/>
                <w:szCs w:val="21"/>
              </w:rPr>
              <w:t/>
            </w:r>
            <w:r w:rsidRPr="001A428A">
              <w:rPr>
                <w:szCs w:val="21"/>
              </w:rPr>
              <w:t>交银裕通纯债债券C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174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2,556.31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444,797.55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228</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5,246,887.47</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1,193,250,041.98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99.75%</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3,040,302.15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0.25%</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8"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r w:rsidRPr="00640CFF">
              <w:rPr>
                <w:color w:val="000000"/>
                <w:sz w:val="24"/>
              </w:rPr>
              <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r w:rsidRPr="008D5FF3">
              <w:rPr>
                <w:color w:val="000000"/>
                <w:sz w:val="24"/>
              </w:rPr>
              <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交银裕通纯债债券A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149,281.17</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0.01%</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交银裕通纯债债券C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16,053.31</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3.61%</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
            </w:r>
            <w:r w:rsidRPr="006E3F38">
              <w:rPr>
                <w:color w:val="000000"/>
                <w:kern w:val="0"/>
                <w:sz w:val="24"/>
              </w:rPr>
              <w:lastRenderedPageBreak/>
              <w:t>165,334.48</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lastRenderedPageBreak/>
              <w:t/>
            </w:r>
            <w:r w:rsidRPr="006E3F38">
              <w:rPr>
                <w:color w:val="000000"/>
                <w:kern w:val="0"/>
                <w:sz w:val="24"/>
              </w:rPr>
              <w:lastRenderedPageBreak/>
              <w:t>0.01%</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r w:rsidRPr="008535CE">
              <w:rPr>
                <w:sz w:val="24"/>
              </w:rPr>
              <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
            </w:r>
            <w:r w:rsidRPr="007D35F8">
              <w:rPr>
                <w:color w:val="000000"/>
                <w:kern w:val="0"/>
                <w:sz w:val="24"/>
              </w:rPr>
              <w:t/>
            </w:r>
            <w:r w:rsidRPr="007D35F8">
              <w:rPr>
                <w:rFonts w:hint="eastAsia"/>
                <w:color w:val="000000"/>
                <w:kern w:val="0"/>
                <w:sz w:val="24"/>
              </w:rPr>
              <w:t>交银裕通纯债债券A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
            </w:r>
            <w:r w:rsidRPr="007D35F8">
              <w:rPr>
                <w:rFonts w:hint="eastAsia"/>
                <w:color w:val="000000"/>
                <w:kern w:val="0"/>
                <w:sz w:val="24"/>
              </w:rPr>
              <w:t/>
            </w: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
            </w:r>
            <w:r w:rsidRPr="007D35F8">
              <w:rPr>
                <w:color w:val="000000"/>
                <w:kern w:val="0"/>
                <w:sz w:val="24"/>
              </w:rPr>
              <w:t/>
            </w:r>
            <w:r w:rsidRPr="007D35F8">
              <w:rPr>
                <w:rFonts w:hint="eastAsia"/>
                <w:color w:val="000000"/>
                <w:kern w:val="0"/>
                <w:sz w:val="24"/>
              </w:rPr>
              <w:t>交银裕通纯债债券C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
            </w:r>
            <w:r w:rsidRPr="007D35F8">
              <w:rPr>
                <w:color w:val="000000"/>
                <w:kern w:val="0"/>
                <w:sz w:val="24"/>
              </w:rPr>
              <w:t/>
            </w:r>
            <w:r w:rsidRPr="007D35F8">
              <w:rPr>
                <w:rFonts w:hint="eastAsia"/>
                <w:color w:val="000000"/>
                <w:kern w:val="0"/>
                <w:sz w:val="24"/>
              </w:rPr>
              <w:t>交银裕通纯债债券A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
            </w:r>
            <w:r w:rsidRPr="007D35F8">
              <w:rPr>
                <w:color w:val="000000"/>
                <w:kern w:val="0"/>
                <w:sz w:val="24"/>
              </w:rPr>
              <w:t/>
            </w:r>
            <w:r w:rsidRPr="007D35F8">
              <w:rPr>
                <w:rFonts w:hint="eastAsia"/>
                <w:color w:val="000000"/>
                <w:kern w:val="0"/>
                <w:sz w:val="24"/>
              </w:rPr>
              <w:t>交银裕通纯债债券C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AC34AE" w:rsidP="00A25C9D">
      <w:pPr>
        <w:pStyle w:val="1"/>
        <w:keepNext/>
        <w:keepLines/>
        <w:widowControl w:val="0"/>
        <w:spacing w:beforeLines="100" w:afterLines="100" w:line="288" w:lineRule="auto"/>
        <w:jc w:val="center"/>
        <w:rPr>
          <w:b/>
          <w:bCs/>
          <w:szCs w:val="24"/>
          <w:lang w:val="en-US"/>
        </w:rPr>
      </w:pPr>
      <w:bookmarkStart w:id="89" w:name="_Toc225500053"/>
      <w:bookmarkStart w:id="90" w:name="_Toc361324892"/>
      <w:r w:rsidRPr="009440E4">
        <w:rPr>
          <w:b/>
          <w:bCs/>
          <w:szCs w:val="24"/>
          <w:lang w:val="en-US"/>
        </w:rPr>
        <w:t/>
      </w:r>
      <w:r w:rsidR="001A59F9" w:rsidRPr="009440E4">
        <w:rPr>
          <w:rFonts w:hint="eastAsia"/>
          <w:b/>
          <w:bCs/>
          <w:szCs w:val="24"/>
          <w:lang w:val="en-US"/>
        </w:rPr>
        <w:t>§</w:t>
      </w:r>
      <w:r w:rsidR="009153A3" w:rsidRPr="009440E4">
        <w:rPr>
          <w:b/>
          <w:bCs/>
          <w:szCs w:val="24"/>
          <w:lang w:val="en-US"/>
        </w:rPr>
        <w:t/>
      </w:r>
      <w:r w:rsidR="009153A3" w:rsidRPr="009440E4">
        <w:rPr>
          <w:rFonts w:hint="eastAsia"/>
          <w:b/>
          <w:bCs/>
          <w:szCs w:val="24"/>
          <w:lang w:val="en-US"/>
        </w:rPr>
        <w:t/>
      </w:r>
      <w:r w:rsidR="009153A3" w:rsidRPr="009440E4">
        <w:rPr>
          <w:b/>
          <w:bCs/>
          <w:szCs w:val="24"/>
          <w:lang w:val="en-US"/>
        </w:rPr>
        <w:t>10</w:t>
      </w:r>
      <w:r w:rsidR="009153A3" w:rsidRPr="009440E4">
        <w:rPr>
          <w:rFonts w:hint="eastAsia"/>
          <w:b/>
          <w:bCs/>
          <w:szCs w:val="24"/>
          <w:lang w:val="en-US"/>
        </w:rPr>
        <w:t xml:space="preserve">  </w:t>
      </w:r>
      <w:r w:rsidR="001A59F9" w:rsidRPr="009440E4">
        <w:rPr>
          <w:rFonts w:hint="eastAsia"/>
          <w:b/>
          <w:bCs/>
          <w:szCs w:val="24"/>
          <w:lang w:val="en-US"/>
        </w:rPr>
        <w:t>开放式基金份额变动</w:t>
      </w:r>
      <w:bookmarkEnd w:id="89"/>
      <w:bookmarkEnd w:id="90"/>
    </w:p>
    <w:p w:rsidR="001A59F9" w:rsidRPr="002D6D65" w:rsidRDefault="006B05F1" w:rsidP="002D6D65">
      <w:pPr>
        <w:autoSpaceDE w:val="0"/>
        <w:autoSpaceDN w:val="0"/>
        <w:adjustRightInd w:val="0"/>
        <w:spacing w:before="29" w:line="288" w:lineRule="auto"/>
        <w:ind w:left="15"/>
        <w:jc w:val="right"/>
        <w:rPr>
          <w:color w:val="000000"/>
          <w:kern w:val="0"/>
          <w:sz w:val="24"/>
        </w:rPr>
      </w:pPr>
      <w:r w:rsidRPr="002D6D65">
        <w:rPr>
          <w:color w:val="000000"/>
          <w:kern w:val="0"/>
          <w:sz w:val="24"/>
        </w:rPr>
        <w:t/>
      </w:r>
      <w:r w:rsidR="001A59F9"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交银裕通纯债债券A</w:t>
            </w:r>
          </w:p>
        </w:tc>
        <w:tc>
          <w:tcPr>
            <w:tcW w:w="1615" w:type="pct"/>
            <w:vAlign w:val="center"/>
          </w:tcPr>
          <w:p w:rsidR="00703495" w:rsidRPr="009440E4" w:rsidRDefault="00703495" w:rsidP="009440E4">
            <w:pPr>
              <w:spacing w:before="29" w:line="288" w:lineRule="auto"/>
              <w:jc w:val="center"/>
              <w:rPr>
                <w:sz w:val="24"/>
              </w:rPr>
            </w:pPr>
            <w:r w:rsidRPr="009440E4">
              <w:rPr>
                <w:sz w:val="24"/>
              </w:rPr>
              <w:t/>
            </w:r>
            <w:r w:rsidRPr="009440E4">
              <w:rPr>
                <w:rFonts w:hint="eastAsia"/>
                <w:sz w:val="24"/>
              </w:rPr>
              <w:t/>
            </w:r>
            <w:r w:rsidRPr="009440E4">
              <w:rPr>
                <w:sz w:val="24"/>
              </w:rPr>
              <w:t>交银裕通纯债债券C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2015年12月29日</w:t>
            </w:r>
            <w:r w:rsidRPr="009440E4">
              <w:rPr>
                <w:rFonts w:hint="eastAsia"/>
                <w:sz w:val="24"/>
              </w:rPr>
              <w:t>）基金份额总额</w:t>
            </w:r>
            <w:r w:rsidRPr="009440E4">
              <w:rPr>
                <w:sz w:val="24"/>
              </w:rPr>
              <w:t/>
            </w:r>
          </w:p>
        </w:tc>
        <w:tc>
          <w:tcPr>
            <w:tcW w:w="1614" w:type="pct"/>
            <w:vAlign w:val="center"/>
          </w:tcPr>
          <w:p w:rsidR="00703495" w:rsidRPr="009440E4" w:rsidRDefault="00703495" w:rsidP="009440E4">
            <w:pPr>
              <w:spacing w:before="29" w:line="288" w:lineRule="auto"/>
              <w:jc w:val="center"/>
              <w:rPr>
                <w:sz w:val="24"/>
              </w:rPr>
            </w:pPr>
            <w:r w:rsidRPr="009440E4">
              <w:rPr>
                <w:sz w:val="24"/>
              </w:rPr>
              <w:t>219,894,175.38</w:t>
            </w:r>
          </w:p>
        </w:tc>
        <w:tc>
          <w:tcPr>
            <w:tcW w:w="1615" w:type="pct"/>
            <w:vAlign w:val="center"/>
          </w:tcPr>
          <w:p w:rsidR="00703495" w:rsidRPr="009440E4" w:rsidRDefault="00703495" w:rsidP="009440E4">
            <w:pPr>
              <w:spacing w:before="29" w:line="288" w:lineRule="auto"/>
              <w:jc w:val="center"/>
              <w:rPr>
                <w:sz w:val="24"/>
              </w:rPr>
            </w:pPr>
            <w:r w:rsidRPr="009440E4">
              <w:rPr>
                <w:sz w:val="24"/>
              </w:rPr>
              <w:t>1,383,161.98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1,704,392,918.43</w:t>
            </w:r>
          </w:p>
        </w:tc>
        <w:tc>
          <w:tcPr>
            <w:tcW w:w="1615" w:type="pct"/>
            <w:vAlign w:val="bottom"/>
          </w:tcPr>
          <w:p w:rsidR="00703495" w:rsidRPr="009440E4" w:rsidRDefault="00703495" w:rsidP="009440E4">
            <w:pPr>
              <w:spacing w:before="29" w:line="288" w:lineRule="auto"/>
              <w:jc w:val="center"/>
              <w:rPr>
                <w:sz w:val="24"/>
              </w:rPr>
            </w:pPr>
            <w:r w:rsidRPr="009440E4">
              <w:rPr>
                <w:sz w:val="24"/>
              </w:rPr>
              <w:t/>
            </w:r>
            <w:r w:rsidRPr="009440E4">
              <w:rPr>
                <w:rFonts w:hint="eastAsia"/>
                <w:sz w:val="24"/>
              </w:rPr>
              <w:t/>
            </w:r>
            <w:r w:rsidRPr="009440E4">
              <w:rPr>
                <w:sz w:val="24"/>
              </w:rPr>
              <w:t>854,410.35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lastRenderedPageBreak/>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99,700,010.91</w:t>
            </w:r>
          </w:p>
        </w:tc>
        <w:tc>
          <w:tcPr>
            <w:tcW w:w="1615" w:type="pct"/>
            <w:vAlign w:val="bottom"/>
          </w:tcPr>
          <w:p w:rsidR="00703495" w:rsidRPr="009440E4" w:rsidRDefault="00703495" w:rsidP="009440E4">
            <w:pPr>
              <w:spacing w:before="29" w:line="288" w:lineRule="auto"/>
              <w:jc w:val="center"/>
              <w:rPr>
                <w:sz w:val="24"/>
              </w:rPr>
            </w:pPr>
            <w:r w:rsidRPr="009440E4">
              <w:rPr>
                <w:sz w:val="24"/>
              </w:rPr>
              <w:t>1,870.67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608,247,382.76</w:t>
            </w:r>
          </w:p>
        </w:tc>
        <w:tc>
          <w:tcPr>
            <w:tcW w:w="1615" w:type="pct"/>
            <w:vAlign w:val="bottom"/>
          </w:tcPr>
          <w:p w:rsidR="00703495" w:rsidRPr="009440E4" w:rsidRDefault="00703495" w:rsidP="009440E4">
            <w:pPr>
              <w:spacing w:before="29" w:line="288" w:lineRule="auto"/>
              <w:jc w:val="center"/>
              <w:rPr>
                <w:sz w:val="24"/>
              </w:rPr>
            </w:pPr>
            <w:r w:rsidRPr="009440E4">
              <w:rPr>
                <w:sz w:val="24"/>
              </w:rPr>
              <w:t>411,483.47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1,195,845,546.58</w:t>
            </w:r>
          </w:p>
        </w:tc>
        <w:tc>
          <w:tcPr>
            <w:tcW w:w="1615" w:type="pct"/>
            <w:vAlign w:val="center"/>
          </w:tcPr>
          <w:p w:rsidR="00703495" w:rsidRPr="009440E4" w:rsidRDefault="00703495" w:rsidP="009440E4">
            <w:pPr>
              <w:spacing w:before="29" w:line="288" w:lineRule="auto"/>
              <w:jc w:val="center"/>
              <w:rPr>
                <w:sz w:val="24"/>
              </w:rPr>
            </w:pPr>
            <w:r w:rsidRPr="009440E4">
              <w:rPr>
                <w:sz w:val="24"/>
              </w:rPr>
              <w:t>444,797.55</w:t>
            </w:r>
          </w:p>
        </w:tc>
      </w:tr>
    </w:tbl>
    <w:p>
      <w:pPr>
        <w:tabs>
          <w:tab w:val="left" w:pos="426"/>
        </w:tabs>
        <w:spacing w:before="29" w:line="288" w:lineRule="auto"/>
        <w:jc w:val="left"/>
        <w:rPr>
          <w:kern w:val="0"/>
          <w:sz w:val="24"/>
        </w:rPr>
      </w:pPr>
      <w:r>
        <w:rPr>
          <w:kern w:val="0"/>
          <w:sz w:val="24"/>
        </w:rPr>
        <w:t>注：1、如果本报告期间发生转换入、红利再投业务，则总申购份额中包含该业务；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2、如果本报告期间发生转换出业务，则总赎回份额中包含该业务。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afterLines="100" w:line="288" w:lineRule="auto"/>
        <w:jc w:val="center"/>
        <w:rPr>
          <w:b/>
          <w:bCs/>
          <w:szCs w:val="24"/>
          <w:lang w:val="en-US"/>
        </w:rPr>
      </w:pPr>
      <w:bookmarkStart w:id="91" w:name="_Toc225500054"/>
      <w:bookmarkStart w:id="92" w:name="_Toc361324893"/>
      <w:r w:rsidRPr="00B41097">
        <w:rPr>
          <w:rFonts w:hint="eastAsia"/>
          <w:b/>
          <w:bCs/>
          <w:szCs w:val="24"/>
          <w:lang w:val="en-US"/>
        </w:rPr>
        <w:t>§</w:t>
      </w:r>
      <w:r w:rsidR="009153A3" w:rsidRPr="00B41097">
        <w:rPr>
          <w:b/>
          <w:bCs/>
          <w:szCs w:val="24"/>
          <w:lang w:val="en-US"/>
        </w:rPr>
        <w:t/>
      </w:r>
      <w:r w:rsidR="009153A3" w:rsidRPr="00B41097">
        <w:rPr>
          <w:rFonts w:hint="eastAsia"/>
          <w:b/>
          <w:bCs/>
          <w:szCs w:val="24"/>
          <w:lang w:val="en-US"/>
        </w:rPr>
        <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91"/>
      <w:bookmarkEnd w:id="9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93"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93"/>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4"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94"/>
    </w:p>
    <w:p>
      <w:pPr>
        <w:spacing w:before="29" w:line="288" w:lineRule="auto"/>
        <w:ind w:firstLineChars="200" w:firstLine="480"/>
        <w:rPr>
          <w:color w:val="000000"/>
          <w:sz w:val="24"/>
        </w:rPr>
      </w:pPr>
      <w:r>
        <w:rPr>
          <w:color w:val="000000"/>
          <w:sz w:val="24"/>
        </w:rPr>
        <w:t xml:space="preserve">1、基金管理人的重大人事变动：本报告期内，本基金的基金管理人未发生重大人事变动。 </w:t>
      </w:r>
    </w:p>
    <w:p w:rsidR="001A59F9" w:rsidRPr="00FF415B" w:rsidRDefault="001A59F9" w:rsidP="00FF415B">
      <w:pPr>
        <w:spacing w:before="29" w:line="288" w:lineRule="auto"/>
        <w:ind w:firstLineChars="200" w:firstLine="480"/>
        <w:rPr>
          <w:color w:val="000000"/>
          <w:sz w:val="24"/>
        </w:rPr>
      </w:pPr>
      <w:r w:rsidRPr="00FF415B">
        <w:rPr>
          <w:color w:val="000000"/>
          <w:sz w:val="24"/>
        </w:rPr>
        <w:t>2、基金托管人的基金托管部门的重大人事变动：本基金托管人的专门基金托管部门本报告期内未发生重大人事变动。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5"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95"/>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6"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9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7" w:name="_Toc361324898"/>
      <w:r w:rsidRPr="00C2179A">
        <w:rPr>
          <w:rFonts w:ascii="Times New Roman" w:hAnsi="Times New Roman"/>
          <w:kern w:val="0"/>
          <w:szCs w:val="24"/>
        </w:rPr>
        <w:t>11.5</w:t>
      </w:r>
      <w:bookmarkEnd w:id="97"/>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8" w:name="OLE_LINK3"/>
      <w:r w:rsidRPr="00FF415B">
        <w:rPr>
          <w:color w:val="000000"/>
          <w:sz w:val="24"/>
        </w:rPr>
        <w:t>本报告期内，为本基金提供审计服务的会计师事务所为普华永道中天会计师事务所(特殊普通合伙)，本期审计费为90,000.00元。自本基金基金合同生效以来，本基金未改聘为其审计的会计师事务所。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9" w:name="_Toc361324899"/>
      <w:bookmarkEnd w:id="98"/>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9"/>
    </w:p>
    <w:p>
      <w:pPr>
        <w:spacing w:before="29" w:line="288" w:lineRule="auto"/>
        <w:ind w:firstLineChars="200" w:firstLine="480"/>
        <w:rPr>
          <w:color w:val="000000"/>
          <w:sz w:val="24"/>
        </w:rPr>
      </w:pPr>
      <w:r>
        <w:rPr>
          <w:color w:val="000000"/>
          <w:sz w:val="24"/>
        </w:rPr>
        <w:t>（1）管理人及其高级管理人员受稽查或处罚等情况</w:t>
      </w:r>
    </w:p>
    <w:p>
      <w:pPr>
        <w:spacing w:before="29" w:line="288" w:lineRule="auto"/>
        <w:ind w:firstLineChars="200" w:firstLine="480"/>
        <w:rPr>
          <w:color w:val="000000"/>
          <w:sz w:val="24"/>
        </w:rPr>
      </w:pPr>
      <w:r>
        <w:rPr>
          <w:color w:val="000000"/>
          <w:sz w:val="24"/>
        </w:rPr>
        <w:t>本报告期内公司收到中国证监会2016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pPr>
        <w:spacing w:before="29" w:line="288" w:lineRule="auto"/>
        <w:ind w:firstLineChars="200" w:firstLine="480"/>
        <w:rPr>
          <w:color w:val="000000"/>
          <w:sz w:val="24"/>
        </w:rPr>
      </w:pPr>
      <w:r>
        <w:rPr>
          <w:color w:val="000000"/>
          <w:sz w:val="24"/>
        </w:rPr>
        <w:t>（2）托管人及其高级管理人员受稽查或处罚等情况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本报告期内本基金托管人及其相关高级管理人员未受到任何稽查或处罚。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00"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100"/>
    </w:p>
    <w:p w:rsidR="001A59F9" w:rsidRPr="00C2179A" w:rsidRDefault="00573820" w:rsidP="00C2179A">
      <w:pPr>
        <w:pStyle w:val="20"/>
        <w:spacing w:before="29" w:after="0" w:line="288" w:lineRule="auto"/>
        <w:rPr>
          <w:rFonts w:ascii="Times New Roman" w:hAnsi="Times New Roman"/>
          <w:kern w:val="0"/>
          <w:szCs w:val="24"/>
        </w:rPr>
      </w:pPr>
      <w:bookmarkStart w:id="101" w:name="_Toc249760070"/>
      <w:r w:rsidRPr="00C2179A">
        <w:rPr>
          <w:rFonts w:ascii="Times New Roman" w:hAnsi="Times New Roman"/>
          <w:kern w:val="0"/>
          <w:szCs w:val="24"/>
        </w:rPr>
        <w:t/>
      </w:r>
      <w:r w:rsidR="001A59F9" w:rsidRPr="00C2179A">
        <w:rPr>
          <w:rFonts w:ascii="Times New Roman" w:hAnsi="Times New Roman"/>
          <w:kern w:val="0"/>
          <w:szCs w:val="24"/>
        </w:rPr>
        <w:t>11.7.1</w:t>
      </w:r>
      <w:r w:rsidR="001A59F9" w:rsidRPr="00C2179A">
        <w:rPr>
          <w:rFonts w:ascii="Times New Roman" w:hAnsi="Times New Roman" w:hint="eastAsia"/>
          <w:kern w:val="0"/>
          <w:szCs w:val="24"/>
        </w:rPr>
        <w:t>基金租用证券公司交易单元进行股票投资及佣金支付情况</w:t>
      </w:r>
      <w:bookmarkEnd w:id="101"/>
    </w:p>
    <w:p w:rsidR="001A59F9" w:rsidRPr="002D6D65" w:rsidRDefault="00573820" w:rsidP="002D6D65">
      <w:pPr>
        <w:autoSpaceDE w:val="0"/>
        <w:autoSpaceDN w:val="0"/>
        <w:adjustRightInd w:val="0"/>
        <w:spacing w:before="29" w:line="288" w:lineRule="auto"/>
        <w:ind w:left="15"/>
        <w:jc w:val="right"/>
        <w:rPr>
          <w:color w:val="000000"/>
          <w:kern w:val="0"/>
          <w:sz w:val="24"/>
        </w:rPr>
      </w:pPr>
      <w:r w:rsidRPr="002D6D65">
        <w:rPr>
          <w:color w:val="000000"/>
          <w:kern w:val="0"/>
          <w:sz w:val="24"/>
        </w:rPr>
        <w:t/>
      </w:r>
      <w:r w:rsidR="001A59F9"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102" w:name="_Toc249760071"/>
            <w:r w:rsidRPr="00A53BDB">
              <w:rPr>
                <w:rFonts w:hint="eastAsia"/>
                <w:color w:val="000000"/>
                <w:szCs w:val="21"/>
              </w:rPr>
              <w:t>券商名称</w:t>
            </w:r>
            <w:r w:rsidR="006C2116" w:rsidRPr="00A53BDB">
              <w:rPr>
                <w:color w:val="000000"/>
                <w:szCs w:val="21"/>
              </w:rPr>
              <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tc>
          <w:tcPr>
            <w:vAlign w:val="center"/>
          </w:tcPr>
          <w:p>
            <w:pPr>
              <w:jc w:val="left"/>
            </w:pPr>
            <w:r>
              <w:rPr>
                <w:color w:val="000000"/>
                <w:szCs w:val="21"/>
              </w:rPr>
              <w:t>长江证券股份有限公司</w:t>
            </w:r>
          </w:p>
        </w:tc>
        <w:tc>
          <w:tcPr>
            <w:vAlign w:val="center"/>
          </w:tcPr>
          <w:p>
            <w:pPr>
              <w:jc w:val="right"/>
            </w:pPr>
            <w:r>
              <w:rPr>
                <w:color w:val="000000"/>
                <w:szCs w:val="21"/>
              </w:rPr>
              <w:t>2</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102"/>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103" w:name="_Toc249707408"/>
      <w:r w:rsidRPr="002D6D65">
        <w:rPr>
          <w:color w:val="000000"/>
          <w:kern w:val="0"/>
          <w:sz w:val="24"/>
        </w:rPr>
        <w:t/>
      </w:r>
      <w:r w:rsidRPr="002D6D65">
        <w:rPr>
          <w:rFonts w:hint="eastAsia"/>
          <w:color w:val="000000"/>
          <w:kern w:val="0"/>
          <w:sz w:val="24"/>
        </w:rPr>
        <w:t>金额单位：人民币元</w:t>
      </w:r>
      <w:bookmarkEnd w:id="10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r w:rsidR="00DC43D0" w:rsidRPr="00A53BDB">
              <w:rPr>
                <w:color w:val="000000"/>
                <w:szCs w:val="21"/>
              </w:rPr>
              <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tc>
          <w:tcPr>
            <w:vAlign w:val="center"/>
          </w:tcPr>
          <w:p>
            <w:pPr>
              <w:jc w:val="left"/>
            </w:pPr>
            <w:r>
              <w:rPr>
                <w:szCs w:val="21"/>
              </w:rPr>
              <w:t>长江证券股份有限公司</w:t>
            </w:r>
          </w:p>
        </w:tc>
        <w:tc>
          <w:tcPr>
            <w:vAlign w:val="center"/>
          </w:tcPr>
          <w:p>
            <w:pPr>
              <w:jc w:val="right"/>
            </w:pPr>
            <w:r>
              <w:rPr>
                <w:szCs w:val="21"/>
              </w:rPr>
              <w:t>237,832,079.54</w:t>
            </w:r>
          </w:p>
        </w:tc>
        <w:tc>
          <w:tcPr>
            <w:vAlign w:val="center"/>
          </w:tcPr>
          <w:p>
            <w:pPr>
              <w:jc w:val="right"/>
            </w:pPr>
            <w:r>
              <w:rPr>
                <w:szCs w:val="21"/>
              </w:rPr>
              <w:t>100.00%</w:t>
            </w:r>
          </w:p>
        </w:tc>
        <w:tc>
          <w:tcPr>
            <w:vAlign w:val="center"/>
          </w:tcPr>
          <w:p>
            <w:pPr>
              <w:jc w:val="right"/>
            </w:pPr>
            <w:r>
              <w:rPr>
                <w:szCs w:val="21"/>
              </w:rPr>
              <w:t>6,963,400,000.00</w:t>
            </w:r>
          </w:p>
        </w:tc>
        <w:tc>
          <w:tcPr>
            <w:vAlign w:val="center"/>
          </w:tcPr>
          <w:p>
            <w:pPr>
              <w:jc w:val="right"/>
            </w:pPr>
            <w:r>
              <w:rPr>
                <w:szCs w:val="21"/>
              </w:rPr>
              <w:t>100.00%</w:t>
            </w:r>
          </w:p>
        </w:tc>
        <w:tc>
          <w:tcPr>
            <w:vAlign w:val="center"/>
          </w:tcPr>
          <w:p>
            <w:pPr>
              <w:jc w:val="right"/>
            </w:pPr>
            <w:r>
              <w:rPr>
                <w:szCs w:val="21"/>
              </w:rPr>
              <w:t>-</w:t>
            </w:r>
          </w:p>
        </w:tc>
        <w:tc>
          <w:tcPr>
            <w:vAlign w:val="center"/>
          </w:tcPr>
          <w:p>
            <w:pPr>
              <w:jc w:val="right"/>
            </w:pPr>
            <w:r>
              <w:rPr>
                <w:szCs w:val="21"/>
              </w:rPr>
              <w:t>-</w:t>
            </w:r>
          </w:p>
        </w:tc>
      </w:tr>
    </w:tbl>
    <w:p>
      <w:pPr>
        <w:tabs>
          <w:tab w:val="left" w:pos="426"/>
        </w:tabs>
        <w:spacing w:before="29" w:line="288" w:lineRule="auto"/>
        <w:jc w:val="left"/>
        <w:rPr>
          <w:kern w:val="0"/>
          <w:sz w:val="24"/>
        </w:rPr>
      </w:pPr>
      <w:r>
        <w:rPr>
          <w:kern w:val="0"/>
          <w:sz w:val="24"/>
        </w:rPr>
        <w:t>注：1、报告期内，本基金交易单元未发生变化；</w:t>
      </w:r>
    </w:p>
    <w:p>
      <w:pPr>
        <w:tabs>
          <w:tab w:val="left" w:pos="426"/>
        </w:tabs>
        <w:spacing w:before="29" w:line="288" w:lineRule="auto"/>
        <w:jc w:val="left"/>
        <w:rPr>
          <w:kern w:val="0"/>
          <w:sz w:val="24"/>
        </w:rPr>
      </w:pPr>
      <w:r>
        <w:rPr>
          <w:kern w:val="0"/>
          <w:sz w:val="24"/>
        </w:rPr>
        <w:t>2、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A25C9D">
      <w:pPr>
        <w:pStyle w:val="1"/>
        <w:keepNext/>
        <w:keepLines/>
        <w:widowControl w:val="0"/>
        <w:spacing w:beforeLines="100" w:afterLines="100" w:line="360" w:lineRule="auto"/>
        <w:jc w:val="center"/>
        <w:rPr>
          <w:rFonts w:eastAsiaTheme="minorEastAsia"/>
          <w:b/>
          <w:bCs/>
          <w:sz w:val="21"/>
          <w:szCs w:val="21"/>
          <w:lang w:val="en-US"/>
        </w:rPr>
      </w:pPr>
      <w:bookmarkStart w:id="104" w:name="_Toc374532345"/>
      <w:r w:rsidRPr="00723729">
        <w:rPr>
          <w:rFonts w:eastAsiaTheme="minorEastAsia"/>
          <w:b/>
          <w:bCs/>
          <w:color w:val="000000"/>
          <w:sz w:val="21"/>
          <w:szCs w:val="21"/>
        </w:rPr>
        <w:lastRenderedPageBreak/>
        <w:t/>
      </w:r>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04"/>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2017/1/1-2017/12/31</w:t>
            </w:r>
          </w:p>
        </w:tc>
        <w:tc>
          <w:tcPr>
            <w:vAlign w:val="center"/>
          </w:tcPr>
          <w:p>
            <w:pPr>
              <w:jc w:val="center"/>
            </w:pPr>
            <w:r>
              <w:rPr>
                <w:rFonts w:ascii="宋体" w:hAnsi="宋体"/>
                <w:color w:val="000000"/>
                <w:kern w:val="0"/>
                <w:szCs w:val="21"/>
              </w:rPr>
              <w:t>1,693,550,141.68</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600,000,000.00</w:t>
            </w:r>
          </w:p>
        </w:tc>
        <w:tc>
          <w:tcPr>
            <w:vAlign w:val="center"/>
          </w:tcPr>
          <w:p>
            <w:pPr>
              <w:jc w:val="center"/>
            </w:pPr>
            <w:r>
              <w:rPr>
                <w:rFonts w:ascii="宋体" w:hAnsi="宋体"/>
                <w:color w:val="000000"/>
                <w:kern w:val="0"/>
                <w:szCs w:val="21"/>
              </w:rPr>
              <w:t>1,093,550,141.68</w:t>
            </w:r>
          </w:p>
        </w:tc>
        <w:tc>
          <w:tcPr>
            <w:vAlign w:val="center"/>
          </w:tcPr>
          <w:p>
            <w:pPr>
              <w:jc w:val="center"/>
            </w:pPr>
            <w:r>
              <w:rPr>
                <w:rFonts w:ascii="宋体" w:hAnsi="宋体"/>
                <w:color w:val="000000"/>
                <w:kern w:val="0"/>
                <w:szCs w:val="21"/>
              </w:rPr>
              <w:t>91.41%</w:t>
            </w:r>
          </w:p>
        </w:tc>
      </w:tr>
    </w:tbl>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12"/>
      </w:tblGrid>
      <w:tr w:rsidR="00A25C9D" w:rsidRPr="004F0662" w:rsidTr="00C349C2">
        <w:tc>
          <w:tcPr>
            <w:tcW w:w="9212" w:type="dxa"/>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r w:rsidRPr="004F0662">
              <w:rPr>
                <w:rFonts w:ascii="宋体" w:hAnsi="宋体"/>
                <w:kern w:val="0"/>
                <w:szCs w:val="21"/>
              </w:rPr>
              <w:t/>
            </w:r>
            <w:r w:rsidRPr="004F0662">
              <w:rPr>
                <w:rFonts w:ascii="宋体" w:hAnsi="宋体" w:hint="eastAsia"/>
                <w:kern w:val="0"/>
                <w:szCs w:val="21"/>
              </w:rPr>
              <w:t/>
            </w:r>
            <w:r w:rsidRPr="004F0662">
              <w:rPr>
                <w:rFonts w:ascii="宋体" w:hAnsi="宋体"/>
                <w:kern w:val="0"/>
                <w:szCs w:val="21"/>
              </w:rPr>
              <w:t/>
            </w:r>
          </w:p>
        </w:tc>
      </w:tr>
      <w:tr w:rsidR="00A25C9D" w:rsidRPr="004F0662" w:rsidTr="00C349C2">
        <w:tc>
          <w:tcPr>
            <w:tcW w:w="9212" w:type="dxa"/>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
            </w:r>
            <w:r w:rsidRPr="004F0662">
              <w:rPr>
                <w:rFonts w:ascii="宋体" w:hAnsi="宋体"/>
                <w:kern w:val="0"/>
                <w:szCs w:val="21"/>
              </w:rPr>
              <w:t/>
            </w: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0662">
              <w:rPr>
                <w:rFonts w:ascii="宋体" w:hAnsi="宋体"/>
                <w:kern w:val="0"/>
                <w:szCs w:val="21"/>
              </w:rPr>
              <w:t/>
            </w:r>
          </w:p>
        </w:tc>
      </w:tr>
    </w:tbl>
    <w:p w:rsidR="001A59F9" w:rsidRPr="001C1143" w:rsidRDefault="00E5367C" w:rsidP="001C1143">
      <w:pPr>
        <w:spacing w:before="29" w:line="288" w:lineRule="auto"/>
        <w:ind w:firstLineChars="200" w:firstLine="482"/>
        <w:jc w:val="right"/>
        <w:rPr>
          <w:b/>
          <w:color w:val="000000"/>
          <w:sz w:val="24"/>
        </w:rPr>
      </w:pPr>
      <w:r w:rsidRPr="001C1143">
        <w:rPr>
          <w:rFonts w:hint="eastAsia"/>
          <w:b/>
          <w:color w:val="000000"/>
          <w:sz w:val="24"/>
        </w:rPr>
        <w:t/>
      </w:r>
      <w:r w:rsidR="001A59F9" w:rsidRPr="001C1143">
        <w:rPr>
          <w:b/>
          <w:color w:val="000000"/>
          <w:sz w:val="24"/>
        </w:rPr>
        <w:t>交银施罗德基金管理有限公司</w:t>
      </w:r>
    </w:p>
    <w:p w:rsidR="00230D58" w:rsidRPr="001C1143" w:rsidRDefault="00E5367C" w:rsidP="001C1143">
      <w:pPr>
        <w:spacing w:before="29" w:line="288" w:lineRule="auto"/>
        <w:ind w:firstLineChars="200" w:firstLine="482"/>
        <w:jc w:val="right"/>
        <w:rPr>
          <w:b/>
          <w:color w:val="000000"/>
          <w:sz w:val="24"/>
        </w:rPr>
      </w:pPr>
      <w:r w:rsidRPr="001C1143">
        <w:rPr>
          <w:rFonts w:hint="eastAsia"/>
          <w:b/>
          <w:color w:val="000000"/>
          <w:sz w:val="24"/>
        </w:rPr>
        <w:t/>
      </w:r>
      <w:r w:rsidR="00A77C51"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C22" w:rsidRDefault="00592C22">
      <w:r>
        <w:separator/>
      </w:r>
    </w:p>
  </w:endnote>
  <w:endnote w:type="continuationSeparator" w:id="0">
    <w:p w:rsidR="00592C22" w:rsidRDefault="00592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A25C9D">
      <w:rPr>
        <w:noProof/>
        <w:kern w:val="0"/>
        <w:szCs w:val="21"/>
      </w:rPr>
      <w:t>70</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A25C9D">
      <w:rPr>
        <w:noProof/>
        <w:kern w:val="0"/>
        <w:szCs w:val="21"/>
      </w:rPr>
      <w:t>70</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C22" w:rsidRDefault="00592C22">
      <w:r>
        <w:separator/>
      </w:r>
    </w:p>
  </w:footnote>
  <w:footnote w:type="continuationSeparator" w:id="0">
    <w:p w:rsidR="00592C22" w:rsidRDefault="00592C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ody Text Indent 2" w:uiPriority="0"/>
    <w:lsdException w:name="Strong" w:locked="1" w:semiHidden="0" w:uiPriority="22" w:unhideWhenUsed="0" w:qFormat="1"/>
    <w:lsdException w:name="Emphasis" w:locked="1" w:semiHidden="0" w:uiPriority="0" w:unhideWhenUsed="0" w:qFormat="1"/>
    <w:lsdException w:name="Plain Text" w:uiPriority="0"/>
    <w:lsdException w:name="No List" w:locked="1"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r="http://schemas.openxmlformats.org/officeDocument/2006/relationships" xmlns:w="http://schemas.openxmlformats.org/wordprocessingml/2006/main">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media/image4.jpeg" Type="http://schemas.openxmlformats.org/officeDocument/2006/relationships/image"/>
<Relationship Id="rId11" Target="media/image5.jpeg" Type="http://schemas.openxmlformats.org/officeDocument/2006/relationships/image"/>
<Relationship Id="rId12" Target="footer1.xml" Type="http://schemas.openxmlformats.org/officeDocument/2006/relationships/footer"/>
<Relationship Id="rId13" Target="footer2.xml" Type="http://schemas.openxmlformats.org/officeDocument/2006/relationships/footer"/>
<Relationship Id="rId14" Target="fontTable.xml" Type="http://schemas.openxmlformats.org/officeDocument/2006/relationships/fontTable"/>
<Relationship Id="rId15"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media/image2.jpeg" Type="http://schemas.openxmlformats.org/officeDocument/2006/relationships/image"/>
<Relationship Id="rId9" Target="media/image3.jpeg" Type="http://schemas.openxmlformats.org/officeDocument/2006/relationships/image"/>
</Relationships>

</file>

<file path=word/_rels/header1.xml.rels><?xml version="1.0" encoding="UTF-8" standalone="yes"?>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70</Pages>
  <Words>12742</Words>
  <Characters>72630</Characters>
  <Application>Microsoft Office Word</Application>
  <DocSecurity>0</DocSecurity>
  <Lines>605</Lines>
  <Paragraphs>170</Paragraphs>
  <ScaleCrop>false</ScaleCrop>
  <Company/>
  <LinksUpToDate>false</LinksUpToDate>
  <CharactersWithSpaces>85202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2013-08-19T02:39:00Z</dcterms:created>
  <dc:creator>bonnieliu</dc:creator>
  <cp:lastModifiedBy>Administrator</cp:lastModifiedBy>
  <cp:lastPrinted>2007-07-19T00:46:00Z</cp:lastPrinted>
  <dcterms:modified xsi:type="dcterms:W3CDTF">2018-02-27T02:21:00Z</dcterms:modified>
  <cp:revision>624</cp:revision>
</cp:coreProperties>
</file>