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交银施罗德丰硕收益债券型证券投资基金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2017</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2017</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中信银行股份有限公司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二〇一八年三月二十八日</w:t>
      </w: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中信银行股份有限公司</w:t>
      </w:r>
      <w:r w:rsidR="00D91873">
        <w:rPr>
          <w:color w:val="000000"/>
          <w:sz w:val="24"/>
        </w:rPr>
        <w:t>(</w:t>
      </w:r>
      <w:r w:rsidR="00D91873">
        <w:rPr>
          <w:rFonts w:hint="eastAsia"/>
          <w:color w:val="000000"/>
          <w:sz w:val="24"/>
        </w:rPr>
        <w:t>以下简称“</w:t>
      </w:r>
      <w:r w:rsidR="00D91873">
        <w:rPr>
          <w:color w:val="000000"/>
          <w:sz w:val="24"/>
        </w:rPr>
        <w:t>中信银行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2018</w:t>
      </w:r>
      <w:r w:rsidRPr="00FF0E34">
        <w:rPr>
          <w:color w:val="000000"/>
          <w:sz w:val="24"/>
        </w:rPr>
        <w:t>年</w:t>
      </w:r>
      <w:r w:rsidRPr="00FF0E34">
        <w:rPr>
          <w:color w:val="000000"/>
          <w:sz w:val="24"/>
        </w:rPr>
        <w:t>3</w:t>
      </w:r>
      <w:r w:rsidRPr="00FF0E34">
        <w:rPr>
          <w:color w:val="000000"/>
          <w:sz w:val="24"/>
        </w:rPr>
        <w:t>月</w:t>
      </w:r>
      <w:r w:rsidRPr="00FF0E34">
        <w:rPr>
          <w:color w:val="000000"/>
          <w:sz w:val="24"/>
        </w:rPr>
        <w:t>27</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2017</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交银丰硕收益债券</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519758</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519758</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w:t>
            </w:r>
            <w:r w:rsidRPr="00AF05D4">
              <w:rPr>
                <w:sz w:val="24"/>
              </w:rPr>
              <w:t>,</w:t>
            </w:r>
            <w:r w:rsidRPr="00AF05D4">
              <w:rPr>
                <w:sz w:val="24"/>
              </w:rPr>
              <w:t>本基金在基金合同生效之日起两年（含两年）的期间内封闭式运作（按照基金合同的约定提前转换基金运作方式的除外），封闭期结束后转为开放式运作。</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2015</w:t>
            </w:r>
            <w:r w:rsidRPr="00AF05D4">
              <w:rPr>
                <w:sz w:val="24"/>
              </w:rPr>
              <w:t>年</w:t>
            </w:r>
            <w:r w:rsidRPr="00AF05D4">
              <w:rPr>
                <w:sz w:val="24"/>
              </w:rPr>
              <w:t>11</w:t>
            </w:r>
            <w:r w:rsidRPr="00AF05D4">
              <w:rPr>
                <w:sz w:val="24"/>
              </w:rPr>
              <w:t>月</w:t>
            </w:r>
            <w:r w:rsidRPr="00AF05D4">
              <w:rPr>
                <w:sz w:val="24"/>
              </w:rPr>
              <w:t>9</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中信银行股份有限公司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53,688,629.82</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在有效控制风险的前提下</w:t>
            </w:r>
            <w:r w:rsidRPr="00A57672">
              <w:rPr>
                <w:sz w:val="24"/>
              </w:rPr>
              <w:t>,</w:t>
            </w:r>
            <w:r w:rsidRPr="00A57672">
              <w:rPr>
                <w:sz w:val="24"/>
              </w:rPr>
              <w:t>力求获得高于业绩基准的投资收益。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7C483C" w:rsidRDefault="007F41B2">
            <w:pPr>
              <w:spacing w:before="29" w:line="288" w:lineRule="auto"/>
              <w:rPr>
                <w:sz w:val="24"/>
              </w:rPr>
            </w:pPr>
            <w:r>
              <w:rPr>
                <w:sz w:val="24"/>
              </w:rPr>
              <w:t>封闭期内投资策略：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投资标的。</w:t>
            </w:r>
          </w:p>
          <w:p w:rsidR="007C483C" w:rsidRDefault="007C483C">
            <w:pPr>
              <w:spacing w:before="29" w:line="288" w:lineRule="auto"/>
              <w:rPr>
                <w:sz w:val="24"/>
              </w:rPr>
            </w:pPr>
          </w:p>
          <w:p w:rsidR="001A59F9" w:rsidRPr="00A57672" w:rsidRDefault="001A59F9" w:rsidP="00A57672">
            <w:pPr>
              <w:spacing w:before="29" w:line="288" w:lineRule="auto"/>
              <w:rPr>
                <w:sz w:val="24"/>
              </w:rPr>
            </w:pPr>
            <w:r w:rsidRPr="00A57672">
              <w:rPr>
                <w:sz w:val="24"/>
              </w:rPr>
              <w:t>开放期内投资策略：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lastRenderedPageBreak/>
              <w:t>业绩比较基准</w:t>
            </w:r>
          </w:p>
        </w:tc>
        <w:tc>
          <w:tcPr>
            <w:tcW w:w="5998" w:type="dxa"/>
            <w:vAlign w:val="center"/>
          </w:tcPr>
          <w:p w:rsidR="007C483C" w:rsidRDefault="007F41B2">
            <w:pPr>
              <w:spacing w:before="29" w:line="288" w:lineRule="auto"/>
              <w:rPr>
                <w:sz w:val="24"/>
              </w:rPr>
            </w:pPr>
            <w:r>
              <w:rPr>
                <w:sz w:val="24"/>
              </w:rPr>
              <w:t>封闭期内业绩比较基准：两年期银行定期存款税后收益率</w:t>
            </w:r>
            <w:r>
              <w:rPr>
                <w:sz w:val="24"/>
              </w:rPr>
              <w:t>+1.25%</w:t>
            </w:r>
          </w:p>
          <w:p w:rsidR="001A59F9" w:rsidRPr="00A57672" w:rsidRDefault="001A59F9" w:rsidP="00A57672">
            <w:pPr>
              <w:spacing w:before="29" w:line="288" w:lineRule="auto"/>
              <w:rPr>
                <w:sz w:val="24"/>
              </w:rPr>
            </w:pPr>
            <w:r w:rsidRPr="00A57672">
              <w:rPr>
                <w:sz w:val="24"/>
              </w:rPr>
              <w:t>开放期内业绩比较基准：中债综合全价指数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本基金是一只债券型基金，其风险与预期收益高于货币市场基金，低于混合型基金和股票型基金，属于证券投资基金中中等风险的品种。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中信银行股份有限公司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李修滨</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4006800000</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lixiubin@citicbank.com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95558</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010-85230024</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2015</w:t>
            </w:r>
            <w:r w:rsidRPr="00931B45">
              <w:rPr>
                <w:b/>
                <w:szCs w:val="21"/>
              </w:rPr>
              <w:t>年</w:t>
            </w:r>
            <w:r w:rsidRPr="00931B45">
              <w:rPr>
                <w:b/>
                <w:szCs w:val="21"/>
              </w:rPr>
              <w:t>11</w:t>
            </w:r>
            <w:r w:rsidRPr="00931B45">
              <w:rPr>
                <w:b/>
                <w:szCs w:val="21"/>
              </w:rPr>
              <w:t>月</w:t>
            </w:r>
            <w:r w:rsidRPr="00931B45">
              <w:rPr>
                <w:b/>
                <w:szCs w:val="21"/>
              </w:rPr>
              <w:t>9</w:t>
            </w:r>
            <w:r w:rsidRPr="00931B45">
              <w:rPr>
                <w:b/>
                <w:szCs w:val="21"/>
              </w:rPr>
              <w:t>日（基金合同生效日）至</w:t>
            </w:r>
            <w:r w:rsidRPr="00931B45">
              <w:rPr>
                <w:b/>
                <w:szCs w:val="21"/>
              </w:rPr>
              <w:t>2015</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-251,717.62</w:t>
            </w:r>
          </w:p>
        </w:tc>
        <w:tc>
          <w:tcPr>
            <w:tcW w:w="2268" w:type="dxa"/>
            <w:vAlign w:val="center"/>
          </w:tcPr>
          <w:p w:rsidR="00501A91" w:rsidRPr="00931B45" w:rsidRDefault="00501A91" w:rsidP="00D415F5">
            <w:pPr>
              <w:spacing w:before="29" w:line="288" w:lineRule="auto"/>
              <w:jc w:val="right"/>
              <w:rPr>
                <w:szCs w:val="21"/>
              </w:rPr>
            </w:pPr>
            <w:r w:rsidRPr="00931B45">
              <w:rPr>
                <w:szCs w:val="21"/>
              </w:rPr>
              <w:t>14,727,678.37</w:t>
            </w:r>
          </w:p>
        </w:tc>
        <w:tc>
          <w:tcPr>
            <w:tcW w:w="2194" w:type="dxa"/>
            <w:vAlign w:val="center"/>
          </w:tcPr>
          <w:p w:rsidR="00501A91" w:rsidRPr="00931B45" w:rsidRDefault="00501A91" w:rsidP="00D415F5">
            <w:pPr>
              <w:spacing w:before="29" w:line="288" w:lineRule="auto"/>
              <w:jc w:val="right"/>
              <w:rPr>
                <w:szCs w:val="21"/>
              </w:rPr>
            </w:pPr>
            <w:r w:rsidRPr="00931B45">
              <w:rPr>
                <w:szCs w:val="21"/>
              </w:rPr>
              <w:t>481,980.90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13,240,398.07</w:t>
            </w:r>
          </w:p>
        </w:tc>
        <w:tc>
          <w:tcPr>
            <w:tcW w:w="2268" w:type="dxa"/>
            <w:vAlign w:val="center"/>
          </w:tcPr>
          <w:p w:rsidR="00501A91" w:rsidRPr="00931B45" w:rsidRDefault="00501A91" w:rsidP="00D415F5">
            <w:pPr>
              <w:spacing w:before="29" w:line="288" w:lineRule="auto"/>
              <w:jc w:val="right"/>
              <w:rPr>
                <w:szCs w:val="21"/>
              </w:rPr>
            </w:pPr>
            <w:r w:rsidRPr="00931B45">
              <w:rPr>
                <w:szCs w:val="21"/>
              </w:rPr>
              <w:t>-415,505.55</w:t>
            </w:r>
          </w:p>
        </w:tc>
        <w:tc>
          <w:tcPr>
            <w:tcW w:w="2194" w:type="dxa"/>
            <w:vAlign w:val="center"/>
          </w:tcPr>
          <w:p w:rsidR="00501A91" w:rsidRPr="00931B45" w:rsidRDefault="00501A91" w:rsidP="00D415F5">
            <w:pPr>
              <w:spacing w:before="29" w:line="288" w:lineRule="auto"/>
              <w:jc w:val="right"/>
              <w:rPr>
                <w:szCs w:val="21"/>
              </w:rPr>
            </w:pPr>
            <w:r w:rsidRPr="00931B45">
              <w:rPr>
                <w:szCs w:val="21"/>
              </w:rPr>
              <w:t>2,118,787.13</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w:t>
            </w:r>
            <w:r w:rsidRPr="00931B45">
              <w:rPr>
                <w:rFonts w:hint="eastAsia"/>
                <w:szCs w:val="21"/>
              </w:rPr>
              <w:lastRenderedPageBreak/>
              <w:t>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lastRenderedPageBreak/>
              <w:t>0.0341</w:t>
            </w:r>
          </w:p>
        </w:tc>
        <w:tc>
          <w:tcPr>
            <w:tcW w:w="2268" w:type="dxa"/>
            <w:vAlign w:val="center"/>
          </w:tcPr>
          <w:p w:rsidR="00501A91" w:rsidRPr="00931B45" w:rsidRDefault="00501A91" w:rsidP="00D415F5">
            <w:pPr>
              <w:spacing w:before="29" w:line="288" w:lineRule="auto"/>
              <w:jc w:val="right"/>
              <w:rPr>
                <w:szCs w:val="21"/>
              </w:rPr>
            </w:pPr>
            <w:r w:rsidRPr="00931B45">
              <w:rPr>
                <w:szCs w:val="21"/>
              </w:rPr>
              <w:t>-0.0009</w:t>
            </w:r>
          </w:p>
        </w:tc>
        <w:tc>
          <w:tcPr>
            <w:tcW w:w="2194" w:type="dxa"/>
            <w:vAlign w:val="center"/>
          </w:tcPr>
          <w:p w:rsidR="00501A91" w:rsidRPr="00931B45" w:rsidRDefault="00501A91" w:rsidP="00D415F5">
            <w:pPr>
              <w:spacing w:before="29" w:line="288" w:lineRule="auto"/>
              <w:jc w:val="right"/>
              <w:rPr>
                <w:szCs w:val="21"/>
              </w:rPr>
            </w:pPr>
            <w:r w:rsidRPr="00931B45">
              <w:rPr>
                <w:szCs w:val="21"/>
              </w:rPr>
              <w:t>0.0048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3.19%</w:t>
            </w:r>
          </w:p>
        </w:tc>
        <w:tc>
          <w:tcPr>
            <w:tcW w:w="2268" w:type="dxa"/>
            <w:vAlign w:val="center"/>
          </w:tcPr>
          <w:p w:rsidR="00501A91" w:rsidRPr="00931B45" w:rsidRDefault="00501A91" w:rsidP="00D415F5">
            <w:pPr>
              <w:spacing w:before="29" w:line="288" w:lineRule="auto"/>
              <w:jc w:val="right"/>
              <w:rPr>
                <w:szCs w:val="21"/>
              </w:rPr>
            </w:pPr>
            <w:r w:rsidRPr="00931B45">
              <w:rPr>
                <w:szCs w:val="21"/>
              </w:rPr>
              <w:t>-0.17%</w:t>
            </w:r>
          </w:p>
        </w:tc>
        <w:tc>
          <w:tcPr>
            <w:tcW w:w="2194" w:type="dxa"/>
            <w:vAlign w:val="center"/>
          </w:tcPr>
          <w:p w:rsidR="00501A91" w:rsidRPr="00931B45" w:rsidRDefault="00501A91" w:rsidP="00D415F5">
            <w:pPr>
              <w:spacing w:before="29" w:line="288" w:lineRule="auto"/>
              <w:jc w:val="right"/>
              <w:rPr>
                <w:szCs w:val="21"/>
              </w:rPr>
            </w:pPr>
            <w:r w:rsidRPr="00931B45">
              <w:rPr>
                <w:szCs w:val="21"/>
              </w:rPr>
              <w:t>0.50%</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2015</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0.002</w:t>
            </w:r>
          </w:p>
        </w:tc>
        <w:tc>
          <w:tcPr>
            <w:tcW w:w="2268" w:type="dxa"/>
            <w:vAlign w:val="center"/>
          </w:tcPr>
          <w:p w:rsidR="00501A91" w:rsidRPr="00931B45" w:rsidRDefault="00501A91" w:rsidP="00D415F5">
            <w:pPr>
              <w:spacing w:before="29" w:line="288" w:lineRule="auto"/>
              <w:jc w:val="right"/>
              <w:rPr>
                <w:szCs w:val="21"/>
              </w:rPr>
            </w:pPr>
            <w:r w:rsidRPr="00931B45">
              <w:rPr>
                <w:szCs w:val="21"/>
              </w:rPr>
              <w:t>-0.029</w:t>
            </w:r>
          </w:p>
        </w:tc>
        <w:tc>
          <w:tcPr>
            <w:tcW w:w="2194" w:type="dxa"/>
            <w:vAlign w:val="center"/>
          </w:tcPr>
          <w:p w:rsidR="00501A91" w:rsidRPr="00931B45" w:rsidRDefault="00501A91" w:rsidP="00D415F5">
            <w:pPr>
              <w:spacing w:before="29" w:line="288" w:lineRule="auto"/>
              <w:jc w:val="right"/>
              <w:rPr>
                <w:szCs w:val="21"/>
              </w:rPr>
            </w:pPr>
            <w:r w:rsidRPr="00931B45">
              <w:rPr>
                <w:szCs w:val="21"/>
              </w:rPr>
              <w:t>0.001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53,790,748.64</w:t>
            </w:r>
          </w:p>
        </w:tc>
        <w:tc>
          <w:tcPr>
            <w:tcW w:w="2268" w:type="dxa"/>
            <w:vAlign w:val="center"/>
          </w:tcPr>
          <w:p w:rsidR="00501A91" w:rsidRPr="00931B45" w:rsidRDefault="00501A91" w:rsidP="00D415F5">
            <w:pPr>
              <w:spacing w:before="29" w:line="288" w:lineRule="auto"/>
              <w:jc w:val="right"/>
              <w:rPr>
                <w:szCs w:val="21"/>
              </w:rPr>
            </w:pPr>
            <w:r w:rsidRPr="00931B45">
              <w:rPr>
                <w:szCs w:val="21"/>
              </w:rPr>
              <w:t>425,859,134.79</w:t>
            </w:r>
          </w:p>
        </w:tc>
        <w:tc>
          <w:tcPr>
            <w:tcW w:w="2194" w:type="dxa"/>
            <w:vAlign w:val="center"/>
          </w:tcPr>
          <w:p w:rsidR="00501A91" w:rsidRPr="00931B45" w:rsidRDefault="00501A91" w:rsidP="00D415F5">
            <w:pPr>
              <w:spacing w:before="29" w:line="288" w:lineRule="auto"/>
              <w:jc w:val="right"/>
              <w:rPr>
                <w:szCs w:val="21"/>
              </w:rPr>
            </w:pPr>
            <w:r w:rsidRPr="00931B45">
              <w:rPr>
                <w:szCs w:val="21"/>
              </w:rPr>
              <w:t>440,749,452.92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1.002</w:t>
            </w:r>
          </w:p>
        </w:tc>
        <w:tc>
          <w:tcPr>
            <w:tcW w:w="2268" w:type="dxa"/>
            <w:vAlign w:val="center"/>
          </w:tcPr>
          <w:p w:rsidR="00501A91" w:rsidRPr="00931B45" w:rsidRDefault="00501A91" w:rsidP="00D415F5">
            <w:pPr>
              <w:spacing w:before="29" w:line="288" w:lineRule="auto"/>
              <w:jc w:val="right"/>
              <w:rPr>
                <w:szCs w:val="21"/>
              </w:rPr>
            </w:pPr>
            <w:r w:rsidRPr="00931B45">
              <w:rPr>
                <w:szCs w:val="21"/>
              </w:rPr>
              <w:t>0.971</w:t>
            </w:r>
          </w:p>
        </w:tc>
        <w:tc>
          <w:tcPr>
            <w:tcW w:w="2194" w:type="dxa"/>
            <w:vAlign w:val="center"/>
          </w:tcPr>
          <w:p w:rsidR="00501A91" w:rsidRPr="00931B45" w:rsidRDefault="00501A91" w:rsidP="00D415F5">
            <w:pPr>
              <w:spacing w:before="29" w:line="288" w:lineRule="auto"/>
              <w:jc w:val="right"/>
              <w:rPr>
                <w:szCs w:val="21"/>
              </w:rPr>
            </w:pPr>
            <w:r w:rsidRPr="00931B45">
              <w:rPr>
                <w:szCs w:val="21"/>
              </w:rPr>
              <w:t>1.005</w:t>
            </w:r>
          </w:p>
        </w:tc>
      </w:tr>
    </w:tbl>
    <w:p w:rsidR="007C483C" w:rsidRDefault="007F41B2">
      <w:pPr>
        <w:tabs>
          <w:tab w:val="left" w:pos="426"/>
        </w:tabs>
        <w:spacing w:before="29" w:line="288" w:lineRule="auto"/>
        <w:jc w:val="left"/>
        <w:rPr>
          <w:kern w:val="0"/>
          <w:sz w:val="24"/>
        </w:rPr>
      </w:pPr>
      <w:r>
        <w:rPr>
          <w:kern w:val="0"/>
          <w:sz w:val="24"/>
        </w:rPr>
        <w:t>注：</w:t>
      </w:r>
      <w:r>
        <w:rPr>
          <w:kern w:val="0"/>
          <w:sz w:val="24"/>
        </w:rPr>
        <w:t>1</w:t>
      </w:r>
      <w:r>
        <w:rPr>
          <w:kern w:val="0"/>
          <w:sz w:val="24"/>
        </w:rPr>
        <w:t>、上述基金业绩指标不包括持有人认购或交易基金的各项费用，计入费用后的实际收益水平要低于所列数字；</w:t>
      </w:r>
      <w:r>
        <w:rPr>
          <w:kern w:val="0"/>
          <w:sz w:val="24"/>
        </w:rPr>
        <w:t xml:space="preserve"> </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7C483C">
        <w:tc>
          <w:tcPr>
            <w:tcW w:w="1286" w:type="dxa"/>
            <w:vAlign w:val="center"/>
          </w:tcPr>
          <w:p w:rsidR="007C483C" w:rsidRDefault="007F41B2">
            <w:pPr>
              <w:jc w:val="left"/>
            </w:pPr>
            <w:r>
              <w:rPr>
                <w:color w:val="000000"/>
                <w:sz w:val="24"/>
              </w:rPr>
              <w:t>过去三个月</w:t>
            </w:r>
          </w:p>
        </w:tc>
        <w:tc>
          <w:tcPr>
            <w:tcW w:w="1286" w:type="dxa"/>
            <w:vAlign w:val="center"/>
          </w:tcPr>
          <w:p w:rsidR="007C483C" w:rsidRDefault="007F41B2">
            <w:pPr>
              <w:jc w:val="center"/>
            </w:pPr>
            <w:r>
              <w:rPr>
                <w:color w:val="000000"/>
                <w:sz w:val="24"/>
              </w:rPr>
              <w:t>0.40%</w:t>
            </w:r>
          </w:p>
        </w:tc>
        <w:tc>
          <w:tcPr>
            <w:tcW w:w="1286" w:type="dxa"/>
            <w:vAlign w:val="center"/>
          </w:tcPr>
          <w:p w:rsidR="007C483C" w:rsidRDefault="007F41B2">
            <w:pPr>
              <w:jc w:val="center"/>
            </w:pPr>
            <w:r>
              <w:rPr>
                <w:color w:val="000000"/>
                <w:sz w:val="24"/>
              </w:rPr>
              <w:t>0.04%</w:t>
            </w:r>
          </w:p>
        </w:tc>
        <w:tc>
          <w:tcPr>
            <w:tcW w:w="1285" w:type="dxa"/>
            <w:vAlign w:val="center"/>
          </w:tcPr>
          <w:p w:rsidR="007C483C" w:rsidRDefault="007F41B2">
            <w:pPr>
              <w:jc w:val="center"/>
            </w:pPr>
            <w:r>
              <w:rPr>
                <w:color w:val="000000"/>
                <w:sz w:val="24"/>
              </w:rPr>
              <w:t>-0.09%</w:t>
            </w:r>
          </w:p>
        </w:tc>
        <w:tc>
          <w:tcPr>
            <w:tcW w:w="1285" w:type="dxa"/>
            <w:vAlign w:val="center"/>
          </w:tcPr>
          <w:p w:rsidR="007C483C" w:rsidRDefault="007F41B2">
            <w:pPr>
              <w:jc w:val="center"/>
            </w:pPr>
            <w:r>
              <w:rPr>
                <w:color w:val="000000"/>
                <w:sz w:val="24"/>
              </w:rPr>
              <w:t>0.04%</w:t>
            </w:r>
          </w:p>
        </w:tc>
        <w:tc>
          <w:tcPr>
            <w:tcW w:w="1285" w:type="dxa"/>
            <w:vAlign w:val="center"/>
          </w:tcPr>
          <w:p w:rsidR="007C483C" w:rsidRDefault="007F41B2">
            <w:pPr>
              <w:jc w:val="center"/>
            </w:pPr>
            <w:r>
              <w:rPr>
                <w:color w:val="000000"/>
                <w:sz w:val="24"/>
              </w:rPr>
              <w:t>0.49%</w:t>
            </w:r>
          </w:p>
        </w:tc>
        <w:tc>
          <w:tcPr>
            <w:tcW w:w="1285" w:type="dxa"/>
            <w:vAlign w:val="center"/>
          </w:tcPr>
          <w:p w:rsidR="007C483C" w:rsidRDefault="007F41B2">
            <w:pPr>
              <w:jc w:val="center"/>
            </w:pPr>
            <w:r>
              <w:rPr>
                <w:color w:val="000000"/>
                <w:sz w:val="24"/>
              </w:rPr>
              <w:t>0.00%</w:t>
            </w:r>
          </w:p>
        </w:tc>
      </w:tr>
      <w:tr w:rsidR="007C483C">
        <w:tc>
          <w:tcPr>
            <w:tcW w:w="1286" w:type="dxa"/>
            <w:vAlign w:val="center"/>
          </w:tcPr>
          <w:p w:rsidR="007C483C" w:rsidRDefault="007F41B2">
            <w:pPr>
              <w:jc w:val="left"/>
            </w:pPr>
            <w:r>
              <w:rPr>
                <w:color w:val="000000"/>
                <w:sz w:val="24"/>
              </w:rPr>
              <w:t>过去六个月</w:t>
            </w:r>
          </w:p>
        </w:tc>
        <w:tc>
          <w:tcPr>
            <w:tcW w:w="1286" w:type="dxa"/>
            <w:vAlign w:val="center"/>
          </w:tcPr>
          <w:p w:rsidR="007C483C" w:rsidRDefault="007F41B2">
            <w:pPr>
              <w:jc w:val="center"/>
            </w:pPr>
            <w:r>
              <w:rPr>
                <w:color w:val="000000"/>
                <w:sz w:val="24"/>
              </w:rPr>
              <w:t>1.31%</w:t>
            </w:r>
          </w:p>
        </w:tc>
        <w:tc>
          <w:tcPr>
            <w:tcW w:w="1286" w:type="dxa"/>
            <w:vAlign w:val="center"/>
          </w:tcPr>
          <w:p w:rsidR="007C483C" w:rsidRDefault="007F41B2">
            <w:pPr>
              <w:jc w:val="center"/>
            </w:pPr>
            <w:r>
              <w:rPr>
                <w:color w:val="000000"/>
                <w:sz w:val="24"/>
              </w:rPr>
              <w:t>0.04%</w:t>
            </w:r>
          </w:p>
        </w:tc>
        <w:tc>
          <w:tcPr>
            <w:tcW w:w="1285" w:type="dxa"/>
            <w:vAlign w:val="center"/>
          </w:tcPr>
          <w:p w:rsidR="007C483C" w:rsidRDefault="007F41B2">
            <w:pPr>
              <w:jc w:val="center"/>
            </w:pPr>
            <w:r>
              <w:rPr>
                <w:color w:val="000000"/>
                <w:sz w:val="24"/>
              </w:rPr>
              <w:t>0.76%</w:t>
            </w:r>
          </w:p>
        </w:tc>
        <w:tc>
          <w:tcPr>
            <w:tcW w:w="1285" w:type="dxa"/>
            <w:vAlign w:val="center"/>
          </w:tcPr>
          <w:p w:rsidR="007C483C" w:rsidRDefault="007F41B2">
            <w:pPr>
              <w:jc w:val="center"/>
            </w:pPr>
            <w:r>
              <w:rPr>
                <w:color w:val="000000"/>
                <w:sz w:val="24"/>
              </w:rPr>
              <w:t>0.03%</w:t>
            </w:r>
          </w:p>
        </w:tc>
        <w:tc>
          <w:tcPr>
            <w:tcW w:w="1285" w:type="dxa"/>
            <w:vAlign w:val="center"/>
          </w:tcPr>
          <w:p w:rsidR="007C483C" w:rsidRDefault="007F41B2">
            <w:pPr>
              <w:jc w:val="center"/>
            </w:pPr>
            <w:r>
              <w:rPr>
                <w:color w:val="000000"/>
                <w:sz w:val="24"/>
              </w:rPr>
              <w:t>0.55%</w:t>
            </w:r>
          </w:p>
        </w:tc>
        <w:tc>
          <w:tcPr>
            <w:tcW w:w="1285" w:type="dxa"/>
            <w:vAlign w:val="center"/>
          </w:tcPr>
          <w:p w:rsidR="007C483C" w:rsidRDefault="007F41B2">
            <w:pPr>
              <w:jc w:val="center"/>
            </w:pPr>
            <w:r>
              <w:rPr>
                <w:color w:val="000000"/>
                <w:sz w:val="24"/>
              </w:rPr>
              <w:t>0.01%</w:t>
            </w:r>
          </w:p>
        </w:tc>
      </w:tr>
      <w:tr w:rsidR="007C483C">
        <w:tc>
          <w:tcPr>
            <w:tcW w:w="1286" w:type="dxa"/>
            <w:vAlign w:val="center"/>
          </w:tcPr>
          <w:p w:rsidR="007C483C" w:rsidRDefault="007F41B2">
            <w:pPr>
              <w:jc w:val="left"/>
            </w:pPr>
            <w:r>
              <w:rPr>
                <w:color w:val="000000"/>
                <w:sz w:val="24"/>
              </w:rPr>
              <w:t>过去一年</w:t>
            </w:r>
          </w:p>
        </w:tc>
        <w:tc>
          <w:tcPr>
            <w:tcW w:w="1286" w:type="dxa"/>
            <w:vAlign w:val="center"/>
          </w:tcPr>
          <w:p w:rsidR="007C483C" w:rsidRDefault="007F41B2">
            <w:pPr>
              <w:jc w:val="center"/>
            </w:pPr>
            <w:r>
              <w:rPr>
                <w:color w:val="000000"/>
                <w:sz w:val="24"/>
              </w:rPr>
              <w:t>3.19%</w:t>
            </w:r>
          </w:p>
        </w:tc>
        <w:tc>
          <w:tcPr>
            <w:tcW w:w="1286" w:type="dxa"/>
            <w:vAlign w:val="center"/>
          </w:tcPr>
          <w:p w:rsidR="007C483C" w:rsidRDefault="007F41B2">
            <w:pPr>
              <w:jc w:val="center"/>
            </w:pPr>
            <w:r>
              <w:rPr>
                <w:color w:val="000000"/>
                <w:sz w:val="24"/>
              </w:rPr>
              <w:t>0.06%</w:t>
            </w:r>
          </w:p>
        </w:tc>
        <w:tc>
          <w:tcPr>
            <w:tcW w:w="1285" w:type="dxa"/>
            <w:vAlign w:val="center"/>
          </w:tcPr>
          <w:p w:rsidR="007C483C" w:rsidRDefault="007F41B2">
            <w:pPr>
              <w:jc w:val="center"/>
            </w:pPr>
            <w:r>
              <w:rPr>
                <w:color w:val="000000"/>
                <w:sz w:val="24"/>
              </w:rPr>
              <w:t>2.45%</w:t>
            </w:r>
          </w:p>
        </w:tc>
        <w:tc>
          <w:tcPr>
            <w:tcW w:w="1285" w:type="dxa"/>
            <w:vAlign w:val="center"/>
          </w:tcPr>
          <w:p w:rsidR="007C483C" w:rsidRDefault="007F41B2">
            <w:pPr>
              <w:jc w:val="center"/>
            </w:pPr>
            <w:r>
              <w:rPr>
                <w:color w:val="000000"/>
                <w:sz w:val="24"/>
              </w:rPr>
              <w:t>0.02%</w:t>
            </w:r>
          </w:p>
        </w:tc>
        <w:tc>
          <w:tcPr>
            <w:tcW w:w="1285" w:type="dxa"/>
            <w:vAlign w:val="center"/>
          </w:tcPr>
          <w:p w:rsidR="007C483C" w:rsidRDefault="007F41B2">
            <w:pPr>
              <w:jc w:val="center"/>
            </w:pPr>
            <w:r>
              <w:rPr>
                <w:color w:val="000000"/>
                <w:sz w:val="24"/>
              </w:rPr>
              <w:t>0.74%</w:t>
            </w:r>
          </w:p>
        </w:tc>
        <w:tc>
          <w:tcPr>
            <w:tcW w:w="1285" w:type="dxa"/>
            <w:vAlign w:val="center"/>
          </w:tcPr>
          <w:p w:rsidR="007C483C" w:rsidRDefault="007F41B2">
            <w:pPr>
              <w:jc w:val="center"/>
            </w:pPr>
            <w:r>
              <w:rPr>
                <w:color w:val="000000"/>
                <w:sz w:val="24"/>
              </w:rPr>
              <w:t>0.04%</w:t>
            </w:r>
          </w:p>
        </w:tc>
      </w:tr>
      <w:tr w:rsidR="007C483C">
        <w:tc>
          <w:tcPr>
            <w:tcW w:w="1286" w:type="dxa"/>
            <w:vAlign w:val="center"/>
          </w:tcPr>
          <w:p w:rsidR="007C483C" w:rsidRDefault="007F41B2">
            <w:pPr>
              <w:jc w:val="left"/>
            </w:pPr>
            <w:r>
              <w:rPr>
                <w:color w:val="000000"/>
                <w:sz w:val="24"/>
              </w:rPr>
              <w:t>自基金合同生效起至今</w:t>
            </w:r>
          </w:p>
        </w:tc>
        <w:tc>
          <w:tcPr>
            <w:tcW w:w="1286" w:type="dxa"/>
            <w:vAlign w:val="center"/>
          </w:tcPr>
          <w:p w:rsidR="007C483C" w:rsidRDefault="007F41B2">
            <w:pPr>
              <w:jc w:val="center"/>
            </w:pPr>
            <w:r>
              <w:rPr>
                <w:color w:val="000000"/>
                <w:sz w:val="24"/>
              </w:rPr>
              <w:t>3.54%</w:t>
            </w:r>
          </w:p>
        </w:tc>
        <w:tc>
          <w:tcPr>
            <w:tcW w:w="1286" w:type="dxa"/>
            <w:vAlign w:val="center"/>
          </w:tcPr>
          <w:p w:rsidR="007C483C" w:rsidRDefault="007F41B2">
            <w:pPr>
              <w:jc w:val="center"/>
            </w:pPr>
            <w:r>
              <w:rPr>
                <w:color w:val="000000"/>
                <w:sz w:val="24"/>
              </w:rPr>
              <w:t>0.10%</w:t>
            </w:r>
          </w:p>
        </w:tc>
        <w:tc>
          <w:tcPr>
            <w:tcW w:w="1285" w:type="dxa"/>
            <w:vAlign w:val="center"/>
          </w:tcPr>
          <w:p w:rsidR="007C483C" w:rsidRDefault="007F41B2">
            <w:pPr>
              <w:jc w:val="center"/>
            </w:pPr>
            <w:r>
              <w:rPr>
                <w:color w:val="000000"/>
                <w:sz w:val="24"/>
              </w:rPr>
              <w:t>6.35%</w:t>
            </w:r>
          </w:p>
        </w:tc>
        <w:tc>
          <w:tcPr>
            <w:tcW w:w="1285" w:type="dxa"/>
            <w:vAlign w:val="center"/>
          </w:tcPr>
          <w:p w:rsidR="007C483C" w:rsidRDefault="007F41B2">
            <w:pPr>
              <w:jc w:val="center"/>
            </w:pPr>
            <w:r>
              <w:rPr>
                <w:color w:val="000000"/>
                <w:sz w:val="24"/>
              </w:rPr>
              <w:t>0.02%</w:t>
            </w:r>
          </w:p>
        </w:tc>
        <w:tc>
          <w:tcPr>
            <w:tcW w:w="1285" w:type="dxa"/>
            <w:vAlign w:val="center"/>
          </w:tcPr>
          <w:p w:rsidR="007C483C" w:rsidRDefault="007F41B2">
            <w:pPr>
              <w:jc w:val="center"/>
            </w:pPr>
            <w:r>
              <w:rPr>
                <w:color w:val="000000"/>
                <w:sz w:val="24"/>
              </w:rPr>
              <w:t>-2.81%</w:t>
            </w:r>
          </w:p>
        </w:tc>
        <w:tc>
          <w:tcPr>
            <w:tcW w:w="1285" w:type="dxa"/>
            <w:vAlign w:val="center"/>
          </w:tcPr>
          <w:p w:rsidR="007C483C" w:rsidRDefault="007F41B2">
            <w:pPr>
              <w:jc w:val="center"/>
            </w:pPr>
            <w:r>
              <w:rPr>
                <w:color w:val="000000"/>
                <w:sz w:val="24"/>
              </w:rPr>
              <w:t>0.08%</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注：本基金自</w:t>
      </w:r>
      <w:r w:rsidRPr="00FC45CB">
        <w:rPr>
          <w:kern w:val="0"/>
          <w:sz w:val="24"/>
        </w:rPr>
        <w:t>2017</w:t>
      </w:r>
      <w:r w:rsidRPr="00FC45CB">
        <w:rPr>
          <w:kern w:val="0"/>
          <w:sz w:val="24"/>
        </w:rPr>
        <w:t>年</w:t>
      </w:r>
      <w:r w:rsidRPr="00FC45CB">
        <w:rPr>
          <w:kern w:val="0"/>
          <w:sz w:val="24"/>
        </w:rPr>
        <w:t>11</w:t>
      </w:r>
      <w:r w:rsidRPr="00FC45CB">
        <w:rPr>
          <w:kern w:val="0"/>
          <w:sz w:val="24"/>
        </w:rPr>
        <w:t>月</w:t>
      </w:r>
      <w:r w:rsidRPr="00FC45CB">
        <w:rPr>
          <w:kern w:val="0"/>
          <w:sz w:val="24"/>
        </w:rPr>
        <w:t>10</w:t>
      </w:r>
      <w:r w:rsidRPr="00FC45CB">
        <w:rPr>
          <w:kern w:val="0"/>
          <w:sz w:val="24"/>
        </w:rPr>
        <w:t>日起转为开放式运作，本基金的业绩比较基准由</w:t>
      </w:r>
      <w:r w:rsidRPr="00FC45CB">
        <w:rPr>
          <w:kern w:val="0"/>
          <w:sz w:val="24"/>
        </w:rPr>
        <w:t>“</w:t>
      </w:r>
      <w:r w:rsidRPr="00FC45CB">
        <w:rPr>
          <w:kern w:val="0"/>
          <w:sz w:val="24"/>
        </w:rPr>
        <w:t>两年期银行定期存款税后收益率</w:t>
      </w:r>
      <w:r w:rsidRPr="00FC45CB">
        <w:rPr>
          <w:kern w:val="0"/>
          <w:sz w:val="24"/>
        </w:rPr>
        <w:t>+1.25%”</w:t>
      </w:r>
      <w:r w:rsidRPr="00FC45CB">
        <w:rPr>
          <w:kern w:val="0"/>
          <w:sz w:val="24"/>
        </w:rPr>
        <w:t>变更为</w:t>
      </w:r>
      <w:r w:rsidRPr="00FC45CB">
        <w:rPr>
          <w:kern w:val="0"/>
          <w:sz w:val="24"/>
        </w:rPr>
        <w:t>“</w:t>
      </w:r>
      <w:r w:rsidRPr="00FC45CB">
        <w:rPr>
          <w:kern w:val="0"/>
          <w:sz w:val="24"/>
        </w:rPr>
        <w:t>中债综合全价指数</w:t>
      </w:r>
      <w:r w:rsidRPr="00FC45CB">
        <w:rPr>
          <w:kern w:val="0"/>
          <w:sz w:val="24"/>
        </w:rPr>
        <w:t>”</w:t>
      </w:r>
      <w:r w:rsidRPr="00FC45CB">
        <w:rPr>
          <w:kern w:val="0"/>
          <w:sz w:val="24"/>
        </w:rPr>
        <w:t>。</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lastRenderedPageBreak/>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2015</w:t>
      </w:r>
      <w:r w:rsidRPr="00B05374">
        <w:rPr>
          <w:kern w:val="0"/>
          <w:sz w:val="24"/>
        </w:rPr>
        <w:t>年</w:t>
      </w:r>
      <w:r w:rsidRPr="00B05374">
        <w:rPr>
          <w:kern w:val="0"/>
          <w:sz w:val="24"/>
        </w:rPr>
        <w:t>11</w:t>
      </w:r>
      <w:r w:rsidRPr="00B05374">
        <w:rPr>
          <w:kern w:val="0"/>
          <w:sz w:val="24"/>
        </w:rPr>
        <w:t>月</w:t>
      </w:r>
      <w:r w:rsidRPr="00B05374">
        <w:rPr>
          <w:kern w:val="0"/>
          <w:sz w:val="24"/>
        </w:rPr>
        <w:t>9</w:t>
      </w:r>
      <w:r w:rsidRPr="00B05374">
        <w:rPr>
          <w:kern w:val="0"/>
          <w:sz w:val="24"/>
        </w:rPr>
        <w:t>日至</w:t>
      </w:r>
      <w:r w:rsidRPr="00B05374">
        <w:rPr>
          <w:kern w:val="0"/>
          <w:sz w:val="24"/>
        </w:rPr>
        <w:t>2016</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w:t>
      </w:r>
      <w:r w:rsidRPr="00B05374">
        <w:rPr>
          <w:kern w:val="0"/>
          <w:sz w:val="24"/>
        </w:rPr>
        <w:lastRenderedPageBreak/>
        <w:t>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7C483C">
        <w:tc>
          <w:tcPr>
            <w:tcW w:w="1499" w:type="dxa"/>
            <w:vAlign w:val="center"/>
          </w:tcPr>
          <w:p w:rsidR="007C483C" w:rsidRDefault="007F41B2">
            <w:pPr>
              <w:jc w:val="center"/>
            </w:pPr>
            <w:r>
              <w:rPr>
                <w:color w:val="000000"/>
                <w:sz w:val="24"/>
              </w:rPr>
              <w:t>2017</w:t>
            </w:r>
            <w:r>
              <w:rPr>
                <w:color w:val="000000"/>
                <w:sz w:val="24"/>
              </w:rPr>
              <w:t>年</w:t>
            </w:r>
          </w:p>
        </w:tc>
        <w:tc>
          <w:tcPr>
            <w:tcW w:w="1336" w:type="dxa"/>
            <w:vAlign w:val="center"/>
          </w:tcPr>
          <w:p w:rsidR="007C483C" w:rsidRDefault="007F41B2">
            <w:pPr>
              <w:jc w:val="right"/>
            </w:pPr>
            <w:r>
              <w:rPr>
                <w:color w:val="000000"/>
                <w:sz w:val="24"/>
              </w:rPr>
              <w:t>-</w:t>
            </w:r>
          </w:p>
        </w:tc>
        <w:tc>
          <w:tcPr>
            <w:tcW w:w="1663" w:type="dxa"/>
            <w:vAlign w:val="center"/>
          </w:tcPr>
          <w:p w:rsidR="007C483C" w:rsidRDefault="007F41B2">
            <w:pPr>
              <w:jc w:val="right"/>
            </w:pPr>
            <w:r>
              <w:rPr>
                <w:color w:val="000000"/>
                <w:sz w:val="24"/>
              </w:rPr>
              <w:t>-</w:t>
            </w:r>
          </w:p>
        </w:tc>
        <w:tc>
          <w:tcPr>
            <w:tcW w:w="1739" w:type="dxa"/>
            <w:vAlign w:val="center"/>
          </w:tcPr>
          <w:p w:rsidR="007C483C" w:rsidRDefault="007F41B2">
            <w:pPr>
              <w:jc w:val="right"/>
            </w:pPr>
            <w:r>
              <w:rPr>
                <w:color w:val="000000"/>
                <w:sz w:val="24"/>
              </w:rPr>
              <w:t>-</w:t>
            </w:r>
          </w:p>
        </w:tc>
        <w:tc>
          <w:tcPr>
            <w:tcW w:w="1701" w:type="dxa"/>
            <w:vAlign w:val="center"/>
          </w:tcPr>
          <w:p w:rsidR="007C483C" w:rsidRDefault="007F41B2">
            <w:pPr>
              <w:jc w:val="right"/>
            </w:pPr>
            <w:r>
              <w:rPr>
                <w:color w:val="000000"/>
                <w:sz w:val="24"/>
              </w:rPr>
              <w:t>-</w:t>
            </w:r>
          </w:p>
        </w:tc>
        <w:tc>
          <w:tcPr>
            <w:tcW w:w="1060" w:type="dxa"/>
            <w:vAlign w:val="center"/>
          </w:tcPr>
          <w:p w:rsidR="007C483C" w:rsidRDefault="007F41B2">
            <w:pPr>
              <w:jc w:val="left"/>
            </w:pPr>
            <w:r>
              <w:rPr>
                <w:color w:val="000000"/>
                <w:sz w:val="24"/>
              </w:rPr>
              <w:t>-</w:t>
            </w:r>
          </w:p>
        </w:tc>
      </w:tr>
      <w:tr w:rsidR="007C483C">
        <w:tc>
          <w:tcPr>
            <w:tcW w:w="1499" w:type="dxa"/>
            <w:vAlign w:val="center"/>
          </w:tcPr>
          <w:p w:rsidR="007C483C" w:rsidRDefault="007F41B2">
            <w:pPr>
              <w:jc w:val="center"/>
            </w:pPr>
            <w:r>
              <w:rPr>
                <w:color w:val="000000"/>
                <w:sz w:val="24"/>
              </w:rPr>
              <w:t>2016</w:t>
            </w:r>
            <w:r>
              <w:rPr>
                <w:color w:val="000000"/>
                <w:sz w:val="24"/>
              </w:rPr>
              <w:t>年</w:t>
            </w:r>
          </w:p>
        </w:tc>
        <w:tc>
          <w:tcPr>
            <w:tcW w:w="1336" w:type="dxa"/>
            <w:vAlign w:val="center"/>
          </w:tcPr>
          <w:p w:rsidR="007C483C" w:rsidRDefault="007F41B2">
            <w:pPr>
              <w:jc w:val="right"/>
            </w:pPr>
            <w:r>
              <w:rPr>
                <w:color w:val="000000"/>
                <w:sz w:val="24"/>
              </w:rPr>
              <w:t>0.330</w:t>
            </w:r>
          </w:p>
        </w:tc>
        <w:tc>
          <w:tcPr>
            <w:tcW w:w="1663" w:type="dxa"/>
            <w:vAlign w:val="center"/>
          </w:tcPr>
          <w:p w:rsidR="007C483C" w:rsidRDefault="007F41B2">
            <w:pPr>
              <w:jc w:val="right"/>
            </w:pPr>
            <w:r>
              <w:rPr>
                <w:color w:val="000000"/>
                <w:sz w:val="24"/>
              </w:rPr>
              <w:t>14,474,812.58</w:t>
            </w:r>
          </w:p>
        </w:tc>
        <w:tc>
          <w:tcPr>
            <w:tcW w:w="1739" w:type="dxa"/>
            <w:vAlign w:val="center"/>
          </w:tcPr>
          <w:p w:rsidR="007C483C" w:rsidRDefault="007F41B2">
            <w:pPr>
              <w:jc w:val="right"/>
            </w:pPr>
            <w:r>
              <w:rPr>
                <w:color w:val="000000"/>
                <w:sz w:val="24"/>
              </w:rPr>
              <w:t>-</w:t>
            </w:r>
          </w:p>
        </w:tc>
        <w:tc>
          <w:tcPr>
            <w:tcW w:w="1701" w:type="dxa"/>
            <w:vAlign w:val="center"/>
          </w:tcPr>
          <w:p w:rsidR="007C483C" w:rsidRDefault="007F41B2">
            <w:pPr>
              <w:jc w:val="right"/>
            </w:pPr>
            <w:r>
              <w:rPr>
                <w:color w:val="000000"/>
                <w:sz w:val="24"/>
              </w:rPr>
              <w:t>14,474,812.58</w:t>
            </w:r>
          </w:p>
        </w:tc>
        <w:tc>
          <w:tcPr>
            <w:tcW w:w="1060" w:type="dxa"/>
            <w:vAlign w:val="center"/>
          </w:tcPr>
          <w:p w:rsidR="007C483C" w:rsidRDefault="007F41B2">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0.330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14,474,812.58</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14,474,812.58</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7C483C" w:rsidRDefault="007F41B2">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78</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7C483C">
        <w:tc>
          <w:tcPr>
            <w:tcW w:w="1499" w:type="dxa"/>
            <w:vAlign w:val="center"/>
          </w:tcPr>
          <w:p w:rsidR="007C483C" w:rsidRDefault="007F41B2">
            <w:pPr>
              <w:jc w:val="center"/>
            </w:pPr>
            <w:r>
              <w:rPr>
                <w:color w:val="000000"/>
                <w:sz w:val="24"/>
              </w:rPr>
              <w:t>于海颖</w:t>
            </w:r>
          </w:p>
        </w:tc>
        <w:tc>
          <w:tcPr>
            <w:tcW w:w="1499" w:type="dxa"/>
            <w:vAlign w:val="center"/>
          </w:tcPr>
          <w:p w:rsidR="007C483C" w:rsidRDefault="007F41B2">
            <w:pPr>
              <w:jc w:val="center"/>
            </w:pPr>
            <w:r>
              <w:rPr>
                <w:color w:val="000000"/>
                <w:sz w:val="24"/>
              </w:rPr>
              <w:t>交银增利债券、交银纯债债券发起、交银荣祥保本混合、交银定期支付月月</w:t>
            </w:r>
            <w:r>
              <w:rPr>
                <w:color w:val="000000"/>
                <w:sz w:val="24"/>
              </w:rPr>
              <w:lastRenderedPageBreak/>
              <w:t>丰债券、交银增强收益债券、交银强化回报债券、交银丰盈收益债券、交银丰硕收益债券、交银荣鑫保本混合、交银增利增强债券的基金经理，公司固定收益（公募）投资总监</w:t>
            </w:r>
          </w:p>
        </w:tc>
        <w:tc>
          <w:tcPr>
            <w:tcW w:w="1500" w:type="dxa"/>
            <w:vAlign w:val="center"/>
          </w:tcPr>
          <w:p w:rsidR="007C483C" w:rsidRDefault="007F41B2">
            <w:pPr>
              <w:jc w:val="center"/>
            </w:pPr>
            <w:r>
              <w:rPr>
                <w:color w:val="000000"/>
                <w:sz w:val="24"/>
              </w:rPr>
              <w:lastRenderedPageBreak/>
              <w:t>2017-06-10</w:t>
            </w:r>
          </w:p>
        </w:tc>
        <w:tc>
          <w:tcPr>
            <w:tcW w:w="1500" w:type="dxa"/>
            <w:vAlign w:val="center"/>
          </w:tcPr>
          <w:p w:rsidR="007C483C" w:rsidRDefault="007F41B2">
            <w:pPr>
              <w:jc w:val="center"/>
            </w:pPr>
            <w:r>
              <w:rPr>
                <w:color w:val="000000"/>
                <w:sz w:val="24"/>
              </w:rPr>
              <w:t>-</w:t>
            </w:r>
          </w:p>
        </w:tc>
        <w:tc>
          <w:tcPr>
            <w:tcW w:w="1090" w:type="dxa"/>
            <w:vAlign w:val="center"/>
          </w:tcPr>
          <w:p w:rsidR="007C483C" w:rsidRDefault="007F41B2">
            <w:pPr>
              <w:jc w:val="center"/>
            </w:pPr>
            <w:r>
              <w:rPr>
                <w:color w:val="000000"/>
                <w:sz w:val="24"/>
              </w:rPr>
              <w:t>11</w:t>
            </w:r>
            <w:r>
              <w:rPr>
                <w:color w:val="000000"/>
                <w:sz w:val="24"/>
              </w:rPr>
              <w:t>年</w:t>
            </w:r>
          </w:p>
        </w:tc>
        <w:tc>
          <w:tcPr>
            <w:tcW w:w="1910" w:type="dxa"/>
            <w:vAlign w:val="center"/>
          </w:tcPr>
          <w:p w:rsidR="007C483C" w:rsidRDefault="007F41B2">
            <w:r>
              <w:rPr>
                <w:color w:val="000000"/>
                <w:sz w:val="24"/>
              </w:rPr>
              <w:t>于海颖女士，天津大学数量经济学硕士、经济学学士。历任北方国际信托投资股份有限公司固定收益研究员，光</w:t>
            </w:r>
            <w:r>
              <w:rPr>
                <w:color w:val="000000"/>
                <w:sz w:val="24"/>
              </w:rPr>
              <w:lastRenderedPageBreak/>
              <w:t>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w:t>
            </w:r>
            <w:r>
              <w:rPr>
                <w:color w:val="000000"/>
                <w:sz w:val="24"/>
              </w:rPr>
              <w:lastRenderedPageBreak/>
              <w:t>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p>
        </w:tc>
      </w:tr>
      <w:tr w:rsidR="007C483C">
        <w:tc>
          <w:tcPr>
            <w:tcW w:w="1499" w:type="dxa"/>
            <w:vAlign w:val="center"/>
          </w:tcPr>
          <w:p w:rsidR="007C483C" w:rsidRDefault="007F41B2">
            <w:pPr>
              <w:jc w:val="center"/>
            </w:pPr>
            <w:r>
              <w:rPr>
                <w:color w:val="000000"/>
                <w:sz w:val="24"/>
              </w:rPr>
              <w:lastRenderedPageBreak/>
              <w:t>孙超</w:t>
            </w:r>
          </w:p>
        </w:tc>
        <w:tc>
          <w:tcPr>
            <w:tcW w:w="1499" w:type="dxa"/>
            <w:vAlign w:val="center"/>
          </w:tcPr>
          <w:p w:rsidR="007C483C" w:rsidRDefault="007F41B2">
            <w:pPr>
              <w:jc w:val="center"/>
            </w:pPr>
            <w:r>
              <w:rPr>
                <w:color w:val="000000"/>
                <w:sz w:val="24"/>
              </w:rPr>
              <w:t>交银增利债券、交银纯债债券发起、交银荣祥保本混合、交银定期支付月月丰债券、交银增强收益债券、交银强化回报债券、交银丰硕收益债券、交银荣鑫保本混合、交银增利增强债券的基金经理，公司固定收益部助理总经理</w:t>
            </w:r>
          </w:p>
        </w:tc>
        <w:tc>
          <w:tcPr>
            <w:tcW w:w="1500" w:type="dxa"/>
            <w:vAlign w:val="center"/>
          </w:tcPr>
          <w:p w:rsidR="007C483C" w:rsidRDefault="007F41B2">
            <w:pPr>
              <w:jc w:val="center"/>
            </w:pPr>
            <w:r>
              <w:rPr>
                <w:color w:val="000000"/>
                <w:sz w:val="24"/>
              </w:rPr>
              <w:t>2015-11-09</w:t>
            </w:r>
          </w:p>
        </w:tc>
        <w:tc>
          <w:tcPr>
            <w:tcW w:w="1500" w:type="dxa"/>
            <w:vAlign w:val="center"/>
          </w:tcPr>
          <w:p w:rsidR="007C483C" w:rsidRDefault="007F41B2">
            <w:pPr>
              <w:jc w:val="center"/>
            </w:pPr>
            <w:r>
              <w:rPr>
                <w:color w:val="000000"/>
                <w:sz w:val="24"/>
              </w:rPr>
              <w:t>2017-06-22</w:t>
            </w:r>
          </w:p>
        </w:tc>
        <w:tc>
          <w:tcPr>
            <w:tcW w:w="1090" w:type="dxa"/>
            <w:vAlign w:val="center"/>
          </w:tcPr>
          <w:p w:rsidR="007C483C" w:rsidRDefault="007F41B2">
            <w:pPr>
              <w:jc w:val="center"/>
            </w:pPr>
            <w:r>
              <w:rPr>
                <w:color w:val="000000"/>
                <w:sz w:val="24"/>
              </w:rPr>
              <w:t>6</w:t>
            </w:r>
            <w:r>
              <w:rPr>
                <w:color w:val="000000"/>
                <w:sz w:val="24"/>
              </w:rPr>
              <w:t>年</w:t>
            </w:r>
          </w:p>
        </w:tc>
        <w:tc>
          <w:tcPr>
            <w:tcW w:w="1910" w:type="dxa"/>
            <w:vAlign w:val="center"/>
          </w:tcPr>
          <w:p w:rsidR="007C483C" w:rsidRDefault="007F41B2">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日担任交银施罗德理财</w:t>
            </w:r>
            <w:r>
              <w:rPr>
                <w:color w:val="000000"/>
                <w:sz w:val="24"/>
              </w:rPr>
              <w:t>60</w:t>
            </w:r>
            <w:r>
              <w:rPr>
                <w:color w:val="000000"/>
                <w:sz w:val="24"/>
              </w:rPr>
              <w:t>天债券型证券投资基金基金经理，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日担任交银施罗德双轮动债券型证券投资基金基金经理，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日担任交银施罗德定期支付月月丰债券型证券投资基金的</w:t>
            </w:r>
            <w:r>
              <w:rPr>
                <w:color w:val="000000"/>
                <w:sz w:val="24"/>
              </w:rPr>
              <w:lastRenderedPageBreak/>
              <w:t>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日担任交银施罗德强化回报债券型证券投资基金的基金经理，</w:t>
            </w:r>
            <w:r>
              <w:rPr>
                <w:color w:val="000000"/>
                <w:sz w:val="24"/>
              </w:rPr>
              <w:t>2014</w:t>
            </w:r>
            <w:r>
              <w:rPr>
                <w:color w:val="000000"/>
                <w:sz w:val="24"/>
              </w:rPr>
              <w:t>年</w:t>
            </w:r>
            <w:r>
              <w:rPr>
                <w:color w:val="000000"/>
                <w:sz w:val="24"/>
              </w:rPr>
              <w:t>12</w:t>
            </w:r>
            <w:r>
              <w:rPr>
                <w:color w:val="000000"/>
                <w:sz w:val="24"/>
              </w:rPr>
              <w:t>月</w:t>
            </w:r>
            <w:r>
              <w:rPr>
                <w:color w:val="000000"/>
                <w:sz w:val="24"/>
              </w:rPr>
              <w:t>15</w:t>
            </w:r>
            <w:r>
              <w:rPr>
                <w:color w:val="000000"/>
                <w:sz w:val="24"/>
              </w:rPr>
              <w:t>日至</w:t>
            </w:r>
            <w:r>
              <w:rPr>
                <w:color w:val="000000"/>
                <w:sz w:val="24"/>
              </w:rPr>
              <w:t>2017</w:t>
            </w:r>
            <w:r>
              <w:rPr>
                <w:color w:val="000000"/>
                <w:sz w:val="24"/>
              </w:rPr>
              <w:t>年</w:t>
            </w:r>
            <w:r>
              <w:rPr>
                <w:color w:val="000000"/>
                <w:sz w:val="24"/>
              </w:rPr>
              <w:t>2</w:t>
            </w:r>
            <w:r>
              <w:rPr>
                <w:color w:val="000000"/>
                <w:sz w:val="24"/>
              </w:rPr>
              <w:t>月</w:t>
            </w:r>
            <w:r>
              <w:rPr>
                <w:color w:val="000000"/>
                <w:sz w:val="24"/>
              </w:rPr>
              <w:t>17</w:t>
            </w:r>
            <w:r>
              <w:rPr>
                <w:color w:val="000000"/>
                <w:sz w:val="24"/>
              </w:rPr>
              <w:t>日担任交银施罗德丰润收益债券型证券投资基金基金经理，</w:t>
            </w:r>
            <w:r>
              <w:rPr>
                <w:color w:val="000000"/>
                <w:sz w:val="24"/>
              </w:rPr>
              <w:t>2015</w:t>
            </w:r>
            <w:r>
              <w:rPr>
                <w:color w:val="000000"/>
                <w:sz w:val="24"/>
              </w:rPr>
              <w:t>年</w:t>
            </w:r>
            <w:r>
              <w:rPr>
                <w:color w:val="000000"/>
                <w:sz w:val="24"/>
              </w:rPr>
              <w:t>1</w:t>
            </w:r>
            <w:r>
              <w:rPr>
                <w:color w:val="000000"/>
                <w:sz w:val="24"/>
              </w:rPr>
              <w:t>月</w:t>
            </w:r>
            <w:r>
              <w:rPr>
                <w:color w:val="000000"/>
                <w:sz w:val="24"/>
              </w:rPr>
              <w:t>19</w:t>
            </w:r>
            <w:r>
              <w:rPr>
                <w:color w:val="000000"/>
                <w:sz w:val="24"/>
              </w:rPr>
              <w:t>日至</w:t>
            </w:r>
            <w:r>
              <w:rPr>
                <w:color w:val="000000"/>
                <w:sz w:val="24"/>
              </w:rPr>
              <w:t>2017</w:t>
            </w:r>
            <w:r>
              <w:rPr>
                <w:color w:val="000000"/>
                <w:sz w:val="24"/>
              </w:rPr>
              <w:t>年</w:t>
            </w:r>
            <w:r>
              <w:rPr>
                <w:color w:val="000000"/>
                <w:sz w:val="24"/>
              </w:rPr>
              <w:t>2</w:t>
            </w:r>
            <w:r>
              <w:rPr>
                <w:color w:val="000000"/>
                <w:sz w:val="24"/>
              </w:rPr>
              <w:t>月</w:t>
            </w:r>
            <w:r>
              <w:rPr>
                <w:color w:val="000000"/>
                <w:sz w:val="24"/>
              </w:rPr>
              <w:t>17</w:t>
            </w:r>
            <w:r>
              <w:rPr>
                <w:color w:val="000000"/>
                <w:sz w:val="24"/>
              </w:rPr>
              <w:t>日担任交银施罗德丰享收益债券型证券投资基金基金经理，</w:t>
            </w:r>
            <w:r>
              <w:rPr>
                <w:color w:val="000000"/>
                <w:sz w:val="24"/>
              </w:rPr>
              <w:t>2015</w:t>
            </w:r>
            <w:r>
              <w:rPr>
                <w:color w:val="000000"/>
                <w:sz w:val="24"/>
              </w:rPr>
              <w:t>年</w:t>
            </w:r>
            <w:r>
              <w:rPr>
                <w:color w:val="000000"/>
                <w:sz w:val="24"/>
              </w:rPr>
              <w:t>1</w:t>
            </w:r>
            <w:r>
              <w:rPr>
                <w:color w:val="000000"/>
                <w:sz w:val="24"/>
              </w:rPr>
              <w:t>月</w:t>
            </w:r>
            <w:r>
              <w:rPr>
                <w:color w:val="000000"/>
                <w:sz w:val="24"/>
              </w:rPr>
              <w:t>30</w:t>
            </w:r>
            <w:r>
              <w:rPr>
                <w:color w:val="000000"/>
                <w:sz w:val="24"/>
              </w:rPr>
              <w:t>日至</w:t>
            </w:r>
            <w:r>
              <w:rPr>
                <w:color w:val="000000"/>
                <w:sz w:val="24"/>
              </w:rPr>
              <w:t>2017</w:t>
            </w:r>
            <w:r>
              <w:rPr>
                <w:color w:val="000000"/>
                <w:sz w:val="24"/>
              </w:rPr>
              <w:t>年</w:t>
            </w:r>
            <w:r>
              <w:rPr>
                <w:color w:val="000000"/>
                <w:sz w:val="24"/>
              </w:rPr>
              <w:t>2</w:t>
            </w:r>
            <w:r>
              <w:rPr>
                <w:color w:val="000000"/>
                <w:sz w:val="24"/>
              </w:rPr>
              <w:t>月</w:t>
            </w:r>
            <w:r>
              <w:rPr>
                <w:color w:val="000000"/>
                <w:sz w:val="24"/>
              </w:rPr>
              <w:t>17</w:t>
            </w:r>
            <w:r>
              <w:rPr>
                <w:color w:val="000000"/>
                <w:sz w:val="24"/>
              </w:rPr>
              <w:t>日担任交银施罗德丰泽收益债券型证券投资基金基金经理，</w:t>
            </w:r>
            <w:r>
              <w:rPr>
                <w:color w:val="000000"/>
                <w:sz w:val="24"/>
              </w:rPr>
              <w:t>2015</w:t>
            </w:r>
            <w:r>
              <w:rPr>
                <w:color w:val="000000"/>
                <w:sz w:val="24"/>
              </w:rPr>
              <w:t>年</w:t>
            </w:r>
            <w:r>
              <w:rPr>
                <w:color w:val="000000"/>
                <w:sz w:val="24"/>
              </w:rPr>
              <w:t>5</w:t>
            </w:r>
            <w:r>
              <w:rPr>
                <w:color w:val="000000"/>
                <w:sz w:val="24"/>
              </w:rPr>
              <w:t>月</w:t>
            </w:r>
            <w:r>
              <w:rPr>
                <w:color w:val="000000"/>
                <w:sz w:val="24"/>
              </w:rPr>
              <w:t>9</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日担任交银施罗德纯债债券型发起式证券投资基金的基金经理，</w:t>
            </w:r>
            <w:r>
              <w:rPr>
                <w:color w:val="000000"/>
                <w:sz w:val="24"/>
              </w:rPr>
              <w:t>2015</w:t>
            </w:r>
            <w:r>
              <w:rPr>
                <w:color w:val="000000"/>
                <w:sz w:val="24"/>
              </w:rPr>
              <w:t>年</w:t>
            </w:r>
            <w:r>
              <w:rPr>
                <w:color w:val="000000"/>
                <w:sz w:val="24"/>
              </w:rPr>
              <w:t>7</w:t>
            </w:r>
            <w:r>
              <w:rPr>
                <w:color w:val="000000"/>
                <w:sz w:val="24"/>
              </w:rPr>
              <w:t>月</w:t>
            </w:r>
            <w:r>
              <w:rPr>
                <w:color w:val="000000"/>
                <w:sz w:val="24"/>
              </w:rPr>
              <w:t>18</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日担任交银施罗德增利债券证券投资基金的基金经理，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2016</w:t>
            </w:r>
            <w:r>
              <w:rPr>
                <w:color w:val="000000"/>
                <w:sz w:val="24"/>
              </w:rPr>
              <w:t>年</w:t>
            </w:r>
            <w:r>
              <w:rPr>
                <w:color w:val="000000"/>
                <w:sz w:val="24"/>
              </w:rPr>
              <w:t>12</w:t>
            </w:r>
            <w:r>
              <w:rPr>
                <w:color w:val="000000"/>
                <w:sz w:val="24"/>
              </w:rPr>
              <w:t>月</w:t>
            </w:r>
            <w:r>
              <w:rPr>
                <w:color w:val="000000"/>
                <w:sz w:val="24"/>
              </w:rPr>
              <w:t>29</w:t>
            </w:r>
            <w:r>
              <w:rPr>
                <w:color w:val="000000"/>
                <w:sz w:val="24"/>
              </w:rPr>
              <w:t>日担任交银施罗德荣泰保本混合型证券投资基金的基金经理，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2017</w:t>
            </w:r>
            <w:r>
              <w:rPr>
                <w:color w:val="000000"/>
                <w:sz w:val="24"/>
              </w:rPr>
              <w:lastRenderedPageBreak/>
              <w:t>年</w:t>
            </w:r>
            <w:r>
              <w:rPr>
                <w:color w:val="000000"/>
                <w:sz w:val="24"/>
              </w:rPr>
              <w:t>6</w:t>
            </w:r>
            <w:r>
              <w:rPr>
                <w:color w:val="000000"/>
                <w:sz w:val="24"/>
              </w:rPr>
              <w:t>月</w:t>
            </w:r>
            <w:r>
              <w:rPr>
                <w:color w:val="000000"/>
                <w:sz w:val="24"/>
              </w:rPr>
              <w:t>21</w:t>
            </w:r>
            <w:r>
              <w:rPr>
                <w:color w:val="000000"/>
                <w:sz w:val="24"/>
              </w:rPr>
              <w:t>日担任交银施罗德荣祥保本混合型证券投资基金的基金经理，</w:t>
            </w:r>
            <w:r>
              <w:rPr>
                <w:color w:val="000000"/>
                <w:sz w:val="24"/>
              </w:rPr>
              <w:t>2015</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日担任交银施罗德丰硕收益债券型证券投资基金的基金经理，</w:t>
            </w:r>
            <w:r>
              <w:rPr>
                <w:color w:val="000000"/>
                <w:sz w:val="24"/>
              </w:rPr>
              <w:t>2016</w:t>
            </w:r>
            <w:r>
              <w:rPr>
                <w:color w:val="000000"/>
                <w:sz w:val="24"/>
              </w:rPr>
              <w:t>年</w:t>
            </w:r>
            <w:r>
              <w:rPr>
                <w:color w:val="000000"/>
                <w:sz w:val="24"/>
              </w:rPr>
              <w:t>3</w:t>
            </w:r>
            <w:r>
              <w:rPr>
                <w:color w:val="000000"/>
                <w:sz w:val="24"/>
              </w:rPr>
              <w:t>月</w:t>
            </w:r>
            <w:r>
              <w:rPr>
                <w:color w:val="000000"/>
                <w:sz w:val="24"/>
              </w:rPr>
              <w:t>25</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日担任交银施罗德荣鑫保本混合型证券投资基金的基金经理，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30</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日担任交银施罗德增强收益债券型证券投资基金的基金经理，</w:t>
            </w:r>
            <w:r>
              <w:rPr>
                <w:color w:val="000000"/>
                <w:sz w:val="24"/>
              </w:rPr>
              <w:t>2017</w:t>
            </w:r>
            <w:r>
              <w:rPr>
                <w:color w:val="000000"/>
                <w:sz w:val="24"/>
              </w:rPr>
              <w:t>年</w:t>
            </w:r>
            <w:r>
              <w:rPr>
                <w:color w:val="000000"/>
                <w:sz w:val="24"/>
              </w:rPr>
              <w:t>6</w:t>
            </w:r>
            <w:r>
              <w:rPr>
                <w:color w:val="000000"/>
                <w:sz w:val="24"/>
              </w:rPr>
              <w:t>月</w:t>
            </w:r>
            <w:r>
              <w:rPr>
                <w:color w:val="000000"/>
                <w:sz w:val="24"/>
              </w:rPr>
              <w:t>2</w:t>
            </w:r>
            <w:r>
              <w:rPr>
                <w:color w:val="000000"/>
                <w:sz w:val="24"/>
              </w:rPr>
              <w:t>日至</w:t>
            </w:r>
            <w:r>
              <w:rPr>
                <w:color w:val="000000"/>
                <w:sz w:val="24"/>
              </w:rPr>
              <w:t>2017</w:t>
            </w:r>
            <w:r>
              <w:rPr>
                <w:color w:val="000000"/>
                <w:sz w:val="24"/>
              </w:rPr>
              <w:t>年</w:t>
            </w:r>
            <w:r>
              <w:rPr>
                <w:color w:val="000000"/>
                <w:sz w:val="24"/>
              </w:rPr>
              <w:t>6</w:t>
            </w:r>
            <w:r>
              <w:rPr>
                <w:color w:val="000000"/>
                <w:sz w:val="24"/>
              </w:rPr>
              <w:t>月</w:t>
            </w:r>
            <w:r>
              <w:rPr>
                <w:color w:val="000000"/>
                <w:sz w:val="24"/>
              </w:rPr>
              <w:t>21</w:t>
            </w:r>
            <w:r>
              <w:rPr>
                <w:color w:val="000000"/>
                <w:sz w:val="24"/>
              </w:rPr>
              <w:t>日担任交银施罗德增利增强债券型证券投资基金基金经理。</w:t>
            </w:r>
          </w:p>
        </w:tc>
      </w:tr>
      <w:tr w:rsidR="007C483C">
        <w:tc>
          <w:tcPr>
            <w:tcW w:w="1499" w:type="dxa"/>
            <w:vAlign w:val="center"/>
          </w:tcPr>
          <w:p w:rsidR="007C483C" w:rsidRDefault="007F41B2">
            <w:pPr>
              <w:jc w:val="center"/>
            </w:pPr>
            <w:r>
              <w:rPr>
                <w:color w:val="000000"/>
                <w:sz w:val="24"/>
              </w:rPr>
              <w:lastRenderedPageBreak/>
              <w:t>魏玉敏</w:t>
            </w:r>
          </w:p>
        </w:tc>
        <w:tc>
          <w:tcPr>
            <w:tcW w:w="1499" w:type="dxa"/>
            <w:vAlign w:val="center"/>
          </w:tcPr>
          <w:p w:rsidR="007C483C" w:rsidRDefault="007F41B2">
            <w:pPr>
              <w:jc w:val="center"/>
            </w:pPr>
            <w:r>
              <w:rPr>
                <w:color w:val="000000"/>
                <w:sz w:val="24"/>
              </w:rPr>
              <w:t>交银增利债券、交银信用添利债券</w:t>
            </w:r>
            <w:r>
              <w:rPr>
                <w:color w:val="000000"/>
                <w:sz w:val="24"/>
              </w:rPr>
              <w:t>(LOF)</w:t>
            </w:r>
            <w:r>
              <w:rPr>
                <w:color w:val="000000"/>
                <w:sz w:val="24"/>
              </w:rPr>
              <w:t>、交银双利债券、交银纯债债券发起、交银双轮动债券、交银荣和保本混合、交银丰硕收益债券的基金经理助理</w:t>
            </w:r>
          </w:p>
        </w:tc>
        <w:tc>
          <w:tcPr>
            <w:tcW w:w="1500" w:type="dxa"/>
            <w:vAlign w:val="center"/>
          </w:tcPr>
          <w:p w:rsidR="007C483C" w:rsidRDefault="007F41B2">
            <w:pPr>
              <w:jc w:val="center"/>
            </w:pPr>
            <w:r>
              <w:rPr>
                <w:color w:val="000000"/>
                <w:sz w:val="24"/>
              </w:rPr>
              <w:t>2017-05-24</w:t>
            </w:r>
          </w:p>
        </w:tc>
        <w:tc>
          <w:tcPr>
            <w:tcW w:w="1500" w:type="dxa"/>
            <w:vAlign w:val="center"/>
          </w:tcPr>
          <w:p w:rsidR="007C483C" w:rsidRDefault="007F41B2">
            <w:pPr>
              <w:jc w:val="center"/>
            </w:pPr>
            <w:r>
              <w:rPr>
                <w:color w:val="000000"/>
                <w:sz w:val="24"/>
              </w:rPr>
              <w:t>-</w:t>
            </w:r>
          </w:p>
        </w:tc>
        <w:tc>
          <w:tcPr>
            <w:tcW w:w="1090" w:type="dxa"/>
            <w:vAlign w:val="center"/>
          </w:tcPr>
          <w:p w:rsidR="007C483C" w:rsidRDefault="007F41B2">
            <w:pPr>
              <w:jc w:val="center"/>
            </w:pPr>
            <w:r>
              <w:rPr>
                <w:color w:val="000000"/>
                <w:sz w:val="24"/>
              </w:rPr>
              <w:t>5</w:t>
            </w:r>
            <w:r>
              <w:rPr>
                <w:color w:val="000000"/>
                <w:sz w:val="24"/>
              </w:rPr>
              <w:t>年</w:t>
            </w:r>
          </w:p>
        </w:tc>
        <w:tc>
          <w:tcPr>
            <w:tcW w:w="1910" w:type="dxa"/>
            <w:vAlign w:val="center"/>
          </w:tcPr>
          <w:p w:rsidR="007C483C" w:rsidRDefault="007F41B2">
            <w:r>
              <w:rPr>
                <w:color w:val="000000"/>
                <w:sz w:val="24"/>
              </w:rPr>
              <w:t>魏玉敏女士，厦门大学金融学硕士。历任招商证券固定收益研究员，国信证券固定收益高级分析师。</w:t>
            </w:r>
            <w:r>
              <w:rPr>
                <w:color w:val="000000"/>
                <w:sz w:val="24"/>
              </w:rPr>
              <w:t>2016</w:t>
            </w:r>
            <w:r>
              <w:rPr>
                <w:color w:val="000000"/>
                <w:sz w:val="24"/>
              </w:rPr>
              <w:t>年加入交银施罗德基金管理有限公司。</w:t>
            </w:r>
          </w:p>
        </w:tc>
      </w:tr>
    </w:tbl>
    <w:p w:rsidR="007C483C" w:rsidRDefault="007F41B2">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7C483C" w:rsidRDefault="007F41B2">
      <w:pPr>
        <w:tabs>
          <w:tab w:val="left" w:pos="426"/>
        </w:tabs>
        <w:spacing w:before="29" w:line="288" w:lineRule="auto"/>
        <w:jc w:val="left"/>
        <w:rPr>
          <w:kern w:val="0"/>
          <w:sz w:val="24"/>
        </w:rPr>
      </w:pPr>
      <w:r>
        <w:rPr>
          <w:kern w:val="0"/>
          <w:sz w:val="24"/>
        </w:rPr>
        <w:lastRenderedPageBreak/>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7C483C" w:rsidRDefault="007F41B2">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7C483C" w:rsidRDefault="007F41B2">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7C483C" w:rsidRDefault="007F41B2">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7C483C" w:rsidRDefault="007F41B2">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C483C" w:rsidRDefault="007F41B2">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7C483C" w:rsidRDefault="007F41B2">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w:t>
      </w:r>
      <w:r w:rsidRPr="0013437B">
        <w:rPr>
          <w:color w:val="000000"/>
          <w:sz w:val="24"/>
        </w:rPr>
        <w:lastRenderedPageBreak/>
        <w:t>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7C483C" w:rsidRDefault="007F41B2">
      <w:pPr>
        <w:spacing w:before="29" w:line="288" w:lineRule="auto"/>
        <w:ind w:firstLineChars="200" w:firstLine="480"/>
        <w:rPr>
          <w:color w:val="000000"/>
          <w:sz w:val="24"/>
        </w:rPr>
      </w:pPr>
      <w:r>
        <w:rPr>
          <w:color w:val="000000"/>
          <w:sz w:val="24"/>
        </w:rPr>
        <w:t>2017</w:t>
      </w:r>
      <w:r>
        <w:rPr>
          <w:color w:val="000000"/>
          <w:sz w:val="24"/>
        </w:rPr>
        <w:t>年债券市场收益率经历了大幅上行，原因主要来源于以下几个方面：基本面方面，</w:t>
      </w:r>
      <w:r>
        <w:rPr>
          <w:color w:val="000000"/>
          <w:sz w:val="24"/>
        </w:rPr>
        <w:t>2017</w:t>
      </w:r>
      <w:r>
        <w:rPr>
          <w:color w:val="000000"/>
          <w:sz w:val="24"/>
        </w:rPr>
        <w:t>年年初市场形成经济前高后低的一致预期，但实际始终未能兑现，经济保持了强劲的韧性，特别是在三季度，对于宏观经济预期差的影响在很大程度上影响了市场的整体收益率水平。通胀方面，虽然</w:t>
      </w:r>
      <w:r>
        <w:rPr>
          <w:color w:val="000000"/>
          <w:sz w:val="24"/>
        </w:rPr>
        <w:t>CPI</w:t>
      </w:r>
      <w:r>
        <w:rPr>
          <w:color w:val="000000"/>
          <w:sz w:val="24"/>
        </w:rPr>
        <w:t>保持在低位运行，但环保限产引发的</w:t>
      </w:r>
      <w:r>
        <w:rPr>
          <w:color w:val="000000"/>
          <w:sz w:val="24"/>
        </w:rPr>
        <w:t>PPI</w:t>
      </w:r>
      <w:r>
        <w:rPr>
          <w:color w:val="000000"/>
          <w:sz w:val="24"/>
        </w:rPr>
        <w:t>走高，通胀预期抬升不时扰动市场。货币政策与流动性方面，在去杠杆的大背景下，央行保持稳定中性货币政策，超储率维持低位，资金面波动性加大，在缴税等关键时点资金面紧张局面常有发生，资金中枢也随着公开市场操作利率上调明显抬升。海外市场方面，美欧央行紧缩政策频出，特朗普减税进程和汇率也时常扰动敏感的债券市场情绪。此外，各项监管政策的出台也在一定程度上影响了市场情绪。</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报告期内，本组合</w:t>
      </w:r>
      <w:r w:rsidRPr="0013437B">
        <w:rPr>
          <w:color w:val="000000"/>
          <w:sz w:val="24"/>
        </w:rPr>
        <w:t>2017</w:t>
      </w:r>
      <w:r w:rsidRPr="0013437B">
        <w:rPr>
          <w:color w:val="000000"/>
          <w:sz w:val="24"/>
        </w:rPr>
        <w:t>年面临封闭期结束后转开放的运作，在封闭期内，组合主要持有与封闭期限对应的高票息资产，取得了稳定的套息收益，在四季度封闭期到期后组合主要配置高流动性资产，在保持较高组合静态收益的基础上，满足组合规模变动需求。</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2017</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1.002</w:t>
      </w:r>
      <w:r w:rsidRPr="0013437B">
        <w:rPr>
          <w:color w:val="000000"/>
          <w:sz w:val="24"/>
        </w:rPr>
        <w:t>元，本报告期份额净值增长率为</w:t>
      </w:r>
      <w:r w:rsidRPr="0013437B">
        <w:rPr>
          <w:color w:val="000000"/>
          <w:sz w:val="24"/>
        </w:rPr>
        <w:t>3.19%</w:t>
      </w:r>
      <w:r w:rsidRPr="0013437B">
        <w:rPr>
          <w:color w:val="000000"/>
          <w:sz w:val="24"/>
        </w:rPr>
        <w:t>，同期业绩比较基准增长率为</w:t>
      </w:r>
      <w:r w:rsidRPr="0013437B">
        <w:rPr>
          <w:color w:val="000000"/>
          <w:sz w:val="24"/>
        </w:rPr>
        <w:t>2.45%</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7C483C" w:rsidRDefault="007F41B2">
      <w:pPr>
        <w:spacing w:before="29" w:line="288" w:lineRule="auto"/>
        <w:ind w:firstLineChars="200" w:firstLine="480"/>
        <w:rPr>
          <w:color w:val="000000"/>
          <w:sz w:val="24"/>
        </w:rPr>
      </w:pPr>
      <w:r>
        <w:rPr>
          <w:color w:val="000000"/>
          <w:sz w:val="24"/>
        </w:rPr>
        <w:t>展望</w:t>
      </w:r>
      <w:r>
        <w:rPr>
          <w:color w:val="000000"/>
          <w:sz w:val="24"/>
        </w:rPr>
        <w:t>2018</w:t>
      </w:r>
      <w:r>
        <w:rPr>
          <w:color w:val="000000"/>
          <w:sz w:val="24"/>
        </w:rPr>
        <w:t>年，房地产、基建和出口均显出一定的疲态，我们预计这将带动经济增</w:t>
      </w:r>
      <w:r>
        <w:rPr>
          <w:color w:val="000000"/>
          <w:sz w:val="24"/>
        </w:rPr>
        <w:lastRenderedPageBreak/>
        <w:t>速逐步下行，对债市形成一定支撑。收益率上行到高位之后具有一定的配置价值，我们关注在降杠杆大背景下金融业务回归本源可能对实体融资产生的影响，继而带来的债券市场的投资机会。此外，美联储持续的紧缩政策带来的美债收益率上行等复杂的外围市场情况、一季度经济数据真空期和通胀回升压力、各项政策落地的力度和节奏以及金融机构的应对行为、市场流动性的波动等负面因素都需要我们持续地跟踪分析，做出应对。</w:t>
      </w:r>
    </w:p>
    <w:p w:rsidR="001A59F9" w:rsidRPr="0013437B" w:rsidRDefault="001A59F9" w:rsidP="0013437B">
      <w:pPr>
        <w:spacing w:before="29" w:line="288" w:lineRule="auto"/>
        <w:ind w:firstLineChars="200" w:firstLine="480"/>
        <w:rPr>
          <w:color w:val="000000"/>
          <w:sz w:val="24"/>
        </w:rPr>
      </w:pPr>
      <w:r w:rsidRPr="0013437B">
        <w:rPr>
          <w:color w:val="000000"/>
          <w:sz w:val="24"/>
        </w:rPr>
        <w:t>在组合操作方面，未来组合将继续根据组合规模变动情况，动态地进行各类资产的优化配置。考虑到组合规模较小，我们将关注交易所各类债券品种的投资机会，利率债以波段操作为主，信用债以票息收益为主要收益来源，关注中短久期信用品种的投资机会。</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7C483C" w:rsidRDefault="007F41B2">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7C483C" w:rsidRDefault="007F41B2">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lastRenderedPageBreak/>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作为本基金的托管人，中信银行严格遵守了《证券投资基金法》及其他有关法律法规、基金合同和托管协议的规定，对交银施罗德丰硕收益债券证券投资基金</w:t>
      </w:r>
      <w:r w:rsidRPr="0013437B">
        <w:rPr>
          <w:color w:val="000000"/>
          <w:sz w:val="24"/>
        </w:rPr>
        <w:t>2017</w:t>
      </w:r>
      <w:r w:rsidRPr="0013437B">
        <w:rPr>
          <w:color w:val="000000"/>
          <w:sz w:val="24"/>
        </w:rPr>
        <w:t>年度的投资运作，进行了认真、独立的会计核算和必要的投资监督，认真履行了托管人的义务，不存在任何损害基金份额持有人利益的行为。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在交银施罗德丰硕收益债券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交银施罗德丰硕收益债券证券投资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r w:rsidRPr="003C6BFD">
        <w:rPr>
          <w:color w:val="000000"/>
          <w:sz w:val="24"/>
        </w:rPr>
        <w:t>交银施罗德丰硕收益债券型证券投资基金</w:t>
      </w:r>
      <w:r w:rsidRPr="003C6BFD">
        <w:rPr>
          <w:color w:val="000000"/>
          <w:sz w:val="24"/>
        </w:rPr>
        <w:t>2017</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2017</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(2018)</w:t>
      </w:r>
      <w:r w:rsidRPr="001F3653">
        <w:rPr>
          <w:color w:val="000000"/>
          <w:sz w:val="24"/>
        </w:rPr>
        <w:t>第</w:t>
      </w:r>
      <w:r w:rsidRPr="001F3653">
        <w:rPr>
          <w:color w:val="000000"/>
          <w:sz w:val="24"/>
        </w:rPr>
        <w:t>21974</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交银施罗德丰硕收益债券型证券投资基金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2017</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lastRenderedPageBreak/>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2016</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522,281.43</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3,394,086.10</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8,609,090.91</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11,993,619.32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13,261.51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35,823.27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33,770,800.00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760,065,794.00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33,770,800.00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702,065,794.00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58,000,000.00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10,800,000.00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19,101.37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234,000.00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531,853.80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11,213,751.95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54,266,389.02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786,937,074.64</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2016</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359,999,650.00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80,126.85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44,210.09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293,066.79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8,289.38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54,950.04</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33,157.55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219,800.08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9,856.51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9,873.44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194,599.50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300,000.00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306,000.00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475,640.38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361,077,939.85</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53,688,629.82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438,630,665.79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102,118.82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-12,771,531.00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53,790,748.64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425,859,134.79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54,266,389.02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786,937,074.64</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2017</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w:t>
      </w:r>
      <w:r w:rsidR="001A59F9" w:rsidRPr="00AA0214">
        <w:rPr>
          <w:kern w:val="0"/>
          <w:sz w:val="24"/>
        </w:rPr>
        <w:t>C</w:t>
      </w:r>
      <w:r w:rsidR="001A59F9" w:rsidRPr="00AA0214">
        <w:rPr>
          <w:kern w:val="0"/>
          <w:sz w:val="24"/>
        </w:rPr>
        <w:t>类基金份额净值</w:t>
      </w:r>
      <w:r w:rsidR="001A59F9" w:rsidRPr="00AA0214">
        <w:rPr>
          <w:kern w:val="0"/>
          <w:sz w:val="24"/>
        </w:rPr>
        <w:t>1.002</w:t>
      </w:r>
      <w:r w:rsidR="001A59F9" w:rsidRPr="00AA0214">
        <w:rPr>
          <w:kern w:val="0"/>
          <w:sz w:val="24"/>
        </w:rPr>
        <w:t>元，</w:t>
      </w:r>
      <w:r w:rsidR="001A59F9" w:rsidRPr="00AA0214">
        <w:rPr>
          <w:kern w:val="0"/>
          <w:sz w:val="24"/>
        </w:rPr>
        <w:t>C</w:t>
      </w:r>
      <w:r w:rsidR="001A59F9" w:rsidRPr="00AA0214">
        <w:rPr>
          <w:kern w:val="0"/>
          <w:sz w:val="24"/>
        </w:rPr>
        <w:t>类基金份额总额</w:t>
      </w:r>
      <w:r w:rsidR="001A59F9" w:rsidRPr="00AA0214">
        <w:rPr>
          <w:kern w:val="0"/>
          <w:sz w:val="24"/>
        </w:rPr>
        <w:t>53,688,629.82</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交银施罗德丰硕收益债券型证券投资基金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2017</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2017</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25,418,367.40</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14,197,249.74</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22,900,180.54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23,233,446.81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165,681.53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458,160.29</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19,705,503.17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20,873,847.18</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2,538,168.13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1,899,467.12</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490,827.71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1,972.22</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-10,973,928.83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6,106,986.85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lastRenderedPageBreak/>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-10,762,093.67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6,203,512.88</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-211,835.16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-96,526.03</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13,492,115.69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-15,143,183.92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12,177,969.33</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14,612,755.29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3,094,715.99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3,568,241.20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580,259.26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669,045.18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2,321,036.93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2,676,180.94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13,328.60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9,461.37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5,812,149.79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7,339,316.02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5,812,149.79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7,339,316.02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356,478.76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350,510.58</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13,240,398.07</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-415,505.55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13,240,398.07</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-415,505.55</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交银施罗德丰硕收益债券型证券投资基金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2017</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2017</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438,630,665.79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-12,771,531.00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425,859,134.79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w:t>
            </w:r>
            <w:r w:rsidRPr="00D34C2B">
              <w:rPr>
                <w:rFonts w:hint="eastAsia"/>
                <w:color w:val="000000"/>
                <w:sz w:val="24"/>
              </w:rPr>
              <w:lastRenderedPageBreak/>
              <w:t>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lastRenderedPageBreak/>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13,240,398.07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13,240,398.07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-384,942,035.97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-366,748.25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-385,308,784.22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999.00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1,000.00</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-384,943,034.97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-366,749.25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-385,309,784.22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53,688,629.82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102,118.82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53,790,748.64</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438,630,665.79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2,118,787.13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440,749,452.92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-415,505.55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-415,505.55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-14,474,812.58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-14,474,812.58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438,630,665.79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-12,771,531.00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425,859,134.79</w:t>
            </w:r>
          </w:p>
        </w:tc>
      </w:tr>
    </w:tbl>
    <w:p w:rsidR="001F790F" w:rsidRPr="00AF31CF" w:rsidRDefault="001F790F" w:rsidP="00AF31CF">
      <w:pPr>
        <w:spacing w:before="29" w:line="288" w:lineRule="auto"/>
        <w:rPr>
          <w:sz w:val="24"/>
        </w:rPr>
      </w:pPr>
      <w:r w:rsidRPr="00AF31CF">
        <w:rPr>
          <w:rFonts w:hint="eastAsia"/>
          <w:sz w:val="24"/>
        </w:rPr>
        <w:lastRenderedPageBreak/>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负责人：阮红，主管会计工作负责人：夏华龙，会计机构负责人：单江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7C483C" w:rsidRDefault="007F41B2" w:rsidP="003B685F">
      <w:pPr>
        <w:spacing w:before="29" w:line="288" w:lineRule="auto"/>
        <w:ind w:firstLineChars="200" w:firstLine="480"/>
        <w:rPr>
          <w:color w:val="000000"/>
          <w:sz w:val="24"/>
        </w:rPr>
      </w:pPr>
      <w:r>
        <w:rPr>
          <w:color w:val="000000"/>
          <w:sz w:val="24"/>
        </w:rPr>
        <w:t>交银施罗德丰硕收益债券型证券投资基金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[2015]2267</w:t>
      </w:r>
      <w:r>
        <w:rPr>
          <w:color w:val="000000"/>
          <w:sz w:val="24"/>
        </w:rPr>
        <w:t>号《关于准予交银施罗德丰硕收益债券型证券投资基金注册的批复》核准，由交银施罗德基金管理有限公司依照《中华人民共和国证券投资基金法》和《交银施罗德丰硕收益债券型证券投资基金基金合同》负责公开募集。本基金为契约型基金，存续期限不定，本基金在基金合同生效之日起两年</w:t>
      </w:r>
      <w:r>
        <w:rPr>
          <w:color w:val="000000"/>
          <w:sz w:val="24"/>
        </w:rPr>
        <w:t>(</w:t>
      </w:r>
      <w:r>
        <w:rPr>
          <w:color w:val="000000"/>
          <w:sz w:val="24"/>
        </w:rPr>
        <w:t>含两年</w:t>
      </w:r>
      <w:r>
        <w:rPr>
          <w:color w:val="000000"/>
          <w:sz w:val="24"/>
        </w:rPr>
        <w:t>)</w:t>
      </w:r>
      <w:r>
        <w:rPr>
          <w:color w:val="000000"/>
          <w:sz w:val="24"/>
        </w:rPr>
        <w:t>的期间内，采取封闭式运作</w:t>
      </w:r>
      <w:r>
        <w:rPr>
          <w:color w:val="000000"/>
          <w:sz w:val="24"/>
        </w:rPr>
        <w:t>(</w:t>
      </w:r>
      <w:r>
        <w:rPr>
          <w:color w:val="000000"/>
          <w:sz w:val="24"/>
        </w:rPr>
        <w:t>按照基金合同的约定提前转换基金运作方式的除外</w:t>
      </w:r>
      <w:r>
        <w:rPr>
          <w:color w:val="000000"/>
          <w:sz w:val="24"/>
        </w:rPr>
        <w:t>)</w:t>
      </w:r>
      <w:r>
        <w:rPr>
          <w:color w:val="000000"/>
          <w:sz w:val="24"/>
        </w:rPr>
        <w:t>，封闭期满后转为开放式基金。本基金首次设立募集不包括认购资金利息共募集人民币</w:t>
      </w:r>
      <w:r>
        <w:rPr>
          <w:color w:val="000000"/>
          <w:sz w:val="24"/>
        </w:rPr>
        <w:t>438,442,304.66</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(2015)</w:t>
      </w:r>
      <w:r>
        <w:rPr>
          <w:color w:val="000000"/>
          <w:sz w:val="24"/>
        </w:rPr>
        <w:t>第</w:t>
      </w:r>
      <w:r>
        <w:rPr>
          <w:color w:val="000000"/>
          <w:sz w:val="24"/>
        </w:rPr>
        <w:t>1235</w:t>
      </w:r>
      <w:r>
        <w:rPr>
          <w:color w:val="000000"/>
          <w:sz w:val="24"/>
        </w:rPr>
        <w:t>号验资报告予以验证。经向中国证监会备案，《交银施罗德丰硕收益债券型证券投资基金基金合同》于</w:t>
      </w:r>
      <w:r>
        <w:rPr>
          <w:color w:val="000000"/>
          <w:sz w:val="24"/>
        </w:rPr>
        <w:t>2015</w:t>
      </w:r>
      <w:r>
        <w:rPr>
          <w:color w:val="000000"/>
          <w:sz w:val="24"/>
        </w:rPr>
        <w:t>年</w:t>
      </w:r>
      <w:r>
        <w:rPr>
          <w:color w:val="000000"/>
          <w:sz w:val="24"/>
        </w:rPr>
        <w:t>11</w:t>
      </w:r>
      <w:r>
        <w:rPr>
          <w:color w:val="000000"/>
          <w:sz w:val="24"/>
        </w:rPr>
        <w:t>月</w:t>
      </w:r>
      <w:r>
        <w:rPr>
          <w:color w:val="000000"/>
          <w:sz w:val="24"/>
        </w:rPr>
        <w:t>9</w:t>
      </w:r>
      <w:r>
        <w:rPr>
          <w:color w:val="000000"/>
          <w:sz w:val="24"/>
        </w:rPr>
        <w:t>日正式生效，基金合同生效日的基金份额总额为</w:t>
      </w:r>
      <w:r>
        <w:rPr>
          <w:color w:val="000000"/>
          <w:sz w:val="24"/>
        </w:rPr>
        <w:t>438,630,665.79</w:t>
      </w:r>
      <w:r>
        <w:rPr>
          <w:color w:val="000000"/>
          <w:sz w:val="24"/>
        </w:rPr>
        <w:t>份基金份额，其中认购资金利息折合</w:t>
      </w:r>
      <w:r>
        <w:rPr>
          <w:color w:val="000000"/>
          <w:sz w:val="24"/>
        </w:rPr>
        <w:t>188,361.13</w:t>
      </w:r>
      <w:r>
        <w:rPr>
          <w:color w:val="000000"/>
          <w:sz w:val="24"/>
        </w:rPr>
        <w:t>份基金份额。本基金的基金管理人为交银施罗德基金管理有限公司，基金托管人为中信银行股份有限公司。</w:t>
      </w:r>
    </w:p>
    <w:p w:rsidR="007C483C" w:rsidRDefault="007C483C">
      <w:pPr>
        <w:spacing w:before="29" w:line="288" w:lineRule="auto"/>
        <w:ind w:firstLineChars="200" w:firstLine="480"/>
        <w:rPr>
          <w:color w:val="000000"/>
          <w:sz w:val="24"/>
        </w:rPr>
      </w:pPr>
    </w:p>
    <w:p w:rsidR="007C483C" w:rsidRDefault="007F41B2">
      <w:pPr>
        <w:spacing w:before="29" w:line="288" w:lineRule="auto"/>
        <w:ind w:firstLineChars="200" w:firstLine="480"/>
        <w:rPr>
          <w:color w:val="000000"/>
          <w:sz w:val="24"/>
        </w:rPr>
      </w:pPr>
      <w:r>
        <w:rPr>
          <w:color w:val="000000"/>
          <w:sz w:val="24"/>
        </w:rPr>
        <w:t>根据《交银施罗德丰硕收益债券型证券投资基金基金合同》和《交银施罗德丰硕收益债券型证券投资基金招募说明书》，本基金根据认购</w:t>
      </w:r>
      <w:r>
        <w:rPr>
          <w:color w:val="000000"/>
          <w:sz w:val="24"/>
        </w:rPr>
        <w:t>/</w:t>
      </w:r>
      <w:r>
        <w:rPr>
          <w:color w:val="000000"/>
          <w:sz w:val="24"/>
        </w:rPr>
        <w:t>申购费用、赎回费用、销售服务费收取方式的不同，将基金份额分为不同的类别。在投资人申购时收取申购费用、赎回时收取赎回费用的，称为</w:t>
      </w:r>
      <w:r>
        <w:rPr>
          <w:color w:val="000000"/>
          <w:sz w:val="24"/>
        </w:rPr>
        <w:t>A</w:t>
      </w:r>
      <w:r>
        <w:rPr>
          <w:color w:val="000000"/>
          <w:sz w:val="24"/>
        </w:rPr>
        <w:t>类基金份额，在投资人认购</w:t>
      </w:r>
      <w:r>
        <w:rPr>
          <w:color w:val="000000"/>
          <w:sz w:val="24"/>
        </w:rPr>
        <w:t>/</w:t>
      </w:r>
      <w:r>
        <w:rPr>
          <w:color w:val="000000"/>
          <w:sz w:val="24"/>
        </w:rPr>
        <w:t>申购、赎回时不收取认购</w:t>
      </w:r>
      <w:r>
        <w:rPr>
          <w:color w:val="000000"/>
          <w:sz w:val="24"/>
        </w:rPr>
        <w:t>/</w:t>
      </w:r>
      <w:r>
        <w:rPr>
          <w:color w:val="000000"/>
          <w:sz w:val="24"/>
        </w:rPr>
        <w:t>申购费用、赎回费用，而是从本类别基金资产中计提销售服务费的，称为</w:t>
      </w:r>
      <w:r>
        <w:rPr>
          <w:color w:val="000000"/>
          <w:sz w:val="24"/>
        </w:rPr>
        <w:t>C</w:t>
      </w:r>
      <w:r>
        <w:rPr>
          <w:color w:val="000000"/>
          <w:sz w:val="24"/>
        </w:rPr>
        <w:t>类基金份额；本基金募集期内仅开放</w:t>
      </w:r>
      <w:r>
        <w:rPr>
          <w:color w:val="000000"/>
          <w:sz w:val="24"/>
        </w:rPr>
        <w:t>C</w:t>
      </w:r>
      <w:r>
        <w:rPr>
          <w:color w:val="000000"/>
          <w:sz w:val="24"/>
        </w:rPr>
        <w:t>类基金份额的认购；在基金合同生效之日起两年</w:t>
      </w:r>
      <w:r>
        <w:rPr>
          <w:color w:val="000000"/>
          <w:sz w:val="24"/>
        </w:rPr>
        <w:t>(</w:t>
      </w:r>
      <w:r>
        <w:rPr>
          <w:color w:val="000000"/>
          <w:sz w:val="24"/>
        </w:rPr>
        <w:t>含两年</w:t>
      </w:r>
      <w:r>
        <w:rPr>
          <w:color w:val="000000"/>
          <w:sz w:val="24"/>
        </w:rPr>
        <w:t>)</w:t>
      </w:r>
      <w:r>
        <w:rPr>
          <w:color w:val="000000"/>
          <w:sz w:val="24"/>
        </w:rPr>
        <w:t>的期间内封闭式运作，封闭期结束后转为开放式运作，并可视业务情况择时增开</w:t>
      </w:r>
      <w:r>
        <w:rPr>
          <w:color w:val="000000"/>
          <w:sz w:val="24"/>
        </w:rPr>
        <w:t>A</w:t>
      </w:r>
      <w:r>
        <w:rPr>
          <w:color w:val="000000"/>
          <w:sz w:val="24"/>
        </w:rPr>
        <w:t>类基金份额的申购。根据《关于交银施罗德丰硕收益债券型证券投资基金封闭期结束转为开放式运作暨开放日常申购、赎回业务的公告》的相关规定，本基金封闭期自</w:t>
      </w:r>
      <w:r>
        <w:rPr>
          <w:color w:val="000000"/>
          <w:sz w:val="24"/>
        </w:rPr>
        <w:t>2015</w:t>
      </w:r>
      <w:r>
        <w:rPr>
          <w:color w:val="000000"/>
          <w:sz w:val="24"/>
        </w:rPr>
        <w:t>年</w:t>
      </w:r>
      <w:r>
        <w:rPr>
          <w:color w:val="000000"/>
          <w:sz w:val="24"/>
        </w:rPr>
        <w:t>11</w:t>
      </w:r>
      <w:r>
        <w:rPr>
          <w:color w:val="000000"/>
          <w:sz w:val="24"/>
        </w:rPr>
        <w:t>月</w:t>
      </w:r>
      <w:r>
        <w:rPr>
          <w:color w:val="000000"/>
          <w:sz w:val="24"/>
        </w:rPr>
        <w:t>9</w:t>
      </w:r>
      <w:r>
        <w:rPr>
          <w:color w:val="000000"/>
          <w:sz w:val="24"/>
        </w:rPr>
        <w:t>日</w:t>
      </w:r>
      <w:r>
        <w:rPr>
          <w:color w:val="000000"/>
          <w:sz w:val="24"/>
        </w:rPr>
        <w:t>(</w:t>
      </w:r>
      <w:r>
        <w:rPr>
          <w:color w:val="000000"/>
          <w:sz w:val="24"/>
        </w:rPr>
        <w:t>基金合同生效日</w:t>
      </w:r>
      <w:r>
        <w:rPr>
          <w:color w:val="000000"/>
          <w:sz w:val="24"/>
        </w:rPr>
        <w:t>)</w:t>
      </w:r>
      <w:r>
        <w:rPr>
          <w:color w:val="000000"/>
          <w:sz w:val="24"/>
        </w:rPr>
        <w:t>至</w:t>
      </w:r>
      <w:r>
        <w:rPr>
          <w:color w:val="000000"/>
          <w:sz w:val="24"/>
        </w:rPr>
        <w:t>2017</w:t>
      </w:r>
      <w:r>
        <w:rPr>
          <w:color w:val="000000"/>
          <w:sz w:val="24"/>
        </w:rPr>
        <w:t>年</w:t>
      </w:r>
      <w:r>
        <w:rPr>
          <w:color w:val="000000"/>
          <w:sz w:val="24"/>
        </w:rPr>
        <w:t>11</w:t>
      </w:r>
      <w:r>
        <w:rPr>
          <w:color w:val="000000"/>
          <w:sz w:val="24"/>
        </w:rPr>
        <w:t>月</w:t>
      </w:r>
      <w:r>
        <w:rPr>
          <w:color w:val="000000"/>
          <w:sz w:val="24"/>
        </w:rPr>
        <w:t>9</w:t>
      </w:r>
      <w:r>
        <w:rPr>
          <w:color w:val="000000"/>
          <w:sz w:val="24"/>
        </w:rPr>
        <w:t>日止，自</w:t>
      </w:r>
      <w:r>
        <w:rPr>
          <w:color w:val="000000"/>
          <w:sz w:val="24"/>
        </w:rPr>
        <w:t>2017</w:t>
      </w:r>
      <w:r>
        <w:rPr>
          <w:color w:val="000000"/>
          <w:sz w:val="24"/>
        </w:rPr>
        <w:t>年</w:t>
      </w:r>
      <w:r>
        <w:rPr>
          <w:color w:val="000000"/>
          <w:sz w:val="24"/>
        </w:rPr>
        <w:t>11</w:t>
      </w:r>
      <w:r>
        <w:rPr>
          <w:color w:val="000000"/>
          <w:sz w:val="24"/>
        </w:rPr>
        <w:t>月</w:t>
      </w:r>
      <w:r>
        <w:rPr>
          <w:color w:val="000000"/>
          <w:sz w:val="24"/>
        </w:rPr>
        <w:t>10</w:t>
      </w:r>
      <w:r>
        <w:rPr>
          <w:color w:val="000000"/>
          <w:sz w:val="24"/>
        </w:rPr>
        <w:t>日起转为开放式运作，自该日起开始办理日常申购、赎回业务。</w:t>
      </w:r>
    </w:p>
    <w:p w:rsidR="007C483C" w:rsidRDefault="007C483C">
      <w:pPr>
        <w:spacing w:before="29" w:line="288" w:lineRule="auto"/>
        <w:ind w:firstLineChars="200" w:firstLine="480"/>
        <w:rPr>
          <w:color w:val="000000"/>
          <w:sz w:val="24"/>
        </w:rPr>
      </w:pPr>
    </w:p>
    <w:p w:rsidR="007C483C" w:rsidRDefault="007F41B2">
      <w:pPr>
        <w:spacing w:before="29" w:line="288" w:lineRule="auto"/>
        <w:ind w:firstLineChars="200" w:firstLine="480"/>
        <w:rPr>
          <w:color w:val="000000"/>
          <w:sz w:val="24"/>
        </w:rPr>
      </w:pPr>
      <w:r>
        <w:rPr>
          <w:color w:val="000000"/>
          <w:sz w:val="24"/>
        </w:rPr>
        <w:t>根据《中华人民共和国证券投资基金法》和《交银施罗德丰硕收益债券型证券投资基金基金合同》的有关规定，本基金的投资范围为具有良好流动性的金融工具，包括国内依法发行上市的国债、金融债、央行票据、地方政府债、企业债、公司债、分离交易可转债的纯债、次级债、资产支持证券、短期融资券、中期票据、非公开发行公司债、债券回购、银行存款、货币市场工具等固定收益类资产和法律法规允许投资的其他金融</w:t>
      </w:r>
      <w:r>
        <w:rPr>
          <w:color w:val="000000"/>
          <w:sz w:val="24"/>
        </w:rPr>
        <w:lastRenderedPageBreak/>
        <w:t>工具。其中，封闭期内，本基金所投企业债和公司债信用评级需在</w:t>
      </w:r>
      <w:r>
        <w:rPr>
          <w:color w:val="000000"/>
          <w:sz w:val="24"/>
        </w:rPr>
        <w:t>AA</w:t>
      </w:r>
      <w:r>
        <w:rPr>
          <w:color w:val="000000"/>
          <w:sz w:val="24"/>
        </w:rPr>
        <w:t>级</w:t>
      </w:r>
      <w:r>
        <w:rPr>
          <w:color w:val="000000"/>
          <w:sz w:val="24"/>
        </w:rPr>
        <w:t>(</w:t>
      </w:r>
      <w:r>
        <w:rPr>
          <w:color w:val="000000"/>
          <w:sz w:val="24"/>
        </w:rPr>
        <w:t>含</w:t>
      </w:r>
      <w:r>
        <w:rPr>
          <w:color w:val="000000"/>
          <w:sz w:val="24"/>
        </w:rPr>
        <w:t>)</w:t>
      </w:r>
      <w:r>
        <w:rPr>
          <w:color w:val="000000"/>
          <w:sz w:val="24"/>
        </w:rPr>
        <w:t>以上。本基金不投资股票、权证等权益类资产。同时本基金不参与可转换债券投资</w:t>
      </w:r>
      <w:r>
        <w:rPr>
          <w:color w:val="000000"/>
          <w:sz w:val="24"/>
        </w:rPr>
        <w:t>(</w:t>
      </w:r>
      <w:r>
        <w:rPr>
          <w:color w:val="000000"/>
          <w:sz w:val="24"/>
        </w:rPr>
        <w:t>分离交易可转债的纯债部分除外</w:t>
      </w:r>
      <w:r>
        <w:rPr>
          <w:color w:val="000000"/>
          <w:sz w:val="24"/>
        </w:rPr>
        <w:t>)</w:t>
      </w:r>
      <w:r>
        <w:rPr>
          <w:color w:val="000000"/>
          <w:sz w:val="24"/>
        </w:rPr>
        <w:t>。基金的投资组合比例为：债券资产的比例不低于基金资产的</w:t>
      </w:r>
      <w:r>
        <w:rPr>
          <w:color w:val="000000"/>
          <w:sz w:val="24"/>
        </w:rPr>
        <w:t>80%</w:t>
      </w:r>
      <w:r>
        <w:rPr>
          <w:color w:val="000000"/>
          <w:sz w:val="24"/>
        </w:rPr>
        <w:t>，但在封闭期结束前三个月和转开放后三个月内，基金投资不受上述债券资产投资比例限制。本基金在开放期内，现金或到期日在一年以内的政府债券的比例合计不低于基金资产净值的</w:t>
      </w:r>
      <w:r>
        <w:rPr>
          <w:color w:val="000000"/>
          <w:sz w:val="24"/>
        </w:rPr>
        <w:t>5%</w:t>
      </w:r>
      <w:r>
        <w:rPr>
          <w:color w:val="000000"/>
          <w:sz w:val="24"/>
        </w:rPr>
        <w:t>。本基金封闭期内投资的业绩比较基准为两年期银行定期存款税后收益率</w:t>
      </w:r>
      <w:r>
        <w:rPr>
          <w:color w:val="000000"/>
          <w:sz w:val="24"/>
        </w:rPr>
        <w:t>+1.25%</w:t>
      </w:r>
      <w:r>
        <w:rPr>
          <w:color w:val="000000"/>
          <w:sz w:val="24"/>
        </w:rPr>
        <w:t>，转为开放式运作后业绩比较基准为中债综合全价指数。</w:t>
      </w:r>
    </w:p>
    <w:p w:rsidR="007C483C" w:rsidRDefault="007C483C">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bookmarkStart w:id="60" w:name="_GoBack"/>
      <w:bookmarkEnd w:id="60"/>
      <w:r w:rsidRPr="002F6772">
        <w:rPr>
          <w:color w:val="000000"/>
          <w:sz w:val="24"/>
        </w:rPr>
        <w:t>本财务报表由本基金的基金管理人交银施罗德基金管理有限公司于</w:t>
      </w:r>
      <w:r w:rsidRPr="002F6772">
        <w:rPr>
          <w:color w:val="000000"/>
          <w:sz w:val="24"/>
        </w:rPr>
        <w:t>2018</w:t>
      </w:r>
      <w:r w:rsidRPr="002F6772">
        <w:rPr>
          <w:color w:val="000000"/>
          <w:sz w:val="24"/>
        </w:rPr>
        <w:t>年</w:t>
      </w:r>
      <w:r w:rsidRPr="002F6772">
        <w:rPr>
          <w:color w:val="000000"/>
          <w:sz w:val="24"/>
        </w:rPr>
        <w:t>3</w:t>
      </w:r>
      <w:r w:rsidRPr="002F6772">
        <w:rPr>
          <w:color w:val="000000"/>
          <w:sz w:val="24"/>
        </w:rPr>
        <w:t>月</w:t>
      </w:r>
      <w:r w:rsidRPr="002F6772">
        <w:rPr>
          <w:color w:val="000000"/>
          <w:sz w:val="24"/>
        </w:rPr>
        <w:t>26</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7C483C" w:rsidRDefault="007F41B2">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颁布的《证券投资基金会计核算业务指引》、《交银施罗德丰硕收益债券型证券投资基金基金合同》和在财务报表附注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2017</w:t>
      </w:r>
      <w:r w:rsidRPr="002F6772">
        <w:rPr>
          <w:color w:val="000000"/>
          <w:sz w:val="24"/>
        </w:rPr>
        <w:t>年度财务报表符合企业会计准则的要求，真实、完整地反映了本基金</w:t>
      </w:r>
      <w:r w:rsidRPr="002F6772">
        <w:rPr>
          <w:color w:val="000000"/>
          <w:sz w:val="24"/>
        </w:rPr>
        <w:t>2017</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2017</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本报告期所采用的会计政策、会计估计与最近一期年度报告相一致。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7C483C" w:rsidRDefault="007F41B2">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7C483C" w:rsidRDefault="007F41B2">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日起，金融业由缴纳营业税改为缴纳增值税。对证券投资基金管理人运用基金买卖债券的转让收入免征增值税，对国债、地方政府债以及金融同业往来利息收入亦免征增值税。</w:t>
      </w:r>
    </w:p>
    <w:p w:rsidR="007C483C" w:rsidRDefault="007F41B2">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对基金从证券市场中取得的收入，包括买卖债券的差价收入，债券的利息收入及其他收入，暂不征收企业所得税。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(3) </w:t>
      </w:r>
      <w:r w:rsidRPr="002F6772">
        <w:rPr>
          <w:color w:val="000000"/>
          <w:sz w:val="24"/>
        </w:rPr>
        <w:t>对基金取得的企业债券利息收入，应由发行债券的企业在向基金支付利息时代扣代缴</w:t>
      </w:r>
      <w:r w:rsidRPr="002F6772">
        <w:rPr>
          <w:color w:val="000000"/>
          <w:sz w:val="24"/>
        </w:rPr>
        <w:t>20%</w:t>
      </w:r>
      <w:r w:rsidRPr="002F6772">
        <w:rPr>
          <w:color w:val="000000"/>
          <w:sz w:val="24"/>
        </w:rPr>
        <w:t>的个人所得税。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7C483C">
        <w:tc>
          <w:tcPr>
            <w:tcW w:w="5220" w:type="dxa"/>
            <w:vAlign w:val="center"/>
          </w:tcPr>
          <w:p w:rsidR="007C483C" w:rsidRDefault="007F41B2">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7C483C" w:rsidRDefault="007F41B2">
            <w:pPr>
              <w:jc w:val="center"/>
            </w:pPr>
            <w:r>
              <w:rPr>
                <w:color w:val="000000"/>
                <w:sz w:val="24"/>
              </w:rPr>
              <w:t>基金管理人、基金销售机构</w:t>
            </w:r>
          </w:p>
        </w:tc>
      </w:tr>
      <w:tr w:rsidR="007C483C">
        <w:tc>
          <w:tcPr>
            <w:tcW w:w="5220" w:type="dxa"/>
            <w:vAlign w:val="center"/>
          </w:tcPr>
          <w:p w:rsidR="007C483C" w:rsidRDefault="007F41B2">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7C483C" w:rsidRDefault="007F41B2">
            <w:pPr>
              <w:jc w:val="center"/>
            </w:pPr>
            <w:r>
              <w:rPr>
                <w:color w:val="000000"/>
                <w:sz w:val="24"/>
              </w:rPr>
              <w:t>基金托管人、基金销售机构</w:t>
            </w:r>
          </w:p>
        </w:tc>
      </w:tr>
      <w:tr w:rsidR="007C483C">
        <w:tc>
          <w:tcPr>
            <w:tcW w:w="5220" w:type="dxa"/>
            <w:vAlign w:val="center"/>
          </w:tcPr>
          <w:p w:rsidR="007C483C" w:rsidRDefault="007F41B2">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7C483C" w:rsidRDefault="007F41B2">
            <w:pPr>
              <w:jc w:val="center"/>
            </w:pPr>
            <w:r>
              <w:rPr>
                <w:color w:val="000000"/>
                <w:sz w:val="24"/>
              </w:rPr>
              <w:t>基金管理人的股东、基金销售机构</w:t>
            </w:r>
          </w:p>
        </w:tc>
      </w:tr>
      <w:tr w:rsidR="007C483C">
        <w:tc>
          <w:tcPr>
            <w:tcW w:w="5220" w:type="dxa"/>
            <w:vAlign w:val="center"/>
          </w:tcPr>
          <w:p w:rsidR="007C483C" w:rsidRDefault="007F41B2">
            <w:pPr>
              <w:jc w:val="left"/>
            </w:pPr>
            <w:r>
              <w:rPr>
                <w:color w:val="000000"/>
                <w:sz w:val="24"/>
              </w:rPr>
              <w:t>施罗德投资管理有限公司</w:t>
            </w:r>
          </w:p>
        </w:tc>
        <w:tc>
          <w:tcPr>
            <w:tcW w:w="3780" w:type="dxa"/>
            <w:vAlign w:val="center"/>
          </w:tcPr>
          <w:p w:rsidR="007C483C" w:rsidRDefault="007F41B2">
            <w:pPr>
              <w:jc w:val="center"/>
            </w:pPr>
            <w:r>
              <w:rPr>
                <w:color w:val="000000"/>
                <w:sz w:val="24"/>
              </w:rPr>
              <w:t>基金管理人的股东</w:t>
            </w:r>
          </w:p>
        </w:tc>
      </w:tr>
      <w:tr w:rsidR="007C483C">
        <w:tc>
          <w:tcPr>
            <w:tcW w:w="5220" w:type="dxa"/>
            <w:vAlign w:val="center"/>
          </w:tcPr>
          <w:p w:rsidR="007C483C" w:rsidRDefault="007F41B2">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7C483C" w:rsidRDefault="007F41B2">
            <w:pPr>
              <w:jc w:val="center"/>
            </w:pPr>
            <w:r>
              <w:rPr>
                <w:color w:val="000000"/>
                <w:sz w:val="24"/>
              </w:rPr>
              <w:t>基金管理人的股东</w:t>
            </w:r>
          </w:p>
        </w:tc>
      </w:tr>
      <w:tr w:rsidR="007C483C">
        <w:tc>
          <w:tcPr>
            <w:tcW w:w="5220" w:type="dxa"/>
            <w:vAlign w:val="center"/>
          </w:tcPr>
          <w:p w:rsidR="007C483C" w:rsidRDefault="007F41B2">
            <w:pPr>
              <w:jc w:val="left"/>
            </w:pPr>
            <w:r>
              <w:rPr>
                <w:color w:val="000000"/>
                <w:sz w:val="24"/>
              </w:rPr>
              <w:t>交银施罗德资产管理有限公司</w:t>
            </w:r>
          </w:p>
        </w:tc>
        <w:tc>
          <w:tcPr>
            <w:tcW w:w="3780" w:type="dxa"/>
            <w:vAlign w:val="center"/>
          </w:tcPr>
          <w:p w:rsidR="007C483C" w:rsidRDefault="007F41B2">
            <w:pPr>
              <w:jc w:val="center"/>
            </w:pPr>
            <w:r>
              <w:rPr>
                <w:color w:val="000000"/>
                <w:sz w:val="24"/>
              </w:rPr>
              <w:t>基金管理人的子公司</w:t>
            </w:r>
          </w:p>
        </w:tc>
      </w:tr>
      <w:tr w:rsidR="007C483C">
        <w:tc>
          <w:tcPr>
            <w:tcW w:w="5220" w:type="dxa"/>
            <w:vAlign w:val="center"/>
          </w:tcPr>
          <w:p w:rsidR="007C483C" w:rsidRDefault="007F41B2">
            <w:pPr>
              <w:jc w:val="left"/>
            </w:pPr>
            <w:r>
              <w:rPr>
                <w:color w:val="000000"/>
                <w:sz w:val="24"/>
              </w:rPr>
              <w:t>上海直源投资管理有限公司</w:t>
            </w:r>
          </w:p>
        </w:tc>
        <w:tc>
          <w:tcPr>
            <w:tcW w:w="3780" w:type="dxa"/>
            <w:vAlign w:val="center"/>
          </w:tcPr>
          <w:p w:rsidR="007C483C" w:rsidRDefault="007F41B2">
            <w:pPr>
              <w:jc w:val="center"/>
            </w:pPr>
            <w:r>
              <w:rPr>
                <w:color w:val="000000"/>
                <w:sz w:val="24"/>
              </w:rPr>
              <w:t>受基金管理人控制的公司</w:t>
            </w:r>
          </w:p>
        </w:tc>
      </w:tr>
      <w:tr w:rsidR="007C483C">
        <w:tc>
          <w:tcPr>
            <w:tcW w:w="5220" w:type="dxa"/>
            <w:vAlign w:val="center"/>
          </w:tcPr>
          <w:p w:rsidR="007C483C" w:rsidRDefault="007F41B2">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7C483C" w:rsidRDefault="007F41B2">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3,094,715.99</w:t>
            </w:r>
          </w:p>
        </w:tc>
        <w:tc>
          <w:tcPr>
            <w:tcW w:w="2657" w:type="dxa"/>
            <w:vAlign w:val="center"/>
          </w:tcPr>
          <w:p w:rsidR="001A59F9" w:rsidRPr="00924183" w:rsidRDefault="001A59F9" w:rsidP="00924183">
            <w:pPr>
              <w:spacing w:before="29" w:line="288" w:lineRule="auto"/>
              <w:jc w:val="right"/>
              <w:rPr>
                <w:sz w:val="24"/>
              </w:rPr>
            </w:pPr>
            <w:r w:rsidRPr="00924183">
              <w:rPr>
                <w:sz w:val="24"/>
              </w:rPr>
              <w:t>3,568,241.20</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1,569,062.63</w:t>
            </w:r>
          </w:p>
        </w:tc>
        <w:tc>
          <w:tcPr>
            <w:tcW w:w="2657" w:type="dxa"/>
            <w:vAlign w:val="center"/>
          </w:tcPr>
          <w:p w:rsidR="001A59F9" w:rsidRPr="00924183" w:rsidRDefault="001A59F9" w:rsidP="00924183">
            <w:pPr>
              <w:spacing w:before="29" w:line="288" w:lineRule="auto"/>
              <w:jc w:val="right"/>
              <w:rPr>
                <w:sz w:val="24"/>
              </w:rPr>
            </w:pPr>
            <w:r w:rsidRPr="00924183">
              <w:rPr>
                <w:sz w:val="24"/>
              </w:rPr>
              <w:t>1,812,235.03</w:t>
            </w:r>
          </w:p>
        </w:tc>
      </w:tr>
    </w:tbl>
    <w:p w:rsidR="007C483C" w:rsidRDefault="007F41B2">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0.80%</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×0.80%÷</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580,259.26</w:t>
            </w:r>
          </w:p>
        </w:tc>
        <w:tc>
          <w:tcPr>
            <w:tcW w:w="2657" w:type="dxa"/>
            <w:vAlign w:val="center"/>
          </w:tcPr>
          <w:p w:rsidR="001A59F9" w:rsidRPr="00243BD8" w:rsidRDefault="001A59F9" w:rsidP="00243BD8">
            <w:pPr>
              <w:spacing w:before="29" w:line="288" w:lineRule="auto"/>
              <w:jc w:val="right"/>
              <w:rPr>
                <w:sz w:val="24"/>
              </w:rPr>
            </w:pPr>
            <w:r w:rsidRPr="00243BD8">
              <w:rPr>
                <w:sz w:val="24"/>
              </w:rPr>
              <w:t>669,045.18</w:t>
            </w:r>
          </w:p>
        </w:tc>
      </w:tr>
    </w:tbl>
    <w:p w:rsidR="007C483C" w:rsidRDefault="007F41B2">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×0.15%÷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5C4CA2" w:rsidRDefault="000A1B00" w:rsidP="000A1B00">
      <w:pPr>
        <w:autoSpaceDE w:val="0"/>
        <w:autoSpaceDN w:val="0"/>
        <w:adjustRightInd w:val="0"/>
        <w:spacing w:before="29" w:line="288" w:lineRule="auto"/>
        <w:ind w:left="15"/>
        <w:jc w:val="right"/>
        <w:rPr>
          <w:bCs/>
          <w:color w:val="000000"/>
          <w:sz w:val="24"/>
        </w:rPr>
      </w:pPr>
      <w:r w:rsidRPr="005C4CA2">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26"/>
        <w:gridCol w:w="6172"/>
      </w:tblGrid>
      <w:tr w:rsidR="000A1B00" w:rsidRPr="00E54D6D" w:rsidTr="00A311D3">
        <w:tc>
          <w:tcPr>
            <w:tcW w:w="2821" w:type="dxa"/>
            <w:vMerge w:val="restart"/>
            <w:tcBorders>
              <w:top w:val="single" w:sz="4" w:space="0" w:color="000000"/>
              <w:left w:val="single" w:sz="4" w:space="0" w:color="000000"/>
              <w:right w:val="single" w:sz="4" w:space="0" w:color="000000"/>
            </w:tcBorders>
            <w:vAlign w:val="center"/>
          </w:tcPr>
          <w:p w:rsidR="000A1B00" w:rsidRPr="00EE65F8" w:rsidRDefault="000A1B00" w:rsidP="00A311D3">
            <w:pPr>
              <w:widowControl/>
              <w:autoSpaceDE w:val="0"/>
              <w:autoSpaceDN w:val="0"/>
              <w:spacing w:before="29" w:line="288" w:lineRule="auto"/>
              <w:ind w:right="-15"/>
              <w:jc w:val="center"/>
              <w:textAlignment w:val="bottom"/>
              <w:rPr>
                <w:color w:val="000000"/>
                <w:sz w:val="24"/>
              </w:rPr>
            </w:pPr>
            <w:r w:rsidRPr="00EE65F8">
              <w:rPr>
                <w:color w:val="000000"/>
                <w:sz w:val="24"/>
              </w:rPr>
              <w:t>获得销售服务费的各关联方名称</w:t>
            </w:r>
          </w:p>
        </w:tc>
        <w:tc>
          <w:tcPr>
            <w:tcW w:w="6161" w:type="dxa"/>
            <w:tcBorders>
              <w:top w:val="single" w:sz="4" w:space="0" w:color="000000"/>
              <w:left w:val="single" w:sz="4" w:space="0" w:color="000000"/>
              <w:bottom w:val="single" w:sz="4" w:space="0" w:color="000000"/>
              <w:right w:val="single" w:sz="4" w:space="0" w:color="000000"/>
            </w:tcBorders>
            <w:vAlign w:val="center"/>
          </w:tcPr>
          <w:p w:rsidR="000A1B00" w:rsidRPr="00EE65F8" w:rsidRDefault="000A1B00" w:rsidP="00A311D3">
            <w:pPr>
              <w:widowControl/>
              <w:autoSpaceDE w:val="0"/>
              <w:autoSpaceDN w:val="0"/>
              <w:spacing w:before="29" w:line="288" w:lineRule="auto"/>
              <w:ind w:right="-15"/>
              <w:jc w:val="center"/>
              <w:textAlignment w:val="bottom"/>
              <w:rPr>
                <w:color w:val="000000"/>
                <w:sz w:val="24"/>
              </w:rPr>
            </w:pPr>
            <w:r w:rsidRPr="00EE65F8">
              <w:rPr>
                <w:color w:val="000000"/>
                <w:sz w:val="24"/>
              </w:rPr>
              <w:t>本期</w:t>
            </w:r>
          </w:p>
          <w:p w:rsidR="000A1B00" w:rsidRPr="00EE65F8" w:rsidRDefault="000A1B00" w:rsidP="00A311D3">
            <w:pPr>
              <w:widowControl/>
              <w:autoSpaceDE w:val="0"/>
              <w:autoSpaceDN w:val="0"/>
              <w:spacing w:before="29" w:line="288" w:lineRule="auto"/>
              <w:ind w:right="-15"/>
              <w:jc w:val="center"/>
              <w:textAlignment w:val="bottom"/>
              <w:rPr>
                <w:color w:val="000000"/>
                <w:sz w:val="24"/>
              </w:rPr>
            </w:pPr>
            <w:r w:rsidRPr="00EE65F8">
              <w:rPr>
                <w:color w:val="000000"/>
                <w:sz w:val="24"/>
              </w:rPr>
              <w:t>2017</w:t>
            </w:r>
            <w:r w:rsidRPr="00EE65F8">
              <w:rPr>
                <w:color w:val="000000"/>
                <w:sz w:val="24"/>
              </w:rPr>
              <w:t>年</w:t>
            </w:r>
            <w:r w:rsidRPr="00EE65F8">
              <w:rPr>
                <w:color w:val="000000"/>
                <w:sz w:val="24"/>
              </w:rPr>
              <w:t>1</w:t>
            </w:r>
            <w:r w:rsidRPr="00EE65F8">
              <w:rPr>
                <w:color w:val="000000"/>
                <w:sz w:val="24"/>
              </w:rPr>
              <w:t>月</w:t>
            </w:r>
            <w:r w:rsidRPr="00EE65F8">
              <w:rPr>
                <w:color w:val="000000"/>
                <w:sz w:val="24"/>
              </w:rPr>
              <w:t>1</w:t>
            </w:r>
            <w:r w:rsidRPr="00EE65F8">
              <w:rPr>
                <w:color w:val="000000"/>
                <w:sz w:val="24"/>
              </w:rPr>
              <w:t>日至</w:t>
            </w:r>
            <w:r w:rsidRPr="00EE65F8">
              <w:rPr>
                <w:color w:val="000000"/>
                <w:sz w:val="24"/>
              </w:rPr>
              <w:t>2017</w:t>
            </w:r>
            <w:r w:rsidRPr="00EE65F8">
              <w:rPr>
                <w:color w:val="000000"/>
                <w:sz w:val="24"/>
              </w:rPr>
              <w:t>年</w:t>
            </w:r>
            <w:r w:rsidRPr="00EE65F8">
              <w:rPr>
                <w:color w:val="000000"/>
                <w:sz w:val="24"/>
              </w:rPr>
              <w:t>12</w:t>
            </w:r>
            <w:r w:rsidRPr="00EE65F8">
              <w:rPr>
                <w:color w:val="000000"/>
                <w:sz w:val="24"/>
              </w:rPr>
              <w:t>月</w:t>
            </w:r>
            <w:r w:rsidRPr="00EE65F8">
              <w:rPr>
                <w:color w:val="000000"/>
                <w:sz w:val="24"/>
              </w:rPr>
              <w:t>31</w:t>
            </w:r>
            <w:r w:rsidRPr="00EE65F8">
              <w:rPr>
                <w:color w:val="000000"/>
                <w:sz w:val="24"/>
              </w:rPr>
              <w:t>日</w:t>
            </w:r>
          </w:p>
        </w:tc>
      </w:tr>
      <w:tr w:rsidR="000A1B00" w:rsidRPr="00E54D6D" w:rsidTr="00A311D3">
        <w:tc>
          <w:tcPr>
            <w:tcW w:w="2821" w:type="dxa"/>
            <w:vMerge/>
            <w:tcBorders>
              <w:left w:val="single" w:sz="4" w:space="0" w:color="000000"/>
              <w:bottom w:val="single" w:sz="4" w:space="0" w:color="000000"/>
              <w:right w:val="single" w:sz="4" w:space="0" w:color="000000"/>
            </w:tcBorders>
            <w:vAlign w:val="center"/>
          </w:tcPr>
          <w:p w:rsidR="000A1B00" w:rsidRPr="00EE65F8" w:rsidRDefault="000A1B00" w:rsidP="00A311D3">
            <w:pPr>
              <w:widowControl/>
              <w:autoSpaceDE w:val="0"/>
              <w:autoSpaceDN w:val="0"/>
              <w:spacing w:before="29" w:line="288" w:lineRule="auto"/>
              <w:ind w:right="-15"/>
              <w:jc w:val="center"/>
              <w:textAlignment w:val="bottom"/>
              <w:rPr>
                <w:color w:val="000000"/>
                <w:sz w:val="24"/>
              </w:rPr>
            </w:pPr>
          </w:p>
        </w:tc>
        <w:tc>
          <w:tcPr>
            <w:tcW w:w="6161" w:type="dxa"/>
            <w:tcBorders>
              <w:top w:val="single" w:sz="4" w:space="0" w:color="000000"/>
              <w:left w:val="single" w:sz="4" w:space="0" w:color="000000"/>
              <w:bottom w:val="single" w:sz="4" w:space="0" w:color="000000"/>
              <w:right w:val="single" w:sz="4" w:space="0" w:color="000000"/>
            </w:tcBorders>
            <w:vAlign w:val="center"/>
          </w:tcPr>
          <w:p w:rsidR="000A1B00" w:rsidRPr="00EE65F8" w:rsidRDefault="000A1B00" w:rsidP="00A311D3">
            <w:pPr>
              <w:widowControl/>
              <w:autoSpaceDE w:val="0"/>
              <w:autoSpaceDN w:val="0"/>
              <w:spacing w:before="29" w:line="288" w:lineRule="auto"/>
              <w:ind w:right="-15"/>
              <w:jc w:val="center"/>
              <w:textAlignment w:val="bottom"/>
              <w:rPr>
                <w:color w:val="000000"/>
                <w:sz w:val="24"/>
              </w:rPr>
            </w:pPr>
            <w:r w:rsidRPr="00EE65F8">
              <w:rPr>
                <w:color w:val="000000"/>
                <w:sz w:val="24"/>
              </w:rPr>
              <w:t>当期发生的基金应支付的销售服务费</w:t>
            </w:r>
          </w:p>
        </w:tc>
      </w:tr>
      <w:tr w:rsidR="007C483C">
        <w:tc>
          <w:tcPr>
            <w:tcW w:w="2826" w:type="dxa"/>
            <w:vAlign w:val="center"/>
          </w:tcPr>
          <w:p w:rsidR="007C483C" w:rsidRDefault="007F41B2">
            <w:pPr>
              <w:jc w:val="left"/>
            </w:pPr>
            <w:r>
              <w:rPr>
                <w:sz w:val="24"/>
              </w:rPr>
              <w:t>中信银行</w:t>
            </w:r>
          </w:p>
        </w:tc>
        <w:tc>
          <w:tcPr>
            <w:tcW w:w="6172" w:type="dxa"/>
            <w:vAlign w:val="center"/>
          </w:tcPr>
          <w:p w:rsidR="007C483C" w:rsidRDefault="007F41B2">
            <w:pPr>
              <w:jc w:val="right"/>
            </w:pPr>
            <w:r>
              <w:rPr>
                <w:sz w:val="24"/>
              </w:rPr>
              <w:t>21,425.84</w:t>
            </w:r>
          </w:p>
        </w:tc>
      </w:tr>
      <w:tr w:rsidR="007C483C">
        <w:tc>
          <w:tcPr>
            <w:tcW w:w="2826" w:type="dxa"/>
            <w:vAlign w:val="center"/>
          </w:tcPr>
          <w:p w:rsidR="007C483C" w:rsidRDefault="007F41B2">
            <w:pPr>
              <w:jc w:val="left"/>
            </w:pPr>
            <w:r>
              <w:rPr>
                <w:sz w:val="24"/>
              </w:rPr>
              <w:t>交通银行</w:t>
            </w:r>
          </w:p>
        </w:tc>
        <w:tc>
          <w:tcPr>
            <w:tcW w:w="6172" w:type="dxa"/>
            <w:vAlign w:val="center"/>
          </w:tcPr>
          <w:p w:rsidR="007C483C" w:rsidRDefault="007F41B2">
            <w:pPr>
              <w:jc w:val="right"/>
            </w:pPr>
            <w:r>
              <w:rPr>
                <w:sz w:val="24"/>
              </w:rPr>
              <w:t>373,715.81</w:t>
            </w:r>
          </w:p>
        </w:tc>
      </w:tr>
      <w:tr w:rsidR="007C483C">
        <w:tc>
          <w:tcPr>
            <w:tcW w:w="2826" w:type="dxa"/>
            <w:vAlign w:val="center"/>
          </w:tcPr>
          <w:p w:rsidR="007C483C" w:rsidRDefault="007F41B2">
            <w:pPr>
              <w:jc w:val="left"/>
            </w:pPr>
            <w:r>
              <w:rPr>
                <w:sz w:val="24"/>
              </w:rPr>
              <w:t>交银施罗德基金公司</w:t>
            </w:r>
          </w:p>
        </w:tc>
        <w:tc>
          <w:tcPr>
            <w:tcW w:w="6172" w:type="dxa"/>
            <w:vAlign w:val="center"/>
          </w:tcPr>
          <w:p w:rsidR="007C483C" w:rsidRDefault="007F41B2">
            <w:pPr>
              <w:jc w:val="right"/>
            </w:pPr>
            <w:r>
              <w:rPr>
                <w:sz w:val="24"/>
              </w:rPr>
              <w:t>4,519.47</w:t>
            </w:r>
          </w:p>
        </w:tc>
      </w:tr>
      <w:tr w:rsidR="000A1B00" w:rsidRPr="00E54D6D" w:rsidTr="00A311D3">
        <w:tc>
          <w:tcPr>
            <w:tcW w:w="2821" w:type="dxa"/>
            <w:vAlign w:val="center"/>
          </w:tcPr>
          <w:p w:rsidR="000A1B00" w:rsidRPr="006E2BD3" w:rsidRDefault="000A1B00" w:rsidP="00A311D3">
            <w:pPr>
              <w:widowControl/>
              <w:autoSpaceDE w:val="0"/>
              <w:autoSpaceDN w:val="0"/>
              <w:spacing w:before="29" w:line="288" w:lineRule="auto"/>
              <w:ind w:right="-15"/>
              <w:jc w:val="center"/>
              <w:textAlignment w:val="bottom"/>
              <w:rPr>
                <w:color w:val="000000"/>
                <w:sz w:val="24"/>
              </w:rPr>
            </w:pPr>
            <w:r w:rsidRPr="006E2BD3">
              <w:rPr>
                <w:color w:val="000000"/>
                <w:sz w:val="24"/>
              </w:rPr>
              <w:t>合计</w:t>
            </w:r>
          </w:p>
        </w:tc>
        <w:tc>
          <w:tcPr>
            <w:tcW w:w="6161" w:type="dxa"/>
          </w:tcPr>
          <w:p w:rsidR="000A1B00" w:rsidRPr="006E2BD3" w:rsidRDefault="000A1B00" w:rsidP="00A311D3">
            <w:pPr>
              <w:widowControl/>
              <w:autoSpaceDE w:val="0"/>
              <w:autoSpaceDN w:val="0"/>
              <w:spacing w:before="29" w:line="288" w:lineRule="auto"/>
              <w:ind w:right="-15"/>
              <w:jc w:val="center"/>
              <w:textAlignment w:val="bottom"/>
              <w:rPr>
                <w:color w:val="000000"/>
                <w:sz w:val="24"/>
              </w:rPr>
            </w:pPr>
            <w:r w:rsidRPr="006E2BD3">
              <w:rPr>
                <w:color w:val="000000"/>
                <w:sz w:val="24"/>
              </w:rPr>
              <w:t>399,661.12</w:t>
            </w:r>
          </w:p>
        </w:tc>
      </w:tr>
      <w:tr w:rsidR="000A1B00" w:rsidRPr="00E54D6D" w:rsidTr="00A311D3">
        <w:tc>
          <w:tcPr>
            <w:tcW w:w="2821" w:type="dxa"/>
            <w:vMerge w:val="restart"/>
            <w:vAlign w:val="center"/>
          </w:tcPr>
          <w:p w:rsidR="000A1B00" w:rsidRPr="00EE65F8" w:rsidRDefault="000A1B00" w:rsidP="00A311D3">
            <w:pPr>
              <w:widowControl/>
              <w:autoSpaceDE w:val="0"/>
              <w:autoSpaceDN w:val="0"/>
              <w:spacing w:before="29" w:line="288" w:lineRule="auto"/>
              <w:ind w:right="-15"/>
              <w:jc w:val="center"/>
              <w:textAlignment w:val="bottom"/>
              <w:rPr>
                <w:color w:val="000000"/>
                <w:sz w:val="24"/>
              </w:rPr>
            </w:pPr>
            <w:r w:rsidRPr="00EE65F8">
              <w:rPr>
                <w:color w:val="000000"/>
                <w:sz w:val="24"/>
              </w:rPr>
              <w:t>获得销售服务费的各关联方名称</w:t>
            </w:r>
          </w:p>
        </w:tc>
        <w:tc>
          <w:tcPr>
            <w:tcW w:w="6161" w:type="dxa"/>
            <w:vAlign w:val="center"/>
          </w:tcPr>
          <w:p w:rsidR="000A1B00" w:rsidRPr="00EE65F8" w:rsidRDefault="000A1B00" w:rsidP="00A311D3">
            <w:pPr>
              <w:widowControl/>
              <w:autoSpaceDE w:val="0"/>
              <w:autoSpaceDN w:val="0"/>
              <w:spacing w:before="29" w:line="288" w:lineRule="auto"/>
              <w:ind w:right="-15"/>
              <w:jc w:val="center"/>
              <w:textAlignment w:val="bottom"/>
              <w:rPr>
                <w:color w:val="000000"/>
                <w:sz w:val="24"/>
              </w:rPr>
            </w:pPr>
            <w:r w:rsidRPr="00EE65F8">
              <w:rPr>
                <w:color w:val="000000"/>
                <w:sz w:val="24"/>
              </w:rPr>
              <w:t>上年度可比期间</w:t>
            </w:r>
          </w:p>
          <w:p w:rsidR="000A1B00" w:rsidRPr="00EE65F8" w:rsidRDefault="000A1B00" w:rsidP="00A311D3">
            <w:pPr>
              <w:widowControl/>
              <w:autoSpaceDE w:val="0"/>
              <w:autoSpaceDN w:val="0"/>
              <w:spacing w:before="29" w:line="288" w:lineRule="auto"/>
              <w:ind w:right="-15"/>
              <w:jc w:val="center"/>
              <w:textAlignment w:val="bottom"/>
              <w:rPr>
                <w:color w:val="000000"/>
                <w:sz w:val="24"/>
              </w:rPr>
            </w:pPr>
            <w:r w:rsidRPr="00EE65F8">
              <w:rPr>
                <w:color w:val="000000"/>
                <w:sz w:val="24"/>
              </w:rPr>
              <w:t>2016</w:t>
            </w:r>
            <w:r w:rsidRPr="00EE65F8">
              <w:rPr>
                <w:color w:val="000000"/>
                <w:sz w:val="24"/>
              </w:rPr>
              <w:t>年</w:t>
            </w:r>
            <w:r w:rsidRPr="00EE65F8">
              <w:rPr>
                <w:color w:val="000000"/>
                <w:sz w:val="24"/>
              </w:rPr>
              <w:t>1</w:t>
            </w:r>
            <w:r w:rsidRPr="00EE65F8">
              <w:rPr>
                <w:color w:val="000000"/>
                <w:sz w:val="24"/>
              </w:rPr>
              <w:t>月</w:t>
            </w:r>
            <w:r w:rsidRPr="00EE65F8">
              <w:rPr>
                <w:color w:val="000000"/>
                <w:sz w:val="24"/>
              </w:rPr>
              <w:t>1</w:t>
            </w:r>
            <w:r w:rsidRPr="00EE65F8">
              <w:rPr>
                <w:color w:val="000000"/>
                <w:sz w:val="24"/>
              </w:rPr>
              <w:t>日至</w:t>
            </w:r>
            <w:r w:rsidRPr="00EE65F8">
              <w:rPr>
                <w:color w:val="000000"/>
                <w:sz w:val="24"/>
              </w:rPr>
              <w:t>2016</w:t>
            </w:r>
            <w:r w:rsidRPr="00EE65F8">
              <w:rPr>
                <w:color w:val="000000"/>
                <w:sz w:val="24"/>
              </w:rPr>
              <w:t>年</w:t>
            </w:r>
            <w:r w:rsidRPr="00EE65F8">
              <w:rPr>
                <w:color w:val="000000"/>
                <w:sz w:val="24"/>
              </w:rPr>
              <w:t>12</w:t>
            </w:r>
            <w:r w:rsidRPr="00EE65F8">
              <w:rPr>
                <w:color w:val="000000"/>
                <w:sz w:val="24"/>
              </w:rPr>
              <w:t>月</w:t>
            </w:r>
            <w:r w:rsidRPr="00EE65F8">
              <w:rPr>
                <w:color w:val="000000"/>
                <w:sz w:val="24"/>
              </w:rPr>
              <w:t>31</w:t>
            </w:r>
            <w:r w:rsidRPr="00EE65F8">
              <w:rPr>
                <w:color w:val="000000"/>
                <w:sz w:val="24"/>
              </w:rPr>
              <w:t>日</w:t>
            </w:r>
          </w:p>
        </w:tc>
      </w:tr>
      <w:tr w:rsidR="000A1B00" w:rsidRPr="00E54D6D" w:rsidTr="00A311D3">
        <w:tc>
          <w:tcPr>
            <w:tcW w:w="2821" w:type="dxa"/>
            <w:vMerge/>
            <w:vAlign w:val="center"/>
          </w:tcPr>
          <w:p w:rsidR="000A1B00" w:rsidRPr="00EE65F8" w:rsidRDefault="000A1B00" w:rsidP="00A311D3">
            <w:pPr>
              <w:widowControl/>
              <w:autoSpaceDE w:val="0"/>
              <w:autoSpaceDN w:val="0"/>
              <w:spacing w:before="29" w:line="288" w:lineRule="auto"/>
              <w:ind w:right="-15"/>
              <w:jc w:val="center"/>
              <w:textAlignment w:val="bottom"/>
              <w:rPr>
                <w:color w:val="000000"/>
                <w:sz w:val="24"/>
              </w:rPr>
            </w:pPr>
          </w:p>
        </w:tc>
        <w:tc>
          <w:tcPr>
            <w:tcW w:w="6161" w:type="dxa"/>
            <w:vAlign w:val="center"/>
          </w:tcPr>
          <w:p w:rsidR="000A1B00" w:rsidRPr="00EE65F8" w:rsidRDefault="000A1B00" w:rsidP="00A311D3">
            <w:pPr>
              <w:autoSpaceDE w:val="0"/>
              <w:autoSpaceDN w:val="0"/>
              <w:spacing w:before="29" w:line="288" w:lineRule="auto"/>
              <w:ind w:right="-15"/>
              <w:jc w:val="center"/>
              <w:textAlignment w:val="bottom"/>
              <w:rPr>
                <w:color w:val="000000"/>
                <w:sz w:val="24"/>
              </w:rPr>
            </w:pPr>
            <w:r w:rsidRPr="00EE65F8">
              <w:rPr>
                <w:color w:val="000000"/>
                <w:sz w:val="24"/>
              </w:rPr>
              <w:t>当期发生的基金应支付的销售服务费</w:t>
            </w:r>
          </w:p>
        </w:tc>
      </w:tr>
      <w:tr w:rsidR="007C483C">
        <w:tc>
          <w:tcPr>
            <w:tcW w:w="2826" w:type="dxa"/>
            <w:vAlign w:val="center"/>
          </w:tcPr>
          <w:p w:rsidR="007C483C" w:rsidRDefault="007F41B2">
            <w:pPr>
              <w:jc w:val="left"/>
            </w:pPr>
            <w:r>
              <w:rPr>
                <w:sz w:val="24"/>
              </w:rPr>
              <w:lastRenderedPageBreak/>
              <w:t>中信银行</w:t>
            </w:r>
          </w:p>
        </w:tc>
        <w:tc>
          <w:tcPr>
            <w:tcW w:w="6172" w:type="dxa"/>
            <w:vAlign w:val="center"/>
          </w:tcPr>
          <w:p w:rsidR="007C483C" w:rsidRDefault="007F41B2">
            <w:pPr>
              <w:jc w:val="right"/>
            </w:pPr>
            <w:r>
              <w:rPr>
                <w:sz w:val="24"/>
              </w:rPr>
              <w:t>22,690.86</w:t>
            </w:r>
          </w:p>
        </w:tc>
      </w:tr>
      <w:tr w:rsidR="007C483C">
        <w:tc>
          <w:tcPr>
            <w:tcW w:w="2826" w:type="dxa"/>
            <w:vAlign w:val="center"/>
          </w:tcPr>
          <w:p w:rsidR="007C483C" w:rsidRDefault="007F41B2">
            <w:pPr>
              <w:jc w:val="left"/>
            </w:pPr>
            <w:r>
              <w:rPr>
                <w:sz w:val="24"/>
              </w:rPr>
              <w:t>交通银行</w:t>
            </w:r>
          </w:p>
        </w:tc>
        <w:tc>
          <w:tcPr>
            <w:tcW w:w="6172" w:type="dxa"/>
            <w:vAlign w:val="center"/>
          </w:tcPr>
          <w:p w:rsidR="007C483C" w:rsidRDefault="007F41B2">
            <w:pPr>
              <w:jc w:val="right"/>
            </w:pPr>
            <w:r>
              <w:rPr>
                <w:sz w:val="24"/>
              </w:rPr>
              <w:t>419,400.32</w:t>
            </w:r>
          </w:p>
        </w:tc>
      </w:tr>
      <w:tr w:rsidR="007C483C">
        <w:tc>
          <w:tcPr>
            <w:tcW w:w="2826" w:type="dxa"/>
            <w:vAlign w:val="center"/>
          </w:tcPr>
          <w:p w:rsidR="007C483C" w:rsidRDefault="007F41B2">
            <w:pPr>
              <w:jc w:val="left"/>
            </w:pPr>
            <w:r>
              <w:rPr>
                <w:sz w:val="24"/>
              </w:rPr>
              <w:t>交银施罗德基金公司</w:t>
            </w:r>
          </w:p>
        </w:tc>
        <w:tc>
          <w:tcPr>
            <w:tcW w:w="6172" w:type="dxa"/>
            <w:vAlign w:val="center"/>
          </w:tcPr>
          <w:p w:rsidR="007C483C" w:rsidRDefault="007F41B2">
            <w:pPr>
              <w:jc w:val="right"/>
            </w:pPr>
            <w:r>
              <w:rPr>
                <w:sz w:val="24"/>
              </w:rPr>
              <w:t>5,269.36</w:t>
            </w:r>
          </w:p>
        </w:tc>
      </w:tr>
      <w:tr w:rsidR="000A1B00" w:rsidRPr="00E54D6D" w:rsidTr="00A311D3">
        <w:tc>
          <w:tcPr>
            <w:tcW w:w="2821" w:type="dxa"/>
            <w:vAlign w:val="center"/>
          </w:tcPr>
          <w:p w:rsidR="000A1B00" w:rsidRPr="006E2BD3" w:rsidRDefault="000A1B00" w:rsidP="00A311D3">
            <w:pPr>
              <w:widowControl/>
              <w:autoSpaceDE w:val="0"/>
              <w:autoSpaceDN w:val="0"/>
              <w:spacing w:before="29" w:line="288" w:lineRule="auto"/>
              <w:ind w:right="-15"/>
              <w:jc w:val="center"/>
              <w:textAlignment w:val="bottom"/>
              <w:rPr>
                <w:color w:val="000000"/>
                <w:sz w:val="24"/>
              </w:rPr>
            </w:pPr>
            <w:r w:rsidRPr="006E2BD3">
              <w:rPr>
                <w:color w:val="000000"/>
                <w:sz w:val="24"/>
              </w:rPr>
              <w:t>合计</w:t>
            </w:r>
          </w:p>
        </w:tc>
        <w:tc>
          <w:tcPr>
            <w:tcW w:w="6161" w:type="dxa"/>
            <w:vAlign w:val="center"/>
          </w:tcPr>
          <w:p w:rsidR="000A1B00" w:rsidRPr="006E2BD3" w:rsidRDefault="000A1B00" w:rsidP="00A311D3">
            <w:pPr>
              <w:widowControl/>
              <w:autoSpaceDE w:val="0"/>
              <w:autoSpaceDN w:val="0"/>
              <w:spacing w:before="29" w:line="288" w:lineRule="auto"/>
              <w:ind w:right="-15"/>
              <w:jc w:val="center"/>
              <w:textAlignment w:val="bottom"/>
              <w:rPr>
                <w:color w:val="000000"/>
                <w:sz w:val="24"/>
              </w:rPr>
            </w:pPr>
            <w:r w:rsidRPr="006E2BD3">
              <w:rPr>
                <w:color w:val="000000"/>
                <w:sz w:val="24"/>
              </w:rPr>
              <w:t>447,360.54</w:t>
            </w:r>
          </w:p>
        </w:tc>
      </w:tr>
    </w:tbl>
    <w:p w:rsidR="007C483C" w:rsidRDefault="007F41B2">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0.6%</w:t>
      </w:r>
      <w:r>
        <w:rPr>
          <w:kern w:val="0"/>
          <w:sz w:val="24"/>
        </w:rPr>
        <w:t>的年费率计提，逐日累计至每月月底，按月支付给基金管理人，再由基金管理人计算并支付给各基金销售机构。其计算公式为：</w:t>
      </w:r>
    </w:p>
    <w:p w:rsidR="000A1B00" w:rsidRPr="00846E38" w:rsidRDefault="000A1B00" w:rsidP="000A1B00">
      <w:pPr>
        <w:tabs>
          <w:tab w:val="left" w:pos="426"/>
        </w:tabs>
        <w:spacing w:before="29" w:line="288" w:lineRule="auto"/>
        <w:jc w:val="left"/>
        <w:rPr>
          <w:kern w:val="0"/>
          <w:sz w:val="24"/>
        </w:rPr>
      </w:pPr>
      <w:r w:rsidRPr="00846E38">
        <w:rPr>
          <w:kern w:val="0"/>
          <w:sz w:val="24"/>
        </w:rPr>
        <w:t>日基金销售服务费＝前一日</w:t>
      </w:r>
      <w:r w:rsidRPr="00846E38">
        <w:rPr>
          <w:kern w:val="0"/>
          <w:sz w:val="24"/>
        </w:rPr>
        <w:t>C</w:t>
      </w:r>
      <w:r w:rsidRPr="00846E38">
        <w:rPr>
          <w:kern w:val="0"/>
          <w:sz w:val="24"/>
        </w:rPr>
        <w:t>类基金份额对应的资产净值</w:t>
      </w:r>
      <w:r w:rsidRPr="00846E38">
        <w:rPr>
          <w:kern w:val="0"/>
          <w:sz w:val="24"/>
        </w:rPr>
        <w:t xml:space="preserve">×0.6%÷ </w:t>
      </w:r>
      <w:r w:rsidRPr="00846E38">
        <w:rPr>
          <w:kern w:val="0"/>
          <w:sz w:val="24"/>
        </w:rPr>
        <w:t>当年天数。</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2016</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2016</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7C483C">
        <w:tc>
          <w:tcPr>
            <w:tcW w:w="1701" w:type="dxa"/>
            <w:vAlign w:val="center"/>
          </w:tcPr>
          <w:p w:rsidR="007C483C" w:rsidRDefault="007F41B2">
            <w:pPr>
              <w:jc w:val="left"/>
            </w:pPr>
            <w:r>
              <w:rPr>
                <w:color w:val="000000"/>
                <w:szCs w:val="21"/>
              </w:rPr>
              <w:t>中信银行</w:t>
            </w:r>
          </w:p>
        </w:tc>
        <w:tc>
          <w:tcPr>
            <w:tcW w:w="1985" w:type="dxa"/>
            <w:vAlign w:val="center"/>
          </w:tcPr>
          <w:p w:rsidR="007C483C" w:rsidRDefault="007F41B2">
            <w:pPr>
              <w:jc w:val="right"/>
            </w:pPr>
            <w:r>
              <w:rPr>
                <w:color w:val="000000"/>
                <w:szCs w:val="21"/>
              </w:rPr>
              <w:t>522,281.43</w:t>
            </w:r>
          </w:p>
        </w:tc>
        <w:tc>
          <w:tcPr>
            <w:tcW w:w="1701" w:type="dxa"/>
            <w:vAlign w:val="center"/>
          </w:tcPr>
          <w:p w:rsidR="007C483C" w:rsidRDefault="007F41B2">
            <w:pPr>
              <w:jc w:val="right"/>
            </w:pPr>
            <w:r>
              <w:rPr>
                <w:color w:val="000000"/>
                <w:szCs w:val="21"/>
              </w:rPr>
              <w:t>53,774.93</w:t>
            </w:r>
          </w:p>
        </w:tc>
        <w:tc>
          <w:tcPr>
            <w:tcW w:w="1843" w:type="dxa"/>
            <w:vAlign w:val="center"/>
          </w:tcPr>
          <w:p w:rsidR="007C483C" w:rsidRDefault="007F41B2">
            <w:pPr>
              <w:jc w:val="right"/>
            </w:pPr>
            <w:r>
              <w:rPr>
                <w:color w:val="000000"/>
                <w:szCs w:val="21"/>
              </w:rPr>
              <w:t>3,394,086.10</w:t>
            </w:r>
          </w:p>
        </w:tc>
        <w:tc>
          <w:tcPr>
            <w:tcW w:w="1768" w:type="dxa"/>
            <w:vAlign w:val="center"/>
          </w:tcPr>
          <w:p w:rsidR="007C483C" w:rsidRDefault="007F41B2">
            <w:pPr>
              <w:jc w:val="right"/>
            </w:pPr>
            <w:r>
              <w:rPr>
                <w:color w:val="000000"/>
                <w:szCs w:val="21"/>
              </w:rPr>
              <w:t>107,549.60</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本基金本报告期内及上年度可比期间未在承销期内参与关联方承销的证券。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2017</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Default="001A59F9" w:rsidP="001A2A8C">
      <w:pPr>
        <w:tabs>
          <w:tab w:val="left" w:pos="426"/>
        </w:tabs>
        <w:spacing w:before="29" w:line="288" w:lineRule="auto"/>
        <w:jc w:val="left"/>
        <w:rPr>
          <w:kern w:val="0"/>
          <w:sz w:val="24"/>
        </w:rPr>
      </w:pPr>
      <w:r w:rsidRPr="001A2A8C">
        <w:rPr>
          <w:kern w:val="0"/>
          <w:sz w:val="24"/>
        </w:rPr>
        <w:t>本基金本期末未持有暂时停牌等流通受限股票。</w:t>
      </w:r>
    </w:p>
    <w:p w:rsidR="00440E20" w:rsidRPr="001A2A8C" w:rsidRDefault="00440E20" w:rsidP="001A2A8C">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C0A9E" w:rsidRDefault="001A59F9" w:rsidP="00440E20">
      <w:pPr>
        <w:spacing w:before="29" w:line="288" w:lineRule="auto"/>
        <w:rPr>
          <w:color w:val="000000"/>
          <w:sz w:val="24"/>
        </w:rPr>
      </w:pPr>
      <w:r w:rsidRPr="001A2A8C">
        <w:rPr>
          <w:color w:val="000000"/>
          <w:sz w:val="24"/>
        </w:rPr>
        <w:t>本基金本报告期末无从事债券正回购交易形成的卖出回购证券款余额。</w:t>
      </w:r>
      <w:r w:rsidR="001C0A9E">
        <w:rPr>
          <w:rFonts w:hint="eastAsia"/>
          <w:color w:val="00000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7C483C" w:rsidRDefault="007F41B2">
      <w:pPr>
        <w:spacing w:before="29" w:line="288" w:lineRule="auto"/>
        <w:ind w:firstLineChars="200" w:firstLine="480"/>
        <w:rPr>
          <w:color w:val="000000"/>
          <w:sz w:val="24"/>
        </w:rPr>
      </w:pPr>
      <w:r>
        <w:rPr>
          <w:color w:val="000000"/>
          <w:sz w:val="24"/>
        </w:rPr>
        <w:t>(1)</w:t>
      </w:r>
      <w:r>
        <w:rPr>
          <w:color w:val="000000"/>
          <w:sz w:val="24"/>
        </w:rPr>
        <w:t>公允价值</w:t>
      </w:r>
    </w:p>
    <w:p w:rsidR="007C483C" w:rsidRDefault="007F41B2">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7C483C" w:rsidRDefault="007F41B2">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7C483C" w:rsidRDefault="007F41B2">
      <w:pPr>
        <w:spacing w:before="29" w:line="288" w:lineRule="auto"/>
        <w:ind w:firstLineChars="200" w:firstLine="480"/>
        <w:rPr>
          <w:color w:val="000000"/>
          <w:sz w:val="24"/>
        </w:rPr>
      </w:pPr>
      <w:r>
        <w:rPr>
          <w:color w:val="000000"/>
          <w:sz w:val="24"/>
        </w:rPr>
        <w:t>第一层次：相同资产或负债在活跃市场上未经调整的报价。</w:t>
      </w:r>
    </w:p>
    <w:p w:rsidR="007C483C" w:rsidRDefault="007F41B2">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7C483C" w:rsidRDefault="007F41B2">
      <w:pPr>
        <w:spacing w:before="29" w:line="288" w:lineRule="auto"/>
        <w:ind w:firstLineChars="200" w:firstLine="480"/>
        <w:rPr>
          <w:color w:val="000000"/>
          <w:sz w:val="24"/>
        </w:rPr>
      </w:pPr>
      <w:r>
        <w:rPr>
          <w:color w:val="000000"/>
          <w:sz w:val="24"/>
        </w:rPr>
        <w:t>第三层次：相关资产或负债的不可观察输入值。</w:t>
      </w:r>
    </w:p>
    <w:p w:rsidR="007C483C" w:rsidRDefault="007F41B2">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7C483C" w:rsidRDefault="007F41B2">
      <w:pPr>
        <w:spacing w:before="29" w:line="288" w:lineRule="auto"/>
        <w:ind w:firstLineChars="200" w:firstLine="480"/>
        <w:rPr>
          <w:color w:val="000000"/>
          <w:sz w:val="24"/>
        </w:rPr>
      </w:pPr>
      <w:r>
        <w:rPr>
          <w:color w:val="000000"/>
          <w:sz w:val="24"/>
        </w:rPr>
        <w:t>(i)</w:t>
      </w:r>
      <w:r>
        <w:rPr>
          <w:color w:val="000000"/>
          <w:sz w:val="24"/>
        </w:rPr>
        <w:t>各层次金融工具公允价值</w:t>
      </w:r>
    </w:p>
    <w:p w:rsidR="007C483C" w:rsidRDefault="007F41B2">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日，本基金持有的以公允价值计量且其变动计入当期损益的金融资产中属于第二层次的余额为</w:t>
      </w:r>
      <w:r>
        <w:rPr>
          <w:color w:val="000000"/>
          <w:sz w:val="24"/>
        </w:rPr>
        <w:t xml:space="preserve"> 33,770,800.00 </w:t>
      </w:r>
      <w:r>
        <w:rPr>
          <w:color w:val="000000"/>
          <w:sz w:val="24"/>
        </w:rPr>
        <w:t>元，无属于第一层次及第三层次的余额</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日：第二层次</w:t>
      </w:r>
      <w:r>
        <w:rPr>
          <w:color w:val="000000"/>
          <w:sz w:val="24"/>
        </w:rPr>
        <w:t>760,065,794.00</w:t>
      </w:r>
      <w:r>
        <w:rPr>
          <w:color w:val="000000"/>
          <w:sz w:val="24"/>
        </w:rPr>
        <w:t>元，无第一层次和第三层次</w:t>
      </w:r>
      <w:r>
        <w:rPr>
          <w:color w:val="000000"/>
          <w:sz w:val="24"/>
        </w:rPr>
        <w:t>)</w:t>
      </w:r>
      <w:r>
        <w:rPr>
          <w:color w:val="000000"/>
          <w:sz w:val="24"/>
        </w:rPr>
        <w:t>。</w:t>
      </w:r>
    </w:p>
    <w:p w:rsidR="007C483C" w:rsidRDefault="007F41B2">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7C483C" w:rsidRDefault="007F41B2">
      <w:pPr>
        <w:spacing w:before="29" w:line="288" w:lineRule="auto"/>
        <w:ind w:firstLineChars="200" w:firstLine="480"/>
        <w:rPr>
          <w:color w:val="000000"/>
          <w:sz w:val="24"/>
        </w:rPr>
      </w:pPr>
      <w:r>
        <w:rPr>
          <w:color w:val="000000"/>
          <w:sz w:val="24"/>
        </w:rPr>
        <w:t>本基金本期及上年度可比期间持有的以公允价值计量的金融工具的公允价值所属层次未发生重大变动。</w:t>
      </w:r>
    </w:p>
    <w:p w:rsidR="007C483C" w:rsidRDefault="007F41B2">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7C483C" w:rsidRDefault="007F41B2">
      <w:pPr>
        <w:spacing w:before="29" w:line="288" w:lineRule="auto"/>
        <w:ind w:firstLineChars="200" w:firstLine="480"/>
        <w:rPr>
          <w:color w:val="000000"/>
          <w:sz w:val="24"/>
        </w:rPr>
      </w:pPr>
      <w:r>
        <w:rPr>
          <w:color w:val="000000"/>
          <w:sz w:val="24"/>
        </w:rPr>
        <w:t>无。</w:t>
      </w:r>
    </w:p>
    <w:p w:rsidR="007C483C" w:rsidRDefault="007F41B2">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7C483C" w:rsidRDefault="007F41B2">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7C483C" w:rsidRDefault="007F41B2">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7C483C" w:rsidRDefault="007F41B2">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7C483C" w:rsidRDefault="007F41B2">
      <w:pPr>
        <w:spacing w:before="29" w:line="288" w:lineRule="auto"/>
        <w:ind w:firstLineChars="200" w:firstLine="480"/>
        <w:rPr>
          <w:color w:val="000000"/>
          <w:sz w:val="24"/>
        </w:rPr>
      </w:pPr>
      <w:r>
        <w:rPr>
          <w:color w:val="000000"/>
          <w:sz w:val="24"/>
        </w:rPr>
        <w:t xml:space="preserve">(2) </w:t>
      </w:r>
      <w:r>
        <w:rPr>
          <w:color w:val="000000"/>
          <w:sz w:val="24"/>
        </w:rPr>
        <w:t>增值税</w:t>
      </w:r>
    </w:p>
    <w:p w:rsidR="007C483C" w:rsidRDefault="007F41B2">
      <w:pPr>
        <w:spacing w:before="29" w:line="288" w:lineRule="auto"/>
        <w:ind w:firstLineChars="200" w:firstLine="480"/>
        <w:rPr>
          <w:color w:val="000000"/>
          <w:sz w:val="24"/>
        </w:rPr>
      </w:pPr>
      <w:r>
        <w:rPr>
          <w:color w:val="000000"/>
          <w:sz w:val="24"/>
        </w:rPr>
        <w:lastRenderedPageBreak/>
        <w:t>根据财政部、国家税务总局于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日颁布的财税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教育辅助服务等增值税政策的通知》的规定，资管产品运营过程中发生的增值税应税行为，以资管产品管理人为增值税纳税人。</w:t>
      </w:r>
    </w:p>
    <w:p w:rsidR="007C483C" w:rsidRDefault="007C483C">
      <w:pPr>
        <w:spacing w:before="29" w:line="288" w:lineRule="auto"/>
        <w:ind w:firstLineChars="200" w:firstLine="480"/>
        <w:rPr>
          <w:color w:val="000000"/>
          <w:sz w:val="24"/>
        </w:rPr>
      </w:pPr>
    </w:p>
    <w:p w:rsidR="007C483C" w:rsidRDefault="007F41B2">
      <w:pPr>
        <w:spacing w:before="29" w:line="288" w:lineRule="auto"/>
        <w:ind w:firstLineChars="200" w:firstLine="480"/>
        <w:rPr>
          <w:color w:val="000000"/>
          <w:sz w:val="24"/>
        </w:rPr>
      </w:pPr>
      <w:r>
        <w:rPr>
          <w:color w:val="000000"/>
          <w:sz w:val="24"/>
        </w:rPr>
        <w:t>根据财政部、国家税务总局于</w:t>
      </w:r>
      <w:r>
        <w:rPr>
          <w:color w:val="000000"/>
          <w:sz w:val="24"/>
        </w:rPr>
        <w:t>2017</w:t>
      </w:r>
      <w:r>
        <w:rPr>
          <w:color w:val="000000"/>
          <w:sz w:val="24"/>
        </w:rPr>
        <w:t>年</w:t>
      </w:r>
      <w:r>
        <w:rPr>
          <w:color w:val="000000"/>
          <w:sz w:val="24"/>
        </w:rPr>
        <w:t>6</w:t>
      </w:r>
      <w:r>
        <w:rPr>
          <w:color w:val="000000"/>
          <w:sz w:val="24"/>
        </w:rPr>
        <w:t>月</w:t>
      </w:r>
      <w:r>
        <w:rPr>
          <w:color w:val="000000"/>
          <w:sz w:val="24"/>
        </w:rPr>
        <w:t>30</w:t>
      </w:r>
      <w:r>
        <w:rPr>
          <w:color w:val="000000"/>
          <w:sz w:val="24"/>
        </w:rPr>
        <w:t>日颁布的财税</w:t>
      </w:r>
      <w:r>
        <w:rPr>
          <w:color w:val="000000"/>
          <w:sz w:val="24"/>
        </w:rPr>
        <w:t>[2017]56</w:t>
      </w:r>
      <w:r>
        <w:rPr>
          <w:color w:val="000000"/>
          <w:sz w:val="24"/>
        </w:rPr>
        <w:t>号《关于资管产品增值税有关问题的通知》的规定，资管产品管理人运营资管产品过程中发生的增值税应税行为，暂适用简易计税方法，按照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7C483C" w:rsidRDefault="007F41B2">
      <w:pPr>
        <w:spacing w:before="29" w:line="288" w:lineRule="auto"/>
        <w:ind w:firstLineChars="200" w:firstLine="480"/>
        <w:rPr>
          <w:color w:val="000000"/>
          <w:sz w:val="24"/>
        </w:rPr>
      </w:pPr>
      <w:r>
        <w:rPr>
          <w:color w:val="000000"/>
          <w:sz w:val="24"/>
        </w:rPr>
        <w:t>此外，财政部、国家税务总局于</w:t>
      </w:r>
      <w:r>
        <w:rPr>
          <w:color w:val="000000"/>
          <w:sz w:val="24"/>
        </w:rPr>
        <w:t>2017</w:t>
      </w:r>
      <w:r>
        <w:rPr>
          <w:color w:val="000000"/>
          <w:sz w:val="24"/>
        </w:rPr>
        <w:t>年</w:t>
      </w:r>
      <w:r>
        <w:rPr>
          <w:color w:val="000000"/>
          <w:sz w:val="24"/>
        </w:rPr>
        <w:t>12</w:t>
      </w:r>
      <w:r>
        <w:rPr>
          <w:color w:val="000000"/>
          <w:sz w:val="24"/>
        </w:rPr>
        <w:t>月</w:t>
      </w:r>
      <w:r>
        <w:rPr>
          <w:color w:val="000000"/>
          <w:sz w:val="24"/>
        </w:rPr>
        <w:t>25</w:t>
      </w:r>
      <w:r>
        <w:rPr>
          <w:color w:val="000000"/>
          <w:sz w:val="24"/>
        </w:rPr>
        <w:t>日颁布的财税</w:t>
      </w:r>
      <w:r>
        <w:rPr>
          <w:color w:val="000000"/>
          <w:sz w:val="24"/>
        </w:rPr>
        <w:t>[2017]90</w:t>
      </w:r>
      <w:r>
        <w:rPr>
          <w:color w:val="000000"/>
          <w:sz w:val="24"/>
        </w:rPr>
        <w:t>号《关于租入固定资产进行税额抵扣等增值税政策的通知》对资管产品管理人自</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日起运营资管产品提供的贷款服务、发生的部分金融商品转让业务的销售额确定做出规定。</w:t>
      </w:r>
    </w:p>
    <w:p w:rsidR="007C483C" w:rsidRDefault="007F41B2">
      <w:pPr>
        <w:spacing w:before="29" w:line="288" w:lineRule="auto"/>
        <w:ind w:firstLineChars="200" w:firstLine="480"/>
        <w:rPr>
          <w:color w:val="000000"/>
          <w:sz w:val="24"/>
        </w:rPr>
      </w:pPr>
      <w:r>
        <w:rPr>
          <w:color w:val="000000"/>
          <w:sz w:val="24"/>
        </w:rPr>
        <w:t>上述税收政策对本基金截至</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日止的财务状况和经营成果无影响。</w:t>
      </w:r>
    </w:p>
    <w:p w:rsidR="001A59F9" w:rsidRDefault="001A59F9" w:rsidP="0004616F">
      <w:pPr>
        <w:spacing w:before="29" w:line="288" w:lineRule="auto"/>
        <w:ind w:firstLineChars="200" w:firstLine="480"/>
        <w:rPr>
          <w:color w:val="000000"/>
          <w:sz w:val="24"/>
        </w:rPr>
      </w:pPr>
      <w:r w:rsidRPr="0004616F">
        <w:rPr>
          <w:color w:val="000000"/>
          <w:sz w:val="24"/>
        </w:rPr>
        <w:t>(3)</w:t>
      </w:r>
      <w:r w:rsidRPr="0004616F">
        <w:rPr>
          <w:color w:val="000000"/>
          <w:sz w:val="24"/>
        </w:rPr>
        <w:t>除公允价值和增值税外，截至资产负债表日本基金无需要说明的其他重要事项。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33,770,800.00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62.23</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33,770,800.00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62.23</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10,800,000.00</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19.90</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w:t>
            </w:r>
            <w:r w:rsidRPr="003A0690">
              <w:rPr>
                <w:rFonts w:hint="eastAsia"/>
                <w:sz w:val="24"/>
              </w:rPr>
              <w:lastRenderedPageBreak/>
              <w:t>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lastRenderedPageBreak/>
              <w:t>9,131,372.34</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16.83</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564,216.68</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1.04</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54,266,389.02</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Default="001A59F9" w:rsidP="00FD6854">
      <w:pPr>
        <w:tabs>
          <w:tab w:val="left" w:pos="426"/>
        </w:tabs>
        <w:spacing w:before="29" w:line="288" w:lineRule="auto"/>
        <w:jc w:val="left"/>
        <w:rPr>
          <w:kern w:val="0"/>
          <w:sz w:val="24"/>
        </w:rPr>
      </w:pPr>
      <w:r w:rsidRPr="00FD6854">
        <w:rPr>
          <w:kern w:val="0"/>
          <w:sz w:val="24"/>
        </w:rPr>
        <w:t>本基金本报告期末未持有股票。</w:t>
      </w:r>
    </w:p>
    <w:p w:rsidR="005D0476" w:rsidRPr="00FD6854" w:rsidRDefault="005D0476" w:rsidP="00FD6854">
      <w:pPr>
        <w:tabs>
          <w:tab w:val="left" w:pos="426"/>
        </w:tabs>
        <w:spacing w:before="29" w:line="288" w:lineRule="auto"/>
        <w:jc w:val="left"/>
        <w:rPr>
          <w:kern w:val="0"/>
          <w:sz w:val="24"/>
        </w:rPr>
      </w:pP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Default="001A59F9" w:rsidP="00016A50">
      <w:pPr>
        <w:tabs>
          <w:tab w:val="left" w:pos="426"/>
        </w:tabs>
        <w:spacing w:line="360" w:lineRule="auto"/>
        <w:jc w:val="left"/>
        <w:rPr>
          <w:kern w:val="0"/>
          <w:sz w:val="24"/>
        </w:rPr>
      </w:pPr>
      <w:r w:rsidRPr="00A20DFB">
        <w:rPr>
          <w:kern w:val="0"/>
          <w:sz w:val="24"/>
        </w:rPr>
        <w:t>本基金本报告期末未持有股票。</w:t>
      </w:r>
    </w:p>
    <w:p w:rsidR="005D0476" w:rsidRPr="00A20DFB" w:rsidRDefault="005D0476" w:rsidP="00016A50">
      <w:pPr>
        <w:tabs>
          <w:tab w:val="left" w:pos="426"/>
        </w:tabs>
        <w:spacing w:line="360"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Default="001A59F9" w:rsidP="00C234F0">
      <w:pPr>
        <w:tabs>
          <w:tab w:val="left" w:pos="426"/>
        </w:tabs>
        <w:spacing w:before="29" w:line="288" w:lineRule="auto"/>
        <w:jc w:val="left"/>
        <w:rPr>
          <w:kern w:val="0"/>
          <w:sz w:val="24"/>
        </w:rPr>
      </w:pPr>
      <w:r w:rsidRPr="00C234F0">
        <w:rPr>
          <w:kern w:val="0"/>
          <w:sz w:val="24"/>
        </w:rPr>
        <w:t>本基金本报告期内未持有股票。</w:t>
      </w:r>
    </w:p>
    <w:p w:rsidR="005D0476" w:rsidRPr="00C234F0" w:rsidRDefault="005D0476" w:rsidP="00C234F0">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112C6D">
            <w:pPr>
              <w:spacing w:before="29" w:line="288" w:lineRule="auto"/>
              <w:ind w:left="17"/>
              <w:jc w:val="right"/>
              <w:rPr>
                <w:sz w:val="24"/>
              </w:rPr>
            </w:pPr>
            <w:r w:rsidRPr="00C234F0">
              <w:rPr>
                <w:sz w:val="24"/>
              </w:rPr>
              <w:t>-</w:t>
            </w:r>
          </w:p>
        </w:tc>
        <w:tc>
          <w:tcPr>
            <w:tcW w:w="2249" w:type="dxa"/>
            <w:vAlign w:val="center"/>
          </w:tcPr>
          <w:p w:rsidR="001A59F9" w:rsidRPr="00C234F0" w:rsidRDefault="001A59F9" w:rsidP="00112C6D">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112C6D">
            <w:pPr>
              <w:spacing w:before="29" w:line="288" w:lineRule="auto"/>
              <w:ind w:left="17"/>
              <w:jc w:val="right"/>
              <w:rPr>
                <w:sz w:val="24"/>
              </w:rPr>
            </w:pPr>
            <w:r w:rsidRPr="00C234F0">
              <w:rPr>
                <w:sz w:val="24"/>
              </w:rPr>
              <w:t>23,814,800.00</w:t>
            </w:r>
          </w:p>
        </w:tc>
        <w:tc>
          <w:tcPr>
            <w:tcW w:w="2249" w:type="dxa"/>
            <w:vAlign w:val="center"/>
          </w:tcPr>
          <w:p w:rsidR="001A59F9" w:rsidRPr="00C234F0" w:rsidRDefault="001A59F9" w:rsidP="00112C6D">
            <w:pPr>
              <w:spacing w:before="29" w:line="288" w:lineRule="auto"/>
              <w:ind w:left="17"/>
              <w:jc w:val="right"/>
              <w:rPr>
                <w:sz w:val="24"/>
              </w:rPr>
            </w:pPr>
            <w:r w:rsidRPr="00C234F0">
              <w:rPr>
                <w:sz w:val="24"/>
              </w:rPr>
              <w:t>44.27</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112C6D">
            <w:pPr>
              <w:spacing w:before="29" w:line="288" w:lineRule="auto"/>
              <w:ind w:left="17"/>
              <w:jc w:val="right"/>
              <w:rPr>
                <w:sz w:val="24"/>
              </w:rPr>
            </w:pPr>
            <w:r w:rsidRPr="00C234F0">
              <w:rPr>
                <w:sz w:val="24"/>
              </w:rPr>
              <w:t>23,814,800.00</w:t>
            </w:r>
          </w:p>
        </w:tc>
        <w:tc>
          <w:tcPr>
            <w:tcW w:w="2249" w:type="dxa"/>
            <w:vAlign w:val="center"/>
          </w:tcPr>
          <w:p w:rsidR="001A59F9" w:rsidRPr="00C234F0" w:rsidRDefault="001A59F9" w:rsidP="00112C6D">
            <w:pPr>
              <w:spacing w:before="29" w:line="288" w:lineRule="auto"/>
              <w:ind w:left="17"/>
              <w:jc w:val="right"/>
              <w:rPr>
                <w:sz w:val="24"/>
              </w:rPr>
            </w:pPr>
            <w:r w:rsidRPr="00C234F0">
              <w:rPr>
                <w:sz w:val="24"/>
              </w:rPr>
              <w:t>44.27</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112C6D">
            <w:pPr>
              <w:spacing w:before="29" w:line="288" w:lineRule="auto"/>
              <w:ind w:left="17"/>
              <w:jc w:val="right"/>
              <w:rPr>
                <w:sz w:val="24"/>
              </w:rPr>
            </w:pPr>
            <w:r w:rsidRPr="00C234F0">
              <w:rPr>
                <w:sz w:val="24"/>
              </w:rPr>
              <w:t>-</w:t>
            </w:r>
          </w:p>
        </w:tc>
        <w:tc>
          <w:tcPr>
            <w:tcW w:w="2249" w:type="dxa"/>
            <w:vAlign w:val="center"/>
          </w:tcPr>
          <w:p w:rsidR="001A59F9" w:rsidRPr="00C234F0" w:rsidRDefault="001A59F9" w:rsidP="00112C6D">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112C6D">
            <w:pPr>
              <w:spacing w:before="29" w:line="288" w:lineRule="auto"/>
              <w:ind w:left="17"/>
              <w:jc w:val="right"/>
              <w:rPr>
                <w:sz w:val="24"/>
              </w:rPr>
            </w:pPr>
            <w:r w:rsidRPr="00C234F0">
              <w:rPr>
                <w:sz w:val="24"/>
              </w:rPr>
              <w:t>-</w:t>
            </w:r>
          </w:p>
        </w:tc>
        <w:tc>
          <w:tcPr>
            <w:tcW w:w="2249" w:type="dxa"/>
            <w:vAlign w:val="center"/>
          </w:tcPr>
          <w:p w:rsidR="001A59F9" w:rsidRPr="00C234F0" w:rsidRDefault="001A59F9" w:rsidP="00112C6D">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112C6D">
            <w:pPr>
              <w:spacing w:before="29" w:line="288" w:lineRule="auto"/>
              <w:ind w:left="17"/>
              <w:jc w:val="right"/>
              <w:rPr>
                <w:sz w:val="24"/>
              </w:rPr>
            </w:pPr>
            <w:r w:rsidRPr="00C234F0">
              <w:rPr>
                <w:sz w:val="24"/>
              </w:rPr>
              <w:t>-</w:t>
            </w:r>
          </w:p>
        </w:tc>
        <w:tc>
          <w:tcPr>
            <w:tcW w:w="2249" w:type="dxa"/>
            <w:vAlign w:val="center"/>
          </w:tcPr>
          <w:p w:rsidR="001A59F9" w:rsidRPr="00C234F0" w:rsidRDefault="001A59F9" w:rsidP="00112C6D">
            <w:pPr>
              <w:spacing w:before="29" w:line="288" w:lineRule="auto"/>
              <w:ind w:left="17"/>
              <w:jc w:val="right"/>
              <w:rPr>
                <w:sz w:val="24"/>
              </w:rPr>
            </w:pPr>
            <w:r w:rsidRPr="00C234F0">
              <w:rPr>
                <w:sz w:val="24"/>
              </w:rPr>
              <w:t>-</w:t>
            </w:r>
          </w:p>
        </w:tc>
      </w:tr>
      <w:tr w:rsidR="00E122CE" w:rsidRPr="00C234F0" w:rsidTr="00986F4D">
        <w:tc>
          <w:tcPr>
            <w:tcW w:w="1134" w:type="dxa"/>
            <w:vAlign w:val="center"/>
          </w:tcPr>
          <w:p w:rsidR="00E122CE" w:rsidRPr="00C234F0" w:rsidRDefault="00E122CE" w:rsidP="00986F4D">
            <w:pPr>
              <w:spacing w:before="29" w:line="288" w:lineRule="auto"/>
              <w:ind w:left="17"/>
              <w:jc w:val="center"/>
              <w:rPr>
                <w:color w:val="000000"/>
                <w:sz w:val="24"/>
              </w:rPr>
            </w:pPr>
            <w:r w:rsidRPr="00C234F0">
              <w:rPr>
                <w:color w:val="000000"/>
                <w:sz w:val="24"/>
              </w:rPr>
              <w:t>7</w:t>
            </w:r>
          </w:p>
        </w:tc>
        <w:tc>
          <w:tcPr>
            <w:tcW w:w="2835" w:type="dxa"/>
            <w:vAlign w:val="center"/>
          </w:tcPr>
          <w:p w:rsidR="00E122CE" w:rsidRPr="00C234F0" w:rsidRDefault="00E122CE" w:rsidP="00986F4D">
            <w:pPr>
              <w:spacing w:before="29" w:line="288" w:lineRule="auto"/>
              <w:ind w:left="17"/>
              <w:jc w:val="left"/>
              <w:rPr>
                <w:color w:val="000000"/>
                <w:sz w:val="24"/>
              </w:rPr>
            </w:pPr>
            <w:r w:rsidRPr="00C234F0">
              <w:rPr>
                <w:rFonts w:hint="eastAsia"/>
                <w:color w:val="000000"/>
                <w:sz w:val="24"/>
              </w:rPr>
              <w:t>可转债</w:t>
            </w:r>
            <w:r>
              <w:rPr>
                <w:rFonts w:hint="eastAsia"/>
                <w:sz w:val="24"/>
              </w:rPr>
              <w:t>（可交换债）</w:t>
            </w:r>
          </w:p>
        </w:tc>
        <w:tc>
          <w:tcPr>
            <w:tcW w:w="2780" w:type="dxa"/>
            <w:vAlign w:val="center"/>
          </w:tcPr>
          <w:p w:rsidR="00E122CE" w:rsidRPr="00C234F0" w:rsidRDefault="00E122CE" w:rsidP="00112C6D">
            <w:pPr>
              <w:spacing w:before="29" w:line="288" w:lineRule="auto"/>
              <w:ind w:left="17"/>
              <w:jc w:val="right"/>
              <w:rPr>
                <w:sz w:val="24"/>
              </w:rPr>
            </w:pPr>
            <w:r w:rsidRPr="00C234F0">
              <w:rPr>
                <w:sz w:val="24"/>
              </w:rPr>
              <w:t>-</w:t>
            </w:r>
          </w:p>
        </w:tc>
        <w:tc>
          <w:tcPr>
            <w:tcW w:w="2249" w:type="dxa"/>
            <w:vAlign w:val="center"/>
          </w:tcPr>
          <w:p w:rsidR="00E122CE" w:rsidRPr="00C234F0" w:rsidRDefault="00E122CE" w:rsidP="00112C6D">
            <w:pPr>
              <w:spacing w:before="29" w:line="288" w:lineRule="auto"/>
              <w:ind w:left="17"/>
              <w:jc w:val="right"/>
              <w:rPr>
                <w:sz w:val="24"/>
              </w:rPr>
            </w:pPr>
            <w:r w:rsidRPr="00C234F0">
              <w:rPr>
                <w:sz w:val="24"/>
              </w:rPr>
              <w:t>-</w:t>
            </w:r>
          </w:p>
        </w:tc>
      </w:tr>
      <w:tr w:rsidR="00E122CE" w:rsidRPr="00C51C77" w:rsidTr="00C234F0">
        <w:tc>
          <w:tcPr>
            <w:tcW w:w="1134"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8</w:t>
            </w:r>
          </w:p>
        </w:tc>
        <w:tc>
          <w:tcPr>
            <w:tcW w:w="2835" w:type="dxa"/>
            <w:vAlign w:val="center"/>
          </w:tcPr>
          <w:p w:rsidR="00E122CE" w:rsidRPr="004B6D45" w:rsidRDefault="00E122CE" w:rsidP="00E122CE">
            <w:pPr>
              <w:spacing w:before="29" w:line="288" w:lineRule="auto"/>
              <w:ind w:left="17"/>
              <w:jc w:val="left"/>
              <w:rPr>
                <w:color w:val="000000"/>
                <w:sz w:val="24"/>
              </w:rPr>
            </w:pPr>
            <w:r w:rsidRPr="004B6D45">
              <w:rPr>
                <w:rFonts w:hint="eastAsia"/>
                <w:color w:val="000000"/>
                <w:sz w:val="24"/>
              </w:rPr>
              <w:t>同业存单</w:t>
            </w:r>
          </w:p>
        </w:tc>
        <w:tc>
          <w:tcPr>
            <w:tcW w:w="2780" w:type="dxa"/>
            <w:vAlign w:val="center"/>
          </w:tcPr>
          <w:p w:rsidR="00E122CE" w:rsidRPr="004B6D45" w:rsidRDefault="00E122CE" w:rsidP="00112C6D">
            <w:pPr>
              <w:spacing w:before="29" w:line="288" w:lineRule="auto"/>
              <w:ind w:left="17"/>
              <w:jc w:val="right"/>
              <w:rPr>
                <w:color w:val="000000"/>
                <w:sz w:val="24"/>
              </w:rPr>
            </w:pPr>
            <w:r w:rsidRPr="004B6D45">
              <w:rPr>
                <w:rFonts w:hint="eastAsia"/>
                <w:color w:val="000000"/>
                <w:sz w:val="24"/>
              </w:rPr>
              <w:t>9,956,000.00</w:t>
            </w:r>
          </w:p>
        </w:tc>
        <w:tc>
          <w:tcPr>
            <w:tcW w:w="2249" w:type="dxa"/>
            <w:vAlign w:val="center"/>
          </w:tcPr>
          <w:p w:rsidR="00E122CE" w:rsidRPr="004B6D45" w:rsidRDefault="00E122CE" w:rsidP="00112C6D">
            <w:pPr>
              <w:spacing w:before="29" w:line="288" w:lineRule="auto"/>
              <w:ind w:left="17"/>
              <w:jc w:val="right"/>
              <w:rPr>
                <w:color w:val="000000"/>
                <w:sz w:val="24"/>
              </w:rPr>
            </w:pPr>
            <w:r w:rsidRPr="004B6D45">
              <w:rPr>
                <w:rFonts w:hint="eastAsia"/>
                <w:color w:val="000000"/>
                <w:sz w:val="24"/>
              </w:rPr>
              <w:t>18.51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10</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33,770,800.00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62.78</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lastRenderedPageBreak/>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7C483C">
        <w:tc>
          <w:tcPr>
            <w:tcW w:w="1499" w:type="dxa"/>
            <w:vAlign w:val="center"/>
          </w:tcPr>
          <w:p w:rsidR="007C483C" w:rsidRDefault="007F41B2">
            <w:pPr>
              <w:jc w:val="center"/>
            </w:pPr>
            <w:r>
              <w:rPr>
                <w:color w:val="000000"/>
                <w:sz w:val="24"/>
              </w:rPr>
              <w:t>1</w:t>
            </w:r>
          </w:p>
        </w:tc>
        <w:tc>
          <w:tcPr>
            <w:tcW w:w="1499" w:type="dxa"/>
            <w:vAlign w:val="center"/>
          </w:tcPr>
          <w:p w:rsidR="007C483C" w:rsidRDefault="007F41B2">
            <w:pPr>
              <w:jc w:val="center"/>
            </w:pPr>
            <w:r>
              <w:rPr>
                <w:color w:val="000000"/>
                <w:sz w:val="24"/>
              </w:rPr>
              <w:t>170410</w:t>
            </w:r>
          </w:p>
        </w:tc>
        <w:tc>
          <w:tcPr>
            <w:tcW w:w="1500" w:type="dxa"/>
            <w:vAlign w:val="center"/>
          </w:tcPr>
          <w:p w:rsidR="007C483C" w:rsidRDefault="007F41B2">
            <w:pPr>
              <w:jc w:val="center"/>
            </w:pPr>
            <w:r>
              <w:rPr>
                <w:color w:val="000000"/>
                <w:sz w:val="24"/>
              </w:rPr>
              <w:t>17</w:t>
            </w:r>
            <w:r>
              <w:rPr>
                <w:color w:val="000000"/>
                <w:sz w:val="24"/>
              </w:rPr>
              <w:t>农发</w:t>
            </w:r>
            <w:r>
              <w:rPr>
                <w:color w:val="000000"/>
                <w:sz w:val="24"/>
              </w:rPr>
              <w:t>10</w:t>
            </w:r>
          </w:p>
        </w:tc>
        <w:tc>
          <w:tcPr>
            <w:tcW w:w="1500" w:type="dxa"/>
            <w:vAlign w:val="center"/>
          </w:tcPr>
          <w:p w:rsidR="007C483C" w:rsidRDefault="007F41B2">
            <w:pPr>
              <w:jc w:val="right"/>
            </w:pPr>
            <w:r>
              <w:rPr>
                <w:color w:val="000000"/>
                <w:sz w:val="24"/>
              </w:rPr>
              <w:t>140,000</w:t>
            </w:r>
          </w:p>
        </w:tc>
        <w:tc>
          <w:tcPr>
            <w:tcW w:w="1500" w:type="dxa"/>
            <w:vAlign w:val="center"/>
          </w:tcPr>
          <w:p w:rsidR="007C483C" w:rsidRDefault="007F41B2">
            <w:pPr>
              <w:jc w:val="right"/>
            </w:pPr>
            <w:r>
              <w:rPr>
                <w:color w:val="000000"/>
                <w:sz w:val="24"/>
              </w:rPr>
              <w:t>13,925,800.00</w:t>
            </w:r>
          </w:p>
        </w:tc>
        <w:tc>
          <w:tcPr>
            <w:tcW w:w="1500" w:type="dxa"/>
            <w:vAlign w:val="center"/>
          </w:tcPr>
          <w:p w:rsidR="007C483C" w:rsidRDefault="007F41B2">
            <w:pPr>
              <w:jc w:val="right"/>
            </w:pPr>
            <w:r>
              <w:rPr>
                <w:color w:val="000000"/>
                <w:sz w:val="24"/>
              </w:rPr>
              <w:t>25.89</w:t>
            </w:r>
          </w:p>
        </w:tc>
      </w:tr>
      <w:tr w:rsidR="007C483C">
        <w:tc>
          <w:tcPr>
            <w:tcW w:w="1499" w:type="dxa"/>
            <w:vAlign w:val="center"/>
          </w:tcPr>
          <w:p w:rsidR="007C483C" w:rsidRDefault="007F41B2">
            <w:pPr>
              <w:jc w:val="center"/>
            </w:pPr>
            <w:r>
              <w:rPr>
                <w:color w:val="000000"/>
                <w:sz w:val="24"/>
              </w:rPr>
              <w:t>2</w:t>
            </w:r>
          </w:p>
        </w:tc>
        <w:tc>
          <w:tcPr>
            <w:tcW w:w="1499" w:type="dxa"/>
            <w:vAlign w:val="center"/>
          </w:tcPr>
          <w:p w:rsidR="007C483C" w:rsidRDefault="007F41B2">
            <w:pPr>
              <w:jc w:val="center"/>
            </w:pPr>
            <w:r>
              <w:rPr>
                <w:color w:val="000000"/>
                <w:sz w:val="24"/>
              </w:rPr>
              <w:t>111716279</w:t>
            </w:r>
          </w:p>
        </w:tc>
        <w:tc>
          <w:tcPr>
            <w:tcW w:w="1500" w:type="dxa"/>
            <w:vAlign w:val="center"/>
          </w:tcPr>
          <w:p w:rsidR="007C483C" w:rsidRDefault="007F41B2">
            <w:pPr>
              <w:jc w:val="center"/>
            </w:pPr>
            <w:r>
              <w:rPr>
                <w:color w:val="000000"/>
                <w:sz w:val="24"/>
              </w:rPr>
              <w:t>17</w:t>
            </w:r>
            <w:r>
              <w:rPr>
                <w:color w:val="000000"/>
                <w:sz w:val="24"/>
              </w:rPr>
              <w:t>上海银行</w:t>
            </w:r>
            <w:r>
              <w:rPr>
                <w:color w:val="000000"/>
                <w:sz w:val="24"/>
              </w:rPr>
              <w:t>CD279</w:t>
            </w:r>
          </w:p>
        </w:tc>
        <w:tc>
          <w:tcPr>
            <w:tcW w:w="1500" w:type="dxa"/>
            <w:vAlign w:val="center"/>
          </w:tcPr>
          <w:p w:rsidR="007C483C" w:rsidRDefault="007F41B2">
            <w:pPr>
              <w:jc w:val="right"/>
            </w:pPr>
            <w:r>
              <w:rPr>
                <w:color w:val="000000"/>
                <w:sz w:val="24"/>
              </w:rPr>
              <w:t>100,000</w:t>
            </w:r>
          </w:p>
        </w:tc>
        <w:tc>
          <w:tcPr>
            <w:tcW w:w="1500" w:type="dxa"/>
            <w:vAlign w:val="center"/>
          </w:tcPr>
          <w:p w:rsidR="007C483C" w:rsidRDefault="007F41B2">
            <w:pPr>
              <w:jc w:val="right"/>
            </w:pPr>
            <w:r>
              <w:rPr>
                <w:color w:val="000000"/>
                <w:sz w:val="24"/>
              </w:rPr>
              <w:t>9,956,000.00</w:t>
            </w:r>
          </w:p>
        </w:tc>
        <w:tc>
          <w:tcPr>
            <w:tcW w:w="1500" w:type="dxa"/>
            <w:vAlign w:val="center"/>
          </w:tcPr>
          <w:p w:rsidR="007C483C" w:rsidRDefault="007F41B2">
            <w:pPr>
              <w:jc w:val="right"/>
            </w:pPr>
            <w:r>
              <w:rPr>
                <w:color w:val="000000"/>
                <w:sz w:val="24"/>
              </w:rPr>
              <w:t>18.51</w:t>
            </w:r>
          </w:p>
        </w:tc>
      </w:tr>
      <w:tr w:rsidR="007C483C">
        <w:tc>
          <w:tcPr>
            <w:tcW w:w="1499" w:type="dxa"/>
            <w:vAlign w:val="center"/>
          </w:tcPr>
          <w:p w:rsidR="007C483C" w:rsidRDefault="007F41B2">
            <w:pPr>
              <w:jc w:val="center"/>
            </w:pPr>
            <w:r>
              <w:rPr>
                <w:color w:val="000000"/>
                <w:sz w:val="24"/>
              </w:rPr>
              <w:t>3</w:t>
            </w:r>
          </w:p>
        </w:tc>
        <w:tc>
          <w:tcPr>
            <w:tcW w:w="1499" w:type="dxa"/>
            <w:vAlign w:val="center"/>
          </w:tcPr>
          <w:p w:rsidR="007C483C" w:rsidRDefault="007F41B2">
            <w:pPr>
              <w:jc w:val="center"/>
            </w:pPr>
            <w:r>
              <w:rPr>
                <w:color w:val="000000"/>
                <w:sz w:val="24"/>
              </w:rPr>
              <w:t>018005</w:t>
            </w:r>
          </w:p>
        </w:tc>
        <w:tc>
          <w:tcPr>
            <w:tcW w:w="1500" w:type="dxa"/>
            <w:vAlign w:val="center"/>
          </w:tcPr>
          <w:p w:rsidR="007C483C" w:rsidRDefault="007F41B2">
            <w:pPr>
              <w:jc w:val="center"/>
            </w:pPr>
            <w:r>
              <w:rPr>
                <w:color w:val="000000"/>
                <w:sz w:val="24"/>
              </w:rPr>
              <w:t>国开</w:t>
            </w:r>
            <w:r>
              <w:rPr>
                <w:color w:val="000000"/>
                <w:sz w:val="24"/>
              </w:rPr>
              <w:t>1701</w:t>
            </w:r>
          </w:p>
        </w:tc>
        <w:tc>
          <w:tcPr>
            <w:tcW w:w="1500" w:type="dxa"/>
            <w:vAlign w:val="center"/>
          </w:tcPr>
          <w:p w:rsidR="007C483C" w:rsidRDefault="007F41B2">
            <w:pPr>
              <w:jc w:val="right"/>
            </w:pPr>
            <w:r>
              <w:rPr>
                <w:color w:val="000000"/>
                <w:sz w:val="24"/>
              </w:rPr>
              <w:t>100,000</w:t>
            </w:r>
          </w:p>
        </w:tc>
        <w:tc>
          <w:tcPr>
            <w:tcW w:w="1500" w:type="dxa"/>
            <w:vAlign w:val="center"/>
          </w:tcPr>
          <w:p w:rsidR="007C483C" w:rsidRDefault="007F41B2">
            <w:pPr>
              <w:jc w:val="right"/>
            </w:pPr>
            <w:r>
              <w:rPr>
                <w:color w:val="000000"/>
                <w:sz w:val="24"/>
              </w:rPr>
              <w:t>9,889,000.00</w:t>
            </w:r>
          </w:p>
        </w:tc>
        <w:tc>
          <w:tcPr>
            <w:tcW w:w="1500" w:type="dxa"/>
            <w:vAlign w:val="center"/>
          </w:tcPr>
          <w:p w:rsidR="007C483C" w:rsidRDefault="007F41B2">
            <w:pPr>
              <w:jc w:val="right"/>
            </w:pPr>
            <w:r>
              <w:rPr>
                <w:color w:val="000000"/>
                <w:sz w:val="24"/>
              </w:rPr>
              <w:t>18.38</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463BF5" w:rsidRPr="00463BF5" w:rsidRDefault="001A59F9" w:rsidP="00D22E67">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13,261.51</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19,101.37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lastRenderedPageBreak/>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531,853.80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564,216.68</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本基金本报告期末未持有股票。</w:t>
      </w:r>
    </w:p>
    <w:p w:rsidR="00112C6D" w:rsidRPr="00273FD9" w:rsidRDefault="00112C6D"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1320FD">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7F41B2" w:rsidRPr="004B25B0" w:rsidTr="007F41B2">
        <w:tc>
          <w:tcPr>
            <w:tcW w:w="964" w:type="pct"/>
            <w:vMerge w:val="restart"/>
            <w:tcBorders>
              <w:top w:val="single" w:sz="8" w:space="0" w:color="000000"/>
              <w:left w:val="single" w:sz="8" w:space="0" w:color="000000"/>
              <w:right w:val="single" w:sz="8" w:space="0" w:color="000000"/>
            </w:tcBorders>
            <w:vAlign w:val="center"/>
          </w:tcPr>
          <w:p w:rsidR="007C483C" w:rsidRDefault="007F41B2">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7F41B2" w:rsidRPr="004B25B0" w:rsidTr="007F41B2">
        <w:tc>
          <w:tcPr>
            <w:tcW w:w="964" w:type="pct"/>
            <w:vMerge/>
            <w:tcBorders>
              <w:left w:val="single" w:sz="8" w:space="0" w:color="000000"/>
              <w:right w:val="single" w:sz="8" w:space="0" w:color="000000"/>
            </w:tcBorders>
          </w:tcPr>
          <w:p w:rsidR="007C483C" w:rsidRDefault="007C483C">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7F41B2" w:rsidRPr="004B25B0" w:rsidTr="007F41B2">
        <w:tc>
          <w:tcPr>
            <w:tcW w:w="964" w:type="pct"/>
            <w:vMerge/>
            <w:tcBorders>
              <w:left w:val="single" w:sz="8" w:space="0" w:color="000000"/>
              <w:bottom w:val="single" w:sz="8" w:space="0" w:color="000000"/>
              <w:right w:val="single" w:sz="8" w:space="0" w:color="000000"/>
            </w:tcBorders>
          </w:tcPr>
          <w:p w:rsidR="007C483C" w:rsidRDefault="007C483C">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7F41B2" w:rsidRPr="004B25B0" w:rsidTr="007F41B2">
        <w:tc>
          <w:tcPr>
            <w:tcW w:w="964" w:type="pct"/>
            <w:tcBorders>
              <w:top w:val="single" w:sz="8" w:space="0" w:color="000000"/>
              <w:left w:val="single" w:sz="8" w:space="0" w:color="000000"/>
              <w:bottom w:val="single" w:sz="8" w:space="0" w:color="000000"/>
              <w:right w:val="single" w:sz="8" w:space="0" w:color="000000"/>
            </w:tcBorders>
            <w:vAlign w:val="center"/>
          </w:tcPr>
          <w:p w:rsidR="007C483C" w:rsidRDefault="007F41B2">
            <w:pPr>
              <w:jc w:val="center"/>
            </w:pPr>
            <w:r>
              <w:rPr>
                <w:bCs/>
                <w:color w:val="000000"/>
                <w:szCs w:val="21"/>
              </w:rPr>
              <w:t>406</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132,238.00</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53,688,629.82</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100.00%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7F41B2" w:rsidP="00BF787C">
            <w:pPr>
              <w:widowControl/>
              <w:spacing w:before="29" w:line="288" w:lineRule="auto"/>
              <w:jc w:val="right"/>
              <w:rPr>
                <w:color w:val="000000"/>
                <w:kern w:val="0"/>
                <w:sz w:val="24"/>
              </w:rPr>
            </w:pPr>
            <w:r>
              <w:rPr>
                <w:color w:val="000000"/>
                <w:kern w:val="0"/>
                <w:sz w:val="24"/>
              </w:rPr>
              <w:t>-</w:t>
            </w:r>
          </w:p>
        </w:tc>
        <w:tc>
          <w:tcPr>
            <w:tcW w:w="2160" w:type="dxa"/>
            <w:vAlign w:val="center"/>
          </w:tcPr>
          <w:p w:rsidR="001A59F9" w:rsidRPr="00BF787C" w:rsidRDefault="007F41B2" w:rsidP="00BF787C">
            <w:pPr>
              <w:widowControl/>
              <w:spacing w:before="29" w:line="288" w:lineRule="auto"/>
              <w:jc w:val="right"/>
              <w:rPr>
                <w:color w:val="000000"/>
                <w:kern w:val="0"/>
                <w:sz w:val="24"/>
              </w:rPr>
            </w:pPr>
            <w:r>
              <w:rPr>
                <w:color w:val="000000"/>
                <w:kern w:val="0"/>
                <w:sz w:val="24"/>
              </w:rPr>
              <w:t>-</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lastRenderedPageBreak/>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7F41B2" w:rsidP="00BF787C">
            <w:pPr>
              <w:widowControl/>
              <w:spacing w:before="29" w:line="288" w:lineRule="auto"/>
              <w:jc w:val="right"/>
              <w:rPr>
                <w:color w:val="000000"/>
                <w:kern w:val="0"/>
                <w:sz w:val="24"/>
              </w:rPr>
            </w:pPr>
            <w:r>
              <w:rPr>
                <w:color w:val="000000"/>
                <w:kern w:val="0"/>
                <w:sz w:val="24"/>
              </w:rPr>
              <w:t>-</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7F41B2" w:rsidP="00BF787C">
            <w:pPr>
              <w:widowControl/>
              <w:spacing w:before="29" w:line="288" w:lineRule="auto"/>
              <w:jc w:val="right"/>
              <w:rPr>
                <w:color w:val="000000"/>
                <w:kern w:val="0"/>
                <w:sz w:val="24"/>
              </w:rPr>
            </w:pPr>
            <w:r>
              <w:rPr>
                <w:color w:val="000000"/>
                <w:kern w:val="0"/>
                <w:sz w:val="24"/>
              </w:rPr>
              <w:t>-</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2015</w:t>
            </w:r>
            <w:r w:rsidR="00146153" w:rsidRPr="00300454">
              <w:rPr>
                <w:sz w:val="24"/>
              </w:rPr>
              <w:t>年</w:t>
            </w:r>
            <w:r w:rsidR="00146153" w:rsidRPr="00300454">
              <w:rPr>
                <w:sz w:val="24"/>
              </w:rPr>
              <w:t>11</w:t>
            </w:r>
            <w:r w:rsidR="00146153" w:rsidRPr="00300454">
              <w:rPr>
                <w:sz w:val="24"/>
              </w:rPr>
              <w:t>月</w:t>
            </w:r>
            <w:r w:rsidR="00146153" w:rsidRPr="00300454">
              <w:rPr>
                <w:sz w:val="24"/>
              </w:rPr>
              <w:t>9</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438,630,665.79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438,630,665.79</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999.00</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384,943,034.97</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53,688,629.82</w:t>
            </w:r>
          </w:p>
        </w:tc>
      </w:tr>
    </w:tbl>
    <w:p w:rsidR="007C483C" w:rsidRDefault="007F41B2">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273FD9">
      <w:pPr>
        <w:tabs>
          <w:tab w:val="left" w:pos="426"/>
        </w:tabs>
        <w:spacing w:before="29" w:line="288" w:lineRule="auto"/>
        <w:jc w:val="left"/>
        <w:rPr>
          <w:kern w:val="0"/>
          <w:sz w:val="24"/>
        </w:rPr>
      </w:pPr>
      <w:r w:rsidRPr="00273FD9">
        <w:rPr>
          <w:kern w:val="0"/>
          <w:sz w:val="24"/>
        </w:rPr>
        <w:t>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7C483C" w:rsidRDefault="007F41B2">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、基金托管人的基金托管部门的重大人事变动：本基金托管人的专门基金托管部门本报告期内未发生重大人事变动。</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交银施罗德丰硕收益债券型证券投资基金的封闭期自</w:t>
      </w:r>
      <w:r w:rsidRPr="00700C00">
        <w:rPr>
          <w:color w:val="000000"/>
          <w:sz w:val="24"/>
        </w:rPr>
        <w:t>2015</w:t>
      </w:r>
      <w:r w:rsidRPr="00700C00">
        <w:rPr>
          <w:color w:val="000000"/>
          <w:sz w:val="24"/>
        </w:rPr>
        <w:t>年</w:t>
      </w:r>
      <w:r w:rsidRPr="00700C00">
        <w:rPr>
          <w:color w:val="000000"/>
          <w:sz w:val="24"/>
        </w:rPr>
        <w:t>11</w:t>
      </w:r>
      <w:r w:rsidRPr="00700C00">
        <w:rPr>
          <w:color w:val="000000"/>
          <w:sz w:val="24"/>
        </w:rPr>
        <w:t>月</w:t>
      </w:r>
      <w:r w:rsidRPr="00700C00">
        <w:rPr>
          <w:color w:val="000000"/>
          <w:sz w:val="24"/>
        </w:rPr>
        <w:t>9</w:t>
      </w:r>
      <w:r w:rsidRPr="00700C00">
        <w:rPr>
          <w:color w:val="000000"/>
          <w:sz w:val="24"/>
        </w:rPr>
        <w:t>日开始至</w:t>
      </w:r>
      <w:r w:rsidRPr="00700C00">
        <w:rPr>
          <w:color w:val="000000"/>
          <w:sz w:val="24"/>
        </w:rPr>
        <w:t>2017</w:t>
      </w:r>
      <w:r w:rsidRPr="00700C00">
        <w:rPr>
          <w:color w:val="000000"/>
          <w:sz w:val="24"/>
        </w:rPr>
        <w:lastRenderedPageBreak/>
        <w:t>年</w:t>
      </w:r>
      <w:r w:rsidRPr="00700C00">
        <w:rPr>
          <w:color w:val="000000"/>
          <w:sz w:val="24"/>
        </w:rPr>
        <w:t>11</w:t>
      </w:r>
      <w:r w:rsidRPr="00700C00">
        <w:rPr>
          <w:color w:val="000000"/>
          <w:sz w:val="24"/>
        </w:rPr>
        <w:t>月</w:t>
      </w:r>
      <w:r w:rsidRPr="00700C00">
        <w:rPr>
          <w:color w:val="000000"/>
          <w:sz w:val="24"/>
        </w:rPr>
        <w:t>9</w:t>
      </w:r>
      <w:r w:rsidRPr="00700C00">
        <w:rPr>
          <w:color w:val="000000"/>
          <w:sz w:val="24"/>
        </w:rPr>
        <w:t>日止，自</w:t>
      </w:r>
      <w:r w:rsidRPr="00700C00">
        <w:rPr>
          <w:color w:val="000000"/>
          <w:sz w:val="24"/>
        </w:rPr>
        <w:t>2017</w:t>
      </w:r>
      <w:r w:rsidRPr="00700C00">
        <w:rPr>
          <w:color w:val="000000"/>
          <w:sz w:val="24"/>
        </w:rPr>
        <w:t>年</w:t>
      </w:r>
      <w:r w:rsidRPr="00700C00">
        <w:rPr>
          <w:color w:val="000000"/>
          <w:sz w:val="24"/>
        </w:rPr>
        <w:t>11</w:t>
      </w:r>
      <w:r w:rsidRPr="00700C00">
        <w:rPr>
          <w:color w:val="000000"/>
          <w:sz w:val="24"/>
        </w:rPr>
        <w:t>月</w:t>
      </w:r>
      <w:r w:rsidRPr="00700C00">
        <w:rPr>
          <w:color w:val="000000"/>
          <w:sz w:val="24"/>
        </w:rPr>
        <w:t>10</w:t>
      </w:r>
      <w:r w:rsidRPr="00700C00">
        <w:rPr>
          <w:color w:val="000000"/>
          <w:sz w:val="24"/>
        </w:rPr>
        <w:t>日起转为开放式运作，并自该日起适用《交银施罗德丰硕收益债券型证券投资基金基金合同》中关于</w:t>
      </w:r>
      <w:r w:rsidRPr="00700C00">
        <w:rPr>
          <w:color w:val="000000"/>
          <w:sz w:val="24"/>
        </w:rPr>
        <w:t>“</w:t>
      </w:r>
      <w:r w:rsidRPr="00700C00">
        <w:rPr>
          <w:color w:val="000000"/>
          <w:sz w:val="24"/>
        </w:rPr>
        <w:t>转为开放式运作后的投资</w:t>
      </w:r>
      <w:r w:rsidRPr="00700C00">
        <w:rPr>
          <w:color w:val="000000"/>
          <w:sz w:val="24"/>
        </w:rPr>
        <w:t>”</w:t>
      </w:r>
      <w:r w:rsidRPr="00700C00">
        <w:rPr>
          <w:color w:val="000000"/>
          <w:sz w:val="24"/>
        </w:rPr>
        <w:t>的相关规定进行运作。</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w:t>
      </w:r>
      <w:r w:rsidRPr="00700C00">
        <w:rPr>
          <w:color w:val="000000"/>
          <w:sz w:val="24"/>
        </w:rPr>
        <w:t>)</w:t>
      </w:r>
      <w:r w:rsidRPr="00700C00">
        <w:rPr>
          <w:color w:val="000000"/>
          <w:sz w:val="24"/>
        </w:rPr>
        <w:t>，本期审计费为</w:t>
      </w:r>
      <w:r w:rsidRPr="00700C00">
        <w:rPr>
          <w:color w:val="000000"/>
          <w:sz w:val="24"/>
        </w:rPr>
        <w:t>60,000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7C483C" w:rsidRDefault="007F41B2">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7C483C" w:rsidRDefault="007F41B2">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7C483C" w:rsidRDefault="007F41B2">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7C483C">
        <w:tc>
          <w:tcPr>
            <w:tcW w:w="1559" w:type="dxa"/>
            <w:vAlign w:val="center"/>
          </w:tcPr>
          <w:p w:rsidR="007C483C" w:rsidRDefault="007F41B2">
            <w:pPr>
              <w:jc w:val="left"/>
            </w:pPr>
            <w:r>
              <w:rPr>
                <w:color w:val="000000"/>
                <w:szCs w:val="21"/>
              </w:rPr>
              <w:t>安信证券股份有限公司</w:t>
            </w:r>
          </w:p>
        </w:tc>
        <w:tc>
          <w:tcPr>
            <w:tcW w:w="779" w:type="dxa"/>
            <w:vAlign w:val="center"/>
          </w:tcPr>
          <w:p w:rsidR="007C483C" w:rsidRDefault="007F41B2">
            <w:pPr>
              <w:jc w:val="right"/>
            </w:pPr>
            <w:r>
              <w:rPr>
                <w:color w:val="000000"/>
                <w:szCs w:val="21"/>
              </w:rPr>
              <w:t>2</w:t>
            </w:r>
          </w:p>
        </w:tc>
        <w:tc>
          <w:tcPr>
            <w:tcW w:w="1800" w:type="dxa"/>
            <w:vAlign w:val="center"/>
          </w:tcPr>
          <w:p w:rsidR="007C483C" w:rsidRDefault="007F41B2">
            <w:pPr>
              <w:jc w:val="right"/>
            </w:pPr>
            <w:r>
              <w:rPr>
                <w:color w:val="000000"/>
                <w:szCs w:val="21"/>
              </w:rPr>
              <w:t>-</w:t>
            </w:r>
          </w:p>
        </w:tc>
        <w:tc>
          <w:tcPr>
            <w:tcW w:w="1080" w:type="dxa"/>
            <w:vAlign w:val="center"/>
          </w:tcPr>
          <w:p w:rsidR="007C483C" w:rsidRDefault="007F41B2">
            <w:pPr>
              <w:jc w:val="right"/>
            </w:pPr>
            <w:r>
              <w:rPr>
                <w:color w:val="000000"/>
                <w:szCs w:val="21"/>
              </w:rPr>
              <w:t>-</w:t>
            </w:r>
          </w:p>
        </w:tc>
        <w:tc>
          <w:tcPr>
            <w:tcW w:w="1620" w:type="dxa"/>
            <w:vAlign w:val="center"/>
          </w:tcPr>
          <w:p w:rsidR="007C483C" w:rsidRDefault="007F41B2">
            <w:pPr>
              <w:jc w:val="right"/>
            </w:pPr>
            <w:r>
              <w:rPr>
                <w:color w:val="000000"/>
                <w:szCs w:val="21"/>
              </w:rPr>
              <w:t>-</w:t>
            </w:r>
          </w:p>
        </w:tc>
        <w:tc>
          <w:tcPr>
            <w:tcW w:w="1080" w:type="dxa"/>
            <w:vAlign w:val="center"/>
          </w:tcPr>
          <w:p w:rsidR="007C483C" w:rsidRDefault="007F41B2">
            <w:pPr>
              <w:jc w:val="right"/>
            </w:pPr>
            <w:r>
              <w:rPr>
                <w:color w:val="000000"/>
                <w:szCs w:val="21"/>
              </w:rPr>
              <w:t>-</w:t>
            </w:r>
          </w:p>
        </w:tc>
        <w:tc>
          <w:tcPr>
            <w:tcW w:w="1080" w:type="dxa"/>
            <w:vAlign w:val="center"/>
          </w:tcPr>
          <w:p w:rsidR="007C483C" w:rsidRDefault="007F41B2">
            <w:pPr>
              <w:jc w:val="left"/>
            </w:pPr>
            <w:r>
              <w:rPr>
                <w:color w:val="000000"/>
                <w:szCs w:val="21"/>
              </w:rPr>
              <w:t>-</w:t>
            </w:r>
          </w:p>
        </w:tc>
      </w:tr>
      <w:tr w:rsidR="007C483C">
        <w:tc>
          <w:tcPr>
            <w:tcW w:w="1559" w:type="dxa"/>
            <w:vAlign w:val="center"/>
          </w:tcPr>
          <w:p w:rsidR="007C483C" w:rsidRDefault="007F41B2">
            <w:pPr>
              <w:jc w:val="left"/>
            </w:pPr>
            <w:r>
              <w:rPr>
                <w:color w:val="000000"/>
                <w:szCs w:val="21"/>
              </w:rPr>
              <w:t>国金证券股份有限公司</w:t>
            </w:r>
          </w:p>
        </w:tc>
        <w:tc>
          <w:tcPr>
            <w:tcW w:w="779" w:type="dxa"/>
            <w:vAlign w:val="center"/>
          </w:tcPr>
          <w:p w:rsidR="007C483C" w:rsidRDefault="007F41B2">
            <w:pPr>
              <w:jc w:val="right"/>
            </w:pPr>
            <w:r>
              <w:rPr>
                <w:color w:val="000000"/>
                <w:szCs w:val="21"/>
              </w:rPr>
              <w:t>2</w:t>
            </w:r>
          </w:p>
        </w:tc>
        <w:tc>
          <w:tcPr>
            <w:tcW w:w="1800" w:type="dxa"/>
            <w:vAlign w:val="center"/>
          </w:tcPr>
          <w:p w:rsidR="007C483C" w:rsidRDefault="007F41B2">
            <w:pPr>
              <w:jc w:val="right"/>
            </w:pPr>
            <w:r>
              <w:rPr>
                <w:color w:val="000000"/>
                <w:szCs w:val="21"/>
              </w:rPr>
              <w:t>-</w:t>
            </w:r>
          </w:p>
        </w:tc>
        <w:tc>
          <w:tcPr>
            <w:tcW w:w="1080" w:type="dxa"/>
            <w:vAlign w:val="center"/>
          </w:tcPr>
          <w:p w:rsidR="007C483C" w:rsidRDefault="007F41B2">
            <w:pPr>
              <w:jc w:val="right"/>
            </w:pPr>
            <w:r>
              <w:rPr>
                <w:color w:val="000000"/>
                <w:szCs w:val="21"/>
              </w:rPr>
              <w:t>-</w:t>
            </w:r>
          </w:p>
        </w:tc>
        <w:tc>
          <w:tcPr>
            <w:tcW w:w="1620" w:type="dxa"/>
            <w:vAlign w:val="center"/>
          </w:tcPr>
          <w:p w:rsidR="007C483C" w:rsidRDefault="007F41B2">
            <w:pPr>
              <w:jc w:val="right"/>
            </w:pPr>
            <w:r>
              <w:rPr>
                <w:color w:val="000000"/>
                <w:szCs w:val="21"/>
              </w:rPr>
              <w:t>-</w:t>
            </w:r>
          </w:p>
        </w:tc>
        <w:tc>
          <w:tcPr>
            <w:tcW w:w="1080" w:type="dxa"/>
            <w:vAlign w:val="center"/>
          </w:tcPr>
          <w:p w:rsidR="007C483C" w:rsidRDefault="007F41B2">
            <w:pPr>
              <w:jc w:val="right"/>
            </w:pPr>
            <w:r>
              <w:rPr>
                <w:color w:val="000000"/>
                <w:szCs w:val="21"/>
              </w:rPr>
              <w:t>-</w:t>
            </w:r>
          </w:p>
        </w:tc>
        <w:tc>
          <w:tcPr>
            <w:tcW w:w="1080" w:type="dxa"/>
            <w:vAlign w:val="center"/>
          </w:tcPr>
          <w:p w:rsidR="007C483C" w:rsidRDefault="007F41B2">
            <w:pPr>
              <w:jc w:val="left"/>
            </w:pPr>
            <w:r>
              <w:rPr>
                <w:color w:val="000000"/>
                <w:szCs w:val="21"/>
              </w:rPr>
              <w:t>-</w:t>
            </w:r>
          </w:p>
        </w:tc>
      </w:tr>
      <w:tr w:rsidR="007C483C">
        <w:tc>
          <w:tcPr>
            <w:tcW w:w="1559" w:type="dxa"/>
            <w:vAlign w:val="center"/>
          </w:tcPr>
          <w:p w:rsidR="007C483C" w:rsidRDefault="007F41B2">
            <w:pPr>
              <w:jc w:val="left"/>
            </w:pPr>
            <w:r>
              <w:rPr>
                <w:color w:val="000000"/>
                <w:szCs w:val="21"/>
              </w:rPr>
              <w:t>中泰证券股份有限公司</w:t>
            </w:r>
          </w:p>
        </w:tc>
        <w:tc>
          <w:tcPr>
            <w:tcW w:w="779" w:type="dxa"/>
            <w:vAlign w:val="center"/>
          </w:tcPr>
          <w:p w:rsidR="007C483C" w:rsidRDefault="007F41B2">
            <w:pPr>
              <w:jc w:val="right"/>
            </w:pPr>
            <w:r>
              <w:rPr>
                <w:color w:val="000000"/>
                <w:szCs w:val="21"/>
              </w:rPr>
              <w:t>2</w:t>
            </w:r>
          </w:p>
        </w:tc>
        <w:tc>
          <w:tcPr>
            <w:tcW w:w="1800" w:type="dxa"/>
            <w:vAlign w:val="center"/>
          </w:tcPr>
          <w:p w:rsidR="007C483C" w:rsidRDefault="007F41B2">
            <w:pPr>
              <w:jc w:val="right"/>
            </w:pPr>
            <w:r>
              <w:rPr>
                <w:color w:val="000000"/>
                <w:szCs w:val="21"/>
              </w:rPr>
              <w:t>-</w:t>
            </w:r>
          </w:p>
        </w:tc>
        <w:tc>
          <w:tcPr>
            <w:tcW w:w="1080" w:type="dxa"/>
            <w:vAlign w:val="center"/>
          </w:tcPr>
          <w:p w:rsidR="007C483C" w:rsidRDefault="007F41B2">
            <w:pPr>
              <w:jc w:val="right"/>
            </w:pPr>
            <w:r>
              <w:rPr>
                <w:color w:val="000000"/>
                <w:szCs w:val="21"/>
              </w:rPr>
              <w:t>-</w:t>
            </w:r>
          </w:p>
        </w:tc>
        <w:tc>
          <w:tcPr>
            <w:tcW w:w="1620" w:type="dxa"/>
            <w:vAlign w:val="center"/>
          </w:tcPr>
          <w:p w:rsidR="007C483C" w:rsidRDefault="007F41B2">
            <w:pPr>
              <w:jc w:val="right"/>
            </w:pPr>
            <w:r>
              <w:rPr>
                <w:color w:val="000000"/>
                <w:szCs w:val="21"/>
              </w:rPr>
              <w:t>-</w:t>
            </w:r>
          </w:p>
        </w:tc>
        <w:tc>
          <w:tcPr>
            <w:tcW w:w="1080" w:type="dxa"/>
            <w:vAlign w:val="center"/>
          </w:tcPr>
          <w:p w:rsidR="007C483C" w:rsidRDefault="007F41B2">
            <w:pPr>
              <w:jc w:val="right"/>
            </w:pPr>
            <w:r>
              <w:rPr>
                <w:color w:val="000000"/>
                <w:szCs w:val="21"/>
              </w:rPr>
              <w:t>-</w:t>
            </w:r>
          </w:p>
        </w:tc>
        <w:tc>
          <w:tcPr>
            <w:tcW w:w="1080" w:type="dxa"/>
            <w:vAlign w:val="center"/>
          </w:tcPr>
          <w:p w:rsidR="007C483C" w:rsidRDefault="007F41B2">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w:t>
            </w:r>
            <w:r w:rsidRPr="00465C9F">
              <w:rPr>
                <w:rFonts w:hint="eastAsia"/>
                <w:color w:val="000000"/>
                <w:szCs w:val="21"/>
              </w:rPr>
              <w:lastRenderedPageBreak/>
              <w:t>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lastRenderedPageBreak/>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w:t>
            </w:r>
            <w:r w:rsidRPr="00465C9F">
              <w:rPr>
                <w:rFonts w:hint="eastAsia"/>
                <w:color w:val="000000"/>
                <w:szCs w:val="21"/>
              </w:rPr>
              <w:lastRenderedPageBreak/>
              <w:t>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lastRenderedPageBreak/>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w:t>
            </w:r>
            <w:r w:rsidRPr="00465C9F">
              <w:rPr>
                <w:rFonts w:hint="eastAsia"/>
                <w:color w:val="000000"/>
                <w:szCs w:val="21"/>
              </w:rPr>
              <w:lastRenderedPageBreak/>
              <w:t>证成交总额的比例</w:t>
            </w:r>
          </w:p>
        </w:tc>
      </w:tr>
      <w:tr w:rsidR="007C483C">
        <w:tc>
          <w:tcPr>
            <w:tcW w:w="1559" w:type="dxa"/>
            <w:vAlign w:val="center"/>
          </w:tcPr>
          <w:p w:rsidR="007C483C" w:rsidRDefault="007F41B2">
            <w:pPr>
              <w:jc w:val="left"/>
            </w:pPr>
            <w:r>
              <w:rPr>
                <w:color w:val="000000"/>
                <w:szCs w:val="21"/>
              </w:rPr>
              <w:lastRenderedPageBreak/>
              <w:t>安信证券股份有限公司</w:t>
            </w:r>
          </w:p>
        </w:tc>
        <w:tc>
          <w:tcPr>
            <w:tcW w:w="1319" w:type="dxa"/>
            <w:vAlign w:val="center"/>
          </w:tcPr>
          <w:p w:rsidR="007C483C" w:rsidRDefault="007F41B2">
            <w:pPr>
              <w:jc w:val="right"/>
            </w:pPr>
            <w:r>
              <w:rPr>
                <w:color w:val="000000"/>
                <w:szCs w:val="21"/>
              </w:rPr>
              <w:t>500,604,954.62</w:t>
            </w:r>
          </w:p>
        </w:tc>
        <w:tc>
          <w:tcPr>
            <w:tcW w:w="1080" w:type="dxa"/>
            <w:vAlign w:val="center"/>
          </w:tcPr>
          <w:p w:rsidR="007C483C" w:rsidRDefault="007F41B2">
            <w:pPr>
              <w:jc w:val="right"/>
            </w:pPr>
            <w:r>
              <w:rPr>
                <w:color w:val="000000"/>
                <w:szCs w:val="21"/>
              </w:rPr>
              <w:t>100.00%</w:t>
            </w:r>
          </w:p>
        </w:tc>
        <w:tc>
          <w:tcPr>
            <w:tcW w:w="1143" w:type="dxa"/>
            <w:vAlign w:val="center"/>
          </w:tcPr>
          <w:p w:rsidR="007C483C" w:rsidRDefault="007F41B2">
            <w:pPr>
              <w:jc w:val="right"/>
            </w:pPr>
            <w:r>
              <w:rPr>
                <w:color w:val="000000"/>
                <w:szCs w:val="21"/>
              </w:rPr>
              <w:t>11,306,200,000.00</w:t>
            </w:r>
          </w:p>
        </w:tc>
        <w:tc>
          <w:tcPr>
            <w:tcW w:w="1197" w:type="dxa"/>
            <w:vAlign w:val="center"/>
          </w:tcPr>
          <w:p w:rsidR="007C483C" w:rsidRDefault="007F41B2">
            <w:pPr>
              <w:jc w:val="right"/>
            </w:pPr>
            <w:r>
              <w:rPr>
                <w:color w:val="000000"/>
                <w:szCs w:val="21"/>
              </w:rPr>
              <w:t>100.00%</w:t>
            </w:r>
          </w:p>
        </w:tc>
        <w:tc>
          <w:tcPr>
            <w:tcW w:w="1497" w:type="dxa"/>
            <w:vAlign w:val="center"/>
          </w:tcPr>
          <w:p w:rsidR="007C483C" w:rsidRDefault="007F41B2">
            <w:pPr>
              <w:jc w:val="right"/>
            </w:pPr>
            <w:r>
              <w:rPr>
                <w:color w:val="000000"/>
                <w:szCs w:val="21"/>
              </w:rPr>
              <w:t>-</w:t>
            </w:r>
          </w:p>
        </w:tc>
        <w:tc>
          <w:tcPr>
            <w:tcW w:w="1203" w:type="dxa"/>
            <w:vAlign w:val="center"/>
          </w:tcPr>
          <w:p w:rsidR="007C483C" w:rsidRDefault="007F41B2">
            <w:pPr>
              <w:jc w:val="right"/>
            </w:pPr>
            <w:r>
              <w:rPr>
                <w:color w:val="000000"/>
                <w:szCs w:val="21"/>
              </w:rPr>
              <w:t>-</w:t>
            </w:r>
          </w:p>
        </w:tc>
      </w:tr>
    </w:tbl>
    <w:p w:rsidR="007C483C" w:rsidRDefault="007F41B2">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、报告期内，本基金新增加国金证券股份有限公司、中泰证券股份有限公司，其它交易单元未发生变化；</w:t>
      </w:r>
    </w:p>
    <w:p w:rsidR="007C483C" w:rsidRDefault="007F41B2">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320FD" w:rsidRPr="00723729" w:rsidRDefault="001320FD" w:rsidP="001320FD">
      <w:pPr>
        <w:pStyle w:val="1"/>
        <w:keepNext/>
        <w:keepLines/>
        <w:widowControl w:val="0"/>
        <w:spacing w:beforeLines="100" w:before="312" w:afterLines="100" w:after="312" w:line="360" w:lineRule="auto"/>
        <w:jc w:val="center"/>
        <w:rPr>
          <w:rFonts w:eastAsiaTheme="minorEastAsia"/>
          <w:b/>
          <w:bCs/>
          <w:sz w:val="21"/>
          <w:szCs w:val="21"/>
          <w:lang w:val="en-US"/>
        </w:rPr>
      </w:pPr>
      <w:bookmarkStart w:id="98" w:name="_Toc374532345"/>
      <w:bookmarkEnd w:id="97"/>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8"/>
    </w:p>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12.1 影响投资者决策的其他重要信息</w:t>
      </w:r>
    </w:p>
    <w:p w:rsidR="001320FD" w:rsidRPr="004F0662" w:rsidRDefault="001320FD" w:rsidP="001320FD">
      <w:pPr>
        <w:spacing w:line="360" w:lineRule="auto"/>
        <w:ind w:firstLineChars="200" w:firstLine="420"/>
        <w:rPr>
          <w:rFonts w:ascii="宋体" w:hAnsi="宋体"/>
          <w:color w:val="000000"/>
          <w:szCs w:val="21"/>
        </w:rPr>
      </w:pPr>
      <w:r w:rsidRPr="004F0662">
        <w:rPr>
          <w:rFonts w:ascii="宋体" w:hAnsi="宋体"/>
          <w:color w:val="000000"/>
          <w:szCs w:val="21"/>
        </w:rPr>
        <w:t>根据本基金基金合同的规定，本基金在基金合同生效之日起两年（含两年）的期间内封闭式运作（按照基金合同的约定提前转换基金运作方式的除外），封闭期结束后转为开放式运作。封闭期在本基金的基金合同中如无特别指明即为自基金合同生效之日起至两个公历年后对应日止，若两年后对应日为非工作日的，相应顺延。本基金的封闭期自2015年11月9日开始至2017年11月9日止，自2017年11月10日起转为开放式运作。本基金在转为开放式运作后，自2017年11月10日开始办理日常申购、赎回等业务，并适用基金合同中关于转为开放式运作后的有关规定。详情请查阅本基金管理人于2017年11月3日发布的《交银施罗德基金管理有限公司关于交银施罗德丰硕收益债券型证券投资基金封闭期结束转为开放式运作的提示性公告》以及2017年11月8日发布的《交银施罗德基金管理有限公司关于交银施罗德丰硕收益债券型证券投资基金封闭期结束转为开放式运作暨开放日常申购、赎回业务的公告》。</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lastRenderedPageBreak/>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二〇一八年三月二十八日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EDA" w:rsidRDefault="00F93EDA">
      <w:r>
        <w:separator/>
      </w:r>
    </w:p>
  </w:endnote>
  <w:endnote w:type="continuationSeparator" w:id="0">
    <w:p w:rsidR="00F93EDA" w:rsidRDefault="00F9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9B0D82"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9B0D82">
      <w:rPr>
        <w:kern w:val="0"/>
        <w:szCs w:val="21"/>
      </w:rPr>
      <w:fldChar w:fldCharType="begin"/>
    </w:r>
    <w:r>
      <w:rPr>
        <w:kern w:val="0"/>
        <w:szCs w:val="21"/>
      </w:rPr>
      <w:instrText xml:space="preserve"> PAGE </w:instrText>
    </w:r>
    <w:r w:rsidR="009B0D82">
      <w:rPr>
        <w:kern w:val="0"/>
        <w:szCs w:val="21"/>
      </w:rPr>
      <w:fldChar w:fldCharType="separate"/>
    </w:r>
    <w:r w:rsidR="003B685F">
      <w:rPr>
        <w:noProof/>
        <w:kern w:val="0"/>
        <w:szCs w:val="21"/>
      </w:rPr>
      <w:t>20</w:t>
    </w:r>
    <w:r w:rsidR="009B0D82">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9B0D82">
      <w:rPr>
        <w:kern w:val="0"/>
        <w:szCs w:val="21"/>
      </w:rPr>
      <w:fldChar w:fldCharType="begin"/>
    </w:r>
    <w:r>
      <w:rPr>
        <w:kern w:val="0"/>
        <w:szCs w:val="21"/>
      </w:rPr>
      <w:instrText xml:space="preserve"> NUMPAGES </w:instrText>
    </w:r>
    <w:r w:rsidR="009B0D82">
      <w:rPr>
        <w:kern w:val="0"/>
        <w:szCs w:val="21"/>
      </w:rPr>
      <w:fldChar w:fldCharType="separate"/>
    </w:r>
    <w:r w:rsidR="003B685F">
      <w:rPr>
        <w:noProof/>
        <w:kern w:val="0"/>
        <w:szCs w:val="21"/>
      </w:rPr>
      <w:t>33</w:t>
    </w:r>
    <w:r w:rsidR="009B0D82">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EDA" w:rsidRDefault="00F93EDA">
      <w:r>
        <w:separator/>
      </w:r>
    </w:p>
  </w:footnote>
  <w:footnote w:type="continuationSeparator" w:id="0">
    <w:p w:rsidR="00F93EDA" w:rsidRDefault="00F93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2C6D"/>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166"/>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685F"/>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0E20"/>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476"/>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483C"/>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41B2"/>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2E67"/>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17F48"/>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3EDA"/>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3800D2-9DAB-49DD-AA99-007EB75D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33</Pages>
  <Words>3289</Words>
  <Characters>18748</Characters>
  <Application>Microsoft Office Word</Application>
  <DocSecurity>0</DocSecurity>
  <Lines>156</Lines>
  <Paragraphs>43</Paragraphs>
  <ScaleCrop>false</ScaleCrop>
  <Company/>
  <LinksUpToDate>false</LinksUpToDate>
  <CharactersWithSpaces>21994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559</cp:revision>
  <cp:lastPrinted>2007-07-19T00:46:00Z</cp:lastPrinted>
  <dcterms:created xsi:type="dcterms:W3CDTF">2013-10-15T01:57:00Z</dcterms:created>
  <dcterms:modified xsi:type="dcterms:W3CDTF">2018-03-26T14:28:00Z</dcterms:modified>
</cp:coreProperties>
</file>