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C51C77" w:rsidRDefault="001A59F9" w:rsidP="00026C9C">
      <w:pPr>
        <w:autoSpaceDE w:val="0"/>
        <w:autoSpaceDN w:val="0"/>
        <w:adjustRightInd w:val="0"/>
        <w:spacing w:line="360" w:lineRule="auto"/>
        <w:jc w:val="left"/>
        <w:rPr>
          <w:rFonts w:asciiTheme="minorEastAsia" w:eastAsiaTheme="minorEastAsia" w:hAnsiTheme="minorEastAsia"/>
          <w:color w:val="000000"/>
          <w:kern w:val="0"/>
          <w:szCs w:val="21"/>
        </w:rPr>
      </w:pPr>
    </w:p>
    <w:p w:rsidR="001A59F9" w:rsidRPr="00922D37" w:rsidRDefault="001A59F9" w:rsidP="00A66C69">
      <w:pPr>
        <w:spacing w:before="29" w:line="288" w:lineRule="auto"/>
        <w:jc w:val="center"/>
        <w:rPr>
          <w:b/>
          <w:sz w:val="36"/>
          <w:szCs w:val="36"/>
        </w:rPr>
      </w:pPr>
      <w:bookmarkStart w:id="0" w:name="_Toc361324840"/>
      <w:r w:rsidRPr="00922D37">
        <w:rPr>
          <w:b/>
          <w:sz w:val="36"/>
          <w:szCs w:val="36"/>
        </w:rPr>
        <w:t>交银施罗德丰硕收益债券型证券投资基金</w:t>
      </w:r>
      <w:bookmarkEnd w:id="0"/>
    </w:p>
    <w:p w:rsidR="001A59F9" w:rsidRPr="00922D37" w:rsidRDefault="001A59F9" w:rsidP="00A66C69">
      <w:pPr>
        <w:spacing w:before="29" w:line="288" w:lineRule="auto"/>
        <w:jc w:val="center"/>
        <w:rPr>
          <w:b/>
          <w:sz w:val="36"/>
          <w:szCs w:val="36"/>
        </w:rPr>
      </w:pPr>
      <w:bookmarkStart w:id="1" w:name="_Toc361324841"/>
      <w:r w:rsidRPr="00922D37">
        <w:rPr>
          <w:b/>
          <w:sz w:val="36"/>
          <w:szCs w:val="36"/>
        </w:rPr>
        <w:t>2017</w:t>
      </w:r>
      <w:r w:rsidRPr="00922D37">
        <w:rPr>
          <w:b/>
          <w:sz w:val="36"/>
          <w:szCs w:val="36"/>
        </w:rPr>
        <w:t>年年度报告</w:t>
      </w:r>
      <w:bookmarkEnd w:id="1"/>
      <w:r w:rsidR="005961DD" w:rsidRPr="00922D37">
        <w:rPr>
          <w:rFonts w:hint="eastAsia"/>
          <w:b/>
          <w:sz w:val="36"/>
          <w:szCs w:val="36"/>
        </w:rPr>
        <w:t>摘要</w:t>
      </w:r>
    </w:p>
    <w:p w:rsidR="001A59F9" w:rsidRPr="00922D37" w:rsidRDefault="00F64FAD" w:rsidP="00A66C69">
      <w:pPr>
        <w:spacing w:before="29" w:line="288" w:lineRule="auto"/>
        <w:jc w:val="center"/>
        <w:rPr>
          <w:b/>
          <w:sz w:val="36"/>
          <w:szCs w:val="36"/>
        </w:rPr>
      </w:pPr>
      <w:r w:rsidRPr="00922D37">
        <w:rPr>
          <w:b/>
          <w:sz w:val="36"/>
          <w:szCs w:val="36"/>
        </w:rPr>
        <w:t>2017</w:t>
      </w:r>
      <w:r w:rsidRPr="00922D37">
        <w:rPr>
          <w:b/>
          <w:sz w:val="36"/>
          <w:szCs w:val="36"/>
        </w:rPr>
        <w:t>年</w:t>
      </w:r>
      <w:r w:rsidRPr="00922D37">
        <w:rPr>
          <w:b/>
          <w:sz w:val="36"/>
          <w:szCs w:val="36"/>
        </w:rPr>
        <w:t>12</w:t>
      </w:r>
      <w:r w:rsidRPr="00922D37">
        <w:rPr>
          <w:b/>
          <w:sz w:val="36"/>
          <w:szCs w:val="36"/>
        </w:rPr>
        <w:t>月</w:t>
      </w:r>
      <w:r w:rsidRPr="00922D37">
        <w:rPr>
          <w:b/>
          <w:sz w:val="36"/>
          <w:szCs w:val="36"/>
        </w:rPr>
        <w:t>31</w:t>
      </w:r>
      <w:r w:rsidRPr="00922D37">
        <w:rPr>
          <w:b/>
          <w:sz w:val="36"/>
          <w:szCs w:val="36"/>
        </w:rPr>
        <w:t>日</w:t>
      </w:r>
    </w:p>
    <w:p w:rsidR="001A59F9" w:rsidRPr="00C51C77" w:rsidRDefault="001A59F9" w:rsidP="00922D37">
      <w:pPr>
        <w:spacing w:before="29" w:line="288"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C51C77" w:rsidRDefault="001A59F9" w:rsidP="00026C9C">
      <w:pPr>
        <w:spacing w:line="360" w:lineRule="auto"/>
        <w:jc w:val="center"/>
        <w:rPr>
          <w:rFonts w:asciiTheme="minorEastAsia" w:eastAsiaTheme="minorEastAsia" w:hAnsiTheme="minorEastAsia"/>
          <w:b/>
          <w:color w:val="000000"/>
          <w:szCs w:val="21"/>
        </w:rPr>
      </w:pP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基金管理人：</w:t>
      </w:r>
      <w:r w:rsidRPr="00922D37">
        <w:rPr>
          <w:b/>
          <w:color w:val="000000"/>
          <w:sz w:val="24"/>
        </w:rPr>
        <w:t>交银施罗德基金管理有限公司</w:t>
      </w:r>
    </w:p>
    <w:p w:rsidR="001A59F9" w:rsidRPr="00922D37" w:rsidRDefault="001A59F9" w:rsidP="00922D37">
      <w:pPr>
        <w:spacing w:before="29" w:line="288" w:lineRule="auto"/>
        <w:ind w:firstLineChars="900" w:firstLine="2168"/>
        <w:rPr>
          <w:b/>
          <w:color w:val="000000"/>
          <w:sz w:val="24"/>
        </w:rPr>
      </w:pPr>
      <w:r w:rsidRPr="00922D37">
        <w:rPr>
          <w:rFonts w:hint="eastAsia"/>
          <w:b/>
          <w:color w:val="000000"/>
          <w:sz w:val="24"/>
        </w:rPr>
        <w:t>基金托管人：</w:t>
      </w:r>
      <w:r w:rsidRPr="00922D37">
        <w:rPr>
          <w:b/>
          <w:color w:val="000000"/>
          <w:sz w:val="24"/>
        </w:rPr>
        <w:t>中信银行股份有限公司</w:t>
      </w:r>
    </w:p>
    <w:p w:rsidR="001A59F9" w:rsidRPr="00922D37" w:rsidRDefault="001A59F9" w:rsidP="00922D37">
      <w:pPr>
        <w:spacing w:before="29" w:line="288" w:lineRule="auto"/>
        <w:ind w:firstLineChars="900" w:firstLine="2168"/>
        <w:rPr>
          <w:b/>
          <w:color w:val="000000"/>
          <w:sz w:val="24"/>
        </w:rPr>
        <w:sectPr w:rsidR="001A59F9" w:rsidRPr="00922D37">
          <w:headerReference w:type="default" r:id="rId7"/>
          <w:pgSz w:w="11926" w:h="15840"/>
          <w:pgMar w:top="1418" w:right="1418" w:bottom="851" w:left="1418" w:header="851" w:footer="992" w:gutter="0"/>
          <w:cols w:space="720"/>
        </w:sectPr>
      </w:pPr>
      <w:r w:rsidRPr="00922D37">
        <w:rPr>
          <w:rFonts w:hint="eastAsia"/>
          <w:b/>
          <w:color w:val="000000"/>
          <w:sz w:val="24"/>
        </w:rPr>
        <w:t>报告送出日期：</w:t>
      </w:r>
      <w:r w:rsidRPr="00922D37">
        <w:rPr>
          <w:b/>
          <w:color w:val="000000"/>
          <w:sz w:val="24"/>
        </w:rPr>
        <w:t>二〇一八年三月二十八日</w:t>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 w:name="_Toc225498243"/>
      <w:bookmarkStart w:id="3" w:name="_Toc361324842"/>
      <w:r w:rsidRPr="00FF0E34">
        <w:rPr>
          <w:rFonts w:hint="eastAsia"/>
          <w:b/>
          <w:bCs/>
          <w:szCs w:val="24"/>
          <w:lang w:val="en-US"/>
        </w:rPr>
        <w:lastRenderedPageBreak/>
        <w:t>§</w:t>
      </w:r>
      <w:r w:rsidRPr="00FF0E34">
        <w:rPr>
          <w:b/>
          <w:bCs/>
          <w:szCs w:val="24"/>
          <w:lang w:val="en-US"/>
        </w:rPr>
        <w:t xml:space="preserve">1  </w:t>
      </w:r>
      <w:r w:rsidRPr="00FF0E34">
        <w:rPr>
          <w:rFonts w:hint="eastAsia"/>
          <w:b/>
          <w:bCs/>
          <w:szCs w:val="24"/>
          <w:lang w:val="en-US"/>
        </w:rPr>
        <w:t>重要提示</w:t>
      </w:r>
      <w:bookmarkEnd w:id="2"/>
      <w:bookmarkEnd w:id="3"/>
    </w:p>
    <w:p w:rsidR="002546CC" w:rsidRPr="002546CC" w:rsidRDefault="002546CC" w:rsidP="002546CC"/>
    <w:p w:rsidR="000C58C9" w:rsidRPr="00FF0E34" w:rsidRDefault="001A59F9" w:rsidP="00FF0E34">
      <w:pPr>
        <w:pStyle w:val="20"/>
        <w:spacing w:before="29" w:after="0" w:line="288" w:lineRule="auto"/>
        <w:rPr>
          <w:rFonts w:ascii="Times New Roman" w:hAnsi="Times New Roman"/>
          <w:kern w:val="0"/>
          <w:szCs w:val="24"/>
        </w:rPr>
      </w:pPr>
      <w:bookmarkStart w:id="4" w:name="_Toc361324843"/>
      <w:r w:rsidRPr="00FF0E34">
        <w:rPr>
          <w:rFonts w:ascii="Times New Roman" w:hAnsi="Times New Roman"/>
          <w:kern w:val="0"/>
          <w:szCs w:val="24"/>
        </w:rPr>
        <w:t xml:space="preserve">1.1 </w:t>
      </w:r>
      <w:r w:rsidRPr="00FF0E34">
        <w:rPr>
          <w:rFonts w:ascii="Times New Roman" w:hAnsi="Times New Roman" w:hint="eastAsia"/>
          <w:kern w:val="0"/>
          <w:szCs w:val="24"/>
        </w:rPr>
        <w:t>重要提示</w:t>
      </w:r>
      <w:bookmarkEnd w:id="4"/>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的董事会、董事保证本报告所载资料不存在虚假记载、误导性陈述或重大遗漏，并对其内容的真实性、准确性和完整性承担个别及连带的法律责任。本年度报告已经三分之二以上独立董事签字同意，并由董事长签发。</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基金托管人</w:t>
      </w:r>
      <w:r w:rsidRPr="00FF0E34">
        <w:rPr>
          <w:color w:val="000000"/>
          <w:sz w:val="24"/>
        </w:rPr>
        <w:t>中信银行股份有限公司</w:t>
      </w:r>
      <w:r w:rsidR="00D91873">
        <w:rPr>
          <w:color w:val="000000"/>
          <w:sz w:val="24"/>
        </w:rPr>
        <w:t>(</w:t>
      </w:r>
      <w:r w:rsidR="00D91873">
        <w:rPr>
          <w:rFonts w:hint="eastAsia"/>
          <w:color w:val="000000"/>
          <w:sz w:val="24"/>
        </w:rPr>
        <w:t>以下简称“</w:t>
      </w:r>
      <w:r w:rsidR="00D91873">
        <w:rPr>
          <w:color w:val="000000"/>
          <w:sz w:val="24"/>
        </w:rPr>
        <w:t>中信银行</w:t>
      </w:r>
      <w:r w:rsidR="00D91873">
        <w:rPr>
          <w:rFonts w:hint="eastAsia"/>
          <w:color w:val="000000"/>
          <w:sz w:val="24"/>
        </w:rPr>
        <w:t>”</w:t>
      </w:r>
      <w:r w:rsidR="00D91873">
        <w:rPr>
          <w:color w:val="000000"/>
          <w:sz w:val="24"/>
        </w:rPr>
        <w:t>)</w:t>
      </w:r>
      <w:r w:rsidRPr="00FF0E34">
        <w:rPr>
          <w:rFonts w:hint="eastAsia"/>
          <w:color w:val="000000"/>
          <w:sz w:val="24"/>
        </w:rPr>
        <w:t>根据本基金合同规定，于</w:t>
      </w:r>
      <w:r w:rsidRPr="00FF0E34">
        <w:rPr>
          <w:color w:val="000000"/>
          <w:sz w:val="24"/>
        </w:rPr>
        <w:t>2018</w:t>
      </w:r>
      <w:r w:rsidRPr="00FF0E34">
        <w:rPr>
          <w:color w:val="000000"/>
          <w:sz w:val="24"/>
        </w:rPr>
        <w:t>年</w:t>
      </w:r>
      <w:r w:rsidRPr="00FF0E34">
        <w:rPr>
          <w:color w:val="000000"/>
          <w:sz w:val="24"/>
        </w:rPr>
        <w:t>3</w:t>
      </w:r>
      <w:r w:rsidRPr="00FF0E34">
        <w:rPr>
          <w:color w:val="000000"/>
          <w:sz w:val="24"/>
        </w:rPr>
        <w:t>月</w:t>
      </w:r>
      <w:r w:rsidRPr="00FF0E34">
        <w:rPr>
          <w:color w:val="000000"/>
          <w:sz w:val="24"/>
        </w:rPr>
        <w:t>27</w:t>
      </w:r>
      <w:r w:rsidRPr="00FF0E34">
        <w:rPr>
          <w:color w:val="000000"/>
          <w:sz w:val="24"/>
        </w:rPr>
        <w:t>日</w:t>
      </w:r>
      <w:r w:rsidRPr="00FF0E34">
        <w:rPr>
          <w:rFonts w:hint="eastAsia"/>
          <w:color w:val="000000"/>
          <w:sz w:val="24"/>
        </w:rPr>
        <w:t>复核了本报告中的财务指标、净值表现、利润分配情况、财务会计报告、投资组合报告等内容，保证复核内容不存在虚假记载、误导性陈述或者重大遗漏。</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基金管理人承诺以诚实信用、勤勉尽责的原则管理和运用基金资产，但不保证基金一定盈利。</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基金的过往业绩并不代表其未来表现。投资有风险，投资者在</w:t>
      </w:r>
      <w:r w:rsidR="009414BB" w:rsidRPr="00FF0E34">
        <w:rPr>
          <w:rFonts w:hint="eastAsia"/>
          <w:color w:val="000000"/>
          <w:sz w:val="24"/>
        </w:rPr>
        <w:t>作</w:t>
      </w:r>
      <w:r w:rsidRPr="00FF0E34">
        <w:rPr>
          <w:rFonts w:hint="eastAsia"/>
          <w:color w:val="000000"/>
          <w:sz w:val="24"/>
        </w:rPr>
        <w:t>出投资决策前应仔细阅读本基金的招募说明书及其更新。</w:t>
      </w:r>
    </w:p>
    <w:p w:rsidR="000C58C9" w:rsidRPr="00FF0E34" w:rsidRDefault="000C58C9" w:rsidP="00FF0E34">
      <w:pPr>
        <w:spacing w:before="29" w:line="288" w:lineRule="auto"/>
        <w:ind w:firstLineChars="200" w:firstLine="480"/>
        <w:rPr>
          <w:color w:val="000000"/>
          <w:sz w:val="24"/>
        </w:rPr>
      </w:pPr>
      <w:r w:rsidRPr="00FF0E34">
        <w:rPr>
          <w:rFonts w:hint="eastAsia"/>
          <w:color w:val="000000"/>
          <w:sz w:val="24"/>
        </w:rPr>
        <w:t>本年度报告摘要摘自年度报告正文，投资者欲了解详细内容，应阅读年度报告正文。</w:t>
      </w:r>
    </w:p>
    <w:p w:rsidR="00DA70F5" w:rsidRPr="00FF0E34" w:rsidRDefault="00DA70F5" w:rsidP="00FF0E34">
      <w:pPr>
        <w:spacing w:before="29" w:line="288" w:lineRule="auto"/>
        <w:ind w:firstLineChars="200" w:firstLine="480"/>
        <w:rPr>
          <w:color w:val="000000"/>
          <w:sz w:val="24"/>
        </w:rPr>
      </w:pPr>
      <w:r w:rsidRPr="00FF0E34">
        <w:rPr>
          <w:rFonts w:hint="eastAsia"/>
          <w:color w:val="000000"/>
          <w:sz w:val="24"/>
        </w:rPr>
        <w:t>本报告期自</w:t>
      </w:r>
      <w:r w:rsidRPr="00FF0E34">
        <w:rPr>
          <w:color w:val="000000"/>
          <w:sz w:val="24"/>
        </w:rPr>
        <w:t>2017</w:t>
      </w:r>
      <w:r w:rsidRPr="00FF0E34">
        <w:rPr>
          <w:color w:val="000000"/>
          <w:sz w:val="24"/>
        </w:rPr>
        <w:t>年</w:t>
      </w:r>
      <w:r w:rsidRPr="00FF0E34">
        <w:rPr>
          <w:color w:val="000000"/>
          <w:sz w:val="24"/>
        </w:rPr>
        <w:t>1</w:t>
      </w:r>
      <w:r w:rsidRPr="00FF0E34">
        <w:rPr>
          <w:color w:val="000000"/>
          <w:sz w:val="24"/>
        </w:rPr>
        <w:t>月</w:t>
      </w:r>
      <w:r w:rsidRPr="00FF0E34">
        <w:rPr>
          <w:color w:val="000000"/>
          <w:sz w:val="24"/>
        </w:rPr>
        <w:t>1</w:t>
      </w:r>
      <w:r w:rsidRPr="00FF0E34">
        <w:rPr>
          <w:color w:val="000000"/>
          <w:sz w:val="24"/>
        </w:rPr>
        <w:t>日</w:t>
      </w:r>
      <w:r w:rsidRPr="00FF0E34">
        <w:rPr>
          <w:rFonts w:hint="eastAsia"/>
          <w:color w:val="000000"/>
          <w:sz w:val="24"/>
        </w:rPr>
        <w:t>起至</w:t>
      </w:r>
      <w:r w:rsidRPr="00FF0E34">
        <w:rPr>
          <w:color w:val="000000"/>
          <w:sz w:val="24"/>
        </w:rPr>
        <w:t>12</w:t>
      </w:r>
      <w:r w:rsidRPr="00FF0E34">
        <w:rPr>
          <w:color w:val="000000"/>
          <w:sz w:val="24"/>
        </w:rPr>
        <w:t>月</w:t>
      </w:r>
      <w:r w:rsidRPr="00FF0E34">
        <w:rPr>
          <w:color w:val="000000"/>
          <w:sz w:val="24"/>
        </w:rPr>
        <w:t>31</w:t>
      </w:r>
      <w:r w:rsidRPr="00FF0E34">
        <w:rPr>
          <w:color w:val="000000"/>
          <w:sz w:val="24"/>
        </w:rPr>
        <w:t>日</w:t>
      </w:r>
      <w:r w:rsidRPr="00FF0E34">
        <w:rPr>
          <w:rFonts w:hint="eastAsia"/>
          <w:color w:val="000000"/>
          <w:sz w:val="24"/>
        </w:rPr>
        <w:t>止。</w:t>
      </w:r>
    </w:p>
    <w:p w:rsidR="00D35947" w:rsidRPr="00C51C77" w:rsidRDefault="001A59F9" w:rsidP="00D35947">
      <w:pPr>
        <w:spacing w:line="360" w:lineRule="auto"/>
        <w:rPr>
          <w:rFonts w:asciiTheme="minorEastAsia" w:eastAsiaTheme="minorEastAsia" w:hAnsiTheme="minorEastAsia"/>
          <w:b/>
          <w:color w:val="000000"/>
          <w:kern w:val="0"/>
          <w:szCs w:val="21"/>
        </w:rPr>
      </w:pPr>
      <w:r w:rsidRPr="00C51C77">
        <w:rPr>
          <w:rFonts w:asciiTheme="minorEastAsia" w:eastAsiaTheme="minorEastAsia" w:hAnsiTheme="minorEastAsia"/>
          <w:szCs w:val="21"/>
        </w:rPr>
        <w:br w:type="page"/>
      </w: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 w:name="_Toc225498244"/>
      <w:bookmarkStart w:id="6" w:name="_Toc361324844"/>
      <w:r w:rsidRPr="00176E90">
        <w:rPr>
          <w:rFonts w:hint="eastAsia"/>
          <w:b/>
          <w:bCs/>
          <w:szCs w:val="24"/>
          <w:lang w:val="en-US"/>
        </w:rPr>
        <w:lastRenderedPageBreak/>
        <w:t>§</w:t>
      </w:r>
      <w:r w:rsidRPr="00176E90">
        <w:rPr>
          <w:b/>
          <w:bCs/>
          <w:szCs w:val="24"/>
          <w:lang w:val="en-US"/>
        </w:rPr>
        <w:t xml:space="preserve">2  </w:t>
      </w:r>
      <w:r w:rsidRPr="00176E90">
        <w:rPr>
          <w:rFonts w:hint="eastAsia"/>
          <w:b/>
          <w:bCs/>
          <w:szCs w:val="24"/>
          <w:lang w:val="en-US"/>
        </w:rPr>
        <w:t>基金简介</w:t>
      </w:r>
      <w:bookmarkEnd w:id="5"/>
      <w:bookmarkEnd w:id="6"/>
    </w:p>
    <w:p w:rsidR="002546CC" w:rsidRPr="002546CC" w:rsidRDefault="002546CC" w:rsidP="002546CC"/>
    <w:p w:rsidR="001A59F9" w:rsidRPr="00701155" w:rsidRDefault="0040762F" w:rsidP="00701155">
      <w:pPr>
        <w:pStyle w:val="20"/>
        <w:spacing w:before="29" w:after="0" w:line="288" w:lineRule="auto"/>
        <w:rPr>
          <w:rFonts w:ascii="Times New Roman" w:hAnsi="Times New Roman"/>
          <w:kern w:val="0"/>
          <w:szCs w:val="24"/>
        </w:rPr>
      </w:pPr>
      <w:bookmarkStart w:id="7" w:name="_Toc361324845"/>
      <w:r w:rsidRPr="00701155">
        <w:rPr>
          <w:rFonts w:ascii="Times New Roman" w:hAnsi="Times New Roman"/>
          <w:kern w:val="0"/>
          <w:szCs w:val="24"/>
        </w:rPr>
        <w:t>2.1</w:t>
      </w:r>
      <w:r w:rsidR="00CE28F0" w:rsidRPr="00701155">
        <w:rPr>
          <w:rFonts w:ascii="Times New Roman" w:hAnsi="Times New Roman" w:hint="eastAsia"/>
          <w:kern w:val="0"/>
          <w:szCs w:val="24"/>
        </w:rPr>
        <w:t xml:space="preserve"> </w:t>
      </w:r>
      <w:r w:rsidR="001A59F9" w:rsidRPr="00701155">
        <w:rPr>
          <w:rFonts w:ascii="Times New Roman" w:hAnsi="Times New Roman" w:hint="eastAsia"/>
          <w:kern w:val="0"/>
          <w:szCs w:val="24"/>
        </w:rPr>
        <w:t>基金基本情况</w:t>
      </w:r>
      <w:bookmarkEnd w:id="7"/>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119"/>
        <w:gridCol w:w="5879"/>
      </w:tblGrid>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基金简称</w:t>
            </w:r>
          </w:p>
        </w:tc>
        <w:tc>
          <w:tcPr>
            <w:tcW w:w="5879" w:type="dxa"/>
            <w:vAlign w:val="center"/>
          </w:tcPr>
          <w:p w:rsidR="001A59F9" w:rsidRPr="00AF05D4" w:rsidRDefault="001A59F9" w:rsidP="00AF05D4">
            <w:pPr>
              <w:spacing w:before="29" w:line="288" w:lineRule="auto"/>
              <w:jc w:val="center"/>
              <w:rPr>
                <w:sz w:val="24"/>
              </w:rPr>
            </w:pPr>
            <w:r w:rsidRPr="00AF05D4">
              <w:rPr>
                <w:sz w:val="24"/>
              </w:rPr>
              <w:t>交银丰硕收益债券</w:t>
            </w:r>
          </w:p>
        </w:tc>
      </w:tr>
      <w:tr w:rsidR="001A59F9" w:rsidRPr="00C51C77" w:rsidTr="00961313">
        <w:tc>
          <w:tcPr>
            <w:tcW w:w="3119" w:type="dxa"/>
            <w:vAlign w:val="center"/>
          </w:tcPr>
          <w:p w:rsidR="001A59F9" w:rsidRPr="00475872" w:rsidRDefault="001A59F9" w:rsidP="00475872">
            <w:pPr>
              <w:spacing w:before="29" w:line="288" w:lineRule="auto"/>
              <w:rPr>
                <w:sz w:val="24"/>
              </w:rPr>
            </w:pPr>
            <w:r w:rsidRPr="00475872">
              <w:rPr>
                <w:rFonts w:hint="eastAsia"/>
                <w:sz w:val="24"/>
              </w:rPr>
              <w:t>基金主代码</w:t>
            </w:r>
          </w:p>
        </w:tc>
        <w:tc>
          <w:tcPr>
            <w:tcW w:w="5879" w:type="dxa"/>
            <w:vAlign w:val="center"/>
          </w:tcPr>
          <w:p w:rsidR="001A59F9" w:rsidRPr="00AF05D4" w:rsidRDefault="001A59F9" w:rsidP="00AF05D4">
            <w:pPr>
              <w:spacing w:before="29" w:line="288" w:lineRule="auto"/>
              <w:jc w:val="center"/>
              <w:rPr>
                <w:sz w:val="24"/>
              </w:rPr>
            </w:pPr>
            <w:r w:rsidRPr="00AF05D4">
              <w:rPr>
                <w:sz w:val="24"/>
              </w:rPr>
              <w:t>519758</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交易代码</w:t>
            </w:r>
          </w:p>
        </w:tc>
        <w:tc>
          <w:tcPr>
            <w:tcW w:w="5879" w:type="dxa"/>
            <w:vAlign w:val="center"/>
          </w:tcPr>
          <w:p w:rsidR="0040762F" w:rsidRPr="00AF05D4" w:rsidRDefault="0040762F" w:rsidP="00AF05D4">
            <w:pPr>
              <w:spacing w:before="29" w:line="288" w:lineRule="auto"/>
              <w:jc w:val="center"/>
              <w:rPr>
                <w:sz w:val="24"/>
              </w:rPr>
            </w:pPr>
            <w:r w:rsidRPr="00AF05D4">
              <w:rPr>
                <w:sz w:val="24"/>
              </w:rPr>
              <w:t>519758</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基金运作方式</w:t>
            </w:r>
          </w:p>
        </w:tc>
        <w:tc>
          <w:tcPr>
            <w:tcW w:w="5879" w:type="dxa"/>
            <w:vAlign w:val="center"/>
          </w:tcPr>
          <w:p w:rsidR="0040762F" w:rsidRPr="00AF05D4" w:rsidRDefault="0040762F" w:rsidP="00AF05D4">
            <w:pPr>
              <w:spacing w:before="29" w:line="288" w:lineRule="auto"/>
              <w:jc w:val="center"/>
              <w:rPr>
                <w:sz w:val="24"/>
              </w:rPr>
            </w:pPr>
            <w:r w:rsidRPr="00AF05D4">
              <w:rPr>
                <w:sz w:val="24"/>
              </w:rPr>
              <w:t>契约型</w:t>
            </w:r>
            <w:r w:rsidRPr="00AF05D4">
              <w:rPr>
                <w:sz w:val="24"/>
              </w:rPr>
              <w:t>,</w:t>
            </w:r>
            <w:r w:rsidRPr="00AF05D4">
              <w:rPr>
                <w:sz w:val="24"/>
              </w:rPr>
              <w:t>本基金在基金合同生效之日起两年（含两年）的期间内封闭式运作（按照基金合同的约定提前转换基金运作方式的除外），封闭期结束后转为开放式运作。</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基金合同生效日</w:t>
            </w:r>
          </w:p>
        </w:tc>
        <w:tc>
          <w:tcPr>
            <w:tcW w:w="5879" w:type="dxa"/>
            <w:vAlign w:val="center"/>
          </w:tcPr>
          <w:p w:rsidR="0040762F" w:rsidRPr="00AF05D4" w:rsidRDefault="0040762F" w:rsidP="00AF05D4">
            <w:pPr>
              <w:spacing w:before="29" w:line="288" w:lineRule="auto"/>
              <w:jc w:val="center"/>
              <w:rPr>
                <w:sz w:val="24"/>
              </w:rPr>
            </w:pPr>
            <w:r w:rsidRPr="00AF05D4">
              <w:rPr>
                <w:sz w:val="24"/>
              </w:rPr>
              <w:t>2015</w:t>
            </w:r>
            <w:r w:rsidRPr="00AF05D4">
              <w:rPr>
                <w:sz w:val="24"/>
              </w:rPr>
              <w:t>年</w:t>
            </w:r>
            <w:r w:rsidRPr="00AF05D4">
              <w:rPr>
                <w:sz w:val="24"/>
              </w:rPr>
              <w:t>11</w:t>
            </w:r>
            <w:r w:rsidRPr="00AF05D4">
              <w:rPr>
                <w:sz w:val="24"/>
              </w:rPr>
              <w:t>月</w:t>
            </w:r>
            <w:r w:rsidRPr="00AF05D4">
              <w:rPr>
                <w:sz w:val="24"/>
              </w:rPr>
              <w:t>9</w:t>
            </w:r>
            <w:r w:rsidRPr="00AF05D4">
              <w:rPr>
                <w:sz w:val="24"/>
              </w:rPr>
              <w:t>日</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基金管理人</w:t>
            </w:r>
          </w:p>
        </w:tc>
        <w:tc>
          <w:tcPr>
            <w:tcW w:w="5879" w:type="dxa"/>
            <w:vAlign w:val="center"/>
          </w:tcPr>
          <w:p w:rsidR="0040762F" w:rsidRPr="00AF05D4" w:rsidRDefault="0040762F" w:rsidP="00AF05D4">
            <w:pPr>
              <w:spacing w:before="29" w:line="288" w:lineRule="auto"/>
              <w:jc w:val="center"/>
              <w:rPr>
                <w:sz w:val="24"/>
              </w:rPr>
            </w:pPr>
            <w:r w:rsidRPr="00AF05D4">
              <w:rPr>
                <w:sz w:val="24"/>
              </w:rPr>
              <w:t>交银施罗德基金管理有限公司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基金托管人</w:t>
            </w:r>
          </w:p>
        </w:tc>
        <w:tc>
          <w:tcPr>
            <w:tcW w:w="5879" w:type="dxa"/>
            <w:vAlign w:val="center"/>
          </w:tcPr>
          <w:p w:rsidR="0040762F" w:rsidRPr="00AF05D4" w:rsidRDefault="0040762F" w:rsidP="00AF05D4">
            <w:pPr>
              <w:spacing w:before="29" w:line="288" w:lineRule="auto"/>
              <w:jc w:val="center"/>
              <w:rPr>
                <w:sz w:val="24"/>
              </w:rPr>
            </w:pPr>
            <w:r w:rsidRPr="00AF05D4">
              <w:rPr>
                <w:sz w:val="24"/>
              </w:rPr>
              <w:t>中信银行股份有限公司</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报告期末基金份额总额</w:t>
            </w:r>
          </w:p>
        </w:tc>
        <w:tc>
          <w:tcPr>
            <w:tcW w:w="5879" w:type="dxa"/>
            <w:vAlign w:val="center"/>
          </w:tcPr>
          <w:p w:rsidR="0040762F" w:rsidRPr="00AF05D4" w:rsidRDefault="0040762F" w:rsidP="00AF05D4">
            <w:pPr>
              <w:spacing w:before="29" w:line="288" w:lineRule="auto"/>
              <w:jc w:val="center"/>
              <w:rPr>
                <w:sz w:val="24"/>
              </w:rPr>
            </w:pPr>
            <w:r w:rsidRPr="00AF05D4">
              <w:rPr>
                <w:sz w:val="24"/>
              </w:rPr>
              <w:t>53,688,629.82</w:t>
            </w:r>
            <w:r w:rsidRPr="00AF05D4">
              <w:rPr>
                <w:rFonts w:hint="eastAsia"/>
                <w:sz w:val="24"/>
              </w:rPr>
              <w:t>份</w:t>
            </w:r>
          </w:p>
        </w:tc>
      </w:tr>
      <w:tr w:rsidR="0040762F" w:rsidRPr="00C51C77" w:rsidTr="00961313">
        <w:tc>
          <w:tcPr>
            <w:tcW w:w="3119" w:type="dxa"/>
            <w:vAlign w:val="center"/>
          </w:tcPr>
          <w:p w:rsidR="0040762F" w:rsidRPr="00475872" w:rsidRDefault="0040762F" w:rsidP="00475872">
            <w:pPr>
              <w:spacing w:before="29" w:line="288" w:lineRule="auto"/>
              <w:rPr>
                <w:sz w:val="24"/>
              </w:rPr>
            </w:pPr>
            <w:r w:rsidRPr="00475872">
              <w:rPr>
                <w:rFonts w:hint="eastAsia"/>
                <w:sz w:val="24"/>
              </w:rPr>
              <w:t>基金合同存续期</w:t>
            </w:r>
          </w:p>
        </w:tc>
        <w:tc>
          <w:tcPr>
            <w:tcW w:w="5879" w:type="dxa"/>
            <w:vAlign w:val="center"/>
          </w:tcPr>
          <w:p w:rsidR="0040762F" w:rsidRPr="00AF05D4" w:rsidRDefault="0040762F" w:rsidP="00AF05D4">
            <w:pPr>
              <w:spacing w:before="29" w:line="288" w:lineRule="auto"/>
              <w:jc w:val="center"/>
              <w:rPr>
                <w:sz w:val="24"/>
              </w:rPr>
            </w:pPr>
            <w:r w:rsidRPr="00AF05D4">
              <w:rPr>
                <w:sz w:val="24"/>
              </w:rPr>
              <w:t>不定期</w:t>
            </w:r>
          </w:p>
        </w:tc>
      </w:tr>
    </w:tbl>
    <w:p w:rsidR="00FF7B7E" w:rsidRPr="00F017B1" w:rsidRDefault="00FF7B7E" w:rsidP="00F017B1">
      <w:pPr>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8" w:name="_Toc361324846"/>
      <w:r w:rsidRPr="00701155">
        <w:rPr>
          <w:rFonts w:ascii="Times New Roman" w:hAnsi="Times New Roman"/>
          <w:kern w:val="0"/>
          <w:szCs w:val="24"/>
        </w:rPr>
        <w:t xml:space="preserve">2.2 </w:t>
      </w:r>
      <w:r w:rsidRPr="00701155">
        <w:rPr>
          <w:rFonts w:ascii="Times New Roman" w:hAnsi="Times New Roman" w:hint="eastAsia"/>
          <w:kern w:val="0"/>
          <w:szCs w:val="24"/>
        </w:rPr>
        <w:t>基金产品说明</w:t>
      </w:r>
      <w:bookmarkEnd w:id="8"/>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000"/>
        <w:gridCol w:w="5998"/>
      </w:tblGrid>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投资目标</w:t>
            </w:r>
          </w:p>
        </w:tc>
        <w:tc>
          <w:tcPr>
            <w:tcW w:w="5998" w:type="dxa"/>
            <w:vAlign w:val="center"/>
          </w:tcPr>
          <w:p w:rsidR="001A59F9" w:rsidRPr="00A57672" w:rsidRDefault="001A59F9" w:rsidP="00A57672">
            <w:pPr>
              <w:spacing w:before="29" w:line="288" w:lineRule="auto"/>
              <w:rPr>
                <w:sz w:val="24"/>
              </w:rPr>
            </w:pPr>
            <w:r w:rsidRPr="00A57672">
              <w:rPr>
                <w:sz w:val="24"/>
              </w:rPr>
              <w:t>在有效控制风险的前提下</w:t>
            </w:r>
            <w:r w:rsidRPr="00A57672">
              <w:rPr>
                <w:sz w:val="24"/>
              </w:rPr>
              <w:t>,</w:t>
            </w:r>
            <w:r w:rsidRPr="00A57672">
              <w:rPr>
                <w:sz w:val="24"/>
              </w:rPr>
              <w:t>力求获得高于业绩基准的投资收益。</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投资策略</w:t>
            </w:r>
          </w:p>
        </w:tc>
        <w:tc>
          <w:tcPr>
            <w:tcW w:w="5998" w:type="dxa"/>
            <w:vAlign w:val="center"/>
          </w:tcPr>
          <w:p w:rsidR="007C483C" w:rsidRDefault="007F41B2">
            <w:pPr>
              <w:spacing w:before="29" w:line="288" w:lineRule="auto"/>
              <w:rPr>
                <w:sz w:val="24"/>
              </w:rPr>
            </w:pPr>
            <w:r>
              <w:rPr>
                <w:sz w:val="24"/>
              </w:rPr>
              <w:t>封闭期内投资策略：本基金充分发挥基金管理人的研究优势，融合规范化的基本面研究和严谨的信用分析，在分析和判断宏观经济运行状况和金融市场运行趋势的基础上，充分利用封闭式运作优势，以买入持有和杠杆套息等为基本投资策略，获取稳定收益；同时，本基金将严格控制信用风险，在严谨深入的信用分析基础上，综合考量信用债券的信用评级，以及各类债券的流动性、供求关系和收益率水平等，自下而上精选投资标的。</w:t>
            </w:r>
          </w:p>
          <w:p w:rsidR="007C483C" w:rsidRDefault="007C483C">
            <w:pPr>
              <w:spacing w:before="29" w:line="288" w:lineRule="auto"/>
              <w:rPr>
                <w:sz w:val="24"/>
              </w:rPr>
            </w:pPr>
          </w:p>
          <w:p w:rsidR="001A59F9" w:rsidRPr="00A57672" w:rsidRDefault="001A59F9" w:rsidP="00A57672">
            <w:pPr>
              <w:spacing w:before="29" w:line="288" w:lineRule="auto"/>
              <w:rPr>
                <w:sz w:val="24"/>
              </w:rPr>
            </w:pPr>
            <w:r w:rsidRPr="00A57672">
              <w:rPr>
                <w:sz w:val="24"/>
              </w:rPr>
              <w:t>开放期内投资策略：本基金充分发挥基金管理人的研究优势，融合规范化的基本面研究和严谨的信用分析，在分析和判断宏观经济运行状况和金融市场运行趋势的基础上，动态调整大类金融资产比例，自上而下决定类属资产配置和债券组合久期、期限结构；在严谨深入的信用分析基础上，综合考量信用债券的信用评级，以及各类债券的流动性、供求关系和收益率水平等，自下而上精选投资标的。</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lastRenderedPageBreak/>
              <w:t>业绩比较基准</w:t>
            </w:r>
          </w:p>
        </w:tc>
        <w:tc>
          <w:tcPr>
            <w:tcW w:w="5998" w:type="dxa"/>
            <w:vAlign w:val="center"/>
          </w:tcPr>
          <w:p w:rsidR="007C483C" w:rsidRDefault="007F41B2">
            <w:pPr>
              <w:spacing w:before="29" w:line="288" w:lineRule="auto"/>
              <w:rPr>
                <w:sz w:val="24"/>
              </w:rPr>
            </w:pPr>
            <w:r>
              <w:rPr>
                <w:sz w:val="24"/>
              </w:rPr>
              <w:t>封闭期内业绩比较基准：两年期银行定期存款税后收益率</w:t>
            </w:r>
            <w:r>
              <w:rPr>
                <w:sz w:val="24"/>
              </w:rPr>
              <w:t>+1.25%</w:t>
            </w:r>
          </w:p>
          <w:p w:rsidR="001A59F9" w:rsidRPr="00A57672" w:rsidRDefault="001A59F9" w:rsidP="00A57672">
            <w:pPr>
              <w:spacing w:before="29" w:line="288" w:lineRule="auto"/>
              <w:rPr>
                <w:sz w:val="24"/>
              </w:rPr>
            </w:pPr>
            <w:r w:rsidRPr="00A57672">
              <w:rPr>
                <w:sz w:val="24"/>
              </w:rPr>
              <w:t>开放期内业绩比较基准：中债综合全价指数</w:t>
            </w:r>
          </w:p>
        </w:tc>
      </w:tr>
      <w:tr w:rsidR="001A59F9" w:rsidRPr="00C51C77" w:rsidTr="00961313">
        <w:tc>
          <w:tcPr>
            <w:tcW w:w="3000" w:type="dxa"/>
            <w:vAlign w:val="center"/>
          </w:tcPr>
          <w:p w:rsidR="001A59F9" w:rsidRPr="00475872" w:rsidRDefault="001A59F9" w:rsidP="00475872">
            <w:pPr>
              <w:spacing w:before="29" w:line="288" w:lineRule="auto"/>
              <w:rPr>
                <w:sz w:val="24"/>
              </w:rPr>
            </w:pPr>
            <w:r w:rsidRPr="00475872">
              <w:rPr>
                <w:rFonts w:hint="eastAsia"/>
                <w:sz w:val="24"/>
              </w:rPr>
              <w:t>风险收益特征</w:t>
            </w:r>
          </w:p>
        </w:tc>
        <w:tc>
          <w:tcPr>
            <w:tcW w:w="5998" w:type="dxa"/>
            <w:vAlign w:val="center"/>
          </w:tcPr>
          <w:p w:rsidR="001A59F9" w:rsidRPr="00A57672" w:rsidRDefault="001A59F9" w:rsidP="00A57672">
            <w:pPr>
              <w:spacing w:before="29" w:line="288" w:lineRule="auto"/>
              <w:rPr>
                <w:sz w:val="24"/>
              </w:rPr>
            </w:pPr>
            <w:r w:rsidRPr="00A57672">
              <w:rPr>
                <w:sz w:val="24"/>
              </w:rPr>
              <w:t>本基金是一只债券型基金，其风险与预期收益高于货币市场基金，低于混合型基金和股票型基金，属于证券投资基金中中等风险的品种。</w:t>
            </w:r>
          </w:p>
        </w:tc>
      </w:tr>
    </w:tbl>
    <w:p w:rsidR="000F6F95" w:rsidRPr="001A20CE" w:rsidRDefault="000F6F95" w:rsidP="001A20CE">
      <w:pPr>
        <w:tabs>
          <w:tab w:val="left" w:pos="426"/>
        </w:tabs>
        <w:spacing w:before="29" w:line="288" w:lineRule="auto"/>
        <w:jc w:val="left"/>
        <w:rPr>
          <w:kern w:val="0"/>
          <w:sz w:val="24"/>
        </w:rPr>
      </w:pPr>
    </w:p>
    <w:p w:rsidR="001A59F9" w:rsidRPr="00701155" w:rsidRDefault="001A59F9" w:rsidP="00701155">
      <w:pPr>
        <w:pStyle w:val="20"/>
        <w:spacing w:before="29" w:after="0" w:line="288" w:lineRule="auto"/>
        <w:rPr>
          <w:rFonts w:ascii="Times New Roman" w:hAnsi="Times New Roman"/>
          <w:kern w:val="0"/>
          <w:szCs w:val="24"/>
        </w:rPr>
      </w:pPr>
      <w:bookmarkStart w:id="9" w:name="_Toc225498247"/>
      <w:bookmarkStart w:id="10" w:name="_Toc361324847"/>
      <w:r w:rsidRPr="00701155">
        <w:rPr>
          <w:rFonts w:ascii="Times New Roman" w:hAnsi="Times New Roman"/>
          <w:kern w:val="0"/>
          <w:szCs w:val="24"/>
        </w:rPr>
        <w:t xml:space="preserve">2.3 </w:t>
      </w:r>
      <w:r w:rsidRPr="00701155">
        <w:rPr>
          <w:rFonts w:ascii="Times New Roman" w:hAnsi="Times New Roman" w:hint="eastAsia"/>
          <w:kern w:val="0"/>
          <w:szCs w:val="24"/>
        </w:rPr>
        <w:t>基金管理人和基金托管人</w:t>
      </w:r>
      <w:bookmarkEnd w:id="9"/>
      <w:bookmarkEnd w:id="10"/>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3118"/>
        <w:gridCol w:w="3328"/>
      </w:tblGrid>
      <w:tr w:rsidR="001A59F9" w:rsidRPr="00C51C77" w:rsidTr="00961313">
        <w:tc>
          <w:tcPr>
            <w:tcW w:w="2552" w:type="dxa"/>
            <w:gridSpan w:val="2"/>
            <w:vAlign w:val="center"/>
          </w:tcPr>
          <w:p w:rsidR="001A59F9" w:rsidRPr="00475872" w:rsidRDefault="001A59F9" w:rsidP="00475872">
            <w:pPr>
              <w:spacing w:before="29" w:line="288" w:lineRule="auto"/>
              <w:jc w:val="center"/>
              <w:rPr>
                <w:sz w:val="24"/>
              </w:rPr>
            </w:pPr>
            <w:r w:rsidRPr="00475872">
              <w:rPr>
                <w:rFonts w:hint="eastAsia"/>
                <w:sz w:val="24"/>
              </w:rPr>
              <w:t>项目</w:t>
            </w:r>
          </w:p>
        </w:tc>
        <w:tc>
          <w:tcPr>
            <w:tcW w:w="3118" w:type="dxa"/>
            <w:vAlign w:val="center"/>
          </w:tcPr>
          <w:p w:rsidR="001A59F9" w:rsidRPr="00475872" w:rsidRDefault="001A59F9" w:rsidP="00475872">
            <w:pPr>
              <w:spacing w:line="288" w:lineRule="auto"/>
              <w:jc w:val="center"/>
              <w:rPr>
                <w:sz w:val="24"/>
              </w:rPr>
            </w:pPr>
            <w:r w:rsidRPr="00475872">
              <w:rPr>
                <w:rFonts w:hint="eastAsia"/>
                <w:sz w:val="24"/>
              </w:rPr>
              <w:t>基金管理人</w:t>
            </w:r>
          </w:p>
        </w:tc>
        <w:tc>
          <w:tcPr>
            <w:tcW w:w="3328" w:type="dxa"/>
            <w:vAlign w:val="center"/>
          </w:tcPr>
          <w:p w:rsidR="001A59F9" w:rsidRPr="00475872" w:rsidRDefault="001A59F9" w:rsidP="00475872">
            <w:pPr>
              <w:spacing w:line="288" w:lineRule="auto"/>
              <w:jc w:val="center"/>
              <w:rPr>
                <w:sz w:val="24"/>
              </w:rPr>
            </w:pPr>
            <w:r w:rsidRPr="00475872">
              <w:rPr>
                <w:rFonts w:hint="eastAsia"/>
                <w:sz w:val="24"/>
              </w:rPr>
              <w:t>基金托管人</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名称</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交银施罗德基金管理有限公司</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中信银行股份有限公司</w:t>
            </w:r>
          </w:p>
        </w:tc>
      </w:tr>
      <w:tr w:rsidR="001A59F9" w:rsidRPr="00C51C77" w:rsidTr="00961313">
        <w:tc>
          <w:tcPr>
            <w:tcW w:w="1276" w:type="dxa"/>
            <w:vMerge w:val="restart"/>
            <w:vAlign w:val="center"/>
          </w:tcPr>
          <w:p w:rsidR="001A59F9" w:rsidRPr="00475872" w:rsidRDefault="001A59F9" w:rsidP="00475872">
            <w:pPr>
              <w:spacing w:before="29" w:line="288" w:lineRule="auto"/>
              <w:rPr>
                <w:sz w:val="24"/>
              </w:rPr>
            </w:pPr>
            <w:r w:rsidRPr="00475872">
              <w:rPr>
                <w:rFonts w:hint="eastAsia"/>
                <w:sz w:val="24"/>
              </w:rPr>
              <w:t>信息披露负责人</w:t>
            </w:r>
          </w:p>
        </w:tc>
        <w:tc>
          <w:tcPr>
            <w:tcW w:w="1276" w:type="dxa"/>
            <w:vAlign w:val="center"/>
          </w:tcPr>
          <w:p w:rsidR="001A59F9" w:rsidRPr="00475872" w:rsidRDefault="001A59F9" w:rsidP="00475872">
            <w:pPr>
              <w:spacing w:line="288" w:lineRule="auto"/>
              <w:jc w:val="center"/>
              <w:rPr>
                <w:sz w:val="24"/>
              </w:rPr>
            </w:pPr>
            <w:r w:rsidRPr="00475872">
              <w:rPr>
                <w:rFonts w:hint="eastAsia"/>
                <w:sz w:val="24"/>
              </w:rPr>
              <w:t>姓名</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王晚婷</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李修滨</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联系电话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4006800000</w:t>
            </w:r>
          </w:p>
        </w:tc>
      </w:tr>
      <w:tr w:rsidR="001A59F9" w:rsidRPr="00C51C77" w:rsidTr="00961313">
        <w:tc>
          <w:tcPr>
            <w:tcW w:w="1276" w:type="dxa"/>
            <w:vMerge/>
            <w:vAlign w:val="center"/>
          </w:tcPr>
          <w:p w:rsidR="001A59F9" w:rsidRPr="00475872" w:rsidRDefault="001A59F9" w:rsidP="00475872">
            <w:pPr>
              <w:spacing w:before="29" w:line="288" w:lineRule="auto"/>
              <w:rPr>
                <w:sz w:val="24"/>
              </w:rPr>
            </w:pPr>
          </w:p>
        </w:tc>
        <w:tc>
          <w:tcPr>
            <w:tcW w:w="1276" w:type="dxa"/>
            <w:vAlign w:val="center"/>
          </w:tcPr>
          <w:p w:rsidR="001A59F9" w:rsidRPr="00475872" w:rsidRDefault="001A59F9" w:rsidP="00475872">
            <w:pPr>
              <w:autoSpaceDE w:val="0"/>
              <w:autoSpaceDN w:val="0"/>
              <w:adjustRightInd w:val="0"/>
              <w:spacing w:before="29" w:line="288" w:lineRule="auto"/>
              <w:ind w:left="15"/>
              <w:rPr>
                <w:sz w:val="24"/>
              </w:rPr>
            </w:pPr>
            <w:r w:rsidRPr="00475872">
              <w:rPr>
                <w:rFonts w:hint="eastAsia"/>
                <w:sz w:val="24"/>
              </w:rPr>
              <w:t>电子邮箱</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xxpl@jysld.com,disclosure@jysld.com</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lixiubin@citicbank.com</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客户服务电话</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400-700-5000</w:t>
            </w:r>
            <w:r w:rsidRPr="00A57672">
              <w:rPr>
                <w:color w:val="000000"/>
                <w:kern w:val="0"/>
                <w:sz w:val="24"/>
              </w:rPr>
              <w:t>，</w:t>
            </w:r>
            <w:r w:rsidRPr="00A57672">
              <w:rPr>
                <w:color w:val="000000"/>
                <w:kern w:val="0"/>
                <w:sz w:val="24"/>
              </w:rPr>
              <w:t>021-61055000</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95558</w:t>
            </w:r>
          </w:p>
        </w:tc>
      </w:tr>
      <w:tr w:rsidR="001A59F9" w:rsidRPr="00C51C77" w:rsidTr="00961313">
        <w:tc>
          <w:tcPr>
            <w:tcW w:w="2552" w:type="dxa"/>
            <w:gridSpan w:val="2"/>
            <w:vAlign w:val="center"/>
          </w:tcPr>
          <w:p w:rsidR="001A59F9" w:rsidRPr="00475872" w:rsidRDefault="001A59F9" w:rsidP="00475872">
            <w:pPr>
              <w:spacing w:before="29" w:line="288" w:lineRule="auto"/>
              <w:rPr>
                <w:sz w:val="24"/>
              </w:rPr>
            </w:pPr>
            <w:r w:rsidRPr="00475872">
              <w:rPr>
                <w:rFonts w:hint="eastAsia"/>
                <w:sz w:val="24"/>
              </w:rPr>
              <w:t>传真</w:t>
            </w:r>
          </w:p>
        </w:tc>
        <w:tc>
          <w:tcPr>
            <w:tcW w:w="311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w:t>
            </w:r>
            <w:r w:rsidRPr="00A57672">
              <w:rPr>
                <w:color w:val="000000"/>
                <w:kern w:val="0"/>
                <w:sz w:val="24"/>
              </w:rPr>
              <w:t>021</w:t>
            </w:r>
            <w:r w:rsidRPr="00A57672">
              <w:rPr>
                <w:color w:val="000000"/>
                <w:kern w:val="0"/>
                <w:sz w:val="24"/>
              </w:rPr>
              <w:t>）</w:t>
            </w:r>
            <w:r w:rsidRPr="00A57672">
              <w:rPr>
                <w:color w:val="000000"/>
                <w:kern w:val="0"/>
                <w:sz w:val="24"/>
              </w:rPr>
              <w:t>61055054</w:t>
            </w:r>
          </w:p>
        </w:tc>
        <w:tc>
          <w:tcPr>
            <w:tcW w:w="3328" w:type="dxa"/>
            <w:vAlign w:val="center"/>
          </w:tcPr>
          <w:p w:rsidR="001A59F9" w:rsidRPr="00A57672" w:rsidRDefault="001A59F9" w:rsidP="00A57672">
            <w:pPr>
              <w:autoSpaceDE w:val="0"/>
              <w:autoSpaceDN w:val="0"/>
              <w:adjustRightInd w:val="0"/>
              <w:spacing w:before="29" w:line="288" w:lineRule="auto"/>
              <w:ind w:left="15"/>
              <w:jc w:val="center"/>
              <w:rPr>
                <w:color w:val="000000"/>
                <w:kern w:val="0"/>
                <w:sz w:val="24"/>
              </w:rPr>
            </w:pPr>
            <w:r w:rsidRPr="00A57672">
              <w:rPr>
                <w:color w:val="000000"/>
                <w:kern w:val="0"/>
                <w:sz w:val="24"/>
              </w:rPr>
              <w:t>010-85230024</w:t>
            </w:r>
          </w:p>
        </w:tc>
      </w:tr>
    </w:tbl>
    <w:p w:rsidR="001A59F9" w:rsidRPr="00C51C77" w:rsidRDefault="001A59F9" w:rsidP="00026C9C">
      <w:pPr>
        <w:tabs>
          <w:tab w:val="left" w:pos="1740"/>
        </w:tabs>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1" w:name="_Toc225498248"/>
      <w:bookmarkStart w:id="12" w:name="_Toc361324848"/>
      <w:r w:rsidRPr="00701155">
        <w:rPr>
          <w:rFonts w:ascii="Times New Roman" w:hAnsi="Times New Roman"/>
          <w:kern w:val="0"/>
          <w:szCs w:val="24"/>
        </w:rPr>
        <w:t xml:space="preserve">2.4 </w:t>
      </w:r>
      <w:r w:rsidRPr="00701155">
        <w:rPr>
          <w:rFonts w:ascii="Times New Roman" w:hAnsi="Times New Roman" w:hint="eastAsia"/>
          <w:kern w:val="0"/>
          <w:szCs w:val="24"/>
        </w:rPr>
        <w:t>信息披露方式</w:t>
      </w:r>
      <w:bookmarkEnd w:id="11"/>
      <w:bookmarkEnd w:id="12"/>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499"/>
        <w:gridCol w:w="4499"/>
      </w:tblGrid>
      <w:tr w:rsidR="001A59F9" w:rsidRPr="00C51C77" w:rsidTr="00E75ED1">
        <w:tc>
          <w:tcPr>
            <w:tcW w:w="3459" w:type="dxa"/>
            <w:vAlign w:val="center"/>
          </w:tcPr>
          <w:p w:rsidR="001A59F9" w:rsidRPr="009A3C12" w:rsidRDefault="00963D03" w:rsidP="009A3C12">
            <w:pPr>
              <w:autoSpaceDE w:val="0"/>
              <w:autoSpaceDN w:val="0"/>
              <w:adjustRightInd w:val="0"/>
              <w:spacing w:before="29" w:line="288" w:lineRule="auto"/>
              <w:ind w:left="15"/>
              <w:jc w:val="left"/>
              <w:rPr>
                <w:kern w:val="0"/>
                <w:sz w:val="24"/>
              </w:rPr>
            </w:pPr>
            <w:r w:rsidRPr="009A3C12">
              <w:rPr>
                <w:rFonts w:hint="eastAsia"/>
                <w:kern w:val="0"/>
                <w:sz w:val="24"/>
              </w:rPr>
              <w:t>登载基金年度报告</w:t>
            </w:r>
            <w:r w:rsidR="00AB0828">
              <w:rPr>
                <w:rFonts w:hint="eastAsia"/>
                <w:color w:val="000000"/>
                <w:sz w:val="24"/>
              </w:rPr>
              <w:t>正文</w:t>
            </w:r>
            <w:r w:rsidR="001A59F9" w:rsidRPr="009A3C12">
              <w:rPr>
                <w:rFonts w:hint="eastAsia"/>
                <w:kern w:val="0"/>
                <w:sz w:val="24"/>
              </w:rPr>
              <w:t>的管理人互联网网址</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www.fund001.com</w:t>
            </w:r>
            <w:r w:rsidRPr="00A57672">
              <w:rPr>
                <w:color w:val="000000"/>
                <w:sz w:val="24"/>
              </w:rPr>
              <w:t>，</w:t>
            </w:r>
            <w:r w:rsidRPr="00A57672">
              <w:rPr>
                <w:color w:val="000000"/>
                <w:sz w:val="24"/>
              </w:rPr>
              <w:t>www.bocomschroder.com</w:t>
            </w:r>
          </w:p>
        </w:tc>
      </w:tr>
      <w:tr w:rsidR="001A59F9" w:rsidRPr="00C51C77" w:rsidTr="00E75ED1">
        <w:tc>
          <w:tcPr>
            <w:tcW w:w="3459" w:type="dxa"/>
            <w:vAlign w:val="center"/>
          </w:tcPr>
          <w:p w:rsidR="001A59F9" w:rsidRPr="009A3C12" w:rsidRDefault="001A59F9" w:rsidP="009A3C12">
            <w:pPr>
              <w:autoSpaceDE w:val="0"/>
              <w:autoSpaceDN w:val="0"/>
              <w:adjustRightInd w:val="0"/>
              <w:spacing w:before="29" w:line="288" w:lineRule="auto"/>
              <w:ind w:left="15"/>
              <w:jc w:val="left"/>
              <w:rPr>
                <w:kern w:val="0"/>
                <w:sz w:val="24"/>
              </w:rPr>
            </w:pPr>
            <w:r w:rsidRPr="009A3C12">
              <w:rPr>
                <w:rFonts w:hint="eastAsia"/>
                <w:kern w:val="0"/>
                <w:sz w:val="24"/>
              </w:rPr>
              <w:t>基金年度报告备置地点</w:t>
            </w:r>
          </w:p>
        </w:tc>
        <w:tc>
          <w:tcPr>
            <w:tcW w:w="3459" w:type="dxa"/>
            <w:vAlign w:val="center"/>
          </w:tcPr>
          <w:p w:rsidR="001A59F9" w:rsidRPr="00A57672" w:rsidRDefault="001A59F9" w:rsidP="00A57672">
            <w:pPr>
              <w:tabs>
                <w:tab w:val="left" w:pos="1740"/>
              </w:tabs>
              <w:spacing w:before="29" w:line="288" w:lineRule="auto"/>
              <w:rPr>
                <w:color w:val="000000"/>
                <w:sz w:val="24"/>
              </w:rPr>
            </w:pPr>
            <w:r w:rsidRPr="00A57672">
              <w:rPr>
                <w:color w:val="000000"/>
                <w:sz w:val="24"/>
              </w:rPr>
              <w:t>基金管理人的办公场所</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13" w:name="_Toc225498250"/>
      <w:bookmarkStart w:id="14" w:name="_Toc361324850"/>
      <w:bookmarkStart w:id="15" w:name="_Toc194312019"/>
      <w:bookmarkStart w:id="16" w:name="_Toc193947512"/>
      <w:r w:rsidRPr="0021360C">
        <w:rPr>
          <w:rFonts w:hint="eastAsia"/>
          <w:b/>
          <w:bCs/>
          <w:szCs w:val="24"/>
          <w:lang w:val="en-US"/>
        </w:rPr>
        <w:t>§</w:t>
      </w:r>
      <w:r w:rsidRPr="0021360C">
        <w:rPr>
          <w:b/>
          <w:bCs/>
          <w:szCs w:val="24"/>
          <w:lang w:val="en-US"/>
        </w:rPr>
        <w:t xml:space="preserve">3 </w:t>
      </w:r>
      <w:r w:rsidR="009153A3" w:rsidRPr="0021360C">
        <w:rPr>
          <w:rFonts w:hint="eastAsia"/>
          <w:b/>
          <w:bCs/>
          <w:szCs w:val="24"/>
          <w:lang w:val="en-US"/>
        </w:rPr>
        <w:t xml:space="preserve"> </w:t>
      </w:r>
      <w:r w:rsidRPr="0021360C">
        <w:rPr>
          <w:rFonts w:hint="eastAsia"/>
          <w:b/>
          <w:bCs/>
          <w:szCs w:val="24"/>
          <w:lang w:val="en-US"/>
        </w:rPr>
        <w:t>主要财务指标、基金净值表现</w:t>
      </w:r>
      <w:bookmarkEnd w:id="13"/>
      <w:r w:rsidRPr="0021360C">
        <w:rPr>
          <w:rFonts w:hint="eastAsia"/>
          <w:b/>
          <w:bCs/>
          <w:szCs w:val="24"/>
          <w:lang w:val="en-US"/>
        </w:rPr>
        <w:t>及利润分配情况</w:t>
      </w:r>
      <w:bookmarkEnd w:id="1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17" w:name="_Toc286996129"/>
      <w:bookmarkStart w:id="18" w:name="_Toc361324851"/>
      <w:r w:rsidRPr="00701155">
        <w:rPr>
          <w:rFonts w:ascii="Times New Roman" w:hAnsi="Times New Roman"/>
          <w:kern w:val="0"/>
          <w:szCs w:val="24"/>
        </w:rPr>
        <w:t xml:space="preserve">3.1 </w:t>
      </w:r>
      <w:r w:rsidRPr="00701155">
        <w:rPr>
          <w:rFonts w:ascii="Times New Roman" w:hAnsi="Times New Roman" w:hint="eastAsia"/>
          <w:kern w:val="0"/>
          <w:szCs w:val="24"/>
        </w:rPr>
        <w:t>主要会计数据和财务指标</w:t>
      </w:r>
      <w:bookmarkEnd w:id="17"/>
      <w:bookmarkEnd w:id="18"/>
    </w:p>
    <w:p w:rsidR="001A59F9" w:rsidRPr="00A6320B" w:rsidRDefault="001A59F9" w:rsidP="00A6320B">
      <w:pPr>
        <w:autoSpaceDE w:val="0"/>
        <w:autoSpaceDN w:val="0"/>
        <w:adjustRightInd w:val="0"/>
        <w:spacing w:before="29" w:line="288" w:lineRule="auto"/>
        <w:ind w:left="15"/>
        <w:jc w:val="right"/>
        <w:rPr>
          <w:color w:val="000000"/>
          <w:kern w:val="0"/>
          <w:sz w:val="24"/>
        </w:rPr>
      </w:pPr>
      <w:r w:rsidRPr="00A6320B">
        <w:rPr>
          <w:rFonts w:hint="eastAsia"/>
          <w:color w:val="000000"/>
          <w:kern w:val="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50"/>
        <w:gridCol w:w="2286"/>
        <w:gridCol w:w="2268"/>
        <w:gridCol w:w="2194"/>
      </w:tblGrid>
      <w:tr w:rsidR="00501A91" w:rsidRPr="00931B45" w:rsidTr="00A6320B">
        <w:trPr>
          <w:trHeight w:val="487"/>
        </w:trPr>
        <w:tc>
          <w:tcPr>
            <w:tcW w:w="2250" w:type="dxa"/>
            <w:vAlign w:val="center"/>
          </w:tcPr>
          <w:bookmarkEnd w:id="15"/>
          <w:bookmarkEnd w:id="16"/>
          <w:p w:rsidR="00501A91" w:rsidRPr="00931B45" w:rsidRDefault="00501A91" w:rsidP="00D415F5">
            <w:pPr>
              <w:spacing w:before="29" w:line="288" w:lineRule="auto"/>
              <w:rPr>
                <w:b/>
                <w:szCs w:val="21"/>
              </w:rPr>
            </w:pPr>
            <w:r w:rsidRPr="00931B45">
              <w:rPr>
                <w:b/>
                <w:szCs w:val="21"/>
              </w:rPr>
              <w:t xml:space="preserve">3.1.1 </w:t>
            </w:r>
            <w:r w:rsidRPr="00931B45">
              <w:rPr>
                <w:rFonts w:hint="eastAsia"/>
                <w:b/>
                <w:szCs w:val="21"/>
              </w:rPr>
              <w:t>期间数据和指标</w:t>
            </w:r>
          </w:p>
        </w:tc>
        <w:tc>
          <w:tcPr>
            <w:tcW w:w="2286" w:type="dxa"/>
            <w:vAlign w:val="center"/>
          </w:tcPr>
          <w:p w:rsidR="00501A91" w:rsidRPr="00931B45" w:rsidRDefault="00501A91" w:rsidP="00D415F5">
            <w:pPr>
              <w:spacing w:before="29" w:line="288" w:lineRule="auto"/>
              <w:jc w:val="center"/>
              <w:rPr>
                <w:b/>
                <w:szCs w:val="21"/>
              </w:rPr>
            </w:pPr>
            <w:r w:rsidRPr="00931B45">
              <w:rPr>
                <w:b/>
                <w:szCs w:val="21"/>
              </w:rPr>
              <w:t>2017</w:t>
            </w:r>
            <w:r w:rsidRPr="00931B45">
              <w:rPr>
                <w:b/>
                <w:szCs w:val="21"/>
              </w:rPr>
              <w:t>年</w:t>
            </w:r>
          </w:p>
        </w:tc>
        <w:tc>
          <w:tcPr>
            <w:tcW w:w="2268" w:type="dxa"/>
            <w:vAlign w:val="center"/>
          </w:tcPr>
          <w:p w:rsidR="00501A91" w:rsidRPr="00931B45" w:rsidRDefault="00501A91" w:rsidP="00D415F5">
            <w:pPr>
              <w:spacing w:before="29" w:line="288" w:lineRule="auto"/>
              <w:jc w:val="center"/>
              <w:rPr>
                <w:b/>
                <w:szCs w:val="21"/>
              </w:rPr>
            </w:pPr>
            <w:r w:rsidRPr="00931B45">
              <w:rPr>
                <w:b/>
                <w:szCs w:val="21"/>
              </w:rPr>
              <w:t>2016</w:t>
            </w:r>
            <w:r w:rsidRPr="00931B45">
              <w:rPr>
                <w:b/>
                <w:szCs w:val="21"/>
              </w:rPr>
              <w:t>年</w:t>
            </w:r>
          </w:p>
        </w:tc>
        <w:tc>
          <w:tcPr>
            <w:tcW w:w="2194" w:type="dxa"/>
            <w:vAlign w:val="center"/>
          </w:tcPr>
          <w:p w:rsidR="00501A91" w:rsidRPr="00931B45" w:rsidRDefault="00501A91" w:rsidP="00D415F5">
            <w:pPr>
              <w:spacing w:before="29" w:line="288" w:lineRule="auto"/>
              <w:jc w:val="center"/>
              <w:rPr>
                <w:b/>
                <w:szCs w:val="21"/>
              </w:rPr>
            </w:pPr>
            <w:r w:rsidRPr="00931B45">
              <w:rPr>
                <w:b/>
                <w:szCs w:val="21"/>
              </w:rPr>
              <w:t>2015</w:t>
            </w:r>
            <w:r w:rsidRPr="00931B45">
              <w:rPr>
                <w:b/>
                <w:szCs w:val="21"/>
              </w:rPr>
              <w:t>年</w:t>
            </w:r>
            <w:r w:rsidRPr="00931B45">
              <w:rPr>
                <w:b/>
                <w:szCs w:val="21"/>
              </w:rPr>
              <w:t>11</w:t>
            </w:r>
            <w:r w:rsidRPr="00931B45">
              <w:rPr>
                <w:b/>
                <w:szCs w:val="21"/>
              </w:rPr>
              <w:t>月</w:t>
            </w:r>
            <w:r w:rsidRPr="00931B45">
              <w:rPr>
                <w:b/>
                <w:szCs w:val="21"/>
              </w:rPr>
              <w:t>9</w:t>
            </w:r>
            <w:r w:rsidRPr="00931B45">
              <w:rPr>
                <w:b/>
                <w:szCs w:val="21"/>
              </w:rPr>
              <w:t>日（基金合同生效日）至</w:t>
            </w:r>
            <w:r w:rsidRPr="00931B45">
              <w:rPr>
                <w:b/>
                <w:szCs w:val="21"/>
              </w:rPr>
              <w:t>2015</w:t>
            </w:r>
            <w:r w:rsidRPr="00931B45">
              <w:rPr>
                <w:b/>
                <w:szCs w:val="21"/>
              </w:rPr>
              <w:t>年</w:t>
            </w:r>
            <w:r w:rsidRPr="00931B45">
              <w:rPr>
                <w:b/>
                <w:szCs w:val="21"/>
              </w:rPr>
              <w:t>12</w:t>
            </w:r>
            <w:r w:rsidRPr="00931B45">
              <w:rPr>
                <w:b/>
                <w:szCs w:val="21"/>
              </w:rPr>
              <w:t>月</w:t>
            </w:r>
            <w:r w:rsidRPr="00931B45">
              <w:rPr>
                <w:b/>
                <w:szCs w:val="21"/>
              </w:rPr>
              <w:t>31</w:t>
            </w:r>
            <w:r w:rsidRPr="00931B45">
              <w:rPr>
                <w:b/>
                <w:szCs w:val="21"/>
              </w:rPr>
              <w:t>日</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本期已实现收益</w:t>
            </w:r>
          </w:p>
        </w:tc>
        <w:tc>
          <w:tcPr>
            <w:tcW w:w="2286" w:type="dxa"/>
            <w:vAlign w:val="center"/>
          </w:tcPr>
          <w:p w:rsidR="00501A91" w:rsidRPr="00931B45" w:rsidRDefault="00501A91" w:rsidP="00D415F5">
            <w:pPr>
              <w:spacing w:before="29" w:line="288" w:lineRule="auto"/>
              <w:jc w:val="right"/>
              <w:rPr>
                <w:szCs w:val="21"/>
              </w:rPr>
            </w:pPr>
            <w:r w:rsidRPr="00931B45">
              <w:rPr>
                <w:szCs w:val="21"/>
              </w:rPr>
              <w:t>-251,717.62</w:t>
            </w:r>
          </w:p>
        </w:tc>
        <w:tc>
          <w:tcPr>
            <w:tcW w:w="2268" w:type="dxa"/>
            <w:vAlign w:val="center"/>
          </w:tcPr>
          <w:p w:rsidR="00501A91" w:rsidRPr="00931B45" w:rsidRDefault="00501A91" w:rsidP="00D415F5">
            <w:pPr>
              <w:spacing w:before="29" w:line="288" w:lineRule="auto"/>
              <w:jc w:val="right"/>
              <w:rPr>
                <w:szCs w:val="21"/>
              </w:rPr>
            </w:pPr>
            <w:r w:rsidRPr="00931B45">
              <w:rPr>
                <w:szCs w:val="21"/>
              </w:rPr>
              <w:t>14,727,678.37</w:t>
            </w:r>
          </w:p>
        </w:tc>
        <w:tc>
          <w:tcPr>
            <w:tcW w:w="2194" w:type="dxa"/>
            <w:vAlign w:val="center"/>
          </w:tcPr>
          <w:p w:rsidR="00501A91" w:rsidRPr="00931B45" w:rsidRDefault="00501A91" w:rsidP="00D415F5">
            <w:pPr>
              <w:spacing w:before="29" w:line="288" w:lineRule="auto"/>
              <w:jc w:val="right"/>
              <w:rPr>
                <w:szCs w:val="21"/>
              </w:rPr>
            </w:pPr>
            <w:r w:rsidRPr="00931B45">
              <w:rPr>
                <w:szCs w:val="21"/>
              </w:rPr>
              <w:t>481,980.90</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13,240,398.07</w:t>
            </w:r>
          </w:p>
        </w:tc>
        <w:tc>
          <w:tcPr>
            <w:tcW w:w="2268" w:type="dxa"/>
            <w:vAlign w:val="center"/>
          </w:tcPr>
          <w:p w:rsidR="00501A91" w:rsidRPr="00931B45" w:rsidRDefault="00501A91" w:rsidP="00D415F5">
            <w:pPr>
              <w:spacing w:before="29" w:line="288" w:lineRule="auto"/>
              <w:jc w:val="right"/>
              <w:rPr>
                <w:szCs w:val="21"/>
              </w:rPr>
            </w:pPr>
            <w:r w:rsidRPr="00931B45">
              <w:rPr>
                <w:szCs w:val="21"/>
              </w:rPr>
              <w:t>-415,505.55</w:t>
            </w:r>
          </w:p>
        </w:tc>
        <w:tc>
          <w:tcPr>
            <w:tcW w:w="2194" w:type="dxa"/>
            <w:vAlign w:val="center"/>
          </w:tcPr>
          <w:p w:rsidR="00501A91" w:rsidRPr="00931B45" w:rsidRDefault="00501A91" w:rsidP="00D415F5">
            <w:pPr>
              <w:spacing w:before="29" w:line="288" w:lineRule="auto"/>
              <w:jc w:val="right"/>
              <w:rPr>
                <w:szCs w:val="21"/>
              </w:rPr>
            </w:pPr>
            <w:r w:rsidRPr="00931B45">
              <w:rPr>
                <w:szCs w:val="21"/>
              </w:rPr>
              <w:t>2,118,787.13</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加权平均基金份额本</w:t>
            </w:r>
            <w:r w:rsidRPr="00931B45">
              <w:rPr>
                <w:rFonts w:hint="eastAsia"/>
                <w:szCs w:val="21"/>
              </w:rPr>
              <w:lastRenderedPageBreak/>
              <w:t>期利润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lastRenderedPageBreak/>
              <w:t>0.0341</w:t>
            </w:r>
          </w:p>
        </w:tc>
        <w:tc>
          <w:tcPr>
            <w:tcW w:w="2268" w:type="dxa"/>
            <w:vAlign w:val="center"/>
          </w:tcPr>
          <w:p w:rsidR="00501A91" w:rsidRPr="00931B45" w:rsidRDefault="00501A91" w:rsidP="00D415F5">
            <w:pPr>
              <w:spacing w:before="29" w:line="288" w:lineRule="auto"/>
              <w:jc w:val="right"/>
              <w:rPr>
                <w:szCs w:val="21"/>
              </w:rPr>
            </w:pPr>
            <w:r w:rsidRPr="00931B45">
              <w:rPr>
                <w:szCs w:val="21"/>
              </w:rPr>
              <w:t>-0.0009</w:t>
            </w:r>
          </w:p>
        </w:tc>
        <w:tc>
          <w:tcPr>
            <w:tcW w:w="2194" w:type="dxa"/>
            <w:vAlign w:val="center"/>
          </w:tcPr>
          <w:p w:rsidR="00501A91" w:rsidRPr="00931B45" w:rsidRDefault="00501A91" w:rsidP="00D415F5">
            <w:pPr>
              <w:spacing w:before="29" w:line="288" w:lineRule="auto"/>
              <w:jc w:val="right"/>
              <w:rPr>
                <w:szCs w:val="21"/>
              </w:rPr>
            </w:pPr>
            <w:r w:rsidRPr="00931B45">
              <w:rPr>
                <w:szCs w:val="21"/>
              </w:rPr>
              <w:t>0.0048</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本期基金份额净值增长率</w:t>
            </w:r>
          </w:p>
        </w:tc>
        <w:tc>
          <w:tcPr>
            <w:tcW w:w="2286" w:type="dxa"/>
            <w:vAlign w:val="center"/>
          </w:tcPr>
          <w:p w:rsidR="00501A91" w:rsidRPr="00931B45" w:rsidRDefault="00501A91" w:rsidP="00D415F5">
            <w:pPr>
              <w:spacing w:before="29" w:line="288" w:lineRule="auto"/>
              <w:jc w:val="right"/>
              <w:rPr>
                <w:szCs w:val="21"/>
              </w:rPr>
            </w:pPr>
            <w:r w:rsidRPr="00931B45">
              <w:rPr>
                <w:szCs w:val="21"/>
              </w:rPr>
              <w:t>3.19%</w:t>
            </w:r>
          </w:p>
        </w:tc>
        <w:tc>
          <w:tcPr>
            <w:tcW w:w="2268" w:type="dxa"/>
            <w:vAlign w:val="center"/>
          </w:tcPr>
          <w:p w:rsidR="00501A91" w:rsidRPr="00931B45" w:rsidRDefault="00501A91" w:rsidP="00D415F5">
            <w:pPr>
              <w:spacing w:before="29" w:line="288" w:lineRule="auto"/>
              <w:jc w:val="right"/>
              <w:rPr>
                <w:szCs w:val="21"/>
              </w:rPr>
            </w:pPr>
            <w:r w:rsidRPr="00931B45">
              <w:rPr>
                <w:szCs w:val="21"/>
              </w:rPr>
              <w:t>-0.17%</w:t>
            </w:r>
          </w:p>
        </w:tc>
        <w:tc>
          <w:tcPr>
            <w:tcW w:w="2194" w:type="dxa"/>
            <w:vAlign w:val="center"/>
          </w:tcPr>
          <w:p w:rsidR="00501A91" w:rsidRPr="00931B45" w:rsidRDefault="00501A91" w:rsidP="00D415F5">
            <w:pPr>
              <w:spacing w:before="29" w:line="288" w:lineRule="auto"/>
              <w:jc w:val="right"/>
              <w:rPr>
                <w:szCs w:val="21"/>
              </w:rPr>
            </w:pPr>
            <w:r w:rsidRPr="00931B45">
              <w:rPr>
                <w:szCs w:val="21"/>
              </w:rPr>
              <w:t>0.50%</w:t>
            </w:r>
          </w:p>
        </w:tc>
      </w:tr>
      <w:tr w:rsidR="00501A91" w:rsidRPr="00931B45" w:rsidTr="00A6320B">
        <w:tc>
          <w:tcPr>
            <w:tcW w:w="2250" w:type="dxa"/>
            <w:vAlign w:val="center"/>
          </w:tcPr>
          <w:p w:rsidR="00501A91" w:rsidRPr="00931B45" w:rsidRDefault="00501A91" w:rsidP="0050264A">
            <w:pPr>
              <w:spacing w:before="29" w:line="288" w:lineRule="auto"/>
              <w:rPr>
                <w:b/>
                <w:szCs w:val="21"/>
              </w:rPr>
            </w:pPr>
            <w:r w:rsidRPr="00931B45">
              <w:rPr>
                <w:b/>
                <w:szCs w:val="21"/>
              </w:rPr>
              <w:t xml:space="preserve">3.1.2 </w:t>
            </w:r>
            <w:r w:rsidRPr="00931B45">
              <w:rPr>
                <w:rFonts w:hint="eastAsia"/>
                <w:b/>
                <w:szCs w:val="21"/>
              </w:rPr>
              <w:t>期末数据和指标</w:t>
            </w:r>
          </w:p>
        </w:tc>
        <w:tc>
          <w:tcPr>
            <w:tcW w:w="2286" w:type="dxa"/>
            <w:vAlign w:val="center"/>
          </w:tcPr>
          <w:p w:rsidR="00501A91" w:rsidRPr="00931B45" w:rsidRDefault="00501A91" w:rsidP="0050264A">
            <w:pPr>
              <w:spacing w:before="29" w:line="288" w:lineRule="auto"/>
              <w:jc w:val="center"/>
              <w:rPr>
                <w:b/>
                <w:szCs w:val="21"/>
              </w:rPr>
            </w:pPr>
            <w:r w:rsidRPr="00931B45">
              <w:rPr>
                <w:b/>
                <w:szCs w:val="21"/>
              </w:rPr>
              <w:t>2017</w:t>
            </w:r>
            <w:r w:rsidRPr="00931B45">
              <w:rPr>
                <w:rFonts w:hint="eastAsia"/>
                <w:b/>
                <w:szCs w:val="21"/>
              </w:rPr>
              <w:t>年末</w:t>
            </w:r>
          </w:p>
        </w:tc>
        <w:tc>
          <w:tcPr>
            <w:tcW w:w="2268" w:type="dxa"/>
            <w:vAlign w:val="center"/>
          </w:tcPr>
          <w:p w:rsidR="00501A91" w:rsidRPr="00931B45" w:rsidRDefault="00501A91" w:rsidP="0050264A">
            <w:pPr>
              <w:spacing w:before="29" w:line="288" w:lineRule="auto"/>
              <w:jc w:val="center"/>
              <w:rPr>
                <w:b/>
                <w:szCs w:val="21"/>
              </w:rPr>
            </w:pPr>
            <w:r w:rsidRPr="00931B45">
              <w:rPr>
                <w:b/>
                <w:szCs w:val="21"/>
              </w:rPr>
              <w:t>2016</w:t>
            </w:r>
            <w:r w:rsidRPr="00931B45">
              <w:rPr>
                <w:rFonts w:hint="eastAsia"/>
                <w:b/>
                <w:szCs w:val="21"/>
              </w:rPr>
              <w:t>年末</w:t>
            </w:r>
          </w:p>
        </w:tc>
        <w:tc>
          <w:tcPr>
            <w:tcW w:w="2194" w:type="dxa"/>
            <w:vAlign w:val="center"/>
          </w:tcPr>
          <w:p w:rsidR="00501A91" w:rsidRPr="00931B45" w:rsidRDefault="00501A91" w:rsidP="0050264A">
            <w:pPr>
              <w:spacing w:before="29" w:line="288" w:lineRule="auto"/>
              <w:jc w:val="center"/>
              <w:rPr>
                <w:b/>
                <w:szCs w:val="21"/>
              </w:rPr>
            </w:pPr>
            <w:r w:rsidRPr="00931B45">
              <w:rPr>
                <w:b/>
                <w:szCs w:val="21"/>
              </w:rPr>
              <w:t>2015</w:t>
            </w:r>
            <w:r w:rsidRPr="00931B45">
              <w:rPr>
                <w:rFonts w:hint="eastAsia"/>
                <w:b/>
                <w:szCs w:val="21"/>
              </w:rPr>
              <w:t>年末</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期末可供分配基金份额利润</w:t>
            </w:r>
          </w:p>
        </w:tc>
        <w:tc>
          <w:tcPr>
            <w:tcW w:w="2286" w:type="dxa"/>
            <w:vAlign w:val="center"/>
          </w:tcPr>
          <w:p w:rsidR="00501A91" w:rsidRPr="00931B45" w:rsidRDefault="00501A91" w:rsidP="00D415F5">
            <w:pPr>
              <w:spacing w:before="29" w:line="288" w:lineRule="auto"/>
              <w:jc w:val="right"/>
              <w:rPr>
                <w:szCs w:val="21"/>
              </w:rPr>
            </w:pPr>
            <w:r w:rsidRPr="00931B45">
              <w:rPr>
                <w:szCs w:val="21"/>
              </w:rPr>
              <w:t>0.002</w:t>
            </w:r>
          </w:p>
        </w:tc>
        <w:tc>
          <w:tcPr>
            <w:tcW w:w="2268" w:type="dxa"/>
            <w:vAlign w:val="center"/>
          </w:tcPr>
          <w:p w:rsidR="00501A91" w:rsidRPr="00931B45" w:rsidRDefault="00501A91" w:rsidP="00D415F5">
            <w:pPr>
              <w:spacing w:before="29" w:line="288" w:lineRule="auto"/>
              <w:jc w:val="right"/>
              <w:rPr>
                <w:szCs w:val="21"/>
              </w:rPr>
            </w:pPr>
            <w:r w:rsidRPr="00931B45">
              <w:rPr>
                <w:szCs w:val="21"/>
              </w:rPr>
              <w:t>-0.029</w:t>
            </w:r>
          </w:p>
        </w:tc>
        <w:tc>
          <w:tcPr>
            <w:tcW w:w="2194" w:type="dxa"/>
            <w:vAlign w:val="center"/>
          </w:tcPr>
          <w:p w:rsidR="00501A91" w:rsidRPr="00931B45" w:rsidRDefault="00501A91" w:rsidP="00D415F5">
            <w:pPr>
              <w:spacing w:before="29" w:line="288" w:lineRule="auto"/>
              <w:jc w:val="right"/>
              <w:rPr>
                <w:szCs w:val="21"/>
              </w:rPr>
            </w:pPr>
            <w:r w:rsidRPr="00931B45">
              <w:rPr>
                <w:szCs w:val="21"/>
              </w:rPr>
              <w:t>0.001</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期末基金资产净值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53,790,748.64</w:t>
            </w:r>
          </w:p>
        </w:tc>
        <w:tc>
          <w:tcPr>
            <w:tcW w:w="2268" w:type="dxa"/>
            <w:vAlign w:val="center"/>
          </w:tcPr>
          <w:p w:rsidR="00501A91" w:rsidRPr="00931B45" w:rsidRDefault="00501A91" w:rsidP="00D415F5">
            <w:pPr>
              <w:spacing w:before="29" w:line="288" w:lineRule="auto"/>
              <w:jc w:val="right"/>
              <w:rPr>
                <w:szCs w:val="21"/>
              </w:rPr>
            </w:pPr>
            <w:r w:rsidRPr="00931B45">
              <w:rPr>
                <w:szCs w:val="21"/>
              </w:rPr>
              <w:t>425,859,134.79</w:t>
            </w:r>
          </w:p>
        </w:tc>
        <w:tc>
          <w:tcPr>
            <w:tcW w:w="2194" w:type="dxa"/>
            <w:vAlign w:val="center"/>
          </w:tcPr>
          <w:p w:rsidR="00501A91" w:rsidRPr="00931B45" w:rsidRDefault="00501A91" w:rsidP="00D415F5">
            <w:pPr>
              <w:spacing w:before="29" w:line="288" w:lineRule="auto"/>
              <w:jc w:val="right"/>
              <w:rPr>
                <w:szCs w:val="21"/>
              </w:rPr>
            </w:pPr>
            <w:r w:rsidRPr="00931B45">
              <w:rPr>
                <w:szCs w:val="21"/>
              </w:rPr>
              <w:t>440,749,452.92</w:t>
            </w:r>
          </w:p>
        </w:tc>
      </w:tr>
      <w:tr w:rsidR="00501A91" w:rsidRPr="00931B45" w:rsidTr="00A6320B">
        <w:tc>
          <w:tcPr>
            <w:tcW w:w="2250" w:type="dxa"/>
            <w:vAlign w:val="center"/>
          </w:tcPr>
          <w:p w:rsidR="00501A91" w:rsidRPr="00931B45" w:rsidRDefault="00501A91" w:rsidP="0050264A">
            <w:pPr>
              <w:spacing w:before="29" w:line="288" w:lineRule="auto"/>
              <w:rPr>
                <w:szCs w:val="21"/>
              </w:rPr>
            </w:pPr>
            <w:r w:rsidRPr="00931B45">
              <w:rPr>
                <w:rFonts w:hint="eastAsia"/>
                <w:szCs w:val="21"/>
              </w:rPr>
              <w:t>期末基金份额净值</w:t>
            </w:r>
          </w:p>
        </w:tc>
        <w:tc>
          <w:tcPr>
            <w:tcW w:w="2286" w:type="dxa"/>
            <w:vAlign w:val="center"/>
          </w:tcPr>
          <w:p w:rsidR="00501A91" w:rsidRPr="00931B45" w:rsidRDefault="00501A91" w:rsidP="00D415F5">
            <w:pPr>
              <w:spacing w:before="29" w:line="288" w:lineRule="auto"/>
              <w:jc w:val="right"/>
              <w:rPr>
                <w:szCs w:val="21"/>
              </w:rPr>
            </w:pPr>
            <w:r w:rsidRPr="00931B45">
              <w:rPr>
                <w:szCs w:val="21"/>
              </w:rPr>
              <w:t>1.002</w:t>
            </w:r>
          </w:p>
        </w:tc>
        <w:tc>
          <w:tcPr>
            <w:tcW w:w="2268" w:type="dxa"/>
            <w:vAlign w:val="center"/>
          </w:tcPr>
          <w:p w:rsidR="00501A91" w:rsidRPr="00931B45" w:rsidRDefault="00501A91" w:rsidP="00D415F5">
            <w:pPr>
              <w:spacing w:before="29" w:line="288" w:lineRule="auto"/>
              <w:jc w:val="right"/>
              <w:rPr>
                <w:szCs w:val="21"/>
              </w:rPr>
            </w:pPr>
            <w:r w:rsidRPr="00931B45">
              <w:rPr>
                <w:szCs w:val="21"/>
              </w:rPr>
              <w:t>0.971</w:t>
            </w:r>
          </w:p>
        </w:tc>
        <w:tc>
          <w:tcPr>
            <w:tcW w:w="2194" w:type="dxa"/>
            <w:vAlign w:val="center"/>
          </w:tcPr>
          <w:p w:rsidR="00501A91" w:rsidRPr="00931B45" w:rsidRDefault="00501A91" w:rsidP="00D415F5">
            <w:pPr>
              <w:spacing w:before="29" w:line="288" w:lineRule="auto"/>
              <w:jc w:val="right"/>
              <w:rPr>
                <w:szCs w:val="21"/>
              </w:rPr>
            </w:pPr>
            <w:r w:rsidRPr="00931B45">
              <w:rPr>
                <w:szCs w:val="21"/>
              </w:rPr>
              <w:t>1.005</w:t>
            </w:r>
          </w:p>
        </w:tc>
      </w:tr>
    </w:tbl>
    <w:p w:rsidR="007C483C" w:rsidRDefault="007F41B2">
      <w:pPr>
        <w:tabs>
          <w:tab w:val="left" w:pos="426"/>
        </w:tabs>
        <w:spacing w:before="29" w:line="288" w:lineRule="auto"/>
        <w:jc w:val="left"/>
        <w:rPr>
          <w:kern w:val="0"/>
          <w:sz w:val="24"/>
        </w:rPr>
      </w:pPr>
      <w:r>
        <w:rPr>
          <w:kern w:val="0"/>
          <w:sz w:val="24"/>
        </w:rPr>
        <w:t>注：</w:t>
      </w:r>
      <w:r>
        <w:rPr>
          <w:kern w:val="0"/>
          <w:sz w:val="24"/>
        </w:rPr>
        <w:t>1</w:t>
      </w:r>
      <w:r>
        <w:rPr>
          <w:kern w:val="0"/>
          <w:sz w:val="24"/>
        </w:rPr>
        <w:t>、上述基金业绩指标不包括持有人认购或交易基金的各项费用，计入费用后的实际收益水平要低于所列数字；</w:t>
      </w:r>
      <w:r>
        <w:rPr>
          <w:kern w:val="0"/>
          <w:sz w:val="24"/>
        </w:rPr>
        <w:t xml:space="preserve"> </w:t>
      </w:r>
    </w:p>
    <w:p w:rsidR="001A59F9" w:rsidRPr="0060235D" w:rsidRDefault="001A59F9" w:rsidP="0060235D">
      <w:pPr>
        <w:tabs>
          <w:tab w:val="left" w:pos="426"/>
        </w:tabs>
        <w:spacing w:before="29" w:line="288" w:lineRule="auto"/>
        <w:jc w:val="left"/>
        <w:rPr>
          <w:kern w:val="0"/>
          <w:sz w:val="24"/>
        </w:rPr>
      </w:pPr>
      <w:r w:rsidRPr="0060235D">
        <w:rPr>
          <w:kern w:val="0"/>
          <w:sz w:val="24"/>
        </w:rPr>
        <w:t xml:space="preserve">    2</w:t>
      </w:r>
      <w:r w:rsidRPr="0060235D">
        <w:rPr>
          <w:kern w:val="0"/>
          <w:sz w:val="24"/>
        </w:rPr>
        <w:t>、本期已实现收益指基金本期利息收入、投资收益、其他收入（不含公允价值变动收益）扣除相关费用后的余额，本期利润为本期已实现收益加上本期公允价值变动收益；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19" w:name="_Toc225498252"/>
      <w:bookmarkStart w:id="20" w:name="_Toc361324852"/>
      <w:r w:rsidRPr="00701155">
        <w:rPr>
          <w:rFonts w:ascii="Times New Roman" w:hAnsi="Times New Roman"/>
          <w:kern w:val="0"/>
          <w:szCs w:val="24"/>
        </w:rPr>
        <w:t xml:space="preserve">3.2 </w:t>
      </w:r>
      <w:r w:rsidRPr="00701155">
        <w:rPr>
          <w:rFonts w:ascii="Times New Roman" w:hAnsi="Times New Roman" w:hint="eastAsia"/>
          <w:kern w:val="0"/>
          <w:szCs w:val="24"/>
        </w:rPr>
        <w:t>基金净值表现</w:t>
      </w:r>
      <w:bookmarkEnd w:id="19"/>
      <w:bookmarkEnd w:id="20"/>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3.2.1 </w:t>
      </w:r>
      <w:r w:rsidRPr="00701155">
        <w:rPr>
          <w:rFonts w:ascii="Times New Roman" w:hAnsi="Times New Roman" w:hint="eastAsia"/>
          <w:kern w:val="0"/>
          <w:szCs w:val="24"/>
        </w:rPr>
        <w:t>基金份额净值增长率及其与同期业绩比较基准收益率的比较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6"/>
        <w:gridCol w:w="1286"/>
        <w:gridCol w:w="1286"/>
        <w:gridCol w:w="1285"/>
        <w:gridCol w:w="1285"/>
        <w:gridCol w:w="1285"/>
        <w:gridCol w:w="1285"/>
      </w:tblGrid>
      <w:tr w:rsidR="001A59F9" w:rsidRPr="00C51C77" w:rsidTr="00FC45CB">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阶段</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份额净值增长率①</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份额净值增长率标准差②</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业绩比较基准收益率标准差④</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①－③</w:t>
            </w:r>
          </w:p>
        </w:tc>
        <w:tc>
          <w:tcPr>
            <w:tcW w:w="3459" w:type="dxa"/>
            <w:vAlign w:val="center"/>
          </w:tcPr>
          <w:p w:rsidR="001A59F9" w:rsidRPr="002310FE" w:rsidRDefault="001A59F9" w:rsidP="002310FE">
            <w:pPr>
              <w:spacing w:before="29" w:line="288" w:lineRule="auto"/>
              <w:jc w:val="center"/>
              <w:rPr>
                <w:color w:val="000000"/>
                <w:sz w:val="24"/>
              </w:rPr>
            </w:pPr>
            <w:r w:rsidRPr="002310FE">
              <w:rPr>
                <w:rFonts w:hint="eastAsia"/>
                <w:color w:val="000000"/>
                <w:sz w:val="24"/>
              </w:rPr>
              <w:t>②－④</w:t>
            </w:r>
          </w:p>
        </w:tc>
      </w:tr>
      <w:tr w:rsidR="007C483C">
        <w:tc>
          <w:tcPr>
            <w:tcW w:w="1286" w:type="dxa"/>
            <w:vAlign w:val="center"/>
          </w:tcPr>
          <w:p w:rsidR="007C483C" w:rsidRDefault="007F41B2">
            <w:pPr>
              <w:jc w:val="left"/>
            </w:pPr>
            <w:r>
              <w:rPr>
                <w:color w:val="000000"/>
                <w:sz w:val="24"/>
              </w:rPr>
              <w:t>过去三个月</w:t>
            </w:r>
          </w:p>
        </w:tc>
        <w:tc>
          <w:tcPr>
            <w:tcW w:w="1286" w:type="dxa"/>
            <w:vAlign w:val="center"/>
          </w:tcPr>
          <w:p w:rsidR="007C483C" w:rsidRDefault="007F41B2">
            <w:pPr>
              <w:jc w:val="center"/>
            </w:pPr>
            <w:r>
              <w:rPr>
                <w:color w:val="000000"/>
                <w:sz w:val="24"/>
              </w:rPr>
              <w:t>0.40%</w:t>
            </w:r>
          </w:p>
        </w:tc>
        <w:tc>
          <w:tcPr>
            <w:tcW w:w="1286" w:type="dxa"/>
            <w:vAlign w:val="center"/>
          </w:tcPr>
          <w:p w:rsidR="007C483C" w:rsidRDefault="007F41B2">
            <w:pPr>
              <w:jc w:val="center"/>
            </w:pPr>
            <w:r>
              <w:rPr>
                <w:color w:val="000000"/>
                <w:sz w:val="24"/>
              </w:rPr>
              <w:t>0.04%</w:t>
            </w:r>
          </w:p>
        </w:tc>
        <w:tc>
          <w:tcPr>
            <w:tcW w:w="1285" w:type="dxa"/>
            <w:vAlign w:val="center"/>
          </w:tcPr>
          <w:p w:rsidR="007C483C" w:rsidRDefault="007F41B2">
            <w:pPr>
              <w:jc w:val="center"/>
            </w:pPr>
            <w:r>
              <w:rPr>
                <w:color w:val="000000"/>
                <w:sz w:val="24"/>
              </w:rPr>
              <w:t>-0.09%</w:t>
            </w:r>
          </w:p>
        </w:tc>
        <w:tc>
          <w:tcPr>
            <w:tcW w:w="1285" w:type="dxa"/>
            <w:vAlign w:val="center"/>
          </w:tcPr>
          <w:p w:rsidR="007C483C" w:rsidRDefault="007F41B2">
            <w:pPr>
              <w:jc w:val="center"/>
            </w:pPr>
            <w:r>
              <w:rPr>
                <w:color w:val="000000"/>
                <w:sz w:val="24"/>
              </w:rPr>
              <w:t>0.04%</w:t>
            </w:r>
          </w:p>
        </w:tc>
        <w:tc>
          <w:tcPr>
            <w:tcW w:w="1285" w:type="dxa"/>
            <w:vAlign w:val="center"/>
          </w:tcPr>
          <w:p w:rsidR="007C483C" w:rsidRDefault="007F41B2">
            <w:pPr>
              <w:jc w:val="center"/>
            </w:pPr>
            <w:r>
              <w:rPr>
                <w:color w:val="000000"/>
                <w:sz w:val="24"/>
              </w:rPr>
              <w:t>0.49%</w:t>
            </w:r>
          </w:p>
        </w:tc>
        <w:tc>
          <w:tcPr>
            <w:tcW w:w="1285" w:type="dxa"/>
            <w:vAlign w:val="center"/>
          </w:tcPr>
          <w:p w:rsidR="007C483C" w:rsidRDefault="007F41B2">
            <w:pPr>
              <w:jc w:val="center"/>
            </w:pPr>
            <w:r>
              <w:rPr>
                <w:color w:val="000000"/>
                <w:sz w:val="24"/>
              </w:rPr>
              <w:t>0.00%</w:t>
            </w:r>
          </w:p>
        </w:tc>
      </w:tr>
      <w:tr w:rsidR="007C483C">
        <w:tc>
          <w:tcPr>
            <w:tcW w:w="1286" w:type="dxa"/>
            <w:vAlign w:val="center"/>
          </w:tcPr>
          <w:p w:rsidR="007C483C" w:rsidRDefault="007F41B2">
            <w:pPr>
              <w:jc w:val="left"/>
            </w:pPr>
            <w:r>
              <w:rPr>
                <w:color w:val="000000"/>
                <w:sz w:val="24"/>
              </w:rPr>
              <w:t>过去六个月</w:t>
            </w:r>
          </w:p>
        </w:tc>
        <w:tc>
          <w:tcPr>
            <w:tcW w:w="1286" w:type="dxa"/>
            <w:vAlign w:val="center"/>
          </w:tcPr>
          <w:p w:rsidR="007C483C" w:rsidRDefault="007F41B2">
            <w:pPr>
              <w:jc w:val="center"/>
            </w:pPr>
            <w:r>
              <w:rPr>
                <w:color w:val="000000"/>
                <w:sz w:val="24"/>
              </w:rPr>
              <w:t>1.31%</w:t>
            </w:r>
          </w:p>
        </w:tc>
        <w:tc>
          <w:tcPr>
            <w:tcW w:w="1286" w:type="dxa"/>
            <w:vAlign w:val="center"/>
          </w:tcPr>
          <w:p w:rsidR="007C483C" w:rsidRDefault="007F41B2">
            <w:pPr>
              <w:jc w:val="center"/>
            </w:pPr>
            <w:r>
              <w:rPr>
                <w:color w:val="000000"/>
                <w:sz w:val="24"/>
              </w:rPr>
              <w:t>0.04%</w:t>
            </w:r>
          </w:p>
        </w:tc>
        <w:tc>
          <w:tcPr>
            <w:tcW w:w="1285" w:type="dxa"/>
            <w:vAlign w:val="center"/>
          </w:tcPr>
          <w:p w:rsidR="007C483C" w:rsidRDefault="007F41B2">
            <w:pPr>
              <w:jc w:val="center"/>
            </w:pPr>
            <w:r>
              <w:rPr>
                <w:color w:val="000000"/>
                <w:sz w:val="24"/>
              </w:rPr>
              <w:t>0.76%</w:t>
            </w:r>
          </w:p>
        </w:tc>
        <w:tc>
          <w:tcPr>
            <w:tcW w:w="1285" w:type="dxa"/>
            <w:vAlign w:val="center"/>
          </w:tcPr>
          <w:p w:rsidR="007C483C" w:rsidRDefault="007F41B2">
            <w:pPr>
              <w:jc w:val="center"/>
            </w:pPr>
            <w:r>
              <w:rPr>
                <w:color w:val="000000"/>
                <w:sz w:val="24"/>
              </w:rPr>
              <w:t>0.03%</w:t>
            </w:r>
          </w:p>
        </w:tc>
        <w:tc>
          <w:tcPr>
            <w:tcW w:w="1285" w:type="dxa"/>
            <w:vAlign w:val="center"/>
          </w:tcPr>
          <w:p w:rsidR="007C483C" w:rsidRDefault="007F41B2">
            <w:pPr>
              <w:jc w:val="center"/>
            </w:pPr>
            <w:r>
              <w:rPr>
                <w:color w:val="000000"/>
                <w:sz w:val="24"/>
              </w:rPr>
              <w:t>0.55%</w:t>
            </w:r>
          </w:p>
        </w:tc>
        <w:tc>
          <w:tcPr>
            <w:tcW w:w="1285" w:type="dxa"/>
            <w:vAlign w:val="center"/>
          </w:tcPr>
          <w:p w:rsidR="007C483C" w:rsidRDefault="007F41B2">
            <w:pPr>
              <w:jc w:val="center"/>
            </w:pPr>
            <w:r>
              <w:rPr>
                <w:color w:val="000000"/>
                <w:sz w:val="24"/>
              </w:rPr>
              <w:t>0.01%</w:t>
            </w:r>
          </w:p>
        </w:tc>
      </w:tr>
      <w:tr w:rsidR="007C483C">
        <w:tc>
          <w:tcPr>
            <w:tcW w:w="1286" w:type="dxa"/>
            <w:vAlign w:val="center"/>
          </w:tcPr>
          <w:p w:rsidR="007C483C" w:rsidRDefault="007F41B2">
            <w:pPr>
              <w:jc w:val="left"/>
            </w:pPr>
            <w:r>
              <w:rPr>
                <w:color w:val="000000"/>
                <w:sz w:val="24"/>
              </w:rPr>
              <w:t>过去一年</w:t>
            </w:r>
          </w:p>
        </w:tc>
        <w:tc>
          <w:tcPr>
            <w:tcW w:w="1286" w:type="dxa"/>
            <w:vAlign w:val="center"/>
          </w:tcPr>
          <w:p w:rsidR="007C483C" w:rsidRDefault="007F41B2">
            <w:pPr>
              <w:jc w:val="center"/>
            </w:pPr>
            <w:r>
              <w:rPr>
                <w:color w:val="000000"/>
                <w:sz w:val="24"/>
              </w:rPr>
              <w:t>3.19%</w:t>
            </w:r>
          </w:p>
        </w:tc>
        <w:tc>
          <w:tcPr>
            <w:tcW w:w="1286" w:type="dxa"/>
            <w:vAlign w:val="center"/>
          </w:tcPr>
          <w:p w:rsidR="007C483C" w:rsidRDefault="007F41B2">
            <w:pPr>
              <w:jc w:val="center"/>
            </w:pPr>
            <w:r>
              <w:rPr>
                <w:color w:val="000000"/>
                <w:sz w:val="24"/>
              </w:rPr>
              <w:t>0.06%</w:t>
            </w:r>
          </w:p>
        </w:tc>
        <w:tc>
          <w:tcPr>
            <w:tcW w:w="1285" w:type="dxa"/>
            <w:vAlign w:val="center"/>
          </w:tcPr>
          <w:p w:rsidR="007C483C" w:rsidRDefault="007F41B2">
            <w:pPr>
              <w:jc w:val="center"/>
            </w:pPr>
            <w:r>
              <w:rPr>
                <w:color w:val="000000"/>
                <w:sz w:val="24"/>
              </w:rPr>
              <w:t>2.45%</w:t>
            </w:r>
          </w:p>
        </w:tc>
        <w:tc>
          <w:tcPr>
            <w:tcW w:w="1285" w:type="dxa"/>
            <w:vAlign w:val="center"/>
          </w:tcPr>
          <w:p w:rsidR="007C483C" w:rsidRDefault="007F41B2">
            <w:pPr>
              <w:jc w:val="center"/>
            </w:pPr>
            <w:r>
              <w:rPr>
                <w:color w:val="000000"/>
                <w:sz w:val="24"/>
              </w:rPr>
              <w:t>0.02%</w:t>
            </w:r>
          </w:p>
        </w:tc>
        <w:tc>
          <w:tcPr>
            <w:tcW w:w="1285" w:type="dxa"/>
            <w:vAlign w:val="center"/>
          </w:tcPr>
          <w:p w:rsidR="007C483C" w:rsidRDefault="007F41B2">
            <w:pPr>
              <w:jc w:val="center"/>
            </w:pPr>
            <w:r>
              <w:rPr>
                <w:color w:val="000000"/>
                <w:sz w:val="24"/>
              </w:rPr>
              <w:t>0.74%</w:t>
            </w:r>
          </w:p>
        </w:tc>
        <w:tc>
          <w:tcPr>
            <w:tcW w:w="1285" w:type="dxa"/>
            <w:vAlign w:val="center"/>
          </w:tcPr>
          <w:p w:rsidR="007C483C" w:rsidRDefault="007F41B2">
            <w:pPr>
              <w:jc w:val="center"/>
            </w:pPr>
            <w:r>
              <w:rPr>
                <w:color w:val="000000"/>
                <w:sz w:val="24"/>
              </w:rPr>
              <w:t>0.04%</w:t>
            </w:r>
          </w:p>
        </w:tc>
      </w:tr>
      <w:tr w:rsidR="007C483C">
        <w:tc>
          <w:tcPr>
            <w:tcW w:w="1286" w:type="dxa"/>
            <w:vAlign w:val="center"/>
          </w:tcPr>
          <w:p w:rsidR="007C483C" w:rsidRDefault="007F41B2">
            <w:pPr>
              <w:jc w:val="left"/>
            </w:pPr>
            <w:r>
              <w:rPr>
                <w:color w:val="000000"/>
                <w:sz w:val="24"/>
              </w:rPr>
              <w:t>自基金合同生效起至今</w:t>
            </w:r>
          </w:p>
        </w:tc>
        <w:tc>
          <w:tcPr>
            <w:tcW w:w="1286" w:type="dxa"/>
            <w:vAlign w:val="center"/>
          </w:tcPr>
          <w:p w:rsidR="007C483C" w:rsidRDefault="007F41B2">
            <w:pPr>
              <w:jc w:val="center"/>
            </w:pPr>
            <w:r>
              <w:rPr>
                <w:color w:val="000000"/>
                <w:sz w:val="24"/>
              </w:rPr>
              <w:t>3.54%</w:t>
            </w:r>
          </w:p>
        </w:tc>
        <w:tc>
          <w:tcPr>
            <w:tcW w:w="1286" w:type="dxa"/>
            <w:vAlign w:val="center"/>
          </w:tcPr>
          <w:p w:rsidR="007C483C" w:rsidRDefault="007F41B2">
            <w:pPr>
              <w:jc w:val="center"/>
            </w:pPr>
            <w:r>
              <w:rPr>
                <w:color w:val="000000"/>
                <w:sz w:val="24"/>
              </w:rPr>
              <w:t>0.10%</w:t>
            </w:r>
          </w:p>
        </w:tc>
        <w:tc>
          <w:tcPr>
            <w:tcW w:w="1285" w:type="dxa"/>
            <w:vAlign w:val="center"/>
          </w:tcPr>
          <w:p w:rsidR="007C483C" w:rsidRDefault="007F41B2">
            <w:pPr>
              <w:jc w:val="center"/>
            </w:pPr>
            <w:r>
              <w:rPr>
                <w:color w:val="000000"/>
                <w:sz w:val="24"/>
              </w:rPr>
              <w:t>6.35%</w:t>
            </w:r>
          </w:p>
        </w:tc>
        <w:tc>
          <w:tcPr>
            <w:tcW w:w="1285" w:type="dxa"/>
            <w:vAlign w:val="center"/>
          </w:tcPr>
          <w:p w:rsidR="007C483C" w:rsidRDefault="007F41B2">
            <w:pPr>
              <w:jc w:val="center"/>
            </w:pPr>
            <w:r>
              <w:rPr>
                <w:color w:val="000000"/>
                <w:sz w:val="24"/>
              </w:rPr>
              <w:t>0.02%</w:t>
            </w:r>
          </w:p>
        </w:tc>
        <w:tc>
          <w:tcPr>
            <w:tcW w:w="1285" w:type="dxa"/>
            <w:vAlign w:val="center"/>
          </w:tcPr>
          <w:p w:rsidR="007C483C" w:rsidRDefault="007F41B2">
            <w:pPr>
              <w:jc w:val="center"/>
            </w:pPr>
            <w:r>
              <w:rPr>
                <w:color w:val="000000"/>
                <w:sz w:val="24"/>
              </w:rPr>
              <w:t>-2.81%</w:t>
            </w:r>
          </w:p>
        </w:tc>
        <w:tc>
          <w:tcPr>
            <w:tcW w:w="1285" w:type="dxa"/>
            <w:vAlign w:val="center"/>
          </w:tcPr>
          <w:p w:rsidR="007C483C" w:rsidRDefault="007F41B2">
            <w:pPr>
              <w:jc w:val="center"/>
            </w:pPr>
            <w:r>
              <w:rPr>
                <w:color w:val="000000"/>
                <w:sz w:val="24"/>
              </w:rPr>
              <w:t>0.08%</w:t>
            </w:r>
          </w:p>
        </w:tc>
      </w:tr>
    </w:tbl>
    <w:p w:rsidR="001A59F9" w:rsidRPr="00C51C77" w:rsidRDefault="001A59F9" w:rsidP="00610A19">
      <w:pPr>
        <w:tabs>
          <w:tab w:val="left" w:pos="426"/>
        </w:tabs>
        <w:spacing w:before="29" w:line="288" w:lineRule="auto"/>
        <w:jc w:val="left"/>
        <w:rPr>
          <w:rFonts w:asciiTheme="minorEastAsia" w:eastAsiaTheme="minorEastAsia" w:hAnsiTheme="minorEastAsia"/>
          <w:szCs w:val="21"/>
        </w:rPr>
      </w:pPr>
      <w:r w:rsidRPr="00FC45CB">
        <w:rPr>
          <w:kern w:val="0"/>
          <w:sz w:val="24"/>
        </w:rPr>
        <w:t>注：本基金自</w:t>
      </w:r>
      <w:r w:rsidRPr="00FC45CB">
        <w:rPr>
          <w:kern w:val="0"/>
          <w:sz w:val="24"/>
        </w:rPr>
        <w:t>2017</w:t>
      </w:r>
      <w:r w:rsidRPr="00FC45CB">
        <w:rPr>
          <w:kern w:val="0"/>
          <w:sz w:val="24"/>
        </w:rPr>
        <w:t>年</w:t>
      </w:r>
      <w:r w:rsidRPr="00FC45CB">
        <w:rPr>
          <w:kern w:val="0"/>
          <w:sz w:val="24"/>
        </w:rPr>
        <w:t>11</w:t>
      </w:r>
      <w:r w:rsidRPr="00FC45CB">
        <w:rPr>
          <w:kern w:val="0"/>
          <w:sz w:val="24"/>
        </w:rPr>
        <w:t>月</w:t>
      </w:r>
      <w:r w:rsidRPr="00FC45CB">
        <w:rPr>
          <w:kern w:val="0"/>
          <w:sz w:val="24"/>
        </w:rPr>
        <w:t>10</w:t>
      </w:r>
      <w:r w:rsidRPr="00FC45CB">
        <w:rPr>
          <w:kern w:val="0"/>
          <w:sz w:val="24"/>
        </w:rPr>
        <w:t>日起转为开放式运作，本基金的业绩比较基准由</w:t>
      </w:r>
      <w:r w:rsidRPr="00FC45CB">
        <w:rPr>
          <w:kern w:val="0"/>
          <w:sz w:val="24"/>
        </w:rPr>
        <w:t>“</w:t>
      </w:r>
      <w:r w:rsidRPr="00FC45CB">
        <w:rPr>
          <w:kern w:val="0"/>
          <w:sz w:val="24"/>
        </w:rPr>
        <w:t>两年期银行定期存款税后收益率</w:t>
      </w:r>
      <w:r w:rsidRPr="00FC45CB">
        <w:rPr>
          <w:kern w:val="0"/>
          <w:sz w:val="24"/>
        </w:rPr>
        <w:t>+1.25%”</w:t>
      </w:r>
      <w:r w:rsidRPr="00FC45CB">
        <w:rPr>
          <w:kern w:val="0"/>
          <w:sz w:val="24"/>
        </w:rPr>
        <w:t>变更为</w:t>
      </w:r>
      <w:r w:rsidRPr="00FC45CB">
        <w:rPr>
          <w:kern w:val="0"/>
          <w:sz w:val="24"/>
        </w:rPr>
        <w:t>“</w:t>
      </w:r>
      <w:r w:rsidRPr="00FC45CB">
        <w:rPr>
          <w:kern w:val="0"/>
          <w:sz w:val="24"/>
        </w:rPr>
        <w:t>中债综合全价指数</w:t>
      </w:r>
      <w:r w:rsidRPr="00FC45CB">
        <w:rPr>
          <w:kern w:val="0"/>
          <w:sz w:val="24"/>
        </w:rPr>
        <w:t>”</w:t>
      </w:r>
      <w:r w:rsidRPr="00FC45CB">
        <w:rPr>
          <w:kern w:val="0"/>
          <w:sz w:val="24"/>
        </w:rPr>
        <w:t>。</w:t>
      </w:r>
      <w:r w:rsidR="00610A19">
        <w:rPr>
          <w:rFonts w:hint="eastAsia"/>
          <w:kern w:val="0"/>
          <w:sz w:val="24"/>
        </w:rPr>
        <w:br/>
      </w:r>
    </w:p>
    <w:p w:rsidR="00852116" w:rsidRPr="00701155" w:rsidRDefault="00852116" w:rsidP="00701155">
      <w:pPr>
        <w:pStyle w:val="20"/>
        <w:spacing w:before="29" w:after="0" w:line="288" w:lineRule="auto"/>
        <w:rPr>
          <w:rFonts w:ascii="Times New Roman" w:hAnsi="Times New Roman"/>
          <w:kern w:val="0"/>
          <w:szCs w:val="24"/>
        </w:rPr>
      </w:pPr>
      <w:r w:rsidRPr="00701155">
        <w:rPr>
          <w:rFonts w:ascii="Times New Roman" w:hAnsi="Times New Roman" w:hint="eastAsia"/>
          <w:kern w:val="0"/>
          <w:szCs w:val="24"/>
        </w:rPr>
        <w:lastRenderedPageBreak/>
        <w:t xml:space="preserve">3.2.2 </w:t>
      </w:r>
      <w:r w:rsidR="006B6275" w:rsidRPr="00F91246">
        <w:rPr>
          <w:rFonts w:ascii="Times New Roman" w:hAnsi="Times New Roman"/>
          <w:kern w:val="0"/>
          <w:szCs w:val="24"/>
        </w:rPr>
        <w:t>自基金合同生效以来</w:t>
      </w:r>
      <w:r w:rsidRPr="00701155">
        <w:rPr>
          <w:rFonts w:ascii="Times New Roman" w:hAnsi="Times New Roman"/>
          <w:kern w:val="0"/>
          <w:szCs w:val="24"/>
        </w:rPr>
        <w:t>基金份额累计净值增长率变动及其与同期业绩比较基准收益率变动的比较</w:t>
      </w:r>
      <w:r w:rsidRPr="00701155">
        <w:rPr>
          <w:rFonts w:ascii="Times New Roman" w:hAnsi="Times New Roman"/>
          <w:kern w:val="0"/>
          <w:szCs w:val="24"/>
        </w:rPr>
        <w:t xml:space="preserve"> </w:t>
      </w:r>
    </w:p>
    <w:p w:rsidR="001A59F9" w:rsidRPr="00C51C77" w:rsidRDefault="00A72EF3" w:rsidP="00026C9C">
      <w:pPr>
        <w:spacing w:line="360" w:lineRule="auto"/>
        <w:jc w:val="center"/>
        <w:rPr>
          <w:rFonts w:asciiTheme="minorEastAsia" w:eastAsiaTheme="minorEastAsia" w:hAnsiTheme="minorEastAsia"/>
          <w:color w:val="000000"/>
          <w:szCs w:val="21"/>
        </w:rPr>
      </w:pPr>
      <w:r>
        <w:rPr>
          <w:rFonts w:asciiTheme="minorEastAsia" w:eastAsiaTheme="minorEastAsia" w:hAnsiTheme="minorEastAsia"/>
          <w:noProof/>
          <w:color w:val="000000"/>
          <w:szCs w:val="21"/>
        </w:rPr>
        <w:drawing>
          <wp:inline distT="0" distB="0" distL="0" distR="0">
            <wp:extent cx="5759450" cy="3372734"/>
            <wp:effectExtent l="0" t="0" r="0" b="0"/>
            <wp:docPr id="3" name="图片 3"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nnieliu\Desktop\走势图柱状图\走势图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650E05" w:rsidRDefault="001A59F9" w:rsidP="00650E05">
      <w:pPr>
        <w:tabs>
          <w:tab w:val="left" w:pos="426"/>
        </w:tabs>
        <w:spacing w:before="29" w:line="288" w:lineRule="auto"/>
        <w:jc w:val="left"/>
        <w:rPr>
          <w:kern w:val="0"/>
          <w:sz w:val="24"/>
        </w:rPr>
      </w:pPr>
      <w:r w:rsidRPr="00650E05">
        <w:rPr>
          <w:kern w:val="0"/>
          <w:sz w:val="24"/>
        </w:rPr>
        <w:t>注：本基金建仓期为自基金合同生效日起的</w:t>
      </w:r>
      <w:r w:rsidRPr="00650E05">
        <w:rPr>
          <w:kern w:val="0"/>
          <w:sz w:val="24"/>
        </w:rPr>
        <w:t>6</w:t>
      </w:r>
      <w:r w:rsidRPr="00650E05">
        <w:rPr>
          <w:kern w:val="0"/>
          <w:sz w:val="24"/>
        </w:rPr>
        <w:t>个月。截至建仓期结束，本基金各项资产配置比例符合基金合同及招募说明书有关投资比例的约定。</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 xml:space="preserve">3.2.3 </w:t>
      </w:r>
      <w:r w:rsidR="00A225D8" w:rsidRPr="00701155">
        <w:rPr>
          <w:rFonts w:ascii="Times New Roman" w:hAnsi="Times New Roman" w:hint="eastAsia"/>
          <w:kern w:val="0"/>
          <w:szCs w:val="24"/>
        </w:rPr>
        <w:t>自基金合同生效以来</w:t>
      </w:r>
      <w:r w:rsidRPr="00701155">
        <w:rPr>
          <w:rFonts w:ascii="Times New Roman" w:hAnsi="Times New Roman" w:hint="eastAsia"/>
          <w:kern w:val="0"/>
          <w:szCs w:val="24"/>
        </w:rPr>
        <w:t>基金每年净值增长率及其与同期业绩比较基准收益率的比较</w:t>
      </w:r>
    </w:p>
    <w:p w:rsidR="00A0223F" w:rsidRPr="00C51C77" w:rsidRDefault="00A72EF3" w:rsidP="00A225D8">
      <w:pPr>
        <w:spacing w:line="360" w:lineRule="auto"/>
        <w:jc w:val="center"/>
        <w:rPr>
          <w:rFonts w:ascii="宋体" w:hAnsi="宋体"/>
          <w:b/>
          <w:bCs/>
          <w:color w:val="000000"/>
          <w:szCs w:val="21"/>
          <w:vertAlign w:val="superscript"/>
        </w:rPr>
      </w:pPr>
      <w:r>
        <w:rPr>
          <w:rFonts w:ascii="宋体" w:hAnsi="宋体"/>
          <w:b/>
          <w:bCs/>
          <w:noProof/>
          <w:color w:val="000000"/>
          <w:szCs w:val="21"/>
          <w:vertAlign w:val="superscript"/>
        </w:rPr>
        <w:drawing>
          <wp:inline distT="0" distB="0" distL="0" distR="0">
            <wp:extent cx="5759450" cy="3372734"/>
            <wp:effectExtent l="0" t="0" r="0" b="0"/>
            <wp:docPr id="4" name="图片 4" descr="C:\Users\bonnieliu\Desktop\走势图柱状图\柱状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onnieliu\Desktop\走势图柱状图\柱状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372734"/>
                    </a:xfrm>
                    <a:prstGeom prst="rect">
                      <a:avLst/>
                    </a:prstGeom>
                    <a:noFill/>
                    <a:ln>
                      <a:noFill/>
                    </a:ln>
                  </pic:spPr>
                </pic:pic>
              </a:graphicData>
            </a:graphic>
          </wp:inline>
        </w:drawing>
      </w:r>
    </w:p>
    <w:p w:rsidR="001A59F9" w:rsidRPr="00B05374" w:rsidRDefault="001A59F9" w:rsidP="00B05374">
      <w:pPr>
        <w:tabs>
          <w:tab w:val="left" w:pos="426"/>
        </w:tabs>
        <w:spacing w:before="29" w:line="288" w:lineRule="auto"/>
        <w:jc w:val="left"/>
        <w:rPr>
          <w:kern w:val="0"/>
          <w:sz w:val="24"/>
        </w:rPr>
      </w:pPr>
      <w:r w:rsidRPr="00B05374">
        <w:rPr>
          <w:kern w:val="0"/>
          <w:sz w:val="24"/>
        </w:rPr>
        <w:t>注：图示日期为</w:t>
      </w:r>
      <w:r w:rsidRPr="00B05374">
        <w:rPr>
          <w:kern w:val="0"/>
          <w:sz w:val="24"/>
        </w:rPr>
        <w:t>2015</w:t>
      </w:r>
      <w:r w:rsidRPr="00B05374">
        <w:rPr>
          <w:kern w:val="0"/>
          <w:sz w:val="24"/>
        </w:rPr>
        <w:t>年</w:t>
      </w:r>
      <w:r w:rsidRPr="00B05374">
        <w:rPr>
          <w:kern w:val="0"/>
          <w:sz w:val="24"/>
        </w:rPr>
        <w:t>11</w:t>
      </w:r>
      <w:r w:rsidRPr="00B05374">
        <w:rPr>
          <w:kern w:val="0"/>
          <w:sz w:val="24"/>
        </w:rPr>
        <w:t>月</w:t>
      </w:r>
      <w:r w:rsidRPr="00B05374">
        <w:rPr>
          <w:kern w:val="0"/>
          <w:sz w:val="24"/>
        </w:rPr>
        <w:t>9</w:t>
      </w:r>
      <w:r w:rsidRPr="00B05374">
        <w:rPr>
          <w:kern w:val="0"/>
          <w:sz w:val="24"/>
        </w:rPr>
        <w:t>日至</w:t>
      </w:r>
      <w:r w:rsidRPr="00B05374">
        <w:rPr>
          <w:kern w:val="0"/>
          <w:sz w:val="24"/>
        </w:rPr>
        <w:t>2016</w:t>
      </w:r>
      <w:r w:rsidRPr="00B05374">
        <w:rPr>
          <w:kern w:val="0"/>
          <w:sz w:val="24"/>
        </w:rPr>
        <w:t>年</w:t>
      </w:r>
      <w:r w:rsidRPr="00B05374">
        <w:rPr>
          <w:kern w:val="0"/>
          <w:sz w:val="24"/>
        </w:rPr>
        <w:t>12</w:t>
      </w:r>
      <w:r w:rsidRPr="00B05374">
        <w:rPr>
          <w:kern w:val="0"/>
          <w:sz w:val="24"/>
        </w:rPr>
        <w:t>月</w:t>
      </w:r>
      <w:r w:rsidRPr="00B05374">
        <w:rPr>
          <w:kern w:val="0"/>
          <w:sz w:val="24"/>
        </w:rPr>
        <w:t>31</w:t>
      </w:r>
      <w:r w:rsidRPr="00B05374">
        <w:rPr>
          <w:kern w:val="0"/>
          <w:sz w:val="24"/>
        </w:rPr>
        <w:t>日。基金合同生效当年的净值增</w:t>
      </w:r>
      <w:r w:rsidRPr="00B05374">
        <w:rPr>
          <w:kern w:val="0"/>
          <w:sz w:val="24"/>
        </w:rPr>
        <w:lastRenderedPageBreak/>
        <w:t>长率按照当年实际存续期计算。</w:t>
      </w:r>
    </w:p>
    <w:p w:rsidR="002E63B8" w:rsidRPr="00C51C77" w:rsidRDefault="002E63B8" w:rsidP="00026C9C">
      <w:pPr>
        <w:spacing w:line="360" w:lineRule="auto"/>
        <w:ind w:firstLine="420"/>
        <w:jc w:val="left"/>
        <w:rPr>
          <w:rFonts w:asciiTheme="minorEastAsia" w:eastAsiaTheme="minorEastAsia" w:hAnsiTheme="minorEastAsia"/>
          <w:color w:val="000000"/>
          <w:szCs w:val="21"/>
        </w:rPr>
      </w:pPr>
    </w:p>
    <w:p w:rsidR="00E63239" w:rsidRPr="00701155" w:rsidRDefault="00E63239" w:rsidP="00701155">
      <w:pPr>
        <w:pStyle w:val="20"/>
        <w:spacing w:before="29" w:after="0" w:line="288" w:lineRule="auto"/>
        <w:rPr>
          <w:rFonts w:ascii="Times New Roman" w:hAnsi="Times New Roman"/>
          <w:kern w:val="0"/>
          <w:szCs w:val="24"/>
        </w:rPr>
      </w:pPr>
      <w:bookmarkStart w:id="21" w:name="_Toc249760033"/>
      <w:bookmarkStart w:id="22" w:name="_Toc361324853"/>
      <w:r w:rsidRPr="00701155">
        <w:rPr>
          <w:rFonts w:ascii="Times New Roman" w:hAnsi="Times New Roman"/>
          <w:kern w:val="0"/>
          <w:szCs w:val="24"/>
        </w:rPr>
        <w:t>3.3</w:t>
      </w:r>
      <w:r w:rsidRPr="00701155">
        <w:rPr>
          <w:rFonts w:ascii="Times New Roman" w:hAnsi="Times New Roman" w:hint="eastAsia"/>
          <w:kern w:val="0"/>
          <w:szCs w:val="24"/>
        </w:rPr>
        <w:t xml:space="preserve"> </w:t>
      </w:r>
      <w:r w:rsidRPr="00701155">
        <w:rPr>
          <w:rFonts w:ascii="Times New Roman" w:hAnsi="Times New Roman" w:hint="eastAsia"/>
          <w:kern w:val="0"/>
          <w:szCs w:val="24"/>
        </w:rPr>
        <w:t>过去三年基金的利润分配情况</w:t>
      </w:r>
      <w:bookmarkEnd w:id="21"/>
      <w:bookmarkEnd w:id="22"/>
    </w:p>
    <w:p w:rsidR="00E63239" w:rsidRPr="005531B6" w:rsidRDefault="00E63239" w:rsidP="005531B6">
      <w:pPr>
        <w:pStyle w:val="a0"/>
        <w:spacing w:line="360" w:lineRule="auto"/>
        <w:ind w:firstLine="480"/>
        <w:jc w:val="right"/>
        <w:rPr>
          <w:color w:val="000000"/>
          <w:kern w:val="0"/>
          <w:sz w:val="24"/>
        </w:rPr>
      </w:pPr>
      <w:r w:rsidRPr="005531B6">
        <w:rPr>
          <w:rFonts w:hint="eastAsia"/>
          <w:color w:val="000000"/>
          <w:kern w:val="0"/>
          <w:sz w:val="24"/>
        </w:rPr>
        <w:t>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336"/>
        <w:gridCol w:w="1663"/>
        <w:gridCol w:w="1739"/>
        <w:gridCol w:w="1701"/>
        <w:gridCol w:w="1060"/>
      </w:tblGrid>
      <w:tr w:rsidR="00E63239" w:rsidRPr="00C51C77" w:rsidTr="00294271">
        <w:tc>
          <w:tcPr>
            <w:tcW w:w="1499" w:type="dxa"/>
            <w:vAlign w:val="center"/>
          </w:tcPr>
          <w:p w:rsidR="00E63239" w:rsidRPr="005531B6" w:rsidRDefault="00E63239" w:rsidP="00630017">
            <w:pPr>
              <w:spacing w:before="29" w:line="288" w:lineRule="auto"/>
              <w:jc w:val="center"/>
              <w:rPr>
                <w:sz w:val="24"/>
              </w:rPr>
            </w:pPr>
            <w:r w:rsidRPr="005531B6">
              <w:rPr>
                <w:rFonts w:hint="eastAsia"/>
                <w:sz w:val="24"/>
              </w:rPr>
              <w:t>年度</w:t>
            </w:r>
          </w:p>
        </w:tc>
        <w:tc>
          <w:tcPr>
            <w:tcW w:w="1336" w:type="dxa"/>
            <w:vAlign w:val="center"/>
          </w:tcPr>
          <w:p w:rsidR="00E63239" w:rsidRPr="005531B6" w:rsidRDefault="00E63239" w:rsidP="00630017">
            <w:pPr>
              <w:spacing w:before="29" w:line="288" w:lineRule="auto"/>
              <w:jc w:val="center"/>
              <w:rPr>
                <w:sz w:val="24"/>
              </w:rPr>
            </w:pPr>
            <w:r w:rsidRPr="005531B6">
              <w:rPr>
                <w:rFonts w:hint="eastAsia"/>
                <w:sz w:val="24"/>
              </w:rPr>
              <w:t>每</w:t>
            </w:r>
            <w:r w:rsidRPr="005531B6">
              <w:rPr>
                <w:sz w:val="24"/>
              </w:rPr>
              <w:t>10</w:t>
            </w:r>
            <w:r w:rsidRPr="005531B6">
              <w:rPr>
                <w:rFonts w:hint="eastAsia"/>
                <w:sz w:val="24"/>
              </w:rPr>
              <w:t>份基金份额分红数</w:t>
            </w:r>
          </w:p>
        </w:tc>
        <w:tc>
          <w:tcPr>
            <w:tcW w:w="1663" w:type="dxa"/>
            <w:vAlign w:val="center"/>
          </w:tcPr>
          <w:p w:rsidR="00E63239" w:rsidRPr="005531B6" w:rsidRDefault="00E63239" w:rsidP="00630017">
            <w:pPr>
              <w:spacing w:before="29" w:line="288" w:lineRule="auto"/>
              <w:jc w:val="center"/>
              <w:rPr>
                <w:sz w:val="24"/>
              </w:rPr>
            </w:pPr>
            <w:r w:rsidRPr="005531B6">
              <w:rPr>
                <w:rFonts w:hint="eastAsia"/>
                <w:sz w:val="24"/>
              </w:rPr>
              <w:t>现金形式发放总额</w:t>
            </w:r>
          </w:p>
        </w:tc>
        <w:tc>
          <w:tcPr>
            <w:tcW w:w="1739" w:type="dxa"/>
            <w:vAlign w:val="center"/>
          </w:tcPr>
          <w:p w:rsidR="00E63239" w:rsidRPr="005531B6" w:rsidRDefault="00E63239" w:rsidP="00630017">
            <w:pPr>
              <w:spacing w:before="29" w:line="288" w:lineRule="auto"/>
              <w:jc w:val="center"/>
              <w:rPr>
                <w:sz w:val="24"/>
              </w:rPr>
            </w:pPr>
            <w:r w:rsidRPr="005531B6">
              <w:rPr>
                <w:rFonts w:hint="eastAsia"/>
                <w:sz w:val="24"/>
              </w:rPr>
              <w:t>再投资形式发放总额</w:t>
            </w:r>
          </w:p>
        </w:tc>
        <w:tc>
          <w:tcPr>
            <w:tcW w:w="1701" w:type="dxa"/>
            <w:vAlign w:val="center"/>
          </w:tcPr>
          <w:p w:rsidR="00E63239" w:rsidRPr="005531B6" w:rsidRDefault="00E63239" w:rsidP="00630017">
            <w:pPr>
              <w:spacing w:before="29" w:line="288" w:lineRule="auto"/>
              <w:jc w:val="center"/>
              <w:rPr>
                <w:sz w:val="24"/>
              </w:rPr>
            </w:pPr>
            <w:r w:rsidRPr="005531B6">
              <w:rPr>
                <w:rFonts w:hint="eastAsia"/>
                <w:sz w:val="24"/>
              </w:rPr>
              <w:t>年度利润分配合计</w:t>
            </w:r>
          </w:p>
        </w:tc>
        <w:tc>
          <w:tcPr>
            <w:tcW w:w="1060" w:type="dxa"/>
            <w:vAlign w:val="center"/>
          </w:tcPr>
          <w:p w:rsidR="00E63239" w:rsidRPr="005531B6" w:rsidRDefault="00E63239" w:rsidP="00630017">
            <w:pPr>
              <w:spacing w:before="29" w:line="288" w:lineRule="auto"/>
              <w:jc w:val="center"/>
              <w:rPr>
                <w:sz w:val="24"/>
              </w:rPr>
            </w:pPr>
            <w:r w:rsidRPr="005531B6">
              <w:rPr>
                <w:rFonts w:hint="eastAsia"/>
                <w:sz w:val="24"/>
              </w:rPr>
              <w:t>备注</w:t>
            </w:r>
          </w:p>
        </w:tc>
      </w:tr>
      <w:tr w:rsidR="007C483C">
        <w:tc>
          <w:tcPr>
            <w:tcW w:w="1499" w:type="dxa"/>
            <w:vAlign w:val="center"/>
          </w:tcPr>
          <w:p w:rsidR="007C483C" w:rsidRDefault="007F41B2">
            <w:pPr>
              <w:jc w:val="center"/>
            </w:pPr>
            <w:r>
              <w:rPr>
                <w:color w:val="000000"/>
                <w:sz w:val="24"/>
              </w:rPr>
              <w:t>2017</w:t>
            </w:r>
            <w:r>
              <w:rPr>
                <w:color w:val="000000"/>
                <w:sz w:val="24"/>
              </w:rPr>
              <w:t>年</w:t>
            </w:r>
          </w:p>
        </w:tc>
        <w:tc>
          <w:tcPr>
            <w:tcW w:w="1336" w:type="dxa"/>
            <w:vAlign w:val="center"/>
          </w:tcPr>
          <w:p w:rsidR="007C483C" w:rsidRDefault="007F41B2">
            <w:pPr>
              <w:jc w:val="right"/>
            </w:pPr>
            <w:r>
              <w:rPr>
                <w:color w:val="000000"/>
                <w:sz w:val="24"/>
              </w:rPr>
              <w:t>-</w:t>
            </w:r>
          </w:p>
        </w:tc>
        <w:tc>
          <w:tcPr>
            <w:tcW w:w="1663" w:type="dxa"/>
            <w:vAlign w:val="center"/>
          </w:tcPr>
          <w:p w:rsidR="007C483C" w:rsidRDefault="007F41B2">
            <w:pPr>
              <w:jc w:val="right"/>
            </w:pPr>
            <w:r>
              <w:rPr>
                <w:color w:val="000000"/>
                <w:sz w:val="24"/>
              </w:rPr>
              <w:t>-</w:t>
            </w:r>
          </w:p>
        </w:tc>
        <w:tc>
          <w:tcPr>
            <w:tcW w:w="1739" w:type="dxa"/>
            <w:vAlign w:val="center"/>
          </w:tcPr>
          <w:p w:rsidR="007C483C" w:rsidRDefault="007F41B2">
            <w:pPr>
              <w:jc w:val="right"/>
            </w:pPr>
            <w:r>
              <w:rPr>
                <w:color w:val="000000"/>
                <w:sz w:val="24"/>
              </w:rPr>
              <w:t>-</w:t>
            </w:r>
          </w:p>
        </w:tc>
        <w:tc>
          <w:tcPr>
            <w:tcW w:w="1701" w:type="dxa"/>
            <w:vAlign w:val="center"/>
          </w:tcPr>
          <w:p w:rsidR="007C483C" w:rsidRDefault="007F41B2">
            <w:pPr>
              <w:jc w:val="right"/>
            </w:pPr>
            <w:r>
              <w:rPr>
                <w:color w:val="000000"/>
                <w:sz w:val="24"/>
              </w:rPr>
              <w:t>-</w:t>
            </w:r>
          </w:p>
        </w:tc>
        <w:tc>
          <w:tcPr>
            <w:tcW w:w="1060" w:type="dxa"/>
            <w:vAlign w:val="center"/>
          </w:tcPr>
          <w:p w:rsidR="007C483C" w:rsidRDefault="007F41B2">
            <w:pPr>
              <w:jc w:val="left"/>
            </w:pPr>
            <w:r>
              <w:rPr>
                <w:color w:val="000000"/>
                <w:sz w:val="24"/>
              </w:rPr>
              <w:t>-</w:t>
            </w:r>
          </w:p>
        </w:tc>
      </w:tr>
      <w:tr w:rsidR="007C483C">
        <w:tc>
          <w:tcPr>
            <w:tcW w:w="1499" w:type="dxa"/>
            <w:vAlign w:val="center"/>
          </w:tcPr>
          <w:p w:rsidR="007C483C" w:rsidRDefault="007F41B2">
            <w:pPr>
              <w:jc w:val="center"/>
            </w:pPr>
            <w:r>
              <w:rPr>
                <w:color w:val="000000"/>
                <w:sz w:val="24"/>
              </w:rPr>
              <w:t>2016</w:t>
            </w:r>
            <w:r>
              <w:rPr>
                <w:color w:val="000000"/>
                <w:sz w:val="24"/>
              </w:rPr>
              <w:t>年</w:t>
            </w:r>
          </w:p>
        </w:tc>
        <w:tc>
          <w:tcPr>
            <w:tcW w:w="1336" w:type="dxa"/>
            <w:vAlign w:val="center"/>
          </w:tcPr>
          <w:p w:rsidR="007C483C" w:rsidRDefault="007F41B2">
            <w:pPr>
              <w:jc w:val="right"/>
            </w:pPr>
            <w:r>
              <w:rPr>
                <w:color w:val="000000"/>
                <w:sz w:val="24"/>
              </w:rPr>
              <w:t>0.330</w:t>
            </w:r>
          </w:p>
        </w:tc>
        <w:tc>
          <w:tcPr>
            <w:tcW w:w="1663" w:type="dxa"/>
            <w:vAlign w:val="center"/>
          </w:tcPr>
          <w:p w:rsidR="007C483C" w:rsidRDefault="007F41B2">
            <w:pPr>
              <w:jc w:val="right"/>
            </w:pPr>
            <w:r>
              <w:rPr>
                <w:color w:val="000000"/>
                <w:sz w:val="24"/>
              </w:rPr>
              <w:t>14,474,812.58</w:t>
            </w:r>
          </w:p>
        </w:tc>
        <w:tc>
          <w:tcPr>
            <w:tcW w:w="1739" w:type="dxa"/>
            <w:vAlign w:val="center"/>
          </w:tcPr>
          <w:p w:rsidR="007C483C" w:rsidRDefault="007F41B2">
            <w:pPr>
              <w:jc w:val="right"/>
            </w:pPr>
            <w:r>
              <w:rPr>
                <w:color w:val="000000"/>
                <w:sz w:val="24"/>
              </w:rPr>
              <w:t>-</w:t>
            </w:r>
          </w:p>
        </w:tc>
        <w:tc>
          <w:tcPr>
            <w:tcW w:w="1701" w:type="dxa"/>
            <w:vAlign w:val="center"/>
          </w:tcPr>
          <w:p w:rsidR="007C483C" w:rsidRDefault="007F41B2">
            <w:pPr>
              <w:jc w:val="right"/>
            </w:pPr>
            <w:r>
              <w:rPr>
                <w:color w:val="000000"/>
                <w:sz w:val="24"/>
              </w:rPr>
              <w:t>14,474,812.58</w:t>
            </w:r>
          </w:p>
        </w:tc>
        <w:tc>
          <w:tcPr>
            <w:tcW w:w="1060" w:type="dxa"/>
            <w:vAlign w:val="center"/>
          </w:tcPr>
          <w:p w:rsidR="007C483C" w:rsidRDefault="007F41B2">
            <w:pPr>
              <w:jc w:val="left"/>
            </w:pPr>
            <w:r>
              <w:rPr>
                <w:color w:val="000000"/>
                <w:sz w:val="24"/>
              </w:rPr>
              <w:t>-</w:t>
            </w:r>
          </w:p>
        </w:tc>
      </w:tr>
      <w:tr w:rsidR="00E63239" w:rsidRPr="00C51C77" w:rsidTr="00294271">
        <w:tc>
          <w:tcPr>
            <w:tcW w:w="1499" w:type="dxa"/>
            <w:vAlign w:val="center"/>
          </w:tcPr>
          <w:p w:rsidR="00E63239" w:rsidRPr="00C6200C" w:rsidRDefault="00E63239" w:rsidP="003F79D5">
            <w:pPr>
              <w:spacing w:before="29" w:line="288" w:lineRule="auto"/>
              <w:jc w:val="center"/>
              <w:rPr>
                <w:color w:val="000000"/>
                <w:sz w:val="24"/>
              </w:rPr>
            </w:pPr>
            <w:r w:rsidRPr="00C6200C">
              <w:rPr>
                <w:rFonts w:hint="eastAsia"/>
                <w:color w:val="000000"/>
                <w:sz w:val="24"/>
              </w:rPr>
              <w:t>合计</w:t>
            </w:r>
          </w:p>
        </w:tc>
        <w:tc>
          <w:tcPr>
            <w:tcW w:w="1336" w:type="dxa"/>
            <w:vAlign w:val="center"/>
          </w:tcPr>
          <w:p w:rsidR="00E63239" w:rsidRPr="00C6200C" w:rsidRDefault="00E63239" w:rsidP="00294271">
            <w:pPr>
              <w:spacing w:before="29" w:line="288" w:lineRule="auto"/>
              <w:jc w:val="right"/>
              <w:rPr>
                <w:color w:val="000000"/>
                <w:sz w:val="24"/>
              </w:rPr>
            </w:pPr>
            <w:r w:rsidRPr="00C6200C">
              <w:rPr>
                <w:color w:val="000000"/>
                <w:sz w:val="24"/>
              </w:rPr>
              <w:t>0.330</w:t>
            </w:r>
          </w:p>
        </w:tc>
        <w:tc>
          <w:tcPr>
            <w:tcW w:w="1663" w:type="dxa"/>
            <w:vAlign w:val="center"/>
          </w:tcPr>
          <w:p w:rsidR="00E63239" w:rsidRPr="00C6200C" w:rsidRDefault="00E63239" w:rsidP="00294271">
            <w:pPr>
              <w:spacing w:before="29" w:line="288" w:lineRule="auto"/>
              <w:jc w:val="right"/>
              <w:rPr>
                <w:color w:val="000000"/>
                <w:sz w:val="24"/>
              </w:rPr>
            </w:pPr>
            <w:r w:rsidRPr="00C6200C">
              <w:rPr>
                <w:color w:val="000000"/>
                <w:sz w:val="24"/>
              </w:rPr>
              <w:t>14,474,812.58</w:t>
            </w:r>
          </w:p>
        </w:tc>
        <w:tc>
          <w:tcPr>
            <w:tcW w:w="1739"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c>
          <w:tcPr>
            <w:tcW w:w="1701" w:type="dxa"/>
            <w:vAlign w:val="center"/>
          </w:tcPr>
          <w:p w:rsidR="00E63239" w:rsidRPr="00C6200C" w:rsidRDefault="00E63239" w:rsidP="00294271">
            <w:pPr>
              <w:spacing w:before="29" w:line="288" w:lineRule="auto"/>
              <w:jc w:val="right"/>
              <w:rPr>
                <w:color w:val="000000"/>
                <w:sz w:val="24"/>
              </w:rPr>
            </w:pPr>
            <w:r w:rsidRPr="00C6200C">
              <w:rPr>
                <w:color w:val="000000"/>
                <w:sz w:val="24"/>
              </w:rPr>
              <w:t>14,474,812.58</w:t>
            </w:r>
          </w:p>
        </w:tc>
        <w:tc>
          <w:tcPr>
            <w:tcW w:w="1060" w:type="dxa"/>
            <w:vAlign w:val="center"/>
          </w:tcPr>
          <w:p w:rsidR="00E63239" w:rsidRPr="00C6200C" w:rsidRDefault="00E63239" w:rsidP="00294271">
            <w:pPr>
              <w:spacing w:before="29" w:line="288" w:lineRule="auto"/>
              <w:jc w:val="right"/>
              <w:rPr>
                <w:color w:val="000000"/>
                <w:sz w:val="24"/>
              </w:rPr>
            </w:pPr>
            <w:r w:rsidRPr="00C6200C">
              <w:rPr>
                <w:color w:val="000000"/>
                <w:sz w:val="24"/>
              </w:rPr>
              <w:t>-</w:t>
            </w:r>
          </w:p>
        </w:tc>
      </w:tr>
    </w:tbl>
    <w:p w:rsidR="00ED0CB9" w:rsidRPr="00C6200C" w:rsidRDefault="00ED0CB9" w:rsidP="00C6200C">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23" w:name="_Toc225498254"/>
      <w:bookmarkStart w:id="24" w:name="_Toc361324854"/>
      <w:r w:rsidRPr="00053438">
        <w:rPr>
          <w:rFonts w:hint="eastAsia"/>
          <w:b/>
          <w:bCs/>
          <w:szCs w:val="24"/>
          <w:lang w:val="en-US"/>
        </w:rPr>
        <w:t>§</w:t>
      </w:r>
      <w:r w:rsidRPr="00053438">
        <w:rPr>
          <w:b/>
          <w:bCs/>
          <w:szCs w:val="24"/>
          <w:lang w:val="en-US"/>
        </w:rPr>
        <w:t xml:space="preserve">4  </w:t>
      </w:r>
      <w:r w:rsidRPr="00053438">
        <w:rPr>
          <w:rFonts w:hint="eastAsia"/>
          <w:b/>
          <w:bCs/>
          <w:szCs w:val="24"/>
          <w:lang w:val="en-US"/>
        </w:rPr>
        <w:t>管理人报告</w:t>
      </w:r>
      <w:bookmarkEnd w:id="23"/>
      <w:bookmarkEnd w:id="24"/>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25" w:name="_Toc361324855"/>
      <w:r w:rsidRPr="00701155">
        <w:rPr>
          <w:rFonts w:ascii="Times New Roman" w:hAnsi="Times New Roman"/>
          <w:kern w:val="0"/>
          <w:szCs w:val="24"/>
        </w:rPr>
        <w:t xml:space="preserve">4.1 </w:t>
      </w:r>
      <w:r w:rsidRPr="00701155">
        <w:rPr>
          <w:rFonts w:ascii="Times New Roman" w:hAnsi="Times New Roman" w:hint="eastAsia"/>
          <w:kern w:val="0"/>
          <w:szCs w:val="24"/>
        </w:rPr>
        <w:t>基金管理人及基金经理情况</w:t>
      </w:r>
      <w:bookmarkEnd w:id="25"/>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基金管理人及其管理基金的经验</w:t>
      </w:r>
    </w:p>
    <w:p w:rsidR="007C483C" w:rsidRDefault="007F41B2">
      <w:pPr>
        <w:spacing w:before="29" w:line="288" w:lineRule="auto"/>
        <w:ind w:firstLineChars="200" w:firstLine="480"/>
        <w:rPr>
          <w:color w:val="000000"/>
          <w:sz w:val="24"/>
        </w:rPr>
      </w:pPr>
      <w:r>
        <w:rPr>
          <w:color w:val="000000"/>
          <w:sz w:val="24"/>
        </w:rPr>
        <w:t>交银施罗德基金管理有限公司是经中国证监会证监基金字</w:t>
      </w:r>
      <w:r>
        <w:rPr>
          <w:color w:val="000000"/>
          <w:sz w:val="24"/>
        </w:rPr>
        <w:t>[2005]128</w:t>
      </w:r>
      <w:r>
        <w:rPr>
          <w:color w:val="000000"/>
          <w:sz w:val="24"/>
        </w:rPr>
        <w:t>号文批准，由交通银行股份有限公司、施罗德投资管理有限公司、中国国际海运集装箱（集团）股份有限公司共同发起设立。公司成立于</w:t>
      </w:r>
      <w:r>
        <w:rPr>
          <w:color w:val="000000"/>
          <w:sz w:val="24"/>
        </w:rPr>
        <w:t>2005</w:t>
      </w:r>
      <w:r>
        <w:rPr>
          <w:color w:val="000000"/>
          <w:sz w:val="24"/>
        </w:rPr>
        <w:t>年</w:t>
      </w:r>
      <w:r>
        <w:rPr>
          <w:color w:val="000000"/>
          <w:sz w:val="24"/>
        </w:rPr>
        <w:t>8</w:t>
      </w:r>
      <w:r>
        <w:rPr>
          <w:color w:val="000000"/>
          <w:sz w:val="24"/>
        </w:rPr>
        <w:t>月</w:t>
      </w:r>
      <w:r>
        <w:rPr>
          <w:color w:val="000000"/>
          <w:sz w:val="24"/>
        </w:rPr>
        <w:t>4</w:t>
      </w:r>
      <w:r>
        <w:rPr>
          <w:color w:val="000000"/>
          <w:sz w:val="24"/>
        </w:rPr>
        <w:t>日，注册地在中国上海，注册资本金为</w:t>
      </w:r>
      <w:r>
        <w:rPr>
          <w:color w:val="000000"/>
          <w:sz w:val="24"/>
        </w:rPr>
        <w:t>2</w:t>
      </w:r>
      <w:r>
        <w:rPr>
          <w:color w:val="000000"/>
          <w:sz w:val="24"/>
        </w:rPr>
        <w:t>亿元人民币。其中，交通银行股份有限公司持有</w:t>
      </w:r>
      <w:r>
        <w:rPr>
          <w:color w:val="000000"/>
          <w:sz w:val="24"/>
        </w:rPr>
        <w:t>65%</w:t>
      </w:r>
      <w:r>
        <w:rPr>
          <w:color w:val="000000"/>
          <w:sz w:val="24"/>
        </w:rPr>
        <w:t>的股份，施罗德投资管理有限公司持有</w:t>
      </w:r>
      <w:r>
        <w:rPr>
          <w:color w:val="000000"/>
          <w:sz w:val="24"/>
        </w:rPr>
        <w:t>30%</w:t>
      </w:r>
      <w:r>
        <w:rPr>
          <w:color w:val="000000"/>
          <w:sz w:val="24"/>
        </w:rPr>
        <w:t>的股份，中国国际海运集装箱（集团）股份有限公司持有</w:t>
      </w:r>
      <w:r>
        <w:rPr>
          <w:color w:val="000000"/>
          <w:sz w:val="24"/>
        </w:rPr>
        <w:t>5%</w:t>
      </w:r>
      <w:r>
        <w:rPr>
          <w:color w:val="000000"/>
          <w:sz w:val="24"/>
        </w:rPr>
        <w:t>的股份。公司并下设交银施罗德资产管理（香港）有限公司和交银施罗德资产管理有限公司。</w:t>
      </w:r>
    </w:p>
    <w:p w:rsidR="001A59F9" w:rsidRPr="0013437B" w:rsidRDefault="001A59F9" w:rsidP="0013437B">
      <w:pPr>
        <w:spacing w:before="29" w:line="288" w:lineRule="auto"/>
        <w:ind w:firstLineChars="200" w:firstLine="480"/>
        <w:rPr>
          <w:color w:val="000000"/>
          <w:sz w:val="24"/>
        </w:rPr>
      </w:pPr>
      <w:r w:rsidRPr="0013437B">
        <w:rPr>
          <w:color w:val="000000"/>
          <w:sz w:val="24"/>
        </w:rPr>
        <w:t>截至报告期末，公司管理了包括货币型、债券型、保本混合型、普通混合型和股票型在内的</w:t>
      </w:r>
      <w:r w:rsidRPr="0013437B">
        <w:rPr>
          <w:color w:val="000000"/>
          <w:sz w:val="24"/>
        </w:rPr>
        <w:t>78</w:t>
      </w:r>
      <w:r w:rsidRPr="0013437B">
        <w:rPr>
          <w:color w:val="000000"/>
          <w:sz w:val="24"/>
        </w:rPr>
        <w:t>只基金，其中股票型涵盖普通指数型、交易型开放式（</w:t>
      </w:r>
      <w:r w:rsidRPr="0013437B">
        <w:rPr>
          <w:color w:val="000000"/>
          <w:sz w:val="24"/>
        </w:rPr>
        <w:t>ETF</w:t>
      </w:r>
      <w:r w:rsidRPr="0013437B">
        <w:rPr>
          <w:color w:val="000000"/>
          <w:sz w:val="24"/>
        </w:rPr>
        <w:t>）、</w:t>
      </w:r>
      <w:r w:rsidRPr="0013437B">
        <w:rPr>
          <w:color w:val="000000"/>
          <w:sz w:val="24"/>
        </w:rPr>
        <w:t>QDII</w:t>
      </w:r>
      <w:r w:rsidRPr="0013437B">
        <w:rPr>
          <w:color w:val="000000"/>
          <w:sz w:val="24"/>
        </w:rPr>
        <w:t>等不同类型基金。</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4.1.2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基金经理（或基金经理小组）及基金经理助理的简介</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090"/>
        <w:gridCol w:w="1910"/>
      </w:tblGrid>
      <w:tr w:rsidR="001A59F9" w:rsidRPr="00C51C77" w:rsidTr="001622C3">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姓名</w:t>
            </w:r>
          </w:p>
        </w:tc>
        <w:tc>
          <w:tcPr>
            <w:tcW w:w="1499"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职务</w:t>
            </w:r>
          </w:p>
        </w:tc>
        <w:tc>
          <w:tcPr>
            <w:tcW w:w="3000" w:type="dxa"/>
            <w:gridSpan w:val="2"/>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任本基金的基金经理</w:t>
            </w:r>
            <w:r w:rsidR="00F07263" w:rsidRPr="00792D48">
              <w:rPr>
                <w:rFonts w:hint="eastAsia"/>
                <w:color w:val="000000"/>
                <w:sz w:val="24"/>
              </w:rPr>
              <w:t>（助理）</w:t>
            </w:r>
            <w:r w:rsidRPr="00792D48">
              <w:rPr>
                <w:rFonts w:hint="eastAsia"/>
                <w:color w:val="000000"/>
                <w:sz w:val="24"/>
              </w:rPr>
              <w:t>期限</w:t>
            </w:r>
          </w:p>
        </w:tc>
        <w:tc>
          <w:tcPr>
            <w:tcW w:w="109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证券从业年限</w:t>
            </w:r>
          </w:p>
        </w:tc>
        <w:tc>
          <w:tcPr>
            <w:tcW w:w="1910" w:type="dxa"/>
            <w:vMerge w:val="restart"/>
            <w:vAlign w:val="center"/>
          </w:tcPr>
          <w:p w:rsidR="001A59F9" w:rsidRPr="00792D48" w:rsidRDefault="001A59F9" w:rsidP="00792D48">
            <w:pPr>
              <w:spacing w:before="29" w:line="288" w:lineRule="auto"/>
              <w:jc w:val="center"/>
              <w:rPr>
                <w:color w:val="000000"/>
                <w:sz w:val="24"/>
              </w:rPr>
            </w:pPr>
            <w:r w:rsidRPr="00792D48">
              <w:rPr>
                <w:rFonts w:hint="eastAsia"/>
                <w:color w:val="000000"/>
                <w:sz w:val="24"/>
              </w:rPr>
              <w:t>说明</w:t>
            </w:r>
          </w:p>
        </w:tc>
      </w:tr>
      <w:tr w:rsidR="001A59F9" w:rsidRPr="00C51C77" w:rsidTr="001622C3">
        <w:tc>
          <w:tcPr>
            <w:tcW w:w="1499"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499" w:type="dxa"/>
            <w:vMerge/>
            <w:vAlign w:val="center"/>
          </w:tcPr>
          <w:p w:rsidR="001A59F9" w:rsidRPr="001622C3" w:rsidRDefault="001A59F9" w:rsidP="001622C3">
            <w:pPr>
              <w:spacing w:before="29" w:line="288" w:lineRule="auto"/>
              <w:jc w:val="center"/>
              <w:rPr>
                <w:color w:val="000000"/>
                <w:sz w:val="24"/>
              </w:rPr>
            </w:pP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任职日期</w:t>
            </w:r>
          </w:p>
        </w:tc>
        <w:tc>
          <w:tcPr>
            <w:tcW w:w="1500" w:type="dxa"/>
            <w:vAlign w:val="center"/>
          </w:tcPr>
          <w:p w:rsidR="001A59F9" w:rsidRPr="001622C3" w:rsidRDefault="001A59F9" w:rsidP="001622C3">
            <w:pPr>
              <w:spacing w:before="29" w:line="288" w:lineRule="auto"/>
              <w:jc w:val="center"/>
              <w:rPr>
                <w:color w:val="000000"/>
                <w:sz w:val="24"/>
              </w:rPr>
            </w:pPr>
            <w:r w:rsidRPr="001622C3">
              <w:rPr>
                <w:rFonts w:hint="eastAsia"/>
                <w:color w:val="000000"/>
                <w:sz w:val="24"/>
              </w:rPr>
              <w:t>离任日期</w:t>
            </w:r>
          </w:p>
        </w:tc>
        <w:tc>
          <w:tcPr>
            <w:tcW w:w="109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c>
          <w:tcPr>
            <w:tcW w:w="1910" w:type="dxa"/>
            <w:vMerge/>
            <w:vAlign w:val="center"/>
          </w:tcPr>
          <w:p w:rsidR="001A59F9" w:rsidRPr="00C51C77" w:rsidRDefault="001A59F9" w:rsidP="00026C9C">
            <w:pPr>
              <w:widowControl/>
              <w:spacing w:line="360" w:lineRule="auto"/>
              <w:jc w:val="left"/>
              <w:rPr>
                <w:rFonts w:asciiTheme="minorEastAsia" w:eastAsiaTheme="minorEastAsia" w:hAnsiTheme="minorEastAsia"/>
                <w:color w:val="000000"/>
                <w:szCs w:val="21"/>
              </w:rPr>
            </w:pPr>
          </w:p>
        </w:tc>
      </w:tr>
      <w:tr w:rsidR="007C483C">
        <w:tc>
          <w:tcPr>
            <w:tcW w:w="1499" w:type="dxa"/>
            <w:vAlign w:val="center"/>
          </w:tcPr>
          <w:p w:rsidR="007C483C" w:rsidRDefault="007F41B2">
            <w:pPr>
              <w:jc w:val="center"/>
            </w:pPr>
            <w:r>
              <w:rPr>
                <w:color w:val="000000"/>
                <w:sz w:val="24"/>
              </w:rPr>
              <w:t>于海颖</w:t>
            </w:r>
          </w:p>
        </w:tc>
        <w:tc>
          <w:tcPr>
            <w:tcW w:w="1499" w:type="dxa"/>
            <w:vAlign w:val="center"/>
          </w:tcPr>
          <w:p w:rsidR="007C483C" w:rsidRDefault="007F41B2">
            <w:pPr>
              <w:jc w:val="center"/>
            </w:pPr>
            <w:r>
              <w:rPr>
                <w:color w:val="000000"/>
                <w:sz w:val="24"/>
              </w:rPr>
              <w:t>交银增利债券、交银纯债债券发起、交银荣祥保本混合、交银定期支付月月</w:t>
            </w:r>
            <w:r>
              <w:rPr>
                <w:color w:val="000000"/>
                <w:sz w:val="24"/>
              </w:rPr>
              <w:lastRenderedPageBreak/>
              <w:t>丰债券、交银增强收益债券、交银强化回报债券、交银丰盈收益债券、交银丰硕收益债券、交银荣鑫保本混合、交银增利增强债券的基金经理，公司固定收益（公募）投资总监</w:t>
            </w:r>
          </w:p>
        </w:tc>
        <w:tc>
          <w:tcPr>
            <w:tcW w:w="1500" w:type="dxa"/>
            <w:vAlign w:val="center"/>
          </w:tcPr>
          <w:p w:rsidR="007C483C" w:rsidRDefault="007F41B2">
            <w:pPr>
              <w:jc w:val="center"/>
            </w:pPr>
            <w:r>
              <w:rPr>
                <w:color w:val="000000"/>
                <w:sz w:val="24"/>
              </w:rPr>
              <w:lastRenderedPageBreak/>
              <w:t>2017-06-10</w:t>
            </w:r>
          </w:p>
        </w:tc>
        <w:tc>
          <w:tcPr>
            <w:tcW w:w="1500" w:type="dxa"/>
            <w:vAlign w:val="center"/>
          </w:tcPr>
          <w:p w:rsidR="007C483C" w:rsidRDefault="007F41B2">
            <w:pPr>
              <w:jc w:val="center"/>
            </w:pPr>
            <w:r>
              <w:rPr>
                <w:color w:val="000000"/>
                <w:sz w:val="24"/>
              </w:rPr>
              <w:t>-</w:t>
            </w:r>
          </w:p>
        </w:tc>
        <w:tc>
          <w:tcPr>
            <w:tcW w:w="1090" w:type="dxa"/>
            <w:vAlign w:val="center"/>
          </w:tcPr>
          <w:p w:rsidR="007C483C" w:rsidRDefault="007F41B2">
            <w:pPr>
              <w:jc w:val="center"/>
            </w:pPr>
            <w:r>
              <w:rPr>
                <w:color w:val="000000"/>
                <w:sz w:val="24"/>
              </w:rPr>
              <w:t>11</w:t>
            </w:r>
            <w:r>
              <w:rPr>
                <w:color w:val="000000"/>
                <w:sz w:val="24"/>
              </w:rPr>
              <w:t>年</w:t>
            </w:r>
          </w:p>
        </w:tc>
        <w:tc>
          <w:tcPr>
            <w:tcW w:w="1910" w:type="dxa"/>
            <w:vAlign w:val="center"/>
          </w:tcPr>
          <w:p w:rsidR="007C483C" w:rsidRDefault="007F41B2">
            <w:r>
              <w:rPr>
                <w:color w:val="000000"/>
                <w:sz w:val="24"/>
              </w:rPr>
              <w:t>于海颖女士，天津大学数量经济学硕士、经济学学士。历任北方国际信托投资股份有限公司固定收益研究员，光</w:t>
            </w:r>
            <w:r>
              <w:rPr>
                <w:color w:val="000000"/>
                <w:sz w:val="24"/>
              </w:rPr>
              <w:lastRenderedPageBreak/>
              <w:t>大保德信基金管理有限公司交易员、基金经理助理、基金经理，银华基金管理有限公司基金经理，五矿证券有限公司固定收益事业部投资管理部总经理。其中</w:t>
            </w:r>
            <w:r>
              <w:rPr>
                <w:color w:val="000000"/>
                <w:sz w:val="24"/>
              </w:rPr>
              <w:t>2007</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日任光大保德信货币市场基金基金经理，</w:t>
            </w:r>
            <w:r>
              <w:rPr>
                <w:color w:val="000000"/>
                <w:sz w:val="24"/>
              </w:rPr>
              <w:t>2008</w:t>
            </w:r>
            <w:r>
              <w:rPr>
                <w:color w:val="000000"/>
                <w:sz w:val="24"/>
              </w:rPr>
              <w:t>年</w:t>
            </w:r>
            <w:r>
              <w:rPr>
                <w:color w:val="000000"/>
                <w:sz w:val="24"/>
              </w:rPr>
              <w:t>10</w:t>
            </w:r>
            <w:r>
              <w:rPr>
                <w:color w:val="000000"/>
                <w:sz w:val="24"/>
              </w:rPr>
              <w:t>月</w:t>
            </w:r>
            <w:r>
              <w:rPr>
                <w:color w:val="000000"/>
                <w:sz w:val="24"/>
              </w:rPr>
              <w:t>29</w:t>
            </w:r>
            <w:r>
              <w:rPr>
                <w:color w:val="000000"/>
                <w:sz w:val="24"/>
              </w:rPr>
              <w:t>日至</w:t>
            </w:r>
            <w:r>
              <w:rPr>
                <w:color w:val="000000"/>
                <w:sz w:val="24"/>
              </w:rPr>
              <w:t>2010</w:t>
            </w:r>
            <w:r>
              <w:rPr>
                <w:color w:val="000000"/>
                <w:sz w:val="24"/>
              </w:rPr>
              <w:t>年</w:t>
            </w:r>
            <w:r>
              <w:rPr>
                <w:color w:val="000000"/>
                <w:sz w:val="24"/>
              </w:rPr>
              <w:t>8</w:t>
            </w:r>
            <w:r>
              <w:rPr>
                <w:color w:val="000000"/>
                <w:sz w:val="24"/>
              </w:rPr>
              <w:t>月</w:t>
            </w:r>
            <w:r>
              <w:rPr>
                <w:color w:val="000000"/>
                <w:sz w:val="24"/>
              </w:rPr>
              <w:t>30</w:t>
            </w:r>
            <w:r>
              <w:rPr>
                <w:color w:val="000000"/>
                <w:sz w:val="24"/>
              </w:rPr>
              <w:t>日任光大保德信增利收益债券型证券投资基金基金经理，</w:t>
            </w:r>
            <w:r>
              <w:rPr>
                <w:color w:val="000000"/>
                <w:sz w:val="24"/>
              </w:rPr>
              <w:t>2011</w:t>
            </w:r>
            <w:r>
              <w:rPr>
                <w:color w:val="000000"/>
                <w:sz w:val="24"/>
              </w:rPr>
              <w:t>年</w:t>
            </w:r>
            <w:r>
              <w:rPr>
                <w:color w:val="000000"/>
                <w:sz w:val="24"/>
              </w:rPr>
              <w:t>6</w:t>
            </w:r>
            <w:r>
              <w:rPr>
                <w:color w:val="000000"/>
                <w:sz w:val="24"/>
              </w:rPr>
              <w:t>月</w:t>
            </w:r>
            <w:r>
              <w:rPr>
                <w:color w:val="000000"/>
                <w:sz w:val="24"/>
              </w:rPr>
              <w:t>28</w:t>
            </w:r>
            <w:r>
              <w:rPr>
                <w:color w:val="000000"/>
                <w:sz w:val="24"/>
              </w:rPr>
              <w:t>日至</w:t>
            </w:r>
            <w:r>
              <w:rPr>
                <w:color w:val="000000"/>
                <w:sz w:val="24"/>
              </w:rPr>
              <w:t>2013</w:t>
            </w:r>
            <w:r>
              <w:rPr>
                <w:color w:val="000000"/>
                <w:sz w:val="24"/>
              </w:rPr>
              <w:t>年</w:t>
            </w:r>
            <w:r>
              <w:rPr>
                <w:color w:val="000000"/>
                <w:sz w:val="24"/>
              </w:rPr>
              <w:t>6</w:t>
            </w:r>
            <w:r>
              <w:rPr>
                <w:color w:val="000000"/>
                <w:sz w:val="24"/>
              </w:rPr>
              <w:t>月</w:t>
            </w:r>
            <w:r>
              <w:rPr>
                <w:color w:val="000000"/>
                <w:sz w:val="24"/>
              </w:rPr>
              <w:t>16</w:t>
            </w:r>
            <w:r>
              <w:rPr>
                <w:color w:val="000000"/>
                <w:sz w:val="24"/>
              </w:rPr>
              <w:t>日任银华永祥保本混合型证券投资基金基金经理，</w:t>
            </w:r>
            <w:r>
              <w:rPr>
                <w:color w:val="000000"/>
                <w:sz w:val="24"/>
              </w:rPr>
              <w:t>2011</w:t>
            </w:r>
            <w:r>
              <w:rPr>
                <w:color w:val="000000"/>
                <w:sz w:val="24"/>
              </w:rPr>
              <w:t>年</w:t>
            </w:r>
            <w:r>
              <w:rPr>
                <w:color w:val="000000"/>
                <w:sz w:val="24"/>
              </w:rPr>
              <w:t>8</w:t>
            </w:r>
            <w:r>
              <w:rPr>
                <w:color w:val="000000"/>
                <w:sz w:val="24"/>
              </w:rPr>
              <w:t>月</w:t>
            </w:r>
            <w:r>
              <w:rPr>
                <w:color w:val="000000"/>
                <w:sz w:val="24"/>
              </w:rPr>
              <w:t>2</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日任银华货币市场证券投资基金基金经理，</w:t>
            </w:r>
            <w:r>
              <w:rPr>
                <w:color w:val="000000"/>
                <w:sz w:val="24"/>
              </w:rPr>
              <w:t>2012</w:t>
            </w:r>
            <w:r>
              <w:rPr>
                <w:color w:val="000000"/>
                <w:sz w:val="24"/>
              </w:rPr>
              <w:t>年</w:t>
            </w:r>
            <w:r>
              <w:rPr>
                <w:color w:val="000000"/>
                <w:sz w:val="24"/>
              </w:rPr>
              <w:t>8</w:t>
            </w:r>
            <w:r>
              <w:rPr>
                <w:color w:val="000000"/>
                <w:sz w:val="24"/>
              </w:rPr>
              <w:t>月</w:t>
            </w:r>
            <w:r>
              <w:rPr>
                <w:color w:val="000000"/>
                <w:sz w:val="24"/>
              </w:rPr>
              <w:t>9</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日任银华纯债信用主题债券型证券投资基金（</w:t>
            </w:r>
            <w:r>
              <w:rPr>
                <w:color w:val="000000"/>
                <w:sz w:val="24"/>
              </w:rPr>
              <w:t>LOF</w:t>
            </w:r>
            <w:r>
              <w:rPr>
                <w:color w:val="000000"/>
                <w:sz w:val="24"/>
              </w:rPr>
              <w:t>）基金经理，</w:t>
            </w:r>
            <w:r>
              <w:rPr>
                <w:color w:val="000000"/>
                <w:sz w:val="24"/>
              </w:rPr>
              <w:t>2013</w:t>
            </w:r>
            <w:r>
              <w:rPr>
                <w:color w:val="000000"/>
                <w:sz w:val="24"/>
              </w:rPr>
              <w:t>年</w:t>
            </w:r>
            <w:r>
              <w:rPr>
                <w:color w:val="000000"/>
                <w:sz w:val="24"/>
              </w:rPr>
              <w:t>4</w:t>
            </w:r>
            <w:r>
              <w:rPr>
                <w:color w:val="000000"/>
                <w:sz w:val="24"/>
              </w:rPr>
              <w:t>月</w:t>
            </w:r>
            <w:r>
              <w:rPr>
                <w:color w:val="000000"/>
                <w:sz w:val="24"/>
              </w:rPr>
              <w:t>1</w:t>
            </w:r>
            <w:r>
              <w:rPr>
                <w:color w:val="000000"/>
                <w:sz w:val="24"/>
              </w:rPr>
              <w:t>日至</w:t>
            </w:r>
            <w:r>
              <w:rPr>
                <w:color w:val="000000"/>
                <w:sz w:val="24"/>
              </w:rPr>
              <w:t>2014</w:t>
            </w:r>
            <w:r>
              <w:rPr>
                <w:color w:val="000000"/>
                <w:sz w:val="24"/>
              </w:rPr>
              <w:t>年</w:t>
            </w:r>
            <w:r>
              <w:rPr>
                <w:color w:val="000000"/>
                <w:sz w:val="24"/>
              </w:rPr>
              <w:t>4</w:t>
            </w:r>
            <w:r>
              <w:rPr>
                <w:color w:val="000000"/>
                <w:sz w:val="24"/>
              </w:rPr>
              <w:t>月</w:t>
            </w:r>
            <w:r>
              <w:rPr>
                <w:color w:val="000000"/>
                <w:sz w:val="24"/>
              </w:rPr>
              <w:t>24</w:t>
            </w:r>
            <w:r>
              <w:rPr>
                <w:color w:val="000000"/>
                <w:sz w:val="24"/>
              </w:rPr>
              <w:t>日任银华交易型货币市场基金基金经理，</w:t>
            </w:r>
            <w:r>
              <w:rPr>
                <w:color w:val="000000"/>
                <w:sz w:val="24"/>
              </w:rPr>
              <w:t>2013</w:t>
            </w:r>
            <w:r>
              <w:rPr>
                <w:color w:val="000000"/>
                <w:sz w:val="24"/>
              </w:rPr>
              <w:t>年</w:t>
            </w:r>
            <w:r>
              <w:rPr>
                <w:color w:val="000000"/>
                <w:sz w:val="24"/>
              </w:rPr>
              <w:t>8</w:t>
            </w:r>
            <w:r>
              <w:rPr>
                <w:color w:val="000000"/>
                <w:sz w:val="24"/>
              </w:rPr>
              <w:t>月</w:t>
            </w:r>
            <w:r>
              <w:rPr>
                <w:color w:val="000000"/>
                <w:sz w:val="24"/>
              </w:rPr>
              <w:t>7</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w:t>
            </w:r>
            <w:r>
              <w:rPr>
                <w:color w:val="000000"/>
                <w:sz w:val="24"/>
              </w:rPr>
              <w:lastRenderedPageBreak/>
              <w:t>四季红债券型证券投资基金基金经理，</w:t>
            </w:r>
            <w:r>
              <w:rPr>
                <w:color w:val="000000"/>
                <w:sz w:val="24"/>
              </w:rPr>
              <w:t>2013</w:t>
            </w:r>
            <w:r>
              <w:rPr>
                <w:color w:val="000000"/>
                <w:sz w:val="24"/>
              </w:rPr>
              <w:t>年</w:t>
            </w:r>
            <w:r>
              <w:rPr>
                <w:color w:val="000000"/>
                <w:sz w:val="24"/>
              </w:rPr>
              <w:t>9</w:t>
            </w:r>
            <w:r>
              <w:rPr>
                <w:color w:val="000000"/>
                <w:sz w:val="24"/>
              </w:rPr>
              <w:t>月</w:t>
            </w:r>
            <w:r>
              <w:rPr>
                <w:color w:val="000000"/>
                <w:sz w:val="24"/>
              </w:rPr>
              <w:t>18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日任银华信用季季红债券型证券投资基金基金经理，</w:t>
            </w:r>
            <w:r>
              <w:rPr>
                <w:color w:val="000000"/>
                <w:sz w:val="24"/>
              </w:rPr>
              <w:t>2014</w:t>
            </w:r>
            <w:r>
              <w:rPr>
                <w:color w:val="000000"/>
                <w:sz w:val="24"/>
              </w:rPr>
              <w:t>年</w:t>
            </w:r>
            <w:r>
              <w:rPr>
                <w:color w:val="000000"/>
                <w:sz w:val="24"/>
              </w:rPr>
              <w:t>5</w:t>
            </w:r>
            <w:r>
              <w:rPr>
                <w:color w:val="000000"/>
                <w:sz w:val="24"/>
              </w:rPr>
              <w:t>月</w:t>
            </w:r>
            <w:r>
              <w:rPr>
                <w:color w:val="000000"/>
                <w:sz w:val="24"/>
              </w:rPr>
              <w:t>8</w:t>
            </w:r>
            <w:r>
              <w:rPr>
                <w:color w:val="000000"/>
                <w:sz w:val="24"/>
              </w:rPr>
              <w:t>日至</w:t>
            </w:r>
            <w:r>
              <w:rPr>
                <w:color w:val="000000"/>
                <w:sz w:val="24"/>
              </w:rPr>
              <w:t>2014</w:t>
            </w:r>
            <w:r>
              <w:rPr>
                <w:color w:val="000000"/>
                <w:sz w:val="24"/>
              </w:rPr>
              <w:t>年</w:t>
            </w:r>
            <w:r>
              <w:rPr>
                <w:color w:val="000000"/>
                <w:sz w:val="24"/>
              </w:rPr>
              <w:t>10</w:t>
            </w:r>
            <w:r>
              <w:rPr>
                <w:color w:val="000000"/>
                <w:sz w:val="24"/>
              </w:rPr>
              <w:t>月</w:t>
            </w:r>
            <w:r>
              <w:rPr>
                <w:color w:val="000000"/>
                <w:sz w:val="24"/>
              </w:rPr>
              <w:t>7</w:t>
            </w:r>
            <w:r>
              <w:rPr>
                <w:color w:val="000000"/>
                <w:sz w:val="24"/>
              </w:rPr>
              <w:t>日任银华信用债券型证券投资基金</w:t>
            </w:r>
            <w:r>
              <w:rPr>
                <w:color w:val="000000"/>
                <w:sz w:val="24"/>
              </w:rPr>
              <w:t>(LOF)</w:t>
            </w:r>
            <w:r>
              <w:rPr>
                <w:color w:val="000000"/>
                <w:sz w:val="24"/>
              </w:rPr>
              <w:t>基金经理。</w:t>
            </w:r>
            <w:r>
              <w:rPr>
                <w:color w:val="000000"/>
                <w:sz w:val="24"/>
              </w:rPr>
              <w:t>2016</w:t>
            </w:r>
            <w:r>
              <w:rPr>
                <w:color w:val="000000"/>
                <w:sz w:val="24"/>
              </w:rPr>
              <w:t>年加入交银施罗德基金管理有限公司。</w:t>
            </w:r>
          </w:p>
        </w:tc>
      </w:tr>
      <w:tr w:rsidR="007C483C">
        <w:tc>
          <w:tcPr>
            <w:tcW w:w="1499" w:type="dxa"/>
            <w:vAlign w:val="center"/>
          </w:tcPr>
          <w:p w:rsidR="007C483C" w:rsidRDefault="007F41B2">
            <w:pPr>
              <w:jc w:val="center"/>
            </w:pPr>
            <w:r>
              <w:rPr>
                <w:color w:val="000000"/>
                <w:sz w:val="24"/>
              </w:rPr>
              <w:lastRenderedPageBreak/>
              <w:t>孙超</w:t>
            </w:r>
          </w:p>
        </w:tc>
        <w:tc>
          <w:tcPr>
            <w:tcW w:w="1499" w:type="dxa"/>
            <w:vAlign w:val="center"/>
          </w:tcPr>
          <w:p w:rsidR="007C483C" w:rsidRDefault="007F41B2">
            <w:pPr>
              <w:jc w:val="center"/>
            </w:pPr>
            <w:r>
              <w:rPr>
                <w:color w:val="000000"/>
                <w:sz w:val="24"/>
              </w:rPr>
              <w:t>交银增利债券、交银纯债债券发起、交银荣祥保本混合、交银定期支付月月丰债券、交银增强收益债券、交银强化回报债券、交银丰硕收益债券、交银荣鑫保本混合、交银增利增强债券的基金经理，公司固定收益部助理总经理</w:t>
            </w:r>
          </w:p>
        </w:tc>
        <w:tc>
          <w:tcPr>
            <w:tcW w:w="1500" w:type="dxa"/>
            <w:vAlign w:val="center"/>
          </w:tcPr>
          <w:p w:rsidR="007C483C" w:rsidRDefault="007F41B2">
            <w:pPr>
              <w:jc w:val="center"/>
            </w:pPr>
            <w:r>
              <w:rPr>
                <w:color w:val="000000"/>
                <w:sz w:val="24"/>
              </w:rPr>
              <w:t>2015-11-09</w:t>
            </w:r>
          </w:p>
        </w:tc>
        <w:tc>
          <w:tcPr>
            <w:tcW w:w="1500" w:type="dxa"/>
            <w:vAlign w:val="center"/>
          </w:tcPr>
          <w:p w:rsidR="007C483C" w:rsidRDefault="007F41B2">
            <w:pPr>
              <w:jc w:val="center"/>
            </w:pPr>
            <w:r>
              <w:rPr>
                <w:color w:val="000000"/>
                <w:sz w:val="24"/>
              </w:rPr>
              <w:t>2017-06-22</w:t>
            </w:r>
          </w:p>
        </w:tc>
        <w:tc>
          <w:tcPr>
            <w:tcW w:w="1090" w:type="dxa"/>
            <w:vAlign w:val="center"/>
          </w:tcPr>
          <w:p w:rsidR="007C483C" w:rsidRDefault="007F41B2">
            <w:pPr>
              <w:jc w:val="center"/>
            </w:pPr>
            <w:r>
              <w:rPr>
                <w:color w:val="000000"/>
                <w:sz w:val="24"/>
              </w:rPr>
              <w:t>6</w:t>
            </w:r>
            <w:r>
              <w:rPr>
                <w:color w:val="000000"/>
                <w:sz w:val="24"/>
              </w:rPr>
              <w:t>年</w:t>
            </w:r>
          </w:p>
        </w:tc>
        <w:tc>
          <w:tcPr>
            <w:tcW w:w="1910" w:type="dxa"/>
            <w:vAlign w:val="center"/>
          </w:tcPr>
          <w:p w:rsidR="007C483C" w:rsidRDefault="007F41B2">
            <w:r>
              <w:rPr>
                <w:color w:val="000000"/>
                <w:sz w:val="24"/>
              </w:rPr>
              <w:t>孙超先生，美国哥伦比亚大学经济学硕士。历任中信建投证券股份有限公司资产管理部经理、高级经理。</w:t>
            </w:r>
            <w:r>
              <w:rPr>
                <w:color w:val="000000"/>
                <w:sz w:val="24"/>
              </w:rPr>
              <w:t>2013</w:t>
            </w:r>
            <w:r>
              <w:rPr>
                <w:color w:val="000000"/>
                <w:sz w:val="24"/>
              </w:rPr>
              <w:t>年加入交银施罗德基金管理有限公司，历任基金经理助理。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日担任交银施罗德理财</w:t>
            </w:r>
            <w:r>
              <w:rPr>
                <w:color w:val="000000"/>
                <w:sz w:val="24"/>
              </w:rPr>
              <w:t>60</w:t>
            </w:r>
            <w:r>
              <w:rPr>
                <w:color w:val="000000"/>
                <w:sz w:val="24"/>
              </w:rPr>
              <w:t>天债券型证券投资基金基金经理，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2015</w:t>
            </w:r>
            <w:r>
              <w:rPr>
                <w:color w:val="000000"/>
                <w:sz w:val="24"/>
              </w:rPr>
              <w:t>年</w:t>
            </w:r>
            <w:r>
              <w:rPr>
                <w:color w:val="000000"/>
                <w:sz w:val="24"/>
              </w:rPr>
              <w:t>11</w:t>
            </w:r>
            <w:r>
              <w:rPr>
                <w:color w:val="000000"/>
                <w:sz w:val="24"/>
              </w:rPr>
              <w:t>月</w:t>
            </w:r>
            <w:r>
              <w:rPr>
                <w:color w:val="000000"/>
                <w:sz w:val="24"/>
              </w:rPr>
              <w:t>17</w:t>
            </w:r>
            <w:r>
              <w:rPr>
                <w:color w:val="000000"/>
                <w:sz w:val="24"/>
              </w:rPr>
              <w:t>日担任交银施罗德双轮动债券型证券投资基金基金经理，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日担任交银施罗德定期支付月月丰债券型证券投资基金的</w:t>
            </w:r>
            <w:r>
              <w:rPr>
                <w:color w:val="000000"/>
                <w:sz w:val="24"/>
              </w:rPr>
              <w:lastRenderedPageBreak/>
              <w:t>基金经理，</w:t>
            </w:r>
            <w:r>
              <w:rPr>
                <w:color w:val="000000"/>
                <w:sz w:val="24"/>
              </w:rPr>
              <w:t>2014</w:t>
            </w:r>
            <w:r>
              <w:rPr>
                <w:color w:val="000000"/>
                <w:sz w:val="24"/>
              </w:rPr>
              <w:t>年</w:t>
            </w:r>
            <w:r>
              <w:rPr>
                <w:color w:val="000000"/>
                <w:sz w:val="24"/>
              </w:rPr>
              <w:t>8</w:t>
            </w:r>
            <w:r>
              <w:rPr>
                <w:color w:val="000000"/>
                <w:sz w:val="24"/>
              </w:rPr>
              <w:t>月</w:t>
            </w:r>
            <w:r>
              <w:rPr>
                <w:color w:val="000000"/>
                <w:sz w:val="24"/>
              </w:rPr>
              <w:t>26</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日担任交银施罗德强化回报债券型证券投资基金的基金经理，</w:t>
            </w:r>
            <w:r>
              <w:rPr>
                <w:color w:val="000000"/>
                <w:sz w:val="24"/>
              </w:rPr>
              <w:t>2014</w:t>
            </w:r>
            <w:r>
              <w:rPr>
                <w:color w:val="000000"/>
                <w:sz w:val="24"/>
              </w:rPr>
              <w:t>年</w:t>
            </w:r>
            <w:r>
              <w:rPr>
                <w:color w:val="000000"/>
                <w:sz w:val="24"/>
              </w:rPr>
              <w:t>12</w:t>
            </w:r>
            <w:r>
              <w:rPr>
                <w:color w:val="000000"/>
                <w:sz w:val="24"/>
              </w:rPr>
              <w:t>月</w:t>
            </w:r>
            <w:r>
              <w:rPr>
                <w:color w:val="000000"/>
                <w:sz w:val="24"/>
              </w:rPr>
              <w:t>15</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日担任交银施罗德丰润收益债券型证券投资基金基金经理，</w:t>
            </w:r>
            <w:r>
              <w:rPr>
                <w:color w:val="000000"/>
                <w:sz w:val="24"/>
              </w:rPr>
              <w:t>2015</w:t>
            </w:r>
            <w:r>
              <w:rPr>
                <w:color w:val="000000"/>
                <w:sz w:val="24"/>
              </w:rPr>
              <w:t>年</w:t>
            </w:r>
            <w:r>
              <w:rPr>
                <w:color w:val="000000"/>
                <w:sz w:val="24"/>
              </w:rPr>
              <w:t>1</w:t>
            </w:r>
            <w:r>
              <w:rPr>
                <w:color w:val="000000"/>
                <w:sz w:val="24"/>
              </w:rPr>
              <w:t>月</w:t>
            </w:r>
            <w:r>
              <w:rPr>
                <w:color w:val="000000"/>
                <w:sz w:val="24"/>
              </w:rPr>
              <w:t>19</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日担任交银施罗德丰享收益债券型证券投资基金基金经理，</w:t>
            </w:r>
            <w:r>
              <w:rPr>
                <w:color w:val="000000"/>
                <w:sz w:val="24"/>
              </w:rPr>
              <w:t>2015</w:t>
            </w:r>
            <w:r>
              <w:rPr>
                <w:color w:val="000000"/>
                <w:sz w:val="24"/>
              </w:rPr>
              <w:t>年</w:t>
            </w:r>
            <w:r>
              <w:rPr>
                <w:color w:val="000000"/>
                <w:sz w:val="24"/>
              </w:rPr>
              <w:t>1</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2</w:t>
            </w:r>
            <w:r>
              <w:rPr>
                <w:color w:val="000000"/>
                <w:sz w:val="24"/>
              </w:rPr>
              <w:t>月</w:t>
            </w:r>
            <w:r>
              <w:rPr>
                <w:color w:val="000000"/>
                <w:sz w:val="24"/>
              </w:rPr>
              <w:t>17</w:t>
            </w:r>
            <w:r>
              <w:rPr>
                <w:color w:val="000000"/>
                <w:sz w:val="24"/>
              </w:rPr>
              <w:t>日担任交银施罗德丰泽收益债券型证券投资基金基金经理，</w:t>
            </w:r>
            <w:r>
              <w:rPr>
                <w:color w:val="000000"/>
                <w:sz w:val="24"/>
              </w:rPr>
              <w:t>2015</w:t>
            </w:r>
            <w:r>
              <w:rPr>
                <w:color w:val="000000"/>
                <w:sz w:val="24"/>
              </w:rPr>
              <w:t>年</w:t>
            </w:r>
            <w:r>
              <w:rPr>
                <w:color w:val="000000"/>
                <w:sz w:val="24"/>
              </w:rPr>
              <w:t>5</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日担任交银施罗德纯债债券型发起式证券投资基金的基金经理，</w:t>
            </w:r>
            <w:r>
              <w:rPr>
                <w:color w:val="000000"/>
                <w:sz w:val="24"/>
              </w:rPr>
              <w:t>2015</w:t>
            </w:r>
            <w:r>
              <w:rPr>
                <w:color w:val="000000"/>
                <w:sz w:val="24"/>
              </w:rPr>
              <w:t>年</w:t>
            </w:r>
            <w:r>
              <w:rPr>
                <w:color w:val="000000"/>
                <w:sz w:val="24"/>
              </w:rPr>
              <w:t>7</w:t>
            </w:r>
            <w:r>
              <w:rPr>
                <w:color w:val="000000"/>
                <w:sz w:val="24"/>
              </w:rPr>
              <w:t>月</w:t>
            </w:r>
            <w:r>
              <w:rPr>
                <w:color w:val="000000"/>
                <w:sz w:val="24"/>
              </w:rPr>
              <w:t>18</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日担任交银施罗德增利债券证券投资基金的基金经理，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2016</w:t>
            </w:r>
            <w:r>
              <w:rPr>
                <w:color w:val="000000"/>
                <w:sz w:val="24"/>
              </w:rPr>
              <w:t>年</w:t>
            </w:r>
            <w:r>
              <w:rPr>
                <w:color w:val="000000"/>
                <w:sz w:val="24"/>
              </w:rPr>
              <w:t>12</w:t>
            </w:r>
            <w:r>
              <w:rPr>
                <w:color w:val="000000"/>
                <w:sz w:val="24"/>
              </w:rPr>
              <w:t>月</w:t>
            </w:r>
            <w:r>
              <w:rPr>
                <w:color w:val="000000"/>
                <w:sz w:val="24"/>
              </w:rPr>
              <w:t>29</w:t>
            </w:r>
            <w:r>
              <w:rPr>
                <w:color w:val="000000"/>
                <w:sz w:val="24"/>
              </w:rPr>
              <w:t>日担任交银施罗德荣泰保本混合型证券投资基金的基金经理，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7</w:t>
            </w:r>
            <w:r>
              <w:rPr>
                <w:color w:val="000000"/>
                <w:sz w:val="24"/>
              </w:rPr>
              <w:t>日至</w:t>
            </w:r>
            <w:r>
              <w:rPr>
                <w:color w:val="000000"/>
                <w:sz w:val="24"/>
              </w:rPr>
              <w:t>2017</w:t>
            </w:r>
            <w:r>
              <w:rPr>
                <w:color w:val="000000"/>
                <w:sz w:val="24"/>
              </w:rPr>
              <w:lastRenderedPageBreak/>
              <w:t>年</w:t>
            </w:r>
            <w:r>
              <w:rPr>
                <w:color w:val="000000"/>
                <w:sz w:val="24"/>
              </w:rPr>
              <w:t>6</w:t>
            </w:r>
            <w:r>
              <w:rPr>
                <w:color w:val="000000"/>
                <w:sz w:val="24"/>
              </w:rPr>
              <w:t>月</w:t>
            </w:r>
            <w:r>
              <w:rPr>
                <w:color w:val="000000"/>
                <w:sz w:val="24"/>
              </w:rPr>
              <w:t>21</w:t>
            </w:r>
            <w:r>
              <w:rPr>
                <w:color w:val="000000"/>
                <w:sz w:val="24"/>
              </w:rPr>
              <w:t>日担任交银施罗德荣祥保本混合型证券投资基金的基金经理，</w:t>
            </w:r>
            <w:r>
              <w:rPr>
                <w:color w:val="000000"/>
                <w:sz w:val="24"/>
              </w:rPr>
              <w:t>2015</w:t>
            </w:r>
            <w:r>
              <w:rPr>
                <w:color w:val="000000"/>
                <w:sz w:val="24"/>
              </w:rPr>
              <w:t>年</w:t>
            </w:r>
            <w:r>
              <w:rPr>
                <w:color w:val="000000"/>
                <w:sz w:val="24"/>
              </w:rPr>
              <w:t>11</w:t>
            </w:r>
            <w:r>
              <w:rPr>
                <w:color w:val="000000"/>
                <w:sz w:val="24"/>
              </w:rPr>
              <w:t>月</w:t>
            </w:r>
            <w:r>
              <w:rPr>
                <w:color w:val="000000"/>
                <w:sz w:val="24"/>
              </w:rPr>
              <w:t>9</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日担任交银施罗德丰硕收益债券型证券投资基金的基金经理，</w:t>
            </w:r>
            <w:r>
              <w:rPr>
                <w:color w:val="000000"/>
                <w:sz w:val="24"/>
              </w:rPr>
              <w:t>2016</w:t>
            </w:r>
            <w:r>
              <w:rPr>
                <w:color w:val="000000"/>
                <w:sz w:val="24"/>
              </w:rPr>
              <w:t>年</w:t>
            </w:r>
            <w:r>
              <w:rPr>
                <w:color w:val="000000"/>
                <w:sz w:val="24"/>
              </w:rPr>
              <w:t>3</w:t>
            </w:r>
            <w:r>
              <w:rPr>
                <w:color w:val="000000"/>
                <w:sz w:val="24"/>
              </w:rPr>
              <w:t>月</w:t>
            </w:r>
            <w:r>
              <w:rPr>
                <w:color w:val="000000"/>
                <w:sz w:val="24"/>
              </w:rPr>
              <w:t>25</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日担任交银施罗德荣鑫保本混合型证券投资基金的基金经理，</w:t>
            </w:r>
            <w:r>
              <w:rPr>
                <w:color w:val="000000"/>
                <w:sz w:val="24"/>
              </w:rPr>
              <w:t>2016</w:t>
            </w:r>
            <w:r>
              <w:rPr>
                <w:color w:val="000000"/>
                <w:sz w:val="24"/>
              </w:rPr>
              <w:t>年</w:t>
            </w:r>
            <w:r>
              <w:rPr>
                <w:color w:val="000000"/>
                <w:sz w:val="24"/>
              </w:rPr>
              <w:t>12</w:t>
            </w:r>
            <w:r>
              <w:rPr>
                <w:color w:val="000000"/>
                <w:sz w:val="24"/>
              </w:rPr>
              <w:t>月</w:t>
            </w:r>
            <w:r>
              <w:rPr>
                <w:color w:val="000000"/>
                <w:sz w:val="24"/>
              </w:rPr>
              <w:t>30</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日担任交银施罗德增强收益债券型证券投资基金的基金经理，</w:t>
            </w:r>
            <w:r>
              <w:rPr>
                <w:color w:val="000000"/>
                <w:sz w:val="24"/>
              </w:rPr>
              <w:t>2017</w:t>
            </w:r>
            <w:r>
              <w:rPr>
                <w:color w:val="000000"/>
                <w:sz w:val="24"/>
              </w:rPr>
              <w:t>年</w:t>
            </w:r>
            <w:r>
              <w:rPr>
                <w:color w:val="000000"/>
                <w:sz w:val="24"/>
              </w:rPr>
              <w:t>6</w:t>
            </w:r>
            <w:r>
              <w:rPr>
                <w:color w:val="000000"/>
                <w:sz w:val="24"/>
              </w:rPr>
              <w:t>月</w:t>
            </w:r>
            <w:r>
              <w:rPr>
                <w:color w:val="000000"/>
                <w:sz w:val="24"/>
              </w:rPr>
              <w:t>2</w:t>
            </w:r>
            <w:r>
              <w:rPr>
                <w:color w:val="000000"/>
                <w:sz w:val="24"/>
              </w:rPr>
              <w:t>日至</w:t>
            </w:r>
            <w:r>
              <w:rPr>
                <w:color w:val="000000"/>
                <w:sz w:val="24"/>
              </w:rPr>
              <w:t>2017</w:t>
            </w:r>
            <w:r>
              <w:rPr>
                <w:color w:val="000000"/>
                <w:sz w:val="24"/>
              </w:rPr>
              <w:t>年</w:t>
            </w:r>
            <w:r>
              <w:rPr>
                <w:color w:val="000000"/>
                <w:sz w:val="24"/>
              </w:rPr>
              <w:t>6</w:t>
            </w:r>
            <w:r>
              <w:rPr>
                <w:color w:val="000000"/>
                <w:sz w:val="24"/>
              </w:rPr>
              <w:t>月</w:t>
            </w:r>
            <w:r>
              <w:rPr>
                <w:color w:val="000000"/>
                <w:sz w:val="24"/>
              </w:rPr>
              <w:t>21</w:t>
            </w:r>
            <w:r>
              <w:rPr>
                <w:color w:val="000000"/>
                <w:sz w:val="24"/>
              </w:rPr>
              <w:t>日担任交银施罗德增利增强债券型证券投资基金基金经理。</w:t>
            </w:r>
          </w:p>
        </w:tc>
      </w:tr>
      <w:tr w:rsidR="007C483C">
        <w:tc>
          <w:tcPr>
            <w:tcW w:w="1499" w:type="dxa"/>
            <w:vAlign w:val="center"/>
          </w:tcPr>
          <w:p w:rsidR="007C483C" w:rsidRDefault="007F41B2">
            <w:pPr>
              <w:jc w:val="center"/>
            </w:pPr>
            <w:r>
              <w:rPr>
                <w:color w:val="000000"/>
                <w:sz w:val="24"/>
              </w:rPr>
              <w:lastRenderedPageBreak/>
              <w:t>魏玉敏</w:t>
            </w:r>
          </w:p>
        </w:tc>
        <w:tc>
          <w:tcPr>
            <w:tcW w:w="1499" w:type="dxa"/>
            <w:vAlign w:val="center"/>
          </w:tcPr>
          <w:p w:rsidR="007C483C" w:rsidRDefault="007F41B2">
            <w:pPr>
              <w:jc w:val="center"/>
            </w:pPr>
            <w:r>
              <w:rPr>
                <w:color w:val="000000"/>
                <w:sz w:val="24"/>
              </w:rPr>
              <w:t>交银增利债券、交银信用添利债券</w:t>
            </w:r>
            <w:r>
              <w:rPr>
                <w:color w:val="000000"/>
                <w:sz w:val="24"/>
              </w:rPr>
              <w:t>(LOF)</w:t>
            </w:r>
            <w:r>
              <w:rPr>
                <w:color w:val="000000"/>
                <w:sz w:val="24"/>
              </w:rPr>
              <w:t>、交银双利债券、交银纯债债券发起、交银双轮动债券、交银荣和保本混合、交银丰硕收益债券的基金经理助理</w:t>
            </w:r>
          </w:p>
        </w:tc>
        <w:tc>
          <w:tcPr>
            <w:tcW w:w="1500" w:type="dxa"/>
            <w:vAlign w:val="center"/>
          </w:tcPr>
          <w:p w:rsidR="007C483C" w:rsidRDefault="007F41B2">
            <w:pPr>
              <w:jc w:val="center"/>
            </w:pPr>
            <w:r>
              <w:rPr>
                <w:color w:val="000000"/>
                <w:sz w:val="24"/>
              </w:rPr>
              <w:t>2017-05-24</w:t>
            </w:r>
          </w:p>
        </w:tc>
        <w:tc>
          <w:tcPr>
            <w:tcW w:w="1500" w:type="dxa"/>
            <w:vAlign w:val="center"/>
          </w:tcPr>
          <w:p w:rsidR="007C483C" w:rsidRDefault="007F41B2">
            <w:pPr>
              <w:jc w:val="center"/>
            </w:pPr>
            <w:r>
              <w:rPr>
                <w:color w:val="000000"/>
                <w:sz w:val="24"/>
              </w:rPr>
              <w:t>-</w:t>
            </w:r>
          </w:p>
        </w:tc>
        <w:tc>
          <w:tcPr>
            <w:tcW w:w="1090" w:type="dxa"/>
            <w:vAlign w:val="center"/>
          </w:tcPr>
          <w:p w:rsidR="007C483C" w:rsidRDefault="007F41B2">
            <w:pPr>
              <w:jc w:val="center"/>
            </w:pPr>
            <w:r>
              <w:rPr>
                <w:color w:val="000000"/>
                <w:sz w:val="24"/>
              </w:rPr>
              <w:t>5</w:t>
            </w:r>
            <w:r>
              <w:rPr>
                <w:color w:val="000000"/>
                <w:sz w:val="24"/>
              </w:rPr>
              <w:t>年</w:t>
            </w:r>
          </w:p>
        </w:tc>
        <w:tc>
          <w:tcPr>
            <w:tcW w:w="1910" w:type="dxa"/>
            <w:vAlign w:val="center"/>
          </w:tcPr>
          <w:p w:rsidR="007C483C" w:rsidRDefault="007F41B2">
            <w:r>
              <w:rPr>
                <w:color w:val="000000"/>
                <w:sz w:val="24"/>
              </w:rPr>
              <w:t>魏玉敏女士，厦门大学金融学硕士。历任招商证券固定收益研究员，国信证券固定收益高级分析师。</w:t>
            </w:r>
            <w:r>
              <w:rPr>
                <w:color w:val="000000"/>
                <w:sz w:val="24"/>
              </w:rPr>
              <w:t>2016</w:t>
            </w:r>
            <w:r>
              <w:rPr>
                <w:color w:val="000000"/>
                <w:sz w:val="24"/>
              </w:rPr>
              <w:t>年加入交银施罗德基金管理有限公司。</w:t>
            </w:r>
          </w:p>
        </w:tc>
      </w:tr>
    </w:tbl>
    <w:p w:rsidR="007C483C" w:rsidRDefault="007F41B2">
      <w:pPr>
        <w:tabs>
          <w:tab w:val="left" w:pos="426"/>
        </w:tabs>
        <w:spacing w:before="29" w:line="288" w:lineRule="auto"/>
        <w:jc w:val="left"/>
        <w:rPr>
          <w:kern w:val="0"/>
          <w:sz w:val="24"/>
        </w:rPr>
      </w:pPr>
      <w:r>
        <w:rPr>
          <w:kern w:val="0"/>
          <w:sz w:val="24"/>
        </w:rPr>
        <w:t>注：</w:t>
      </w:r>
      <w:r>
        <w:rPr>
          <w:kern w:val="0"/>
          <w:sz w:val="24"/>
        </w:rPr>
        <w:t>1</w:t>
      </w:r>
      <w:r>
        <w:rPr>
          <w:kern w:val="0"/>
          <w:sz w:val="24"/>
        </w:rPr>
        <w:t>、本表所列基金经理（助理）任职日期和离职日期均以基金合同生效日或公司作出决定并公告</w:t>
      </w:r>
      <w:r>
        <w:rPr>
          <w:kern w:val="0"/>
          <w:sz w:val="24"/>
        </w:rPr>
        <w:t>(</w:t>
      </w:r>
      <w:r>
        <w:rPr>
          <w:kern w:val="0"/>
          <w:sz w:val="24"/>
        </w:rPr>
        <w:t>如适用</w:t>
      </w:r>
      <w:r>
        <w:rPr>
          <w:kern w:val="0"/>
          <w:sz w:val="24"/>
        </w:rPr>
        <w:t>)</w:t>
      </w:r>
      <w:r>
        <w:rPr>
          <w:kern w:val="0"/>
          <w:sz w:val="24"/>
        </w:rPr>
        <w:t>之日为准；</w:t>
      </w:r>
    </w:p>
    <w:p w:rsidR="007C483C" w:rsidRDefault="007F41B2">
      <w:pPr>
        <w:tabs>
          <w:tab w:val="left" w:pos="426"/>
        </w:tabs>
        <w:spacing w:before="29" w:line="288" w:lineRule="auto"/>
        <w:jc w:val="left"/>
        <w:rPr>
          <w:kern w:val="0"/>
          <w:sz w:val="24"/>
        </w:rPr>
      </w:pPr>
      <w:r>
        <w:rPr>
          <w:kern w:val="0"/>
          <w:sz w:val="24"/>
        </w:rPr>
        <w:lastRenderedPageBreak/>
        <w:t>2</w:t>
      </w:r>
      <w:r>
        <w:rPr>
          <w:kern w:val="0"/>
          <w:sz w:val="24"/>
        </w:rPr>
        <w:t>、本表所列基金经理（助理）证券从业年限中的</w:t>
      </w:r>
      <w:r>
        <w:rPr>
          <w:kern w:val="0"/>
          <w:sz w:val="24"/>
        </w:rPr>
        <w:t>“</w:t>
      </w:r>
      <w:r>
        <w:rPr>
          <w:kern w:val="0"/>
          <w:sz w:val="24"/>
        </w:rPr>
        <w:t>证券从业</w:t>
      </w:r>
      <w:r>
        <w:rPr>
          <w:kern w:val="0"/>
          <w:sz w:val="24"/>
        </w:rPr>
        <w:t>”</w:t>
      </w:r>
      <w:r>
        <w:rPr>
          <w:kern w:val="0"/>
          <w:sz w:val="24"/>
        </w:rPr>
        <w:t>的含义遵从中国证券业协会《证券业从业人员资格管理办法》的相关规定；</w:t>
      </w:r>
      <w:r>
        <w:rPr>
          <w:kern w:val="0"/>
          <w:sz w:val="24"/>
        </w:rPr>
        <w:t xml:space="preserve"> </w:t>
      </w:r>
    </w:p>
    <w:p w:rsidR="001A59F9" w:rsidRPr="00C016E9" w:rsidRDefault="001A59F9" w:rsidP="00C016E9">
      <w:pPr>
        <w:tabs>
          <w:tab w:val="left" w:pos="426"/>
        </w:tabs>
        <w:spacing w:before="29" w:line="288" w:lineRule="auto"/>
        <w:jc w:val="left"/>
        <w:rPr>
          <w:kern w:val="0"/>
          <w:sz w:val="24"/>
        </w:rPr>
      </w:pPr>
      <w:r w:rsidRPr="00C016E9">
        <w:rPr>
          <w:kern w:val="0"/>
          <w:sz w:val="24"/>
        </w:rPr>
        <w:t>3</w:t>
      </w:r>
      <w:r w:rsidRPr="00C016E9">
        <w:rPr>
          <w:kern w:val="0"/>
          <w:sz w:val="24"/>
        </w:rPr>
        <w:t>、基金经理（或基金经理小组）期后变动（如有）敬请关注基金管理人发布的相关公告。</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6" w:name="_Toc225498256"/>
      <w:bookmarkStart w:id="27" w:name="_Toc361324856"/>
      <w:r w:rsidRPr="00701155">
        <w:rPr>
          <w:rFonts w:ascii="Times New Roman" w:hAnsi="Times New Roman"/>
          <w:kern w:val="0"/>
          <w:szCs w:val="24"/>
        </w:rPr>
        <w:t xml:space="preserve">4.2 </w:t>
      </w:r>
      <w:r w:rsidRPr="00701155">
        <w:rPr>
          <w:rFonts w:ascii="Times New Roman" w:hAnsi="Times New Roman" w:hint="eastAsia"/>
          <w:kern w:val="0"/>
          <w:szCs w:val="24"/>
        </w:rPr>
        <w:t>管理人对报告期内本基金运作遵规守信情况的说明</w:t>
      </w:r>
      <w:bookmarkEnd w:id="26"/>
      <w:bookmarkEnd w:id="27"/>
    </w:p>
    <w:p w:rsidR="007C483C" w:rsidRDefault="007F41B2">
      <w:pPr>
        <w:spacing w:before="29" w:line="288" w:lineRule="auto"/>
        <w:ind w:firstLineChars="200" w:firstLine="480"/>
        <w:rPr>
          <w:color w:val="000000"/>
          <w:sz w:val="24"/>
        </w:rPr>
      </w:pPr>
      <w:r>
        <w:rPr>
          <w:color w:val="000000"/>
          <w:sz w:val="24"/>
        </w:rPr>
        <w:t>本报告期内，本基金管理人严格遵循《中华人民共和国证券投资基金法》、基金合同和其他有关法律法规、监管部门的相关规定，本着诚实信用、勤勉尽责的原则管理和运用基金资产，在严格控制投资风险的基础上，为基金持有人谋求最大利益。</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本报告期内，本基金整体运作合规合法，无不当内幕交易和关联交易，基金投资范围、投资比例及投资组合符合有关法律法规及基金合同的约定，未发生损害基金持有人利益的行为。</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28" w:name="_Toc225498257"/>
      <w:bookmarkStart w:id="29" w:name="_Toc361324857"/>
      <w:r w:rsidRPr="00701155">
        <w:rPr>
          <w:rFonts w:ascii="Times New Roman" w:hAnsi="Times New Roman"/>
          <w:kern w:val="0"/>
          <w:szCs w:val="24"/>
        </w:rPr>
        <w:t xml:space="preserve">4.3 </w:t>
      </w:r>
      <w:r w:rsidRPr="00701155">
        <w:rPr>
          <w:rFonts w:ascii="Times New Roman" w:hAnsi="Times New Roman" w:hint="eastAsia"/>
          <w:kern w:val="0"/>
          <w:szCs w:val="24"/>
        </w:rPr>
        <w:t>管理人对报告期内公平交易情况的专项说明</w:t>
      </w:r>
      <w:bookmarkEnd w:id="28"/>
      <w:bookmarkEnd w:id="2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4.3.1</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公平交易制度和控制方法</w:t>
      </w:r>
    </w:p>
    <w:p w:rsidR="007C483C" w:rsidRDefault="007F41B2">
      <w:pPr>
        <w:spacing w:before="29" w:line="288" w:lineRule="auto"/>
        <w:ind w:firstLineChars="200" w:firstLine="480"/>
        <w:rPr>
          <w:color w:val="000000"/>
          <w:sz w:val="24"/>
        </w:rPr>
      </w:pPr>
      <w:r>
        <w:rPr>
          <w:color w:val="000000"/>
          <w:sz w:val="24"/>
        </w:rPr>
        <w:t>本公司制定了严格的投资控制制度和公平交易监控制度来保证旗下所管理的所有资产组合投资运作的公平。旗下所管理的所有资产组合，包括证券投资基金和特定客户资产管理专户均严格遵循制度进行公平交易。制度中包含的主要控制方法如下：</w:t>
      </w:r>
    </w:p>
    <w:p w:rsidR="007C483C" w:rsidRDefault="007F41B2">
      <w:pPr>
        <w:spacing w:before="29" w:line="288" w:lineRule="auto"/>
        <w:ind w:firstLineChars="200" w:firstLine="480"/>
        <w:rPr>
          <w:color w:val="000000"/>
          <w:sz w:val="24"/>
        </w:rPr>
      </w:pPr>
      <w:r>
        <w:rPr>
          <w:color w:val="000000"/>
          <w:sz w:val="24"/>
        </w:rPr>
        <w:t>（</w:t>
      </w:r>
      <w:r>
        <w:rPr>
          <w:color w:val="000000"/>
          <w:sz w:val="24"/>
        </w:rPr>
        <w:t>1</w:t>
      </w:r>
      <w:r>
        <w:rPr>
          <w:color w:val="000000"/>
          <w:sz w:val="24"/>
        </w:rPr>
        <w:t>）公司建立资源共享的投资研究信息平台，所有研究成果对所有投资组合公平开放，确保各投资组合在获得研究支持和实施投资决策方面享有公平的机会。</w:t>
      </w:r>
    </w:p>
    <w:p w:rsidR="007C483C" w:rsidRDefault="007F41B2">
      <w:pPr>
        <w:spacing w:before="29" w:line="288" w:lineRule="auto"/>
        <w:ind w:firstLineChars="200" w:firstLine="480"/>
        <w:rPr>
          <w:color w:val="000000"/>
          <w:sz w:val="24"/>
        </w:rPr>
      </w:pPr>
      <w:r>
        <w:rPr>
          <w:color w:val="000000"/>
          <w:sz w:val="24"/>
        </w:rPr>
        <w:t>（</w:t>
      </w:r>
      <w:r>
        <w:rPr>
          <w:color w:val="000000"/>
          <w:sz w:val="24"/>
        </w:rPr>
        <w:t>2</w:t>
      </w:r>
      <w:r>
        <w:rPr>
          <w:color w:val="000000"/>
          <w:sz w:val="24"/>
        </w:rPr>
        <w:t>）公司将投资管理职能和交易执行职能相隔离，实行集中交易制度，建立了合理且可操作的公平交易分配机制，确保各投资组合享有公平的交易执行机会。对于交易所公开竞价交易，遵循</w:t>
      </w:r>
      <w:r>
        <w:rPr>
          <w:color w:val="000000"/>
          <w:sz w:val="24"/>
        </w:rPr>
        <w:t>“</w:t>
      </w:r>
      <w:r>
        <w:rPr>
          <w:color w:val="000000"/>
          <w:sz w:val="24"/>
        </w:rPr>
        <w:t>时间优先、价格优先、比例分配</w:t>
      </w:r>
      <w:r>
        <w:rPr>
          <w:color w:val="000000"/>
          <w:sz w:val="24"/>
        </w:rPr>
        <w:t>”</w:t>
      </w:r>
      <w:r>
        <w:rPr>
          <w:color w:val="000000"/>
          <w:sz w:val="24"/>
        </w:rPr>
        <w:t>的原则，全部通过交易系统进行比例分配；对于非集中竞价交易、以公司名义进行的场外交易，遵循</w:t>
      </w:r>
      <w:r>
        <w:rPr>
          <w:color w:val="000000"/>
          <w:sz w:val="24"/>
        </w:rPr>
        <w:t>“</w:t>
      </w:r>
      <w:r>
        <w:rPr>
          <w:color w:val="000000"/>
          <w:sz w:val="24"/>
        </w:rPr>
        <w:t>价格优先、比例分配</w:t>
      </w:r>
      <w:r>
        <w:rPr>
          <w:color w:val="000000"/>
          <w:sz w:val="24"/>
        </w:rPr>
        <w:t>”</w:t>
      </w:r>
      <w:r>
        <w:rPr>
          <w:color w:val="000000"/>
          <w:sz w:val="24"/>
        </w:rPr>
        <w:t>的原则按事前独立确定的投资方案对交易结果进行分配。</w:t>
      </w:r>
    </w:p>
    <w:p w:rsidR="007C483C" w:rsidRDefault="007F41B2">
      <w:pPr>
        <w:spacing w:before="29" w:line="288" w:lineRule="auto"/>
        <w:ind w:firstLineChars="200" w:firstLine="480"/>
        <w:rPr>
          <w:color w:val="000000"/>
          <w:sz w:val="24"/>
        </w:rPr>
      </w:pPr>
      <w:r>
        <w:rPr>
          <w:color w:val="000000"/>
          <w:sz w:val="24"/>
        </w:rPr>
        <w:t>（</w:t>
      </w:r>
      <w:r>
        <w:rPr>
          <w:color w:val="000000"/>
          <w:sz w:val="24"/>
        </w:rPr>
        <w:t>3</w:t>
      </w:r>
      <w:r>
        <w:rPr>
          <w:color w:val="000000"/>
          <w:sz w:val="24"/>
        </w:rPr>
        <w:t>）公司建立了清晰的投资授权制度，明确各层级投资决策主体的职责和权限划分，组合投资经理充分发挥专业判断能力</w:t>
      </w:r>
      <w:r>
        <w:rPr>
          <w:color w:val="000000"/>
          <w:sz w:val="24"/>
        </w:rPr>
        <w:t>,</w:t>
      </w:r>
      <w:r>
        <w:rPr>
          <w:color w:val="000000"/>
          <w:sz w:val="24"/>
        </w:rPr>
        <w:t>不受他人干预</w:t>
      </w:r>
      <w:r>
        <w:rPr>
          <w:color w:val="000000"/>
          <w:sz w:val="24"/>
        </w:rPr>
        <w:t>,</w:t>
      </w:r>
      <w:r>
        <w:rPr>
          <w:color w:val="000000"/>
          <w:sz w:val="24"/>
        </w:rPr>
        <w:t>在授权范围内独立行使投资决策权，维护公平的投资管理环境，维护所管理投资组合的合法利益</w:t>
      </w:r>
      <w:r>
        <w:rPr>
          <w:color w:val="000000"/>
          <w:sz w:val="24"/>
        </w:rPr>
        <w:t>,</w:t>
      </w:r>
      <w:r>
        <w:rPr>
          <w:color w:val="000000"/>
          <w:sz w:val="24"/>
        </w:rPr>
        <w:t>保证各投资组合交易决策的客观性和独立性，防范不公平及异常交易的发生。</w:t>
      </w:r>
    </w:p>
    <w:p w:rsidR="007C483C" w:rsidRDefault="007F41B2">
      <w:pPr>
        <w:spacing w:before="29" w:line="288" w:lineRule="auto"/>
        <w:ind w:firstLineChars="200" w:firstLine="480"/>
        <w:rPr>
          <w:color w:val="000000"/>
          <w:sz w:val="24"/>
        </w:rPr>
      </w:pPr>
      <w:r>
        <w:rPr>
          <w:color w:val="000000"/>
          <w:sz w:val="24"/>
        </w:rPr>
        <w:t>（</w:t>
      </w:r>
      <w:r>
        <w:rPr>
          <w:color w:val="000000"/>
          <w:sz w:val="24"/>
        </w:rPr>
        <w:t>4</w:t>
      </w:r>
      <w:r>
        <w:rPr>
          <w:color w:val="000000"/>
          <w:sz w:val="24"/>
        </w:rPr>
        <w:t>）公司建立统一的投资对象备选库和交易对手备选库，制定明确的备选库建立、维护程序。在全公司适用股票、债券备选库的基础上，根据不同投资组合的投资目标、投资风格、投资范围和关联交易限制等，按需要建立不同投资组合的投资对象风格库和交易对手备选库，组合经理在此基础上根据投资授权构建投资组合。</w:t>
      </w:r>
    </w:p>
    <w:p w:rsidR="001A59F9" w:rsidRPr="0013437B" w:rsidRDefault="001A59F9" w:rsidP="0013437B">
      <w:pPr>
        <w:spacing w:before="29" w:line="288" w:lineRule="auto"/>
        <w:ind w:firstLineChars="200" w:firstLine="480"/>
        <w:rPr>
          <w:color w:val="000000"/>
          <w:sz w:val="24"/>
        </w:rPr>
      </w:pPr>
      <w:r w:rsidRPr="0013437B">
        <w:rPr>
          <w:color w:val="000000"/>
          <w:sz w:val="24"/>
        </w:rPr>
        <w:t>（</w:t>
      </w:r>
      <w:r w:rsidRPr="0013437B">
        <w:rPr>
          <w:color w:val="000000"/>
          <w:sz w:val="24"/>
        </w:rPr>
        <w:t>5</w:t>
      </w:r>
      <w:r w:rsidRPr="0013437B">
        <w:rPr>
          <w:color w:val="000000"/>
          <w:sz w:val="24"/>
        </w:rPr>
        <w:t>）公司中央交易室和风险管理部进行日常投资交易行为监控，风险管理部负责对各投资组合公平交易进行事后分析，于每季度和每年度分别对公司管理的不同投资组合的整体收益率差异、分投资类别的收益率差异以及不同时间窗口同向交易的交易价差</w:t>
      </w:r>
      <w:r w:rsidRPr="0013437B">
        <w:rPr>
          <w:color w:val="000000"/>
          <w:sz w:val="24"/>
        </w:rPr>
        <w:lastRenderedPageBreak/>
        <w:t>进行分析，通过分析评估和信息披露来加强对公平交易过程和结果的监督。</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4.3.2</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公平交易制度的执行情况</w:t>
      </w:r>
    </w:p>
    <w:p w:rsidR="001A59F9" w:rsidRPr="0013437B" w:rsidRDefault="001A59F9" w:rsidP="0013437B">
      <w:pPr>
        <w:spacing w:before="29" w:line="288" w:lineRule="auto"/>
        <w:ind w:firstLineChars="200" w:firstLine="480"/>
        <w:rPr>
          <w:color w:val="000000"/>
          <w:sz w:val="24"/>
        </w:rPr>
      </w:pPr>
      <w:r w:rsidRPr="0013437B">
        <w:rPr>
          <w:color w:val="000000"/>
          <w:sz w:val="24"/>
        </w:rPr>
        <w:t>本报告期内公司严格执行公平交易制度，公平对待旗下各投资组合。通过投资交易监控、交易数据分析、专项稽核检查等，本基金管理人未发现任何违反公平交易制度的行为。</w:t>
      </w:r>
    </w:p>
    <w:p w:rsidR="001A59F9" w:rsidRPr="00C51C77" w:rsidRDefault="001A59F9" w:rsidP="00C51C77">
      <w:pPr>
        <w:spacing w:line="360" w:lineRule="auto"/>
        <w:jc w:val="left"/>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4.3.3</w:t>
      </w:r>
      <w:r w:rsidR="0067271C" w:rsidRPr="00701155">
        <w:rPr>
          <w:rFonts w:ascii="Times New Roman" w:hAnsi="Times New Roman" w:hint="eastAsia"/>
          <w:kern w:val="0"/>
          <w:szCs w:val="24"/>
        </w:rPr>
        <w:t xml:space="preserve"> </w:t>
      </w:r>
      <w:r w:rsidRPr="00701155">
        <w:rPr>
          <w:rFonts w:ascii="Times New Roman" w:hAnsi="Times New Roman" w:hint="eastAsia"/>
          <w:kern w:val="0"/>
          <w:szCs w:val="24"/>
        </w:rPr>
        <w:t>异常交易行为的专项说明</w:t>
      </w:r>
    </w:p>
    <w:p w:rsidR="001A59F9" w:rsidRPr="0013437B" w:rsidRDefault="001A59F9" w:rsidP="0013437B">
      <w:pPr>
        <w:spacing w:before="29" w:line="288" w:lineRule="auto"/>
        <w:ind w:firstLineChars="200" w:firstLine="480"/>
        <w:rPr>
          <w:color w:val="000000"/>
          <w:sz w:val="24"/>
        </w:rPr>
      </w:pPr>
      <w:r w:rsidRPr="0013437B">
        <w:rPr>
          <w:color w:val="000000"/>
          <w:sz w:val="24"/>
        </w:rPr>
        <w:t>本基金于本报告期内不存在异常交易行为。本报告期内，本公司管理的所有投资组合参与的交易所公开竞价同日反向交易成交较少的单边交易量没有超过该证券当日总成交量</w:t>
      </w:r>
      <w:r w:rsidRPr="0013437B">
        <w:rPr>
          <w:color w:val="000000"/>
          <w:sz w:val="24"/>
        </w:rPr>
        <w:t>5%</w:t>
      </w:r>
      <w:r w:rsidRPr="0013437B">
        <w:rPr>
          <w:color w:val="000000"/>
          <w:sz w:val="24"/>
        </w:rPr>
        <w:t>的情形，本基金与本公司管理的其他投资组合在不同时间窗下（如日内、</w:t>
      </w:r>
      <w:r w:rsidRPr="0013437B">
        <w:rPr>
          <w:color w:val="000000"/>
          <w:sz w:val="24"/>
        </w:rPr>
        <w:t>3</w:t>
      </w:r>
      <w:r w:rsidRPr="0013437B">
        <w:rPr>
          <w:color w:val="000000"/>
          <w:sz w:val="24"/>
        </w:rPr>
        <w:t>日内、</w:t>
      </w:r>
      <w:r w:rsidRPr="0013437B">
        <w:rPr>
          <w:color w:val="000000"/>
          <w:sz w:val="24"/>
        </w:rPr>
        <w:t>5</w:t>
      </w:r>
      <w:r w:rsidRPr="0013437B">
        <w:rPr>
          <w:color w:val="000000"/>
          <w:sz w:val="24"/>
        </w:rPr>
        <w:t>日内）同向交易的交易价差未出现异常。</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30" w:name="_Toc225498258"/>
      <w:bookmarkStart w:id="31" w:name="_Toc361324858"/>
      <w:r w:rsidRPr="00701155">
        <w:rPr>
          <w:rFonts w:ascii="Times New Roman" w:hAnsi="Times New Roman"/>
          <w:kern w:val="0"/>
          <w:szCs w:val="24"/>
        </w:rPr>
        <w:t xml:space="preserve">4.4 </w:t>
      </w:r>
      <w:r w:rsidRPr="00701155">
        <w:rPr>
          <w:rFonts w:ascii="Times New Roman" w:hAnsi="Times New Roman" w:hint="eastAsia"/>
          <w:kern w:val="0"/>
          <w:szCs w:val="24"/>
        </w:rPr>
        <w:t>管理人对报告期内基金的投资策略和业绩表现的说明</w:t>
      </w:r>
      <w:bookmarkEnd w:id="30"/>
      <w:bookmarkEnd w:id="31"/>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4.4.1</w:t>
      </w:r>
      <w:r w:rsidRPr="00701155">
        <w:rPr>
          <w:rFonts w:ascii="Times New Roman" w:hAnsi="Times New Roman" w:hint="eastAsia"/>
          <w:kern w:val="0"/>
          <w:szCs w:val="24"/>
        </w:rPr>
        <w:t>报告期内基金投资策略和运作分析</w:t>
      </w:r>
    </w:p>
    <w:p w:rsidR="007C483C" w:rsidRDefault="007F41B2">
      <w:pPr>
        <w:spacing w:before="29" w:line="288" w:lineRule="auto"/>
        <w:ind w:firstLineChars="200" w:firstLine="480"/>
        <w:rPr>
          <w:color w:val="000000"/>
          <w:sz w:val="24"/>
        </w:rPr>
      </w:pPr>
      <w:r>
        <w:rPr>
          <w:color w:val="000000"/>
          <w:sz w:val="24"/>
        </w:rPr>
        <w:t>2017</w:t>
      </w:r>
      <w:r>
        <w:rPr>
          <w:color w:val="000000"/>
          <w:sz w:val="24"/>
        </w:rPr>
        <w:t>年债券市场收益率经历了大幅上行，原因主要来源于以下几个方面：基本面方面，</w:t>
      </w:r>
      <w:r>
        <w:rPr>
          <w:color w:val="000000"/>
          <w:sz w:val="24"/>
        </w:rPr>
        <w:t>2017</w:t>
      </w:r>
      <w:r>
        <w:rPr>
          <w:color w:val="000000"/>
          <w:sz w:val="24"/>
        </w:rPr>
        <w:t>年年初市场形成经济前高后低的一致预期，但实际始终未能兑现，经济保持了强劲的韧性，特别是在三季度，对于宏观经济预期差的影响在很大程度上影响了市场的整体收益率水平。通胀方面，虽然</w:t>
      </w:r>
      <w:r>
        <w:rPr>
          <w:color w:val="000000"/>
          <w:sz w:val="24"/>
        </w:rPr>
        <w:t>CPI</w:t>
      </w:r>
      <w:r>
        <w:rPr>
          <w:color w:val="000000"/>
          <w:sz w:val="24"/>
        </w:rPr>
        <w:t>保持在低位运行，但环保限产引发的</w:t>
      </w:r>
      <w:r>
        <w:rPr>
          <w:color w:val="000000"/>
          <w:sz w:val="24"/>
        </w:rPr>
        <w:t>PPI</w:t>
      </w:r>
      <w:r>
        <w:rPr>
          <w:color w:val="000000"/>
          <w:sz w:val="24"/>
        </w:rPr>
        <w:t>走高，通胀预期抬升不时扰动市场。货币政策与流动性方面，在去杠杆的大背景下，央行保持稳定中性货币政策，超储率维持低位，资金面波动性加大，在缴税等关键时点资金面紧张局面常有发生，资金中枢也随着公开市场操作利率上调明显抬升。海外市场方面，美欧央行紧缩政策频出，特朗普减税进程和汇率也时常扰动敏感的债券市场情绪。此外，各项监管政策的出台也在一定程度上影响了市场情绪。</w:t>
      </w:r>
    </w:p>
    <w:p w:rsidR="001A59F9" w:rsidRPr="0013437B" w:rsidRDefault="001A59F9" w:rsidP="0013437B">
      <w:pPr>
        <w:spacing w:before="29" w:line="288" w:lineRule="auto"/>
        <w:ind w:firstLineChars="200" w:firstLine="480"/>
        <w:rPr>
          <w:color w:val="000000"/>
          <w:sz w:val="24"/>
        </w:rPr>
      </w:pPr>
      <w:r w:rsidRPr="0013437B">
        <w:rPr>
          <w:color w:val="000000"/>
          <w:sz w:val="24"/>
        </w:rPr>
        <w:t>报告期内，本组合</w:t>
      </w:r>
      <w:r w:rsidRPr="0013437B">
        <w:rPr>
          <w:color w:val="000000"/>
          <w:sz w:val="24"/>
        </w:rPr>
        <w:t>2017</w:t>
      </w:r>
      <w:r w:rsidRPr="0013437B">
        <w:rPr>
          <w:color w:val="000000"/>
          <w:sz w:val="24"/>
        </w:rPr>
        <w:t>年面临封闭期结束后转开放的运作，在封闭期内，组合主要持有与封闭期限对应的高票息资产，取得了稳定的套息收益，在四季度封闭期到期后组合主要配置高流动性资产，在保持较高组合静态收益的基础上，满足组合规模变动需求。</w:t>
      </w:r>
    </w:p>
    <w:p w:rsidR="001A59F9" w:rsidRPr="00C51C77" w:rsidRDefault="001A59F9" w:rsidP="00C51C77">
      <w:pPr>
        <w:spacing w:line="360" w:lineRule="auto"/>
        <w:ind w:firstLineChars="200" w:firstLine="420"/>
        <w:rPr>
          <w:rFonts w:asciiTheme="minorEastAsia" w:eastAsiaTheme="minorEastAsia" w:hAnsiTheme="minorEastAsia"/>
          <w:kern w:val="0"/>
          <w:szCs w:val="21"/>
        </w:rPr>
      </w:pPr>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4.4.2</w:t>
      </w:r>
      <w:r w:rsidRPr="00701155">
        <w:rPr>
          <w:rFonts w:ascii="Times New Roman" w:hAnsi="Times New Roman" w:hint="eastAsia"/>
          <w:kern w:val="0"/>
          <w:szCs w:val="24"/>
        </w:rPr>
        <w:t>报告期内基金的业绩表现</w:t>
      </w:r>
    </w:p>
    <w:p w:rsidR="001A59F9" w:rsidRPr="0013437B" w:rsidRDefault="001A59F9" w:rsidP="0013437B">
      <w:pPr>
        <w:spacing w:before="29" w:line="288" w:lineRule="auto"/>
        <w:ind w:firstLineChars="200" w:firstLine="480"/>
        <w:rPr>
          <w:color w:val="000000"/>
          <w:sz w:val="24"/>
        </w:rPr>
      </w:pPr>
      <w:r w:rsidRPr="0013437B">
        <w:rPr>
          <w:color w:val="000000"/>
          <w:sz w:val="24"/>
        </w:rPr>
        <w:t>截至</w:t>
      </w:r>
      <w:r w:rsidRPr="0013437B">
        <w:rPr>
          <w:color w:val="000000"/>
          <w:sz w:val="24"/>
        </w:rPr>
        <w:t>2017</w:t>
      </w:r>
      <w:r w:rsidRPr="0013437B">
        <w:rPr>
          <w:color w:val="000000"/>
          <w:sz w:val="24"/>
        </w:rPr>
        <w:t>年</w:t>
      </w:r>
      <w:r w:rsidRPr="0013437B">
        <w:rPr>
          <w:color w:val="000000"/>
          <w:sz w:val="24"/>
        </w:rPr>
        <w:t>12</w:t>
      </w:r>
      <w:r w:rsidRPr="0013437B">
        <w:rPr>
          <w:color w:val="000000"/>
          <w:sz w:val="24"/>
        </w:rPr>
        <w:t>月</w:t>
      </w:r>
      <w:r w:rsidRPr="0013437B">
        <w:rPr>
          <w:color w:val="000000"/>
          <w:sz w:val="24"/>
        </w:rPr>
        <w:t>31</w:t>
      </w:r>
      <w:r w:rsidRPr="0013437B">
        <w:rPr>
          <w:color w:val="000000"/>
          <w:sz w:val="24"/>
        </w:rPr>
        <w:t>日，本基金份额净值为</w:t>
      </w:r>
      <w:r w:rsidRPr="0013437B">
        <w:rPr>
          <w:color w:val="000000"/>
          <w:sz w:val="24"/>
        </w:rPr>
        <w:t>1.002</w:t>
      </w:r>
      <w:r w:rsidRPr="0013437B">
        <w:rPr>
          <w:color w:val="000000"/>
          <w:sz w:val="24"/>
        </w:rPr>
        <w:t>元，本报告期份额净值增长率为</w:t>
      </w:r>
      <w:r w:rsidRPr="0013437B">
        <w:rPr>
          <w:color w:val="000000"/>
          <w:sz w:val="24"/>
        </w:rPr>
        <w:t>3.19%</w:t>
      </w:r>
      <w:r w:rsidRPr="0013437B">
        <w:rPr>
          <w:color w:val="000000"/>
          <w:sz w:val="24"/>
        </w:rPr>
        <w:t>，同期业绩比较基准增长率为</w:t>
      </w:r>
      <w:r w:rsidRPr="0013437B">
        <w:rPr>
          <w:color w:val="000000"/>
          <w:sz w:val="24"/>
        </w:rPr>
        <w:t>2.45%</w:t>
      </w:r>
      <w:r w:rsidRPr="0013437B">
        <w:rPr>
          <w:color w:val="000000"/>
          <w:sz w:val="24"/>
        </w:rPr>
        <w:t>。</w:t>
      </w:r>
    </w:p>
    <w:p w:rsidR="001A59F9" w:rsidRPr="00C51C77" w:rsidRDefault="001A59F9" w:rsidP="00C51C77">
      <w:pPr>
        <w:spacing w:line="360" w:lineRule="auto"/>
        <w:ind w:firstLineChars="200" w:firstLine="420"/>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2" w:name="_Toc225498259"/>
      <w:bookmarkStart w:id="33" w:name="_Toc361324859"/>
      <w:r w:rsidRPr="00701155">
        <w:rPr>
          <w:rFonts w:ascii="Times New Roman" w:hAnsi="Times New Roman" w:hint="eastAsia"/>
          <w:kern w:val="0"/>
          <w:szCs w:val="24"/>
        </w:rPr>
        <w:t>4</w:t>
      </w:r>
      <w:r w:rsidR="001A59F9" w:rsidRPr="00701155">
        <w:rPr>
          <w:rFonts w:ascii="Times New Roman" w:hAnsi="Times New Roman"/>
          <w:kern w:val="0"/>
          <w:szCs w:val="24"/>
        </w:rPr>
        <w:t>.</w:t>
      </w:r>
      <w:r w:rsidRPr="00701155">
        <w:rPr>
          <w:rFonts w:ascii="Times New Roman" w:hAnsi="Times New Roman" w:hint="eastAsia"/>
          <w:kern w:val="0"/>
          <w:szCs w:val="24"/>
        </w:rPr>
        <w:t>5</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管理人对宏观经济、证券市场及行业走势的简要展望</w:t>
      </w:r>
      <w:bookmarkEnd w:id="32"/>
      <w:bookmarkEnd w:id="33"/>
    </w:p>
    <w:p w:rsidR="007C483C" w:rsidRDefault="007F41B2">
      <w:pPr>
        <w:spacing w:before="29" w:line="288" w:lineRule="auto"/>
        <w:ind w:firstLineChars="200" w:firstLine="480"/>
        <w:rPr>
          <w:color w:val="000000"/>
          <w:sz w:val="24"/>
        </w:rPr>
      </w:pPr>
      <w:r>
        <w:rPr>
          <w:color w:val="000000"/>
          <w:sz w:val="24"/>
        </w:rPr>
        <w:t>展望</w:t>
      </w:r>
      <w:r>
        <w:rPr>
          <w:color w:val="000000"/>
          <w:sz w:val="24"/>
        </w:rPr>
        <w:t>2018</w:t>
      </w:r>
      <w:r>
        <w:rPr>
          <w:color w:val="000000"/>
          <w:sz w:val="24"/>
        </w:rPr>
        <w:t>年，房地产、基建和出口均显出一定的疲态，我们预计这将带动经济增</w:t>
      </w:r>
      <w:r>
        <w:rPr>
          <w:color w:val="000000"/>
          <w:sz w:val="24"/>
        </w:rPr>
        <w:lastRenderedPageBreak/>
        <w:t>速逐步下行，对债市形成一定支撑。收益率上行到高位之后具有一定的配置价值，我们关注在降杠杆大背景下金融业务回归本源可能对实体融资产生的影响，继而带来的债券市场的投资机会。此外，美联储持续的紧缩政策带来的美债收益率上行等复杂的外围市场情况、一季度经济数据真空期和通胀回升压力、各项政策落地的力度和节奏以及金融机构的应对行为、市场流动性的波动等负面因素都需要我们持续地跟踪分析，做出应对。</w:t>
      </w:r>
    </w:p>
    <w:p w:rsidR="001A59F9" w:rsidRPr="0013437B" w:rsidRDefault="001A59F9" w:rsidP="0013437B">
      <w:pPr>
        <w:spacing w:before="29" w:line="288" w:lineRule="auto"/>
        <w:ind w:firstLineChars="200" w:firstLine="480"/>
        <w:rPr>
          <w:color w:val="000000"/>
          <w:sz w:val="24"/>
        </w:rPr>
      </w:pPr>
      <w:r w:rsidRPr="0013437B">
        <w:rPr>
          <w:color w:val="000000"/>
          <w:sz w:val="24"/>
        </w:rPr>
        <w:t>在组合操作方面，未来组合将继续根据组合规模变动情况，动态地进行各类资产的优化配置。考虑到组合规模较小，我们将关注交易所各类债券品种的投资机会，利率债以波段操作为主，信用债以票息收益为主要收益来源，关注中短久期信用品种的投资机会。</w:t>
      </w:r>
    </w:p>
    <w:p w:rsidR="001A59F9" w:rsidRPr="00C51C77" w:rsidRDefault="001A59F9" w:rsidP="00C51C77">
      <w:pPr>
        <w:autoSpaceDE w:val="0"/>
        <w:autoSpaceDN w:val="0"/>
        <w:adjustRightInd w:val="0"/>
        <w:spacing w:line="360" w:lineRule="auto"/>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4" w:name="_Toc247959457"/>
      <w:bookmarkStart w:id="35" w:name="_Toc225570083"/>
      <w:bookmarkStart w:id="36" w:name="_Toc361324861"/>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6</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管理人对报告期内基金估值程序等事项的说明</w:t>
      </w:r>
      <w:bookmarkEnd w:id="34"/>
      <w:bookmarkEnd w:id="35"/>
      <w:bookmarkEnd w:id="36"/>
    </w:p>
    <w:p w:rsidR="007C483C" w:rsidRDefault="007F41B2">
      <w:pPr>
        <w:spacing w:before="29" w:line="288" w:lineRule="auto"/>
        <w:ind w:firstLineChars="200" w:firstLine="480"/>
        <w:rPr>
          <w:color w:val="000000"/>
          <w:sz w:val="24"/>
        </w:rPr>
      </w:pPr>
      <w:r>
        <w:rPr>
          <w:color w:val="000000"/>
          <w:sz w:val="24"/>
        </w:rPr>
        <w:t>本基金管理人制定了健全、有效的估值政策和程序，经公司管理层批准后实行，并成立了估值委员会，估值委员会成员由研究部、基金运营部、风险管理部等人员和固定收益人员及基金经理组成。</w:t>
      </w:r>
    </w:p>
    <w:p w:rsidR="007C483C" w:rsidRDefault="007F41B2">
      <w:pPr>
        <w:spacing w:before="29" w:line="288" w:lineRule="auto"/>
        <w:ind w:firstLineChars="200" w:firstLine="480"/>
        <w:rPr>
          <w:color w:val="000000"/>
          <w:sz w:val="24"/>
        </w:rPr>
      </w:pPr>
      <w:r>
        <w:rPr>
          <w:color w:val="000000"/>
          <w:sz w:val="24"/>
        </w:rPr>
        <w:t>公司严格按照新会计准则、证监会相关规定和基金合同关于估值的约定进行估值，保证基金估值的公平、合理，保持估值政策和程序的一贯性。估值委员会的研究部成员按投资品种的不同性质，研究并参考市场普遍认同的做法，建议合理的估值模型，进行测算和认证，认可后交各估值委员会成员从基金会计、风险、合规等方面审批，一致同意后，报公司投资总监、总经理审批。</w:t>
      </w:r>
    </w:p>
    <w:p w:rsidR="001A59F9" w:rsidRPr="0013437B" w:rsidRDefault="001A59F9" w:rsidP="0013437B">
      <w:pPr>
        <w:spacing w:before="29" w:line="288" w:lineRule="auto"/>
        <w:ind w:firstLineChars="200" w:firstLine="480"/>
        <w:rPr>
          <w:color w:val="000000"/>
          <w:sz w:val="24"/>
        </w:rPr>
      </w:pPr>
      <w:r w:rsidRPr="0013437B">
        <w:rPr>
          <w:color w:val="000000"/>
          <w:sz w:val="24"/>
        </w:rPr>
        <w:t>估值委员会会定期对估值政策和程序进行评价，在发生了影响估值政策和程序的有效性及适用性的情况后，及时召开临时会议进行研究，及时修订估值方法，以保证其持续适用。估值委员会成员均具备相应的专业资格及工作经验。基金经理作为估值委员会成员，对本基金持仓证券的交易情况、信息披露情况保持应有的职业敏感，向估值委员会提供估值参考信息，参与估值政策讨论。本基金管理人参与估值流程各方之间不存在任何重大利益冲突，截止报告期末未有与任何外部估值定价服务机构签约。</w:t>
      </w:r>
    </w:p>
    <w:p w:rsidR="001A59F9" w:rsidRPr="00C51C77" w:rsidRDefault="001A59F9" w:rsidP="00C51C77">
      <w:pPr>
        <w:autoSpaceDE w:val="0"/>
        <w:autoSpaceDN w:val="0"/>
        <w:adjustRightInd w:val="0"/>
        <w:spacing w:line="360" w:lineRule="auto"/>
        <w:ind w:firstLine="482"/>
        <w:rPr>
          <w:rFonts w:asciiTheme="minorEastAsia" w:eastAsiaTheme="minorEastAsia" w:hAnsiTheme="minorEastAsia"/>
          <w:color w:val="000000"/>
          <w:kern w:val="0"/>
          <w:szCs w:val="21"/>
        </w:rPr>
      </w:pPr>
    </w:p>
    <w:p w:rsidR="001A59F9" w:rsidRPr="00701155" w:rsidRDefault="00055D56" w:rsidP="00701155">
      <w:pPr>
        <w:pStyle w:val="20"/>
        <w:spacing w:before="29" w:after="0" w:line="288" w:lineRule="auto"/>
        <w:rPr>
          <w:rFonts w:ascii="Times New Roman" w:hAnsi="Times New Roman"/>
          <w:kern w:val="0"/>
          <w:szCs w:val="24"/>
        </w:rPr>
      </w:pPr>
      <w:bookmarkStart w:id="37" w:name="_Toc247959458"/>
      <w:bookmarkStart w:id="38" w:name="_Toc225570084"/>
      <w:bookmarkStart w:id="39" w:name="_Toc361324862"/>
      <w:r w:rsidRPr="00701155">
        <w:rPr>
          <w:rFonts w:ascii="Times New Roman" w:hAnsi="Times New Roman" w:hint="eastAsia"/>
          <w:kern w:val="0"/>
          <w:szCs w:val="24"/>
        </w:rPr>
        <w:t>4</w:t>
      </w:r>
      <w:r w:rsidRPr="00701155">
        <w:rPr>
          <w:rFonts w:ascii="Times New Roman" w:hAnsi="Times New Roman"/>
          <w:kern w:val="0"/>
          <w:szCs w:val="24"/>
        </w:rPr>
        <w:t>.</w:t>
      </w:r>
      <w:r w:rsidRPr="00701155">
        <w:rPr>
          <w:rFonts w:ascii="Times New Roman" w:hAnsi="Times New Roman" w:hint="eastAsia"/>
          <w:kern w:val="0"/>
          <w:szCs w:val="24"/>
        </w:rPr>
        <w:t>7</w:t>
      </w:r>
      <w:r w:rsidR="001A59F9" w:rsidRPr="00701155">
        <w:rPr>
          <w:rFonts w:ascii="Times New Roman" w:hAnsi="Times New Roman"/>
          <w:kern w:val="0"/>
          <w:szCs w:val="24"/>
        </w:rPr>
        <w:t xml:space="preserve"> </w:t>
      </w:r>
      <w:r w:rsidR="001A59F9" w:rsidRPr="00701155">
        <w:rPr>
          <w:rFonts w:ascii="Times New Roman" w:hAnsi="Times New Roman" w:hint="eastAsia"/>
          <w:kern w:val="0"/>
          <w:szCs w:val="24"/>
        </w:rPr>
        <w:t>管理人对报告期内基金利润分配情况的说明</w:t>
      </w:r>
      <w:bookmarkEnd w:id="37"/>
      <w:bookmarkEnd w:id="38"/>
      <w:bookmarkEnd w:id="39"/>
    </w:p>
    <w:p w:rsidR="001A59F9" w:rsidRPr="0013437B" w:rsidRDefault="001A59F9" w:rsidP="0013437B">
      <w:pPr>
        <w:spacing w:before="29" w:line="288" w:lineRule="auto"/>
        <w:ind w:firstLineChars="200" w:firstLine="480"/>
        <w:rPr>
          <w:color w:val="000000"/>
          <w:sz w:val="24"/>
        </w:rPr>
      </w:pPr>
      <w:r w:rsidRPr="0013437B">
        <w:rPr>
          <w:color w:val="000000"/>
          <w:sz w:val="24"/>
        </w:rPr>
        <w:t>本基金本报告期内未进行利润分配。</w:t>
      </w:r>
    </w:p>
    <w:p w:rsidR="001A59F9" w:rsidRPr="00C51C77" w:rsidRDefault="001A59F9" w:rsidP="00C51C77">
      <w:pPr>
        <w:autoSpaceDE w:val="0"/>
        <w:autoSpaceDN w:val="0"/>
        <w:adjustRightInd w:val="0"/>
        <w:spacing w:line="360" w:lineRule="auto"/>
        <w:ind w:firstLineChars="200" w:firstLine="420"/>
        <w:rPr>
          <w:rFonts w:asciiTheme="minorEastAsia" w:eastAsiaTheme="minorEastAsia" w:hAnsiTheme="minorEastAsia"/>
          <w:color w:val="000000"/>
          <w:kern w:val="0"/>
          <w:szCs w:val="21"/>
        </w:rPr>
      </w:pPr>
    </w:p>
    <w:p w:rsidR="00C62F35" w:rsidRPr="00BB731C" w:rsidRDefault="00C62F35" w:rsidP="00C62F35">
      <w:pPr>
        <w:spacing w:before="29" w:line="288" w:lineRule="auto"/>
        <w:rPr>
          <w:rFonts w:eastAsiaTheme="minorEastAsia"/>
          <w:b/>
          <w:sz w:val="24"/>
        </w:rPr>
      </w:pPr>
      <w:r w:rsidRPr="00BB731C">
        <w:rPr>
          <w:rFonts w:eastAsiaTheme="minorEastAsia"/>
          <w:b/>
          <w:sz w:val="24"/>
        </w:rPr>
        <w:t>4.8</w:t>
      </w:r>
      <w:r w:rsidRPr="00BB731C">
        <w:rPr>
          <w:rFonts w:eastAsiaTheme="minorEastAsia" w:hint="eastAsia"/>
          <w:b/>
          <w:sz w:val="24"/>
        </w:rPr>
        <w:t xml:space="preserve"> </w:t>
      </w:r>
      <w:r w:rsidRPr="00BB731C">
        <w:rPr>
          <w:rFonts w:eastAsiaTheme="minorEastAsia" w:hint="eastAsia"/>
          <w:b/>
          <w:sz w:val="24"/>
        </w:rPr>
        <w:t>报告期内管理人对本基金持有人数或基金资产净值预警情形的说明</w:t>
      </w:r>
    </w:p>
    <w:p w:rsidR="00C62F35" w:rsidRPr="00BB731C" w:rsidRDefault="00C62F35" w:rsidP="00C62F35">
      <w:pPr>
        <w:spacing w:before="29" w:line="288" w:lineRule="auto"/>
        <w:ind w:firstLineChars="200" w:firstLine="480"/>
        <w:rPr>
          <w:kern w:val="0"/>
          <w:sz w:val="24"/>
        </w:rPr>
      </w:pPr>
      <w:r w:rsidRPr="00BB731C">
        <w:rPr>
          <w:kern w:val="0"/>
          <w:sz w:val="24"/>
        </w:rPr>
        <w:t>本基金本报告期内无需预警说明。</w:t>
      </w:r>
    </w:p>
    <w:p w:rsidR="00C62F35" w:rsidRPr="0013437B" w:rsidRDefault="00C62F35"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0" w:name="_Toc225498263"/>
      <w:bookmarkStart w:id="41" w:name="_Toc361324864"/>
      <w:r w:rsidRPr="006D2A81">
        <w:rPr>
          <w:rFonts w:hint="eastAsia"/>
          <w:b/>
          <w:bCs/>
          <w:szCs w:val="24"/>
          <w:lang w:val="en-US"/>
        </w:rPr>
        <w:t>§</w:t>
      </w:r>
      <w:r w:rsidRPr="006D2A81">
        <w:rPr>
          <w:b/>
          <w:bCs/>
          <w:szCs w:val="24"/>
          <w:lang w:val="en-US"/>
        </w:rPr>
        <w:t xml:space="preserve">5  </w:t>
      </w:r>
      <w:r w:rsidRPr="006D2A81">
        <w:rPr>
          <w:rFonts w:hint="eastAsia"/>
          <w:b/>
          <w:bCs/>
          <w:szCs w:val="24"/>
          <w:lang w:val="en-US"/>
        </w:rPr>
        <w:t>托管人报告</w:t>
      </w:r>
      <w:bookmarkEnd w:id="40"/>
      <w:bookmarkEnd w:id="4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42" w:name="_Toc225498264"/>
      <w:bookmarkStart w:id="43" w:name="_Toc361324865"/>
      <w:r w:rsidRPr="00701155">
        <w:rPr>
          <w:rFonts w:ascii="Times New Roman" w:hAnsi="Times New Roman"/>
          <w:kern w:val="0"/>
          <w:szCs w:val="24"/>
        </w:rPr>
        <w:lastRenderedPageBreak/>
        <w:t xml:space="preserve">5.1 </w:t>
      </w:r>
      <w:r w:rsidRPr="00701155">
        <w:rPr>
          <w:rFonts w:ascii="Times New Roman" w:hAnsi="Times New Roman" w:hint="eastAsia"/>
          <w:kern w:val="0"/>
          <w:szCs w:val="24"/>
        </w:rPr>
        <w:t>报告期内本基金托管人遵规守信情况声明</w:t>
      </w:r>
      <w:bookmarkEnd w:id="42"/>
      <w:bookmarkEnd w:id="43"/>
    </w:p>
    <w:p w:rsidR="001A59F9" w:rsidRPr="0013437B" w:rsidRDefault="001A59F9" w:rsidP="0013437B">
      <w:pPr>
        <w:spacing w:before="29" w:line="288" w:lineRule="auto"/>
        <w:ind w:firstLineChars="200" w:firstLine="480"/>
        <w:rPr>
          <w:color w:val="000000"/>
          <w:sz w:val="24"/>
        </w:rPr>
      </w:pPr>
      <w:r w:rsidRPr="0013437B">
        <w:rPr>
          <w:color w:val="000000"/>
          <w:sz w:val="24"/>
        </w:rPr>
        <w:t>作为本基金的托管人，中信银行严格遵守了《证券投资基金法》及其他有关法律法规、基金合同和托管协议的规定，对交银施罗德丰硕收益债券证券投资基金</w:t>
      </w:r>
      <w:r w:rsidRPr="0013437B">
        <w:rPr>
          <w:color w:val="000000"/>
          <w:sz w:val="24"/>
        </w:rPr>
        <w:t>2017</w:t>
      </w:r>
      <w:r w:rsidRPr="0013437B">
        <w:rPr>
          <w:color w:val="000000"/>
          <w:sz w:val="24"/>
        </w:rPr>
        <w:t>年度的投资运作，进行了认真、独立的会计核算和必要的投资监督，认真履行了托管人的义务，不存在任何损害基金份额持有人利益的行为。</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4" w:name="_Toc225498265"/>
      <w:bookmarkStart w:id="45" w:name="_Toc361324866"/>
      <w:r w:rsidRPr="00701155">
        <w:rPr>
          <w:rFonts w:ascii="Times New Roman" w:hAnsi="Times New Roman"/>
          <w:kern w:val="0"/>
          <w:szCs w:val="24"/>
        </w:rPr>
        <w:t xml:space="preserve">5.2 </w:t>
      </w:r>
      <w:r w:rsidRPr="00701155">
        <w:rPr>
          <w:rFonts w:ascii="Times New Roman" w:hAnsi="Times New Roman" w:hint="eastAsia"/>
          <w:kern w:val="0"/>
          <w:szCs w:val="24"/>
        </w:rPr>
        <w:t>托管人对报告期内本基金投资运作遵规守信、净值计算、利润分配等情况的</w:t>
      </w:r>
      <w:bookmarkEnd w:id="44"/>
      <w:r w:rsidRPr="00701155">
        <w:rPr>
          <w:rFonts w:ascii="Times New Roman" w:hAnsi="Times New Roman" w:hint="eastAsia"/>
          <w:kern w:val="0"/>
          <w:szCs w:val="24"/>
        </w:rPr>
        <w:t>说明</w:t>
      </w:r>
      <w:bookmarkEnd w:id="45"/>
    </w:p>
    <w:p w:rsidR="001A59F9" w:rsidRPr="0013437B" w:rsidRDefault="001A59F9" w:rsidP="0013437B">
      <w:pPr>
        <w:spacing w:before="29" w:line="288" w:lineRule="auto"/>
        <w:ind w:firstLineChars="200" w:firstLine="480"/>
        <w:rPr>
          <w:color w:val="000000"/>
          <w:sz w:val="24"/>
        </w:rPr>
      </w:pPr>
      <w:r w:rsidRPr="0013437B">
        <w:rPr>
          <w:color w:val="000000"/>
          <w:sz w:val="24"/>
        </w:rPr>
        <w:t>本托管人认为，交银施罗德基金管理有限公司在交银施罗德丰硕收益债券证券投资基金的投资运作、基金资产净值的计算、基金份额申购赎回价格的计算、基金费用开支及利润分配等问题上，不存在损害基金份额持有人利益的行为；在报告期内，严格遵守了《证券投资基金法》等有关法律法规，在各重要方面的运作严格按照基金合同的规定进行。</w:t>
      </w:r>
    </w:p>
    <w:p w:rsidR="001A59F9" w:rsidRPr="00C51C77" w:rsidRDefault="001A59F9" w:rsidP="00016A50">
      <w:pPr>
        <w:spacing w:line="360" w:lineRule="auto"/>
        <w:ind w:firstLineChars="200" w:firstLine="420"/>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46" w:name="_Toc225498266"/>
      <w:bookmarkStart w:id="47" w:name="_Toc361324867"/>
      <w:r w:rsidRPr="00701155">
        <w:rPr>
          <w:rFonts w:ascii="Times New Roman" w:hAnsi="Times New Roman"/>
          <w:kern w:val="0"/>
          <w:szCs w:val="24"/>
        </w:rPr>
        <w:t xml:space="preserve">5.3 </w:t>
      </w:r>
      <w:r w:rsidRPr="00701155">
        <w:rPr>
          <w:rFonts w:ascii="Times New Roman" w:hAnsi="Times New Roman" w:hint="eastAsia"/>
          <w:kern w:val="0"/>
          <w:szCs w:val="24"/>
        </w:rPr>
        <w:t>托管人对本年度报告中财务信息等内容的真实、准确和完整发表意见</w:t>
      </w:r>
      <w:bookmarkEnd w:id="46"/>
      <w:bookmarkEnd w:id="47"/>
    </w:p>
    <w:p w:rsidR="001A59F9" w:rsidRDefault="001A59F9" w:rsidP="0013437B">
      <w:pPr>
        <w:spacing w:before="29" w:line="288" w:lineRule="auto"/>
        <w:ind w:firstLineChars="200" w:firstLine="480"/>
        <w:rPr>
          <w:color w:val="000000"/>
          <w:sz w:val="24"/>
        </w:rPr>
      </w:pPr>
      <w:r w:rsidRPr="0013437B">
        <w:rPr>
          <w:color w:val="000000"/>
          <w:sz w:val="24"/>
        </w:rPr>
        <w:t>本托管人认为，交银施罗德基金管理有限公司的信息披露事务符合《证券投资基金信息披露管理办法》及其他相关法律法规的规定，基金管理人所编制和披露的交银施罗德丰硕收益债券证券投资基金年度报告中的财务指标、净值表现、收益分配情况、财务会计报告、投资组合报告等信息真实、准确、完整，未发现有损害基金持有人利益的行为。</w:t>
      </w:r>
    </w:p>
    <w:p w:rsidR="009E773E" w:rsidRPr="0013437B" w:rsidRDefault="009E773E" w:rsidP="0013437B">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48" w:name="_Toc245801814"/>
      <w:bookmarkStart w:id="49" w:name="_Toc247959464"/>
      <w:bookmarkStart w:id="50" w:name="_Toc361324868"/>
      <w:r w:rsidRPr="009E773E">
        <w:rPr>
          <w:rFonts w:hint="eastAsia"/>
          <w:b/>
          <w:bCs/>
          <w:szCs w:val="24"/>
          <w:lang w:val="en-US"/>
        </w:rPr>
        <w:t>§</w:t>
      </w:r>
      <w:r w:rsidRPr="009E773E">
        <w:rPr>
          <w:b/>
          <w:bCs/>
          <w:szCs w:val="24"/>
          <w:lang w:val="en-US"/>
        </w:rPr>
        <w:t xml:space="preserve">6  </w:t>
      </w:r>
      <w:r w:rsidRPr="009E773E">
        <w:rPr>
          <w:rFonts w:hint="eastAsia"/>
          <w:b/>
          <w:bCs/>
          <w:szCs w:val="24"/>
          <w:lang w:val="en-US"/>
        </w:rPr>
        <w:t>审计报告</w:t>
      </w:r>
      <w:bookmarkEnd w:id="48"/>
      <w:bookmarkEnd w:id="49"/>
      <w:bookmarkEnd w:id="50"/>
    </w:p>
    <w:p w:rsidR="002546CC" w:rsidRPr="002546CC" w:rsidRDefault="002546CC" w:rsidP="002546CC"/>
    <w:p w:rsidR="00444105" w:rsidRDefault="00444105" w:rsidP="00444105">
      <w:pPr>
        <w:spacing w:before="29" w:line="288" w:lineRule="auto"/>
        <w:ind w:firstLineChars="200" w:firstLine="480"/>
        <w:rPr>
          <w:color w:val="000000"/>
          <w:sz w:val="24"/>
        </w:rPr>
      </w:pPr>
      <w:r w:rsidRPr="001F3653">
        <w:rPr>
          <w:color w:val="000000"/>
          <w:sz w:val="24"/>
        </w:rPr>
        <w:t>普华永道中天会计师事务所</w:t>
      </w:r>
      <w:r w:rsidRPr="001F3653">
        <w:rPr>
          <w:color w:val="000000"/>
          <w:sz w:val="24"/>
        </w:rPr>
        <w:t>(</w:t>
      </w:r>
      <w:r w:rsidRPr="001F3653">
        <w:rPr>
          <w:color w:val="000000"/>
          <w:sz w:val="24"/>
        </w:rPr>
        <w:t>特殊普通合伙</w:t>
      </w:r>
      <w:r w:rsidRPr="001F3653">
        <w:rPr>
          <w:color w:val="000000"/>
          <w:sz w:val="24"/>
        </w:rPr>
        <w:t>)</w:t>
      </w:r>
      <w:r w:rsidRPr="00A009EE">
        <w:rPr>
          <w:rFonts w:hint="eastAsia"/>
          <w:color w:val="000000"/>
          <w:sz w:val="24"/>
        </w:rPr>
        <w:t>对</w:t>
      </w:r>
      <w:r w:rsidRPr="003C6BFD">
        <w:rPr>
          <w:color w:val="000000"/>
          <w:sz w:val="24"/>
        </w:rPr>
        <w:t>交银施罗德丰硕收益债券型证券投资基金</w:t>
      </w:r>
      <w:r w:rsidRPr="003C6BFD">
        <w:rPr>
          <w:color w:val="000000"/>
          <w:sz w:val="24"/>
        </w:rPr>
        <w:t>2017</w:t>
      </w:r>
      <w:r w:rsidRPr="003C6BFD">
        <w:rPr>
          <w:color w:val="000000"/>
          <w:sz w:val="24"/>
        </w:rPr>
        <w:t>年</w:t>
      </w:r>
      <w:r w:rsidRPr="003C6BFD">
        <w:rPr>
          <w:color w:val="000000"/>
          <w:sz w:val="24"/>
        </w:rPr>
        <w:t>12</w:t>
      </w:r>
      <w:r w:rsidRPr="003C6BFD">
        <w:rPr>
          <w:color w:val="000000"/>
          <w:sz w:val="24"/>
        </w:rPr>
        <w:t>月</w:t>
      </w:r>
      <w:r w:rsidRPr="003C6BFD">
        <w:rPr>
          <w:color w:val="000000"/>
          <w:sz w:val="24"/>
        </w:rPr>
        <w:t>31</w:t>
      </w:r>
      <w:r w:rsidRPr="003C6BFD">
        <w:rPr>
          <w:color w:val="000000"/>
          <w:sz w:val="24"/>
        </w:rPr>
        <w:t>日</w:t>
      </w:r>
      <w:r w:rsidRPr="00A009EE">
        <w:rPr>
          <w:rFonts w:hint="eastAsia"/>
          <w:color w:val="000000"/>
          <w:sz w:val="24"/>
        </w:rPr>
        <w:t>的资产负债表，</w:t>
      </w:r>
      <w:r w:rsidRPr="003C6BFD">
        <w:rPr>
          <w:color w:val="000000"/>
          <w:sz w:val="24"/>
        </w:rPr>
        <w:t>2017</w:t>
      </w:r>
      <w:r w:rsidRPr="003C6BFD">
        <w:rPr>
          <w:color w:val="000000"/>
          <w:sz w:val="24"/>
        </w:rPr>
        <w:t>年</w:t>
      </w:r>
      <w:r w:rsidR="0020150C">
        <w:rPr>
          <w:rFonts w:hint="eastAsia"/>
          <w:color w:val="000000"/>
          <w:sz w:val="24"/>
        </w:rPr>
        <w:t>度</w:t>
      </w:r>
      <w:r w:rsidRPr="00A009EE">
        <w:rPr>
          <w:rFonts w:hint="eastAsia"/>
          <w:color w:val="000000"/>
          <w:sz w:val="24"/>
        </w:rPr>
        <w:t>的利润表、所有者权益</w:t>
      </w:r>
      <w:r w:rsidRPr="00A009EE">
        <w:rPr>
          <w:rFonts w:hint="eastAsia"/>
          <w:color w:val="000000"/>
          <w:sz w:val="24"/>
        </w:rPr>
        <w:t>(</w:t>
      </w:r>
      <w:r w:rsidRPr="00A009EE">
        <w:rPr>
          <w:rFonts w:hint="eastAsia"/>
          <w:color w:val="000000"/>
          <w:sz w:val="24"/>
        </w:rPr>
        <w:t>基金净值</w:t>
      </w:r>
      <w:r w:rsidRPr="00A009EE">
        <w:rPr>
          <w:rFonts w:hint="eastAsia"/>
          <w:color w:val="000000"/>
          <w:sz w:val="24"/>
        </w:rPr>
        <w:t>)</w:t>
      </w:r>
      <w:r w:rsidRPr="00A009EE">
        <w:rPr>
          <w:rFonts w:hint="eastAsia"/>
          <w:color w:val="000000"/>
          <w:sz w:val="24"/>
        </w:rPr>
        <w:t>变动表以及财务报表附注</w:t>
      </w:r>
      <w:r w:rsidRPr="001F3653">
        <w:rPr>
          <w:rFonts w:hint="eastAsia"/>
          <w:color w:val="000000"/>
          <w:sz w:val="24"/>
        </w:rPr>
        <w:t>出具了标准无保留意见的审计报告</w:t>
      </w:r>
      <w:r w:rsidR="000E4B9B">
        <w:rPr>
          <w:rFonts w:hint="eastAsia"/>
          <w:color w:val="000000"/>
          <w:sz w:val="24"/>
        </w:rPr>
        <w:t>【</w:t>
      </w:r>
      <w:r w:rsidRPr="001F3653">
        <w:rPr>
          <w:color w:val="000000"/>
          <w:sz w:val="24"/>
        </w:rPr>
        <w:t>普华永道中天审字</w:t>
      </w:r>
      <w:r w:rsidRPr="001F3653">
        <w:rPr>
          <w:color w:val="000000"/>
          <w:sz w:val="24"/>
        </w:rPr>
        <w:t>(2018)</w:t>
      </w:r>
      <w:r w:rsidRPr="001F3653">
        <w:rPr>
          <w:color w:val="000000"/>
          <w:sz w:val="24"/>
        </w:rPr>
        <w:t>第</w:t>
      </w:r>
      <w:r w:rsidRPr="001F3653">
        <w:rPr>
          <w:color w:val="000000"/>
          <w:sz w:val="24"/>
        </w:rPr>
        <w:t>21974</w:t>
      </w:r>
      <w:r w:rsidRPr="001F3653">
        <w:rPr>
          <w:color w:val="000000"/>
          <w:sz w:val="24"/>
        </w:rPr>
        <w:t>号</w:t>
      </w:r>
      <w:r w:rsidR="000E4B9B">
        <w:rPr>
          <w:rFonts w:hint="eastAsia"/>
          <w:color w:val="000000"/>
          <w:sz w:val="24"/>
        </w:rPr>
        <w:t>】</w:t>
      </w:r>
      <w:r w:rsidRPr="001F3653">
        <w:rPr>
          <w:rFonts w:hint="eastAsia"/>
          <w:color w:val="000000"/>
          <w:sz w:val="24"/>
        </w:rPr>
        <w:t>。投资者可通过</w:t>
      </w:r>
      <w:r>
        <w:rPr>
          <w:rFonts w:hint="eastAsia"/>
          <w:color w:val="000000"/>
          <w:sz w:val="24"/>
        </w:rPr>
        <w:t>本基金</w:t>
      </w:r>
      <w:r w:rsidRPr="001F3653">
        <w:rPr>
          <w:rFonts w:hint="eastAsia"/>
          <w:color w:val="000000"/>
          <w:sz w:val="24"/>
        </w:rPr>
        <w:t>年度报告正文查看</w:t>
      </w:r>
      <w:r>
        <w:rPr>
          <w:rFonts w:hint="eastAsia"/>
          <w:color w:val="000000"/>
          <w:sz w:val="24"/>
        </w:rPr>
        <w:t>该</w:t>
      </w:r>
      <w:r w:rsidRPr="001F3653">
        <w:rPr>
          <w:rFonts w:hint="eastAsia"/>
          <w:color w:val="000000"/>
          <w:sz w:val="24"/>
        </w:rPr>
        <w:t>审计报告全文。</w:t>
      </w:r>
    </w:p>
    <w:p w:rsidR="0068776C" w:rsidRPr="00444105" w:rsidRDefault="0068776C" w:rsidP="001F3653">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51" w:name="_Toc361324872"/>
      <w:r w:rsidRPr="0068776C">
        <w:rPr>
          <w:rFonts w:hint="eastAsia"/>
          <w:b/>
          <w:bCs/>
          <w:szCs w:val="24"/>
          <w:lang w:val="en-US"/>
        </w:rPr>
        <w:t>§</w:t>
      </w:r>
      <w:r w:rsidRPr="0068776C">
        <w:rPr>
          <w:b/>
          <w:bCs/>
          <w:szCs w:val="24"/>
          <w:lang w:val="en-US"/>
        </w:rPr>
        <w:t>7</w:t>
      </w:r>
      <w:r w:rsidR="009153A3" w:rsidRPr="0068776C">
        <w:rPr>
          <w:rFonts w:hint="eastAsia"/>
          <w:b/>
          <w:bCs/>
          <w:szCs w:val="24"/>
          <w:lang w:val="en-US"/>
        </w:rPr>
        <w:t xml:space="preserve">  </w:t>
      </w:r>
      <w:r w:rsidRPr="0068776C">
        <w:rPr>
          <w:rFonts w:hint="eastAsia"/>
          <w:b/>
          <w:bCs/>
          <w:szCs w:val="24"/>
          <w:lang w:val="en-US"/>
        </w:rPr>
        <w:t>年度财务报表</w:t>
      </w:r>
      <w:bookmarkEnd w:id="51"/>
    </w:p>
    <w:p w:rsidR="002546CC" w:rsidRPr="002546CC" w:rsidRDefault="002546CC" w:rsidP="002546CC"/>
    <w:p w:rsidR="001A59F9" w:rsidRPr="00701155" w:rsidRDefault="001A59F9" w:rsidP="00701155">
      <w:pPr>
        <w:pStyle w:val="20"/>
        <w:spacing w:before="29" w:after="0" w:line="288" w:lineRule="auto"/>
        <w:rPr>
          <w:rFonts w:ascii="Times New Roman" w:hAnsi="Times New Roman"/>
          <w:kern w:val="0"/>
          <w:szCs w:val="24"/>
        </w:rPr>
      </w:pPr>
      <w:bookmarkStart w:id="52" w:name="_Toc225498268"/>
      <w:bookmarkStart w:id="53" w:name="_Toc361324873"/>
      <w:r w:rsidRPr="00701155">
        <w:rPr>
          <w:rFonts w:ascii="Times New Roman" w:hAnsi="Times New Roman"/>
          <w:kern w:val="0"/>
          <w:szCs w:val="24"/>
        </w:rPr>
        <w:t xml:space="preserve">7.1 </w:t>
      </w:r>
      <w:r w:rsidRPr="00701155">
        <w:rPr>
          <w:rFonts w:ascii="Times New Roman" w:hAnsi="Times New Roman" w:hint="eastAsia"/>
          <w:kern w:val="0"/>
          <w:szCs w:val="24"/>
        </w:rPr>
        <w:t>资产负债表</w:t>
      </w:r>
      <w:bookmarkEnd w:id="52"/>
      <w:bookmarkEnd w:id="53"/>
    </w:p>
    <w:p w:rsidR="001A59F9" w:rsidRPr="001C5FC7" w:rsidRDefault="001A59F9" w:rsidP="001C5FC7">
      <w:pPr>
        <w:spacing w:before="29" w:line="288" w:lineRule="auto"/>
        <w:rPr>
          <w:color w:val="000000"/>
          <w:sz w:val="24"/>
        </w:rPr>
      </w:pPr>
      <w:r w:rsidRPr="001C5FC7">
        <w:rPr>
          <w:rFonts w:hint="eastAsia"/>
          <w:color w:val="000000"/>
          <w:sz w:val="24"/>
        </w:rPr>
        <w:t>会计主体：</w:t>
      </w:r>
      <w:r w:rsidRPr="001C5FC7">
        <w:rPr>
          <w:color w:val="000000"/>
          <w:sz w:val="24"/>
        </w:rPr>
        <w:t>交银施罗德丰硕收益债券型证券投资基金</w:t>
      </w:r>
    </w:p>
    <w:p w:rsidR="001A59F9" w:rsidRPr="001C5FC7" w:rsidRDefault="001A59F9" w:rsidP="001C5FC7">
      <w:pPr>
        <w:spacing w:before="29" w:line="288" w:lineRule="auto"/>
        <w:rPr>
          <w:color w:val="000000"/>
          <w:sz w:val="24"/>
        </w:rPr>
      </w:pPr>
      <w:r w:rsidRPr="001C5FC7">
        <w:rPr>
          <w:rFonts w:hint="eastAsia"/>
          <w:color w:val="000000"/>
          <w:sz w:val="24"/>
        </w:rPr>
        <w:t>报告截止日：</w:t>
      </w:r>
      <w:r w:rsidR="00F64FAD" w:rsidRPr="001C5FC7">
        <w:rPr>
          <w:color w:val="000000"/>
          <w:sz w:val="24"/>
        </w:rPr>
        <w:t>2017</w:t>
      </w:r>
      <w:r w:rsidR="00F64FAD" w:rsidRPr="001C5FC7">
        <w:rPr>
          <w:color w:val="000000"/>
          <w:sz w:val="24"/>
        </w:rPr>
        <w:t>年</w:t>
      </w:r>
      <w:r w:rsidR="00F64FAD" w:rsidRPr="001C5FC7">
        <w:rPr>
          <w:color w:val="000000"/>
          <w:sz w:val="24"/>
        </w:rPr>
        <w:t>12</w:t>
      </w:r>
      <w:r w:rsidR="00F64FAD" w:rsidRPr="001C5FC7">
        <w:rPr>
          <w:color w:val="000000"/>
          <w:sz w:val="24"/>
        </w:rPr>
        <w:t>月</w:t>
      </w:r>
      <w:r w:rsidR="00F64FAD" w:rsidRPr="001C5FC7">
        <w:rPr>
          <w:color w:val="000000"/>
          <w:sz w:val="24"/>
        </w:rPr>
        <w:t>31</w:t>
      </w:r>
      <w:r w:rsidR="00F64FAD" w:rsidRPr="001C5FC7">
        <w:rPr>
          <w:color w:val="000000"/>
          <w:sz w:val="24"/>
        </w:rPr>
        <w:t>日</w:t>
      </w:r>
    </w:p>
    <w:p w:rsidR="001A59F9" w:rsidRPr="001C5FC7" w:rsidRDefault="001A59F9" w:rsidP="001C5FC7">
      <w:pPr>
        <w:autoSpaceDE w:val="0"/>
        <w:autoSpaceDN w:val="0"/>
        <w:adjustRightInd w:val="0"/>
        <w:spacing w:before="29" w:line="288" w:lineRule="auto"/>
        <w:ind w:left="15"/>
        <w:jc w:val="right"/>
        <w:rPr>
          <w:color w:val="000000"/>
          <w:kern w:val="0"/>
          <w:sz w:val="24"/>
        </w:rPr>
      </w:pPr>
      <w:r w:rsidRPr="001C5FC7">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241E77" w:rsidRPr="00C51C77" w:rsidTr="00241E77">
        <w:tc>
          <w:tcPr>
            <w:tcW w:w="3402"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1C5FC7">
              <w:rPr>
                <w:rFonts w:ascii="Times New Roman" w:hAnsi="Times New Roman" w:hint="eastAsia"/>
                <w:b/>
                <w:color w:val="000000"/>
              </w:rPr>
              <w:lastRenderedPageBreak/>
              <w:t>资产</w:t>
            </w:r>
          </w:p>
        </w:tc>
        <w:tc>
          <w:tcPr>
            <w:tcW w:w="993" w:type="dxa"/>
            <w:vAlign w:val="center"/>
          </w:tcPr>
          <w:p w:rsidR="00E959E6" w:rsidRPr="001C5FC7" w:rsidRDefault="00E959E6" w:rsidP="001C5FC7">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本期末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2017</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c>
          <w:tcPr>
            <w:tcW w:w="2194" w:type="dxa"/>
            <w:vAlign w:val="center"/>
          </w:tcPr>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hint="eastAsia"/>
                <w:b/>
                <w:color w:val="000000"/>
              </w:rPr>
              <w:t>上年度末</w:t>
            </w:r>
          </w:p>
          <w:p w:rsidR="00E959E6" w:rsidRPr="001C5FC7" w:rsidRDefault="00E959E6" w:rsidP="001C5FC7">
            <w:pPr>
              <w:pStyle w:val="af6"/>
              <w:spacing w:before="29" w:beforeAutospacing="0" w:after="0" w:afterAutospacing="0" w:line="288" w:lineRule="auto"/>
              <w:jc w:val="center"/>
              <w:rPr>
                <w:rFonts w:ascii="Times New Roman" w:hAnsi="Times New Roman"/>
                <w:b/>
                <w:color w:val="000000"/>
              </w:rPr>
            </w:pPr>
            <w:r w:rsidRPr="001C5FC7">
              <w:rPr>
                <w:rFonts w:ascii="Times New Roman" w:hAnsi="Times New Roman"/>
                <w:b/>
                <w:color w:val="000000"/>
              </w:rPr>
              <w:t>2016</w:t>
            </w:r>
            <w:r w:rsidRPr="001C5FC7">
              <w:rPr>
                <w:rFonts w:ascii="Times New Roman" w:hAnsi="Times New Roman"/>
                <w:b/>
                <w:color w:val="000000"/>
              </w:rPr>
              <w:t>年</w:t>
            </w:r>
            <w:r w:rsidRPr="001C5FC7">
              <w:rPr>
                <w:rFonts w:ascii="Times New Roman" w:hAnsi="Times New Roman"/>
                <w:b/>
                <w:color w:val="000000"/>
              </w:rPr>
              <w:t>12</w:t>
            </w:r>
            <w:r w:rsidRPr="001C5FC7">
              <w:rPr>
                <w:rFonts w:ascii="Times New Roman" w:hAnsi="Times New Roman"/>
                <w:b/>
                <w:color w:val="000000"/>
              </w:rPr>
              <w:t>月</w:t>
            </w:r>
            <w:r w:rsidRPr="001C5FC7">
              <w:rPr>
                <w:rFonts w:ascii="Times New Roman" w:hAnsi="Times New Roman"/>
                <w:b/>
                <w:color w:val="000000"/>
              </w:rPr>
              <w:t>31</w:t>
            </w:r>
            <w:r w:rsidRPr="001C5FC7">
              <w:rPr>
                <w:rFonts w:ascii="Times New Roman" w:hAnsi="Times New Roman"/>
                <w:b/>
                <w:color w:val="000000"/>
              </w:rPr>
              <w:t>日</w:t>
            </w:r>
          </w:p>
        </w:tc>
      </w:tr>
      <w:tr w:rsidR="00241E77" w:rsidRPr="00C51C77" w:rsidTr="00241E77">
        <w:tc>
          <w:tcPr>
            <w:tcW w:w="3402" w:type="dxa"/>
            <w:vAlign w:val="center"/>
          </w:tcPr>
          <w:p w:rsidR="00E959E6" w:rsidRPr="00F05828" w:rsidRDefault="00E959E6" w:rsidP="003F4597">
            <w:pPr>
              <w:spacing w:before="29" w:line="288" w:lineRule="auto"/>
              <w:rPr>
                <w:b/>
                <w:color w:val="000000"/>
                <w:sz w:val="24"/>
              </w:rPr>
            </w:pPr>
            <w:r w:rsidRPr="00F05828">
              <w:rPr>
                <w:rFonts w:hint="eastAsia"/>
                <w:b/>
                <w:color w:val="000000"/>
                <w:sz w:val="24"/>
              </w:rPr>
              <w:t>资</w:t>
            </w:r>
            <w:r w:rsidRPr="00F05828">
              <w:rPr>
                <w:rFonts w:hint="eastAsia"/>
                <w:b/>
                <w:color w:val="000000"/>
                <w:sz w:val="24"/>
              </w:rPr>
              <w:t xml:space="preserve"> </w:t>
            </w:r>
            <w:r w:rsidRPr="00F05828">
              <w:rPr>
                <w:rFonts w:hint="eastAsia"/>
                <w:b/>
                <w:color w:val="000000"/>
                <w:sz w:val="24"/>
              </w:rPr>
              <w:t>产：</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p>
        </w:tc>
        <w:tc>
          <w:tcPr>
            <w:tcW w:w="2194" w:type="dxa"/>
            <w:vAlign w:val="center"/>
          </w:tcPr>
          <w:p w:rsidR="00E959E6" w:rsidRPr="001C5FC7" w:rsidRDefault="00E959E6" w:rsidP="001C5FC7">
            <w:pPr>
              <w:spacing w:before="29" w:line="288" w:lineRule="auto"/>
              <w:jc w:val="right"/>
              <w:rPr>
                <w:color w:val="000000"/>
                <w:sz w:val="24"/>
              </w:rPr>
            </w:pP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银行存款</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r>
              <w:t>7.4.7.1</w:t>
            </w: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522,281.43</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3,394,086.10</w:t>
            </w:r>
          </w:p>
        </w:tc>
      </w:tr>
      <w:tr w:rsidR="00241E77" w:rsidRPr="00C51C77" w:rsidTr="00241E77">
        <w:tc>
          <w:tcPr>
            <w:tcW w:w="3402" w:type="dxa"/>
            <w:vAlign w:val="center"/>
          </w:tcPr>
          <w:p w:rsidR="00E959E6" w:rsidRPr="003F4597" w:rsidRDefault="00E959E6" w:rsidP="003F4597">
            <w:pPr>
              <w:spacing w:before="29" w:line="288" w:lineRule="auto"/>
              <w:rPr>
                <w:color w:val="000000"/>
                <w:sz w:val="24"/>
              </w:rPr>
            </w:pPr>
            <w:r w:rsidRPr="003F4597">
              <w:rPr>
                <w:rFonts w:hint="eastAsia"/>
                <w:color w:val="000000"/>
                <w:sz w:val="24"/>
              </w:rPr>
              <w:t>结算备付金</w:t>
            </w:r>
          </w:p>
        </w:tc>
        <w:tc>
          <w:tcPr>
            <w:tcW w:w="993" w:type="dxa"/>
            <w:vAlign w:val="center"/>
          </w:tcPr>
          <w:p w:rsidR="00E959E6" w:rsidRPr="003F4597" w:rsidRDefault="00E959E6" w:rsidP="00072FC7">
            <w:pPr>
              <w:widowControl/>
              <w:autoSpaceDE w:val="0"/>
              <w:autoSpaceDN w:val="0"/>
              <w:ind w:right="-15"/>
              <w:jc w:val="center"/>
              <w:textAlignment w:val="bottom"/>
              <w:rPr>
                <w:color w:val="000000"/>
                <w:sz w:val="24"/>
              </w:rPr>
            </w:pPr>
          </w:p>
        </w:tc>
        <w:tc>
          <w:tcPr>
            <w:tcW w:w="2409" w:type="dxa"/>
            <w:vAlign w:val="center"/>
          </w:tcPr>
          <w:p w:rsidR="00E959E6" w:rsidRPr="001C5FC7" w:rsidRDefault="00E959E6" w:rsidP="001C5FC7">
            <w:pPr>
              <w:spacing w:before="29" w:line="288" w:lineRule="auto"/>
              <w:jc w:val="right"/>
              <w:rPr>
                <w:color w:val="000000"/>
                <w:sz w:val="24"/>
              </w:rPr>
            </w:pPr>
            <w:r w:rsidRPr="001C5FC7">
              <w:rPr>
                <w:color w:val="000000"/>
                <w:sz w:val="24"/>
              </w:rPr>
              <w:t>8,609,090.91</w:t>
            </w:r>
          </w:p>
        </w:tc>
        <w:tc>
          <w:tcPr>
            <w:tcW w:w="2194" w:type="dxa"/>
            <w:vAlign w:val="center"/>
          </w:tcPr>
          <w:p w:rsidR="00E959E6" w:rsidRPr="001C5FC7" w:rsidRDefault="00E959E6" w:rsidP="001C5FC7">
            <w:pPr>
              <w:spacing w:before="29" w:line="288" w:lineRule="auto"/>
              <w:jc w:val="right"/>
              <w:rPr>
                <w:color w:val="000000"/>
                <w:sz w:val="24"/>
              </w:rPr>
            </w:pPr>
            <w:r w:rsidRPr="001C5FC7">
              <w:rPr>
                <w:color w:val="000000"/>
                <w:sz w:val="24"/>
              </w:rPr>
              <w:t>11,993,619.32</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存出保证金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13,261.51</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35,823.27</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7.4.7.2</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33,770,800.00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760,065,794.00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其中：股票投资</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基金投资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债券投资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33,770,800.00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702,065,794.00</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资产支持证券投资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58,000,000.00</w:t>
            </w:r>
          </w:p>
        </w:tc>
      </w:tr>
      <w:tr w:rsidR="00241E77" w:rsidRPr="00C51C77" w:rsidTr="00241E77">
        <w:tc>
          <w:tcPr>
            <w:tcW w:w="3402" w:type="dxa"/>
            <w:vAlign w:val="center"/>
          </w:tcPr>
          <w:p w:rsidR="00DA3B22" w:rsidRPr="007C0DDA" w:rsidRDefault="00DA3B22" w:rsidP="007C0DDA">
            <w:pPr>
              <w:pStyle w:val="af6"/>
              <w:spacing w:before="29" w:beforeAutospacing="0" w:line="288" w:lineRule="auto"/>
              <w:ind w:firstLineChars="300" w:firstLine="720"/>
              <w:jc w:val="both"/>
              <w:rPr>
                <w:rFonts w:ascii="Times New Roman" w:hAnsi="Times New Roman"/>
                <w:color w:val="000000"/>
              </w:rPr>
            </w:pPr>
            <w:r w:rsidRPr="007C0DDA">
              <w:rPr>
                <w:rFonts w:ascii="Times New Roman" w:hAnsi="Times New Roman" w:hint="eastAsia"/>
                <w:color w:val="000000"/>
              </w:rPr>
              <w:t>贵金属投资</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rFonts w:hint="eastAsia"/>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买入返售金融资产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7.4.7.4</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10,800,000.00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19,101.37</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234,000.00</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7.4.7.5</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531,853.80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11,213,751.95</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应收股利</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应收申购款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其他资产</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7.4.7.6</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241E77" w:rsidRPr="00C51C77" w:rsidTr="00241E77">
        <w:tc>
          <w:tcPr>
            <w:tcW w:w="3402" w:type="dxa"/>
            <w:vAlign w:val="center"/>
          </w:tcPr>
          <w:p w:rsidR="00DA3B22" w:rsidRPr="00F05828" w:rsidRDefault="00DA3B22" w:rsidP="003F4597">
            <w:pPr>
              <w:spacing w:before="29" w:line="288" w:lineRule="auto"/>
              <w:rPr>
                <w:color w:val="000000"/>
                <w:sz w:val="24"/>
              </w:rPr>
            </w:pPr>
            <w:r w:rsidRPr="00F05828">
              <w:rPr>
                <w:rFonts w:hint="eastAsia"/>
                <w:color w:val="000000"/>
                <w:sz w:val="24"/>
              </w:rPr>
              <w:t>资产总计</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54,266,389.02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786,937,074.64</w:t>
            </w:r>
          </w:p>
        </w:tc>
      </w:tr>
      <w:tr w:rsidR="00DA3B22" w:rsidRPr="00C51C77" w:rsidTr="00241E77">
        <w:tc>
          <w:tcPr>
            <w:tcW w:w="3402" w:type="dxa"/>
            <w:vAlign w:val="center"/>
          </w:tcPr>
          <w:p w:rsidR="00DA3B22" w:rsidRPr="00B9358B" w:rsidRDefault="00DA3B22" w:rsidP="00B9358B">
            <w:pPr>
              <w:pStyle w:val="af6"/>
              <w:spacing w:before="29" w:beforeAutospacing="0" w:line="288" w:lineRule="auto"/>
              <w:jc w:val="center"/>
              <w:rPr>
                <w:rFonts w:ascii="Times New Roman" w:hAnsi="Times New Roman"/>
                <w:b/>
                <w:color w:val="000000"/>
              </w:rPr>
            </w:pPr>
            <w:r w:rsidRPr="00B9358B">
              <w:rPr>
                <w:rFonts w:ascii="Times New Roman" w:hAnsi="Times New Roman" w:hint="eastAsia"/>
                <w:b/>
                <w:color w:val="000000"/>
              </w:rPr>
              <w:t>负债和所有者权益</w:t>
            </w:r>
          </w:p>
        </w:tc>
        <w:tc>
          <w:tcPr>
            <w:tcW w:w="993" w:type="dxa"/>
            <w:vAlign w:val="center"/>
          </w:tcPr>
          <w:p w:rsidR="00DA3B22" w:rsidRPr="00B9358B" w:rsidRDefault="00BC5CD5" w:rsidP="00B9358B">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本期末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2017</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c>
          <w:tcPr>
            <w:tcW w:w="2194" w:type="dxa"/>
            <w:vAlign w:val="center"/>
          </w:tcPr>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hint="eastAsia"/>
                <w:b/>
                <w:color w:val="000000"/>
              </w:rPr>
              <w:t>上年度末</w:t>
            </w:r>
          </w:p>
          <w:p w:rsidR="00DA3B22" w:rsidRPr="00B9358B" w:rsidRDefault="00DA3B22" w:rsidP="00B9358B">
            <w:pPr>
              <w:pStyle w:val="af6"/>
              <w:spacing w:before="29" w:beforeAutospacing="0" w:after="0" w:afterAutospacing="0" w:line="288" w:lineRule="auto"/>
              <w:jc w:val="center"/>
              <w:rPr>
                <w:rFonts w:ascii="Times New Roman" w:hAnsi="Times New Roman"/>
                <w:b/>
                <w:color w:val="000000"/>
              </w:rPr>
            </w:pPr>
            <w:r w:rsidRPr="00B9358B">
              <w:rPr>
                <w:rFonts w:ascii="Times New Roman" w:hAnsi="Times New Roman"/>
                <w:b/>
                <w:color w:val="000000"/>
              </w:rPr>
              <w:t>2016</w:t>
            </w:r>
            <w:r w:rsidRPr="00B9358B">
              <w:rPr>
                <w:rFonts w:ascii="Times New Roman" w:hAnsi="Times New Roman"/>
                <w:b/>
                <w:color w:val="000000"/>
              </w:rPr>
              <w:t>年</w:t>
            </w:r>
            <w:r w:rsidRPr="00B9358B">
              <w:rPr>
                <w:rFonts w:ascii="Times New Roman" w:hAnsi="Times New Roman"/>
                <w:b/>
                <w:color w:val="000000"/>
              </w:rPr>
              <w:t>12</w:t>
            </w:r>
            <w:r w:rsidRPr="00B9358B">
              <w:rPr>
                <w:rFonts w:ascii="Times New Roman" w:hAnsi="Times New Roman"/>
                <w:b/>
                <w:color w:val="000000"/>
              </w:rPr>
              <w:t>月</w:t>
            </w:r>
            <w:r w:rsidRPr="00B9358B">
              <w:rPr>
                <w:rFonts w:ascii="Times New Roman" w:hAnsi="Times New Roman"/>
                <w:b/>
                <w:color w:val="000000"/>
              </w:rPr>
              <w:t>31</w:t>
            </w:r>
            <w:r w:rsidRPr="00B9358B">
              <w:rPr>
                <w:rFonts w:ascii="Times New Roman" w:hAnsi="Times New Roman"/>
                <w:b/>
                <w:color w:val="000000"/>
              </w:rPr>
              <w:t>日</w:t>
            </w:r>
          </w:p>
        </w:tc>
      </w:tr>
      <w:tr w:rsidR="00DA3B22" w:rsidRPr="00C51C77" w:rsidTr="00241E77">
        <w:tc>
          <w:tcPr>
            <w:tcW w:w="3402" w:type="dxa"/>
            <w:vAlign w:val="center"/>
          </w:tcPr>
          <w:p w:rsidR="00DA3B22" w:rsidRPr="00F05828" w:rsidRDefault="00DA3B22" w:rsidP="003F4597">
            <w:pPr>
              <w:spacing w:before="29" w:line="288" w:lineRule="auto"/>
              <w:rPr>
                <w:b/>
                <w:color w:val="000000"/>
                <w:sz w:val="24"/>
              </w:rPr>
            </w:pPr>
            <w:r w:rsidRPr="00F05828">
              <w:rPr>
                <w:rFonts w:hint="eastAsia"/>
                <w:b/>
                <w:color w:val="000000"/>
                <w:sz w:val="24"/>
              </w:rPr>
              <w:t>负</w:t>
            </w:r>
            <w:r w:rsidRPr="00F05828">
              <w:rPr>
                <w:rFonts w:hint="eastAsia"/>
                <w:b/>
                <w:color w:val="000000"/>
                <w:sz w:val="24"/>
              </w:rPr>
              <w:t xml:space="preserve"> </w:t>
            </w:r>
            <w:r w:rsidRPr="00F05828">
              <w:rPr>
                <w:rFonts w:hint="eastAsia"/>
                <w:b/>
                <w:color w:val="000000"/>
                <w:sz w:val="24"/>
              </w:rPr>
              <w:t>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短期借款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交易性金融负债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衍生金融负债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7.4.7.3</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卖出回购金融资产款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359,999,650.00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应付证券清算款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应付赎回款</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80,126.85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应付管理人报酬</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44,210.09</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293,066.79</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应付托管费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8,289.38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54,950.04</w:t>
            </w:r>
          </w:p>
        </w:tc>
      </w:tr>
      <w:tr w:rsidR="00DA3B22" w:rsidRPr="00C51C77" w:rsidTr="00241E77">
        <w:trPr>
          <w:trHeight w:val="903"/>
        </w:trPr>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应付销售服务费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33,157.55</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219,800.08</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lastRenderedPageBreak/>
              <w:t>应付交易费用</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7.4.7.7</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9,856.51</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9,873.44</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应交税费</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应付利息</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194,599.50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应付利润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递延所得税负债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其他负债</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7.4.7.8</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300,000.00</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306,000.00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475,640.38</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361,077,939.85</w:t>
            </w:r>
          </w:p>
        </w:tc>
      </w:tr>
      <w:tr w:rsidR="00DA3B22" w:rsidRPr="00C51C77" w:rsidTr="00241E77">
        <w:tc>
          <w:tcPr>
            <w:tcW w:w="3402" w:type="dxa"/>
            <w:vAlign w:val="center"/>
          </w:tcPr>
          <w:p w:rsidR="00DA3B22" w:rsidRPr="00F07001" w:rsidRDefault="00DA3B22" w:rsidP="003F4597">
            <w:pPr>
              <w:spacing w:before="29" w:line="288" w:lineRule="auto"/>
              <w:rPr>
                <w:b/>
                <w:color w:val="000000"/>
                <w:sz w:val="24"/>
              </w:rPr>
            </w:pPr>
            <w:r w:rsidRPr="00F07001">
              <w:rPr>
                <w:rFonts w:hint="eastAsia"/>
                <w:b/>
                <w:color w:val="000000"/>
                <w:sz w:val="24"/>
              </w:rPr>
              <w:t>所有者权益：</w:t>
            </w:r>
          </w:p>
        </w:tc>
        <w:tc>
          <w:tcPr>
            <w:tcW w:w="993" w:type="dxa"/>
            <w:vAlign w:val="center"/>
          </w:tcPr>
          <w:p w:rsidR="00DA3B22" w:rsidRPr="00072FC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p>
        </w:tc>
        <w:tc>
          <w:tcPr>
            <w:tcW w:w="2194" w:type="dxa"/>
            <w:vAlign w:val="center"/>
          </w:tcPr>
          <w:p w:rsidR="00DA3B22" w:rsidRPr="001C5FC7" w:rsidRDefault="00DA3B22" w:rsidP="001C5FC7">
            <w:pPr>
              <w:spacing w:before="29" w:line="288" w:lineRule="auto"/>
              <w:jc w:val="right"/>
              <w:rPr>
                <w:color w:val="000000"/>
                <w:sz w:val="24"/>
              </w:rPr>
            </w:pP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实收基金</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7.4.7.9</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53,688,629.82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438,630,665.79</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未分配利润</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r>
              <w:t>7.4.7.10</w:t>
            </w: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102,118.82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-12,771,531.00</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所有者权益合计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53,790,748.64</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425,859,134.79</w:t>
            </w:r>
          </w:p>
        </w:tc>
      </w:tr>
      <w:tr w:rsidR="00DA3B22" w:rsidRPr="00C51C77" w:rsidTr="00241E77">
        <w:tc>
          <w:tcPr>
            <w:tcW w:w="3402" w:type="dxa"/>
            <w:vAlign w:val="center"/>
          </w:tcPr>
          <w:p w:rsidR="00DA3B22" w:rsidRPr="003F4597" w:rsidRDefault="00DA3B22" w:rsidP="003F4597">
            <w:pPr>
              <w:spacing w:before="29" w:line="288" w:lineRule="auto"/>
              <w:rPr>
                <w:color w:val="000000"/>
                <w:sz w:val="24"/>
              </w:rPr>
            </w:pPr>
            <w:r w:rsidRPr="003F4597">
              <w:rPr>
                <w:rFonts w:hint="eastAsia"/>
                <w:color w:val="000000"/>
                <w:sz w:val="24"/>
              </w:rPr>
              <w:t>负债和所有者权益总计</w:t>
            </w:r>
          </w:p>
        </w:tc>
        <w:tc>
          <w:tcPr>
            <w:tcW w:w="993" w:type="dxa"/>
            <w:vAlign w:val="center"/>
          </w:tcPr>
          <w:p w:rsidR="00DA3B22" w:rsidRPr="003F4597" w:rsidRDefault="00DA3B22" w:rsidP="00072FC7">
            <w:pPr>
              <w:widowControl/>
              <w:autoSpaceDE w:val="0"/>
              <w:autoSpaceDN w:val="0"/>
              <w:ind w:right="-15"/>
              <w:jc w:val="center"/>
              <w:textAlignment w:val="bottom"/>
              <w:rPr>
                <w:color w:val="000000"/>
                <w:sz w:val="24"/>
              </w:rPr>
            </w:pPr>
          </w:p>
        </w:tc>
        <w:tc>
          <w:tcPr>
            <w:tcW w:w="2409" w:type="dxa"/>
            <w:vAlign w:val="center"/>
          </w:tcPr>
          <w:p w:rsidR="00DA3B22" w:rsidRPr="001C5FC7" w:rsidRDefault="00DA3B22" w:rsidP="001C5FC7">
            <w:pPr>
              <w:spacing w:before="29" w:line="288" w:lineRule="auto"/>
              <w:jc w:val="right"/>
              <w:rPr>
                <w:color w:val="000000"/>
                <w:sz w:val="24"/>
              </w:rPr>
            </w:pPr>
            <w:r w:rsidRPr="001C5FC7">
              <w:rPr>
                <w:color w:val="000000"/>
                <w:sz w:val="24"/>
              </w:rPr>
              <w:t>54,266,389.02</w:t>
            </w:r>
          </w:p>
        </w:tc>
        <w:tc>
          <w:tcPr>
            <w:tcW w:w="2194" w:type="dxa"/>
            <w:vAlign w:val="center"/>
          </w:tcPr>
          <w:p w:rsidR="00DA3B22" w:rsidRPr="001C5FC7" w:rsidRDefault="00DA3B22" w:rsidP="001C5FC7">
            <w:pPr>
              <w:spacing w:before="29" w:line="288" w:lineRule="auto"/>
              <w:jc w:val="right"/>
              <w:rPr>
                <w:color w:val="000000"/>
                <w:sz w:val="24"/>
              </w:rPr>
            </w:pPr>
            <w:r w:rsidRPr="001C5FC7">
              <w:rPr>
                <w:color w:val="000000"/>
                <w:sz w:val="24"/>
              </w:rPr>
              <w:t>786,937,074.64</w:t>
            </w:r>
          </w:p>
        </w:tc>
      </w:tr>
    </w:tbl>
    <w:p w:rsidR="001A59F9" w:rsidRPr="00AA0214" w:rsidRDefault="00AA0214" w:rsidP="007A50C4">
      <w:pPr>
        <w:tabs>
          <w:tab w:val="left" w:pos="426"/>
        </w:tabs>
        <w:spacing w:line="360" w:lineRule="auto"/>
        <w:jc w:val="left"/>
        <w:rPr>
          <w:kern w:val="0"/>
          <w:sz w:val="24"/>
        </w:rPr>
      </w:pPr>
      <w:r>
        <w:rPr>
          <w:rFonts w:hint="eastAsia"/>
          <w:kern w:val="0"/>
          <w:sz w:val="24"/>
        </w:rPr>
        <w:t>注：</w:t>
      </w:r>
      <w:r>
        <w:rPr>
          <w:rFonts w:hint="eastAsia"/>
          <w:kern w:val="0"/>
          <w:sz w:val="24"/>
        </w:rPr>
        <w:t>1</w:t>
      </w:r>
      <w:r>
        <w:rPr>
          <w:rFonts w:hint="eastAsia"/>
          <w:kern w:val="0"/>
          <w:sz w:val="24"/>
        </w:rPr>
        <w:t>、</w:t>
      </w:r>
      <w:r w:rsidR="001A59F9" w:rsidRPr="00AA0214">
        <w:rPr>
          <w:kern w:val="0"/>
          <w:sz w:val="24"/>
        </w:rPr>
        <w:t>报告截止日</w:t>
      </w:r>
      <w:r w:rsidR="001A59F9" w:rsidRPr="00AA0214">
        <w:rPr>
          <w:kern w:val="0"/>
          <w:sz w:val="24"/>
        </w:rPr>
        <w:t>2017</w:t>
      </w:r>
      <w:r w:rsidR="001A59F9" w:rsidRPr="00AA0214">
        <w:rPr>
          <w:kern w:val="0"/>
          <w:sz w:val="24"/>
        </w:rPr>
        <w:t>年</w:t>
      </w:r>
      <w:r w:rsidR="001A59F9" w:rsidRPr="00AA0214">
        <w:rPr>
          <w:kern w:val="0"/>
          <w:sz w:val="24"/>
        </w:rPr>
        <w:t>12</w:t>
      </w:r>
      <w:r w:rsidR="001A59F9" w:rsidRPr="00AA0214">
        <w:rPr>
          <w:kern w:val="0"/>
          <w:sz w:val="24"/>
        </w:rPr>
        <w:t>月</w:t>
      </w:r>
      <w:r w:rsidR="001A59F9" w:rsidRPr="00AA0214">
        <w:rPr>
          <w:kern w:val="0"/>
          <w:sz w:val="24"/>
        </w:rPr>
        <w:t>31</w:t>
      </w:r>
      <w:r w:rsidR="001A59F9" w:rsidRPr="00AA0214">
        <w:rPr>
          <w:kern w:val="0"/>
          <w:sz w:val="24"/>
        </w:rPr>
        <w:t>日，</w:t>
      </w:r>
      <w:r w:rsidR="001A59F9" w:rsidRPr="00AA0214">
        <w:rPr>
          <w:kern w:val="0"/>
          <w:sz w:val="24"/>
        </w:rPr>
        <w:t>C</w:t>
      </w:r>
      <w:r w:rsidR="001A59F9" w:rsidRPr="00AA0214">
        <w:rPr>
          <w:kern w:val="0"/>
          <w:sz w:val="24"/>
        </w:rPr>
        <w:t>类基金份额净值</w:t>
      </w:r>
      <w:r w:rsidR="001A59F9" w:rsidRPr="00AA0214">
        <w:rPr>
          <w:kern w:val="0"/>
          <w:sz w:val="24"/>
        </w:rPr>
        <w:t>1.002</w:t>
      </w:r>
      <w:r w:rsidR="001A59F9" w:rsidRPr="00AA0214">
        <w:rPr>
          <w:kern w:val="0"/>
          <w:sz w:val="24"/>
        </w:rPr>
        <w:t>元，</w:t>
      </w:r>
      <w:r w:rsidR="001A59F9" w:rsidRPr="00AA0214">
        <w:rPr>
          <w:kern w:val="0"/>
          <w:sz w:val="24"/>
        </w:rPr>
        <w:t>C</w:t>
      </w:r>
      <w:r w:rsidR="001A59F9" w:rsidRPr="00AA0214">
        <w:rPr>
          <w:kern w:val="0"/>
          <w:sz w:val="24"/>
        </w:rPr>
        <w:t>类基金份额总额</w:t>
      </w:r>
      <w:r w:rsidR="001A59F9" w:rsidRPr="00AA0214">
        <w:rPr>
          <w:kern w:val="0"/>
          <w:sz w:val="24"/>
        </w:rPr>
        <w:t>53,688,629.82</w:t>
      </w:r>
      <w:r w:rsidR="001A59F9" w:rsidRPr="00AA0214">
        <w:rPr>
          <w:kern w:val="0"/>
          <w:sz w:val="24"/>
        </w:rPr>
        <w:t>份。</w:t>
      </w:r>
    </w:p>
    <w:p w:rsidR="00AA0214" w:rsidRPr="00C51C77" w:rsidRDefault="00AA0214" w:rsidP="00AA0214">
      <w:pPr>
        <w:tabs>
          <w:tab w:val="left" w:pos="426"/>
        </w:tabs>
        <w:spacing w:line="360" w:lineRule="auto"/>
        <w:ind w:firstLineChars="200" w:firstLine="480"/>
        <w:jc w:val="left"/>
        <w:rPr>
          <w:rFonts w:asciiTheme="minorEastAsia" w:eastAsiaTheme="minorEastAsia" w:hAnsiTheme="minorEastAsia" w:cs="宋体"/>
          <w:kern w:val="0"/>
          <w:szCs w:val="21"/>
        </w:rPr>
      </w:pPr>
      <w:r w:rsidRPr="0060695C">
        <w:rPr>
          <w:rFonts w:hint="eastAsia"/>
          <w:kern w:val="0"/>
          <w:sz w:val="24"/>
        </w:rPr>
        <w:t>2</w:t>
      </w:r>
      <w:r w:rsidRPr="0060695C">
        <w:rPr>
          <w:rFonts w:hint="eastAsia"/>
          <w:kern w:val="0"/>
          <w:sz w:val="24"/>
        </w:rPr>
        <w:t>、本摘要中资产负债表和利润表所列附注号为年度报告正文中对应的附注号，投资者欲了解相应附注的内容，应阅读登载于基金管理人网站的年度报告正文。</w:t>
      </w:r>
    </w:p>
    <w:p w:rsidR="001A59F9" w:rsidRPr="00CB24BA" w:rsidRDefault="001A59F9" w:rsidP="00026C9C">
      <w:pPr>
        <w:spacing w:line="360" w:lineRule="auto"/>
        <w:rPr>
          <w:rFonts w:asciiTheme="minorEastAsia" w:eastAsiaTheme="minorEastAsia" w:hAnsiTheme="minorEastAsia"/>
          <w:color w:val="000000"/>
          <w:kern w:val="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4" w:name="_Toc225498269"/>
      <w:bookmarkStart w:id="55" w:name="_Toc361324874"/>
      <w:r w:rsidRPr="00701155">
        <w:rPr>
          <w:rFonts w:ascii="Times New Roman" w:hAnsi="Times New Roman"/>
          <w:kern w:val="0"/>
          <w:szCs w:val="24"/>
        </w:rPr>
        <w:t xml:space="preserve">7.2 </w:t>
      </w:r>
      <w:r w:rsidRPr="00701155">
        <w:rPr>
          <w:rFonts w:ascii="Times New Roman" w:hAnsi="Times New Roman" w:hint="eastAsia"/>
          <w:kern w:val="0"/>
          <w:szCs w:val="24"/>
        </w:rPr>
        <w:t>利润表</w:t>
      </w:r>
      <w:bookmarkEnd w:id="54"/>
      <w:bookmarkEnd w:id="55"/>
    </w:p>
    <w:p w:rsidR="001A59F9" w:rsidRPr="00DA21E1" w:rsidRDefault="001A59F9" w:rsidP="00DA21E1">
      <w:pPr>
        <w:spacing w:before="29" w:line="288" w:lineRule="auto"/>
        <w:rPr>
          <w:color w:val="000000"/>
          <w:sz w:val="24"/>
        </w:rPr>
      </w:pPr>
      <w:r w:rsidRPr="00DA21E1">
        <w:rPr>
          <w:rFonts w:hint="eastAsia"/>
          <w:color w:val="000000"/>
          <w:sz w:val="24"/>
        </w:rPr>
        <w:t>会计主体：</w:t>
      </w:r>
      <w:r w:rsidRPr="00DA21E1">
        <w:rPr>
          <w:color w:val="000000"/>
          <w:sz w:val="24"/>
        </w:rPr>
        <w:t>交银施罗德丰硕收益债券型证券投资基金</w:t>
      </w:r>
    </w:p>
    <w:p w:rsidR="001A59F9" w:rsidRPr="00DA21E1" w:rsidRDefault="001A59F9" w:rsidP="00DA21E1">
      <w:pPr>
        <w:spacing w:before="29" w:line="288" w:lineRule="auto"/>
        <w:rPr>
          <w:color w:val="000000"/>
          <w:sz w:val="24"/>
        </w:rPr>
      </w:pPr>
      <w:r w:rsidRPr="00DA21E1">
        <w:rPr>
          <w:rFonts w:hint="eastAsia"/>
          <w:color w:val="000000"/>
          <w:sz w:val="24"/>
        </w:rPr>
        <w:t>本报告期：</w:t>
      </w:r>
      <w:r w:rsidR="00F64FAD" w:rsidRPr="00DA21E1">
        <w:rPr>
          <w:color w:val="000000"/>
          <w:sz w:val="24"/>
        </w:rPr>
        <w:t>2017</w:t>
      </w:r>
      <w:r w:rsidR="00F64FAD" w:rsidRPr="00DA21E1">
        <w:rPr>
          <w:color w:val="000000"/>
          <w:sz w:val="24"/>
        </w:rPr>
        <w:t>年</w:t>
      </w:r>
      <w:r w:rsidR="00F64FAD" w:rsidRPr="00DA21E1">
        <w:rPr>
          <w:color w:val="000000"/>
          <w:sz w:val="24"/>
        </w:rPr>
        <w:t>1</w:t>
      </w:r>
      <w:r w:rsidR="00F64FAD" w:rsidRPr="00DA21E1">
        <w:rPr>
          <w:color w:val="000000"/>
          <w:sz w:val="24"/>
        </w:rPr>
        <w:t>月</w:t>
      </w:r>
      <w:r w:rsidR="00F64FAD" w:rsidRPr="00DA21E1">
        <w:rPr>
          <w:color w:val="000000"/>
          <w:sz w:val="24"/>
        </w:rPr>
        <w:t>1</w:t>
      </w:r>
      <w:r w:rsidR="00F64FAD" w:rsidRPr="00DA21E1">
        <w:rPr>
          <w:color w:val="000000"/>
          <w:sz w:val="24"/>
        </w:rPr>
        <w:t>日</w:t>
      </w:r>
      <w:r w:rsidRPr="00DA21E1">
        <w:rPr>
          <w:rFonts w:hint="eastAsia"/>
          <w:color w:val="000000"/>
          <w:sz w:val="24"/>
        </w:rPr>
        <w:t>至</w:t>
      </w:r>
      <w:r w:rsidR="00F64FAD" w:rsidRPr="00DA21E1">
        <w:rPr>
          <w:color w:val="000000"/>
          <w:sz w:val="24"/>
        </w:rPr>
        <w:t>2017</w:t>
      </w:r>
      <w:r w:rsidR="00F64FAD" w:rsidRPr="00DA21E1">
        <w:rPr>
          <w:color w:val="000000"/>
          <w:sz w:val="24"/>
        </w:rPr>
        <w:t>年</w:t>
      </w:r>
      <w:r w:rsidR="00F64FAD" w:rsidRPr="00DA21E1">
        <w:rPr>
          <w:color w:val="000000"/>
          <w:sz w:val="24"/>
        </w:rPr>
        <w:t>12</w:t>
      </w:r>
      <w:r w:rsidR="00F64FAD" w:rsidRPr="00DA21E1">
        <w:rPr>
          <w:color w:val="000000"/>
          <w:sz w:val="24"/>
        </w:rPr>
        <w:t>月</w:t>
      </w:r>
      <w:r w:rsidR="00F64FAD" w:rsidRPr="00DA21E1">
        <w:rPr>
          <w:color w:val="000000"/>
          <w:sz w:val="24"/>
        </w:rPr>
        <w:t>31</w:t>
      </w:r>
      <w:r w:rsidR="00F64FAD" w:rsidRPr="00DA21E1">
        <w:rPr>
          <w:color w:val="000000"/>
          <w:sz w:val="24"/>
        </w:rPr>
        <w:t>日</w:t>
      </w:r>
    </w:p>
    <w:p w:rsidR="001A59F9" w:rsidRPr="00DA21E1" w:rsidRDefault="001A59F9" w:rsidP="00DA21E1">
      <w:pPr>
        <w:autoSpaceDE w:val="0"/>
        <w:autoSpaceDN w:val="0"/>
        <w:adjustRightInd w:val="0"/>
        <w:spacing w:before="29" w:line="288" w:lineRule="auto"/>
        <w:ind w:left="15"/>
        <w:jc w:val="right"/>
        <w:rPr>
          <w:color w:val="000000"/>
          <w:kern w:val="0"/>
          <w:sz w:val="24"/>
        </w:rPr>
      </w:pPr>
      <w:r w:rsidRPr="00DA21E1">
        <w:rPr>
          <w:rFonts w:hint="eastAsia"/>
          <w:color w:val="000000"/>
          <w:kern w:val="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02"/>
        <w:gridCol w:w="993"/>
        <w:gridCol w:w="2409"/>
        <w:gridCol w:w="2194"/>
      </w:tblGrid>
      <w:tr w:rsidR="00E8167C" w:rsidRPr="00C51C77" w:rsidTr="007468E6">
        <w:tc>
          <w:tcPr>
            <w:tcW w:w="3402"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DA21E1">
              <w:rPr>
                <w:rFonts w:ascii="Times New Roman" w:hAnsi="Times New Roman" w:hint="eastAsia"/>
                <w:b/>
                <w:color w:val="000000"/>
              </w:rPr>
              <w:t>项目</w:t>
            </w:r>
          </w:p>
        </w:tc>
        <w:tc>
          <w:tcPr>
            <w:tcW w:w="993" w:type="dxa"/>
            <w:vAlign w:val="center"/>
          </w:tcPr>
          <w:p w:rsidR="00E8167C" w:rsidRPr="00DA21E1" w:rsidRDefault="00E8167C" w:rsidP="00DA21E1">
            <w:pPr>
              <w:pStyle w:val="af6"/>
              <w:spacing w:before="29" w:beforeAutospacing="0" w:line="288" w:lineRule="auto"/>
              <w:jc w:val="center"/>
              <w:rPr>
                <w:rFonts w:ascii="Times New Roman" w:hAnsi="Times New Roman"/>
                <w:b/>
                <w:color w:val="000000"/>
              </w:rPr>
            </w:pPr>
            <w:r w:rsidRPr="0060695C">
              <w:rPr>
                <w:rFonts w:ascii="Times New Roman" w:hAnsi="Times New Roman"/>
                <w:b/>
                <w:color w:val="000000"/>
              </w:rPr>
              <w:t>附注号</w:t>
            </w:r>
          </w:p>
        </w:tc>
        <w:tc>
          <w:tcPr>
            <w:tcW w:w="2409"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本期</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w:t>
            </w:r>
            <w:r w:rsidRPr="00DA21E1">
              <w:rPr>
                <w:rFonts w:ascii="Times New Roman" w:hAnsi="Times New Roman" w:hint="eastAsia"/>
                <w:b/>
                <w:color w:val="000000"/>
              </w:rPr>
              <w:t>至</w:t>
            </w:r>
            <w:r w:rsidRPr="00DA21E1">
              <w:rPr>
                <w:rFonts w:ascii="Times New Roman" w:hAnsi="Times New Roman"/>
                <w:b/>
                <w:color w:val="000000"/>
              </w:rPr>
              <w:t>2017</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c>
          <w:tcPr>
            <w:tcW w:w="2194" w:type="dxa"/>
            <w:vAlign w:val="center"/>
          </w:tcPr>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hint="eastAsia"/>
                <w:b/>
                <w:color w:val="000000"/>
              </w:rPr>
              <w:t>上年度可比期间</w:t>
            </w:r>
          </w:p>
          <w:p w:rsidR="00E8167C" w:rsidRPr="00DA21E1" w:rsidRDefault="00E8167C" w:rsidP="00DA21E1">
            <w:pPr>
              <w:pStyle w:val="af6"/>
              <w:spacing w:before="29" w:beforeAutospacing="0" w:after="0" w:afterAutospacing="0" w:line="288" w:lineRule="auto"/>
              <w:jc w:val="center"/>
              <w:rPr>
                <w:rFonts w:ascii="Times New Roman" w:hAnsi="Times New Roman"/>
                <w:b/>
                <w:color w:val="000000"/>
              </w:rPr>
            </w:pP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w:t>
            </w:r>
            <w:r w:rsidRPr="00DA21E1">
              <w:rPr>
                <w:rFonts w:ascii="Times New Roman" w:hAnsi="Times New Roman"/>
                <w:b/>
                <w:color w:val="000000"/>
              </w:rPr>
              <w:t>月</w:t>
            </w:r>
            <w:r w:rsidRPr="00DA21E1">
              <w:rPr>
                <w:rFonts w:ascii="Times New Roman" w:hAnsi="Times New Roman"/>
                <w:b/>
                <w:color w:val="000000"/>
              </w:rPr>
              <w:t>1</w:t>
            </w:r>
            <w:r w:rsidRPr="00DA21E1">
              <w:rPr>
                <w:rFonts w:ascii="Times New Roman" w:hAnsi="Times New Roman"/>
                <w:b/>
                <w:color w:val="000000"/>
              </w:rPr>
              <w:t>日至</w:t>
            </w:r>
            <w:r w:rsidRPr="00DA21E1">
              <w:rPr>
                <w:rFonts w:ascii="Times New Roman" w:hAnsi="Times New Roman"/>
                <w:b/>
                <w:color w:val="000000"/>
              </w:rPr>
              <w:t>2016</w:t>
            </w:r>
            <w:r w:rsidRPr="00DA21E1">
              <w:rPr>
                <w:rFonts w:ascii="Times New Roman" w:hAnsi="Times New Roman"/>
                <w:b/>
                <w:color w:val="000000"/>
              </w:rPr>
              <w:t>年</w:t>
            </w:r>
            <w:r w:rsidRPr="00DA21E1">
              <w:rPr>
                <w:rFonts w:ascii="Times New Roman" w:hAnsi="Times New Roman"/>
                <w:b/>
                <w:color w:val="000000"/>
              </w:rPr>
              <w:t>12</w:t>
            </w:r>
            <w:r w:rsidRPr="00DA21E1">
              <w:rPr>
                <w:rFonts w:ascii="Times New Roman" w:hAnsi="Times New Roman"/>
                <w:b/>
                <w:color w:val="000000"/>
              </w:rPr>
              <w:t>月</w:t>
            </w:r>
            <w:r w:rsidRPr="00DA21E1">
              <w:rPr>
                <w:rFonts w:ascii="Times New Roman" w:hAnsi="Times New Roman"/>
                <w:b/>
                <w:color w:val="000000"/>
              </w:rPr>
              <w:t>31</w:t>
            </w:r>
            <w:r w:rsidRPr="00DA21E1">
              <w:rPr>
                <w:rFonts w:ascii="Times New Roman" w:hAnsi="Times New Roman"/>
                <w:b/>
                <w:color w:val="000000"/>
              </w:rPr>
              <w:t>日</w:t>
            </w:r>
          </w:p>
        </w:tc>
      </w:tr>
      <w:tr w:rsidR="00E8167C" w:rsidRPr="00C51C77" w:rsidTr="007468E6">
        <w:tc>
          <w:tcPr>
            <w:tcW w:w="3402" w:type="dxa"/>
            <w:vAlign w:val="center"/>
          </w:tcPr>
          <w:p w:rsidR="00E8167C" w:rsidRPr="00ED53EF" w:rsidRDefault="00E8167C" w:rsidP="003F4597">
            <w:pPr>
              <w:spacing w:before="29" w:line="288" w:lineRule="auto"/>
              <w:rPr>
                <w:b/>
                <w:color w:val="000000"/>
                <w:sz w:val="24"/>
              </w:rPr>
            </w:pPr>
            <w:r w:rsidRPr="00ED53EF">
              <w:rPr>
                <w:rFonts w:hint="eastAsia"/>
                <w:b/>
                <w:color w:val="000000"/>
                <w:sz w:val="24"/>
              </w:rPr>
              <w:t>一、收入</w:t>
            </w:r>
          </w:p>
        </w:tc>
        <w:tc>
          <w:tcPr>
            <w:tcW w:w="993" w:type="dxa"/>
            <w:vAlign w:val="center"/>
          </w:tcPr>
          <w:p w:rsidR="00E8167C" w:rsidRPr="00072FC7" w:rsidRDefault="00E8167C" w:rsidP="00072FC7">
            <w:pPr>
              <w:widowControl/>
              <w:autoSpaceDE w:val="0"/>
              <w:autoSpaceDN w:val="0"/>
              <w:ind w:right="-15"/>
              <w:jc w:val="center"/>
              <w:textAlignment w:val="bottom"/>
              <w:rPr>
                <w:color w:val="000000"/>
                <w:sz w:val="24"/>
              </w:rPr>
            </w:pPr>
          </w:p>
        </w:tc>
        <w:tc>
          <w:tcPr>
            <w:tcW w:w="2409" w:type="dxa"/>
            <w:vAlign w:val="center"/>
          </w:tcPr>
          <w:p w:rsidR="00E8167C" w:rsidRPr="00ED53EF" w:rsidRDefault="00E8167C" w:rsidP="001C5FC7">
            <w:pPr>
              <w:spacing w:before="29" w:line="288" w:lineRule="auto"/>
              <w:jc w:val="right"/>
              <w:rPr>
                <w:b/>
                <w:color w:val="000000"/>
                <w:sz w:val="24"/>
              </w:rPr>
            </w:pPr>
            <w:r w:rsidRPr="00ED53EF">
              <w:rPr>
                <w:b/>
                <w:color w:val="000000"/>
                <w:sz w:val="24"/>
              </w:rPr>
              <w:t>25,418,367.40</w:t>
            </w:r>
          </w:p>
        </w:tc>
        <w:tc>
          <w:tcPr>
            <w:tcW w:w="2194" w:type="dxa"/>
            <w:vAlign w:val="center"/>
          </w:tcPr>
          <w:p w:rsidR="00E8167C" w:rsidRPr="00ED53EF" w:rsidRDefault="00E8167C" w:rsidP="001C5FC7">
            <w:pPr>
              <w:spacing w:before="29" w:line="288" w:lineRule="auto"/>
              <w:jc w:val="right"/>
              <w:rPr>
                <w:b/>
                <w:color w:val="000000"/>
                <w:sz w:val="24"/>
              </w:rPr>
            </w:pPr>
            <w:r w:rsidRPr="00ED53EF">
              <w:rPr>
                <w:b/>
                <w:color w:val="000000"/>
                <w:sz w:val="24"/>
              </w:rPr>
              <w:t>14,197,249.74</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1.</w:t>
            </w:r>
            <w:r w:rsidRPr="003F4597">
              <w:rPr>
                <w:rFonts w:hint="eastAsia"/>
                <w:color w:val="000000"/>
                <w:sz w:val="24"/>
              </w:rPr>
              <w:t>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22,900,180.54</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23,233,446.81</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其中：存款利息收入</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7.4.7.11</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165,681.53</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458,160.29</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债券利息收入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19,705,503.17</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20,873,847.18</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资产支持证券利息收入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2,538,168.13</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1,899,467.12</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买入返售金融资产收入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490,827.71</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1,972.22</w:t>
            </w:r>
          </w:p>
        </w:tc>
      </w:tr>
      <w:tr w:rsidR="001F4A92" w:rsidRPr="00C51C77" w:rsidTr="007468E6">
        <w:tc>
          <w:tcPr>
            <w:tcW w:w="3402" w:type="dxa"/>
            <w:vAlign w:val="center"/>
          </w:tcPr>
          <w:p w:rsidR="001F4A92" w:rsidRPr="00FA6C3E" w:rsidRDefault="001F4A92" w:rsidP="00FA6C3E">
            <w:pPr>
              <w:spacing w:before="29" w:line="288" w:lineRule="auto"/>
              <w:ind w:firstLineChars="300" w:firstLine="720"/>
              <w:rPr>
                <w:color w:val="000000"/>
                <w:sz w:val="24"/>
              </w:rPr>
            </w:pPr>
            <w:r w:rsidRPr="00FA6C3E">
              <w:rPr>
                <w:rFonts w:hint="eastAsia"/>
                <w:color w:val="000000"/>
                <w:sz w:val="24"/>
              </w:rPr>
              <w:t>其他利息收入</w:t>
            </w:r>
          </w:p>
        </w:tc>
        <w:tc>
          <w:tcPr>
            <w:tcW w:w="993" w:type="dxa"/>
            <w:vAlign w:val="center"/>
          </w:tcPr>
          <w:p w:rsidR="001F4A92" w:rsidRPr="00072FC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color w:val="000000"/>
                <w:sz w:val="24"/>
              </w:rPr>
              <w:t>2.</w:t>
            </w:r>
            <w:r w:rsidRPr="003F4597">
              <w:rPr>
                <w:rFonts w:hint="eastAsia"/>
                <w:color w:val="000000"/>
                <w:sz w:val="24"/>
              </w:rPr>
              <w:t>投资收益（损失以</w:t>
            </w:r>
            <w:r w:rsidR="00ED53EF" w:rsidRPr="0060695C">
              <w:rPr>
                <w:color w:val="000000"/>
                <w:sz w:val="24"/>
              </w:rPr>
              <w:t>“-”</w:t>
            </w:r>
            <w:r w:rsidRPr="003F4597">
              <w:rPr>
                <w:rFonts w:hint="eastAsia"/>
                <w:color w:val="000000"/>
                <w:sz w:val="24"/>
              </w:rPr>
              <w:t>填列）</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-10,973,928.83</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6,106,986.85</w:t>
            </w:r>
          </w:p>
        </w:tc>
      </w:tr>
      <w:tr w:rsidR="001F4A92" w:rsidRPr="00C51C77" w:rsidTr="007468E6">
        <w:tc>
          <w:tcPr>
            <w:tcW w:w="3402" w:type="dxa"/>
            <w:vAlign w:val="center"/>
          </w:tcPr>
          <w:p w:rsidR="001F4A92" w:rsidRPr="003F4597" w:rsidRDefault="001F4A92" w:rsidP="003F4597">
            <w:pPr>
              <w:spacing w:before="29" w:line="288" w:lineRule="auto"/>
              <w:rPr>
                <w:color w:val="000000"/>
                <w:sz w:val="24"/>
              </w:rPr>
            </w:pPr>
            <w:r w:rsidRPr="003F4597">
              <w:rPr>
                <w:rFonts w:hint="eastAsia"/>
                <w:color w:val="000000"/>
                <w:sz w:val="24"/>
              </w:rPr>
              <w:t>其中：股票投资收益</w:t>
            </w:r>
          </w:p>
        </w:tc>
        <w:tc>
          <w:tcPr>
            <w:tcW w:w="993" w:type="dxa"/>
            <w:vAlign w:val="center"/>
          </w:tcPr>
          <w:p w:rsidR="001F4A92" w:rsidRPr="003F4597" w:rsidRDefault="001F4A92" w:rsidP="00072FC7">
            <w:pPr>
              <w:widowControl/>
              <w:autoSpaceDE w:val="0"/>
              <w:autoSpaceDN w:val="0"/>
              <w:ind w:right="-15"/>
              <w:jc w:val="center"/>
              <w:textAlignment w:val="bottom"/>
              <w:rPr>
                <w:color w:val="000000"/>
                <w:sz w:val="24"/>
              </w:rPr>
            </w:pPr>
            <w:r>
              <w:t>7.4.7.12</w:t>
            </w: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1F4A92" w:rsidRPr="00C51C77" w:rsidTr="007468E6">
        <w:tc>
          <w:tcPr>
            <w:tcW w:w="3402" w:type="dxa"/>
            <w:vAlign w:val="center"/>
          </w:tcPr>
          <w:p w:rsidR="001F4A92" w:rsidRPr="001F4A92" w:rsidRDefault="001F4A92" w:rsidP="001F4A92">
            <w:pPr>
              <w:spacing w:before="29" w:line="288" w:lineRule="auto"/>
              <w:ind w:firstLineChars="300" w:firstLine="720"/>
              <w:rPr>
                <w:color w:val="000000"/>
                <w:sz w:val="24"/>
              </w:rPr>
            </w:pPr>
            <w:r w:rsidRPr="001F4A92">
              <w:rPr>
                <w:rFonts w:hint="eastAsia"/>
                <w:color w:val="000000"/>
                <w:sz w:val="24"/>
              </w:rPr>
              <w:lastRenderedPageBreak/>
              <w:t>基金投资收益</w:t>
            </w:r>
          </w:p>
        </w:tc>
        <w:tc>
          <w:tcPr>
            <w:tcW w:w="993" w:type="dxa"/>
            <w:vAlign w:val="center"/>
          </w:tcPr>
          <w:p w:rsidR="001F4A92" w:rsidRPr="001F4A92" w:rsidRDefault="001F4A92" w:rsidP="00072FC7">
            <w:pPr>
              <w:widowControl/>
              <w:autoSpaceDE w:val="0"/>
              <w:autoSpaceDN w:val="0"/>
              <w:ind w:right="-15"/>
              <w:jc w:val="center"/>
              <w:textAlignment w:val="bottom"/>
              <w:rPr>
                <w:color w:val="000000"/>
                <w:sz w:val="24"/>
              </w:rPr>
            </w:pPr>
          </w:p>
        </w:tc>
        <w:tc>
          <w:tcPr>
            <w:tcW w:w="2409"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c>
          <w:tcPr>
            <w:tcW w:w="2194" w:type="dxa"/>
            <w:vAlign w:val="center"/>
          </w:tcPr>
          <w:p w:rsidR="001F4A92" w:rsidRPr="001C5FC7" w:rsidRDefault="001F4A92"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债券投资收益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7.4.7.13</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-10,762,093.67</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6,203,512.88</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资产支持证券投资收益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7.4.7.14</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-211,835.16</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-96,526.03</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贵金属投资收益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rFonts w:hint="eastAsia"/>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衍生工具收益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7.4.7.15</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1F4A92" w:rsidRDefault="00707FDA" w:rsidP="001F4A92">
            <w:pPr>
              <w:spacing w:before="29" w:line="288" w:lineRule="auto"/>
              <w:ind w:firstLineChars="300" w:firstLine="720"/>
              <w:rPr>
                <w:color w:val="000000"/>
                <w:sz w:val="24"/>
              </w:rPr>
            </w:pPr>
            <w:r w:rsidRPr="001F4A92">
              <w:rPr>
                <w:rFonts w:hint="eastAsia"/>
                <w:color w:val="000000"/>
                <w:sz w:val="24"/>
              </w:rPr>
              <w:t>股利收益</w:t>
            </w:r>
          </w:p>
        </w:tc>
        <w:tc>
          <w:tcPr>
            <w:tcW w:w="993" w:type="dxa"/>
            <w:vAlign w:val="center"/>
          </w:tcPr>
          <w:p w:rsidR="00707FDA" w:rsidRPr="001F4A92" w:rsidRDefault="00707FDA" w:rsidP="00072FC7">
            <w:pPr>
              <w:widowControl/>
              <w:autoSpaceDE w:val="0"/>
              <w:autoSpaceDN w:val="0"/>
              <w:ind w:right="-15"/>
              <w:jc w:val="center"/>
              <w:textAlignment w:val="bottom"/>
              <w:rPr>
                <w:color w:val="000000"/>
                <w:sz w:val="24"/>
              </w:rPr>
            </w:pPr>
            <w:r>
              <w:t>7.4.7.16</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公允价值变动收益（损失以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7.4.7.17</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13,492,115.69</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-15,143,183.92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汇兑收益（损失以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其他收入（损失以</w:t>
            </w:r>
            <w:r w:rsidR="00ED53EF" w:rsidRPr="0060695C">
              <w:rPr>
                <w:color w:val="000000"/>
                <w:sz w:val="24"/>
              </w:rPr>
              <w:t>“-”</w:t>
            </w:r>
            <w:r w:rsidRPr="003F4597">
              <w:rPr>
                <w:rFonts w:hint="eastAsia"/>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7.4.7.18</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9A4B06" w:rsidRDefault="00707FDA" w:rsidP="003F4597">
            <w:pPr>
              <w:spacing w:before="29" w:line="288" w:lineRule="auto"/>
              <w:rPr>
                <w:b/>
                <w:color w:val="000000"/>
                <w:sz w:val="24"/>
              </w:rPr>
            </w:pPr>
            <w:r w:rsidRPr="009A4B06">
              <w:rPr>
                <w:rFonts w:hint="eastAsia"/>
                <w:b/>
                <w:color w:val="000000"/>
                <w:sz w:val="24"/>
              </w:rPr>
              <w:t>减：二、费用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12,177,969.33</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14,612,755.29</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1</w:t>
            </w:r>
            <w:r w:rsidRPr="003F4597">
              <w:rPr>
                <w:rFonts w:hint="eastAsia"/>
                <w:color w:val="000000"/>
                <w:sz w:val="24"/>
              </w:rPr>
              <w:t>．管理人报酬</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3,094,715.99</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3,568,241.20</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2</w:t>
            </w:r>
            <w:r w:rsidRPr="003F4597">
              <w:rPr>
                <w:rFonts w:hint="eastAsia"/>
                <w:color w:val="000000"/>
                <w:sz w:val="24"/>
              </w:rPr>
              <w:t>．托管费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580,259.26</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669,045.18</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3</w:t>
            </w:r>
            <w:r w:rsidRPr="003F4597">
              <w:rPr>
                <w:rFonts w:hint="eastAsia"/>
                <w:color w:val="000000"/>
                <w:sz w:val="24"/>
              </w:rPr>
              <w:t>．销售服务费</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2,321,036.93</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2,676,180.94</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4</w:t>
            </w:r>
            <w:r w:rsidRPr="003F4597">
              <w:rPr>
                <w:rFonts w:hint="eastAsia"/>
                <w:color w:val="000000"/>
                <w:sz w:val="24"/>
              </w:rPr>
              <w:t>．交易费用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7.4.7.19</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13,328.60</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9,461.37</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5</w:t>
            </w:r>
            <w:r w:rsidRPr="003F4597">
              <w:rPr>
                <w:rFonts w:hint="eastAsia"/>
                <w:color w:val="000000"/>
                <w:sz w:val="24"/>
              </w:rPr>
              <w:t>．利息支出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5,812,149.79</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7,339,316.02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其中：卖出回购金融资产支出</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5,812,149.79</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7,339,316.02</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color w:val="000000"/>
                <w:sz w:val="24"/>
              </w:rPr>
              <w:t>6</w:t>
            </w:r>
            <w:r w:rsidRPr="003F4597">
              <w:rPr>
                <w:rFonts w:hint="eastAsia"/>
                <w:color w:val="000000"/>
                <w:sz w:val="24"/>
              </w:rPr>
              <w:t>．其他费用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r>
              <w:t>7.4.7.20</w:t>
            </w: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356,478.76</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350,510.58</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三、利润总额（亏损总额以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13,240,398.07</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-415,505.55</w:t>
            </w:r>
          </w:p>
        </w:tc>
      </w:tr>
      <w:tr w:rsidR="00707FDA" w:rsidRPr="00C51C77" w:rsidTr="007468E6">
        <w:tc>
          <w:tcPr>
            <w:tcW w:w="3402" w:type="dxa"/>
            <w:vAlign w:val="center"/>
          </w:tcPr>
          <w:p w:rsidR="00707FDA" w:rsidRPr="003F4597" w:rsidRDefault="00707FDA" w:rsidP="003F4597">
            <w:pPr>
              <w:spacing w:before="29" w:line="288" w:lineRule="auto"/>
              <w:rPr>
                <w:color w:val="000000"/>
                <w:sz w:val="24"/>
              </w:rPr>
            </w:pPr>
            <w:r w:rsidRPr="003F4597">
              <w:rPr>
                <w:rFonts w:hint="eastAsia"/>
                <w:color w:val="000000"/>
                <w:sz w:val="24"/>
              </w:rPr>
              <w:t>减：所得税费用</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c>
          <w:tcPr>
            <w:tcW w:w="2194" w:type="dxa"/>
            <w:vAlign w:val="center"/>
          </w:tcPr>
          <w:p w:rsidR="00707FDA" w:rsidRPr="001C5FC7" w:rsidRDefault="00707FDA" w:rsidP="001C5FC7">
            <w:pPr>
              <w:spacing w:before="29" w:line="288" w:lineRule="auto"/>
              <w:jc w:val="right"/>
              <w:rPr>
                <w:color w:val="000000"/>
                <w:sz w:val="24"/>
              </w:rPr>
            </w:pPr>
            <w:r w:rsidRPr="001C5FC7">
              <w:rPr>
                <w:color w:val="000000"/>
                <w:sz w:val="24"/>
              </w:rPr>
              <w:t>-</w:t>
            </w:r>
          </w:p>
        </w:tc>
      </w:tr>
      <w:tr w:rsidR="00707FDA" w:rsidRPr="00C51C77" w:rsidTr="007468E6">
        <w:tc>
          <w:tcPr>
            <w:tcW w:w="3402" w:type="dxa"/>
            <w:vAlign w:val="center"/>
          </w:tcPr>
          <w:p w:rsidR="00707FDA" w:rsidRPr="000D2B86" w:rsidRDefault="00707FDA" w:rsidP="003F4597">
            <w:pPr>
              <w:spacing w:before="29" w:line="288" w:lineRule="auto"/>
              <w:rPr>
                <w:b/>
                <w:color w:val="000000"/>
                <w:sz w:val="24"/>
              </w:rPr>
            </w:pPr>
            <w:r w:rsidRPr="000D2B86">
              <w:rPr>
                <w:rFonts w:hint="eastAsia"/>
                <w:b/>
                <w:color w:val="000000"/>
                <w:sz w:val="24"/>
              </w:rPr>
              <w:t>四、净利润（净亏损以</w:t>
            </w:r>
            <w:r w:rsidR="009A4B06" w:rsidRPr="000D2B86">
              <w:rPr>
                <w:b/>
                <w:color w:val="000000"/>
                <w:sz w:val="24"/>
              </w:rPr>
              <w:t>“-”</w:t>
            </w:r>
            <w:r w:rsidRPr="000D2B86">
              <w:rPr>
                <w:rFonts w:hint="eastAsia"/>
                <w:b/>
                <w:color w:val="000000"/>
                <w:sz w:val="24"/>
              </w:rPr>
              <w:t>号填列）</w:t>
            </w:r>
          </w:p>
        </w:tc>
        <w:tc>
          <w:tcPr>
            <w:tcW w:w="993" w:type="dxa"/>
            <w:vAlign w:val="center"/>
          </w:tcPr>
          <w:p w:rsidR="00707FDA" w:rsidRPr="003F4597" w:rsidRDefault="00707FDA" w:rsidP="00072FC7">
            <w:pPr>
              <w:widowControl/>
              <w:autoSpaceDE w:val="0"/>
              <w:autoSpaceDN w:val="0"/>
              <w:ind w:right="-15"/>
              <w:jc w:val="center"/>
              <w:textAlignment w:val="bottom"/>
              <w:rPr>
                <w:color w:val="000000"/>
                <w:sz w:val="24"/>
              </w:rPr>
            </w:pPr>
          </w:p>
        </w:tc>
        <w:tc>
          <w:tcPr>
            <w:tcW w:w="2409" w:type="dxa"/>
            <w:vAlign w:val="center"/>
          </w:tcPr>
          <w:p w:rsidR="00707FDA" w:rsidRPr="00061E30" w:rsidRDefault="00707FDA" w:rsidP="001C5FC7">
            <w:pPr>
              <w:spacing w:before="29" w:line="288" w:lineRule="auto"/>
              <w:jc w:val="right"/>
              <w:rPr>
                <w:b/>
                <w:color w:val="000000"/>
                <w:sz w:val="24"/>
              </w:rPr>
            </w:pPr>
            <w:r w:rsidRPr="00061E30">
              <w:rPr>
                <w:b/>
                <w:color w:val="000000"/>
                <w:sz w:val="24"/>
              </w:rPr>
              <w:t>13,240,398.07</w:t>
            </w:r>
          </w:p>
        </w:tc>
        <w:tc>
          <w:tcPr>
            <w:tcW w:w="2194" w:type="dxa"/>
            <w:vAlign w:val="center"/>
          </w:tcPr>
          <w:p w:rsidR="00707FDA" w:rsidRPr="00061E30" w:rsidRDefault="00707FDA" w:rsidP="001C5FC7">
            <w:pPr>
              <w:spacing w:before="29" w:line="288" w:lineRule="auto"/>
              <w:jc w:val="right"/>
              <w:rPr>
                <w:b/>
                <w:color w:val="000000"/>
                <w:sz w:val="24"/>
              </w:rPr>
            </w:pPr>
            <w:r w:rsidRPr="00061E30">
              <w:rPr>
                <w:b/>
                <w:color w:val="000000"/>
                <w:sz w:val="24"/>
              </w:rPr>
              <w:t>-415,505.55</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6" w:name="_Toc225498270"/>
      <w:bookmarkStart w:id="57" w:name="_Toc361324875"/>
      <w:r w:rsidRPr="00701155">
        <w:rPr>
          <w:rFonts w:ascii="Times New Roman" w:hAnsi="Times New Roman"/>
          <w:kern w:val="0"/>
          <w:szCs w:val="24"/>
        </w:rPr>
        <w:t xml:space="preserve">7.3 </w:t>
      </w:r>
      <w:r w:rsidRPr="00701155">
        <w:rPr>
          <w:rFonts w:ascii="Times New Roman" w:hAnsi="Times New Roman" w:hint="eastAsia"/>
          <w:kern w:val="0"/>
          <w:szCs w:val="24"/>
        </w:rPr>
        <w:t>所有者权益（基金净值）变动表</w:t>
      </w:r>
      <w:bookmarkEnd w:id="56"/>
      <w:bookmarkEnd w:id="57"/>
    </w:p>
    <w:p w:rsidR="001A59F9" w:rsidRPr="004C51A0" w:rsidRDefault="001A59F9" w:rsidP="004C51A0">
      <w:pPr>
        <w:spacing w:before="29" w:line="288" w:lineRule="auto"/>
        <w:rPr>
          <w:color w:val="000000"/>
          <w:sz w:val="24"/>
        </w:rPr>
      </w:pPr>
      <w:r w:rsidRPr="004C51A0">
        <w:rPr>
          <w:rFonts w:hint="eastAsia"/>
          <w:color w:val="000000"/>
          <w:sz w:val="24"/>
        </w:rPr>
        <w:t>会计主体：</w:t>
      </w:r>
      <w:r w:rsidRPr="004C51A0">
        <w:rPr>
          <w:color w:val="000000"/>
          <w:sz w:val="24"/>
        </w:rPr>
        <w:t>交银施罗德丰硕收益债券型证券投资基金</w:t>
      </w:r>
    </w:p>
    <w:p w:rsidR="001A59F9" w:rsidRPr="004C51A0" w:rsidRDefault="001A59F9" w:rsidP="004C51A0">
      <w:pPr>
        <w:spacing w:before="29" w:line="288" w:lineRule="auto"/>
        <w:rPr>
          <w:color w:val="000000"/>
          <w:sz w:val="24"/>
        </w:rPr>
      </w:pPr>
      <w:r w:rsidRPr="004C51A0">
        <w:rPr>
          <w:rFonts w:hint="eastAsia"/>
          <w:color w:val="000000"/>
          <w:sz w:val="24"/>
        </w:rPr>
        <w:t>本报告期：</w:t>
      </w:r>
      <w:r w:rsidR="00F64FAD" w:rsidRPr="004C51A0">
        <w:rPr>
          <w:color w:val="000000"/>
          <w:sz w:val="24"/>
        </w:rPr>
        <w:t>2017</w:t>
      </w:r>
      <w:r w:rsidR="00F64FAD" w:rsidRPr="004C51A0">
        <w:rPr>
          <w:color w:val="000000"/>
          <w:sz w:val="24"/>
        </w:rPr>
        <w:t>年</w:t>
      </w:r>
      <w:r w:rsidR="00F64FAD" w:rsidRPr="004C51A0">
        <w:rPr>
          <w:color w:val="000000"/>
          <w:sz w:val="24"/>
        </w:rPr>
        <w:t>1</w:t>
      </w:r>
      <w:r w:rsidR="00F64FAD" w:rsidRPr="004C51A0">
        <w:rPr>
          <w:color w:val="000000"/>
          <w:sz w:val="24"/>
        </w:rPr>
        <w:t>月</w:t>
      </w:r>
      <w:r w:rsidR="00F64FAD" w:rsidRPr="004C51A0">
        <w:rPr>
          <w:color w:val="000000"/>
          <w:sz w:val="24"/>
        </w:rPr>
        <w:t>1</w:t>
      </w:r>
      <w:r w:rsidR="00F64FAD" w:rsidRPr="004C51A0">
        <w:rPr>
          <w:color w:val="000000"/>
          <w:sz w:val="24"/>
        </w:rPr>
        <w:t>日</w:t>
      </w:r>
      <w:r w:rsidRPr="004C51A0">
        <w:rPr>
          <w:rFonts w:hint="eastAsia"/>
          <w:color w:val="000000"/>
          <w:sz w:val="24"/>
        </w:rPr>
        <w:t>至</w:t>
      </w:r>
      <w:r w:rsidR="00F64FAD" w:rsidRPr="004C51A0">
        <w:rPr>
          <w:color w:val="000000"/>
          <w:sz w:val="24"/>
        </w:rPr>
        <w:t>2017</w:t>
      </w:r>
      <w:r w:rsidR="00F64FAD" w:rsidRPr="004C51A0">
        <w:rPr>
          <w:color w:val="000000"/>
          <w:sz w:val="24"/>
        </w:rPr>
        <w:t>年</w:t>
      </w:r>
      <w:r w:rsidR="00F64FAD" w:rsidRPr="004C51A0">
        <w:rPr>
          <w:color w:val="000000"/>
          <w:sz w:val="24"/>
        </w:rPr>
        <w:t>12</w:t>
      </w:r>
      <w:r w:rsidR="00F64FAD" w:rsidRPr="004C51A0">
        <w:rPr>
          <w:color w:val="000000"/>
          <w:sz w:val="24"/>
        </w:rPr>
        <w:t>月</w:t>
      </w:r>
      <w:r w:rsidR="00F64FAD" w:rsidRPr="004C51A0">
        <w:rPr>
          <w:color w:val="000000"/>
          <w:sz w:val="24"/>
        </w:rPr>
        <w:t>31</w:t>
      </w:r>
      <w:r w:rsidR="00F64FAD" w:rsidRPr="004C51A0">
        <w:rPr>
          <w:color w:val="000000"/>
          <w:sz w:val="24"/>
        </w:rPr>
        <w:t>日</w:t>
      </w:r>
    </w:p>
    <w:p w:rsidR="001A59F9" w:rsidRPr="00696586" w:rsidRDefault="001A59F9" w:rsidP="00696586">
      <w:pPr>
        <w:autoSpaceDE w:val="0"/>
        <w:autoSpaceDN w:val="0"/>
        <w:adjustRightInd w:val="0"/>
        <w:spacing w:before="29" w:line="288" w:lineRule="auto"/>
        <w:ind w:left="15"/>
        <w:jc w:val="right"/>
        <w:rPr>
          <w:color w:val="000000"/>
          <w:kern w:val="0"/>
          <w:sz w:val="24"/>
        </w:rPr>
      </w:pPr>
      <w:r w:rsidRPr="00696586">
        <w:rPr>
          <w:rFonts w:hint="eastAsia"/>
          <w:color w:val="000000"/>
          <w:kern w:val="0"/>
          <w:sz w:val="24"/>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250"/>
        <w:gridCol w:w="2250"/>
        <w:gridCol w:w="2250"/>
        <w:gridCol w:w="2250"/>
      </w:tblGrid>
      <w:tr w:rsidR="001A59F9" w:rsidRPr="00C51C77" w:rsidTr="00705A28">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本期</w:t>
            </w:r>
          </w:p>
          <w:p w:rsidR="001A59F9" w:rsidRPr="00D34C2B" w:rsidRDefault="00F64FAD"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w:t>
            </w:r>
            <w:r w:rsidR="001A59F9" w:rsidRPr="00D34C2B">
              <w:rPr>
                <w:rFonts w:ascii="Times New Roman" w:hAnsi="Times New Roman" w:hint="eastAsia"/>
                <w:b/>
                <w:color w:val="000000"/>
                <w:kern w:val="2"/>
              </w:rPr>
              <w:t>至</w:t>
            </w:r>
            <w:r w:rsidRPr="00D34C2B">
              <w:rPr>
                <w:rFonts w:ascii="Times New Roman" w:hAnsi="Times New Roman"/>
                <w:b/>
                <w:color w:val="000000"/>
                <w:kern w:val="2"/>
              </w:rPr>
              <w:t>2017</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705A28">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所有者权益合计</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438,630,665.79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-12,771,531.00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425,859,134.79</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w:t>
            </w:r>
            <w:r w:rsidRPr="00D34C2B">
              <w:rPr>
                <w:rFonts w:hint="eastAsia"/>
                <w:color w:val="000000"/>
                <w:sz w:val="24"/>
              </w:rPr>
              <w:lastRenderedPageBreak/>
              <w:t>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lastRenderedPageBreak/>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13,240,398.07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13,240,398.07</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-384,942,035.97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-366,748.25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-385,308,784.22</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999.00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1,000.00</w:t>
            </w:r>
          </w:p>
        </w:tc>
      </w:tr>
      <w:tr w:rsidR="001A59F9" w:rsidRPr="00C51C77" w:rsidTr="00705A28">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-384,943,034.97</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-366,749.25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-385,309,784.22</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705A28">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53,688,629.82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102,118.82</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53,790,748.64</w:t>
            </w:r>
          </w:p>
        </w:tc>
      </w:tr>
      <w:tr w:rsidR="001A59F9" w:rsidRPr="00C51C77" w:rsidTr="00C37A8A">
        <w:tc>
          <w:tcPr>
            <w:tcW w:w="3459" w:type="dxa"/>
            <w:vMerge w:val="restart"/>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项目</w:t>
            </w:r>
          </w:p>
        </w:tc>
        <w:tc>
          <w:tcPr>
            <w:tcW w:w="3459" w:type="dxa"/>
            <w:gridSpan w:val="3"/>
            <w:vAlign w:val="center"/>
          </w:tcPr>
          <w:p w:rsidR="001A59F9" w:rsidRPr="00D34C2B" w:rsidRDefault="001A59F9" w:rsidP="00D34C2B">
            <w:pPr>
              <w:spacing w:before="29" w:line="288" w:lineRule="auto"/>
              <w:jc w:val="center"/>
              <w:rPr>
                <w:b/>
                <w:color w:val="000000"/>
                <w:sz w:val="24"/>
              </w:rPr>
            </w:pPr>
            <w:r w:rsidRPr="00D34C2B">
              <w:rPr>
                <w:rFonts w:hint="eastAsia"/>
                <w:b/>
                <w:color w:val="000000"/>
                <w:sz w:val="24"/>
              </w:rPr>
              <w:t>上年度可比期间</w:t>
            </w:r>
          </w:p>
          <w:p w:rsidR="001A59F9" w:rsidRPr="00D34C2B" w:rsidRDefault="007F35DC" w:rsidP="00D34C2B">
            <w:pPr>
              <w:pStyle w:val="af6"/>
              <w:spacing w:before="29" w:beforeAutospacing="0" w:after="0" w:afterAutospacing="0" w:line="288" w:lineRule="auto"/>
              <w:jc w:val="center"/>
              <w:rPr>
                <w:rFonts w:ascii="Times New Roman" w:hAnsi="Times New Roman"/>
                <w:b/>
                <w:color w:val="000000"/>
                <w:kern w:val="2"/>
              </w:rPr>
            </w:pP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w:t>
            </w:r>
            <w:r w:rsidRPr="00D34C2B">
              <w:rPr>
                <w:rFonts w:ascii="Times New Roman" w:hAnsi="Times New Roman"/>
                <w:b/>
                <w:color w:val="000000"/>
                <w:kern w:val="2"/>
              </w:rPr>
              <w:t>月</w:t>
            </w:r>
            <w:r w:rsidRPr="00D34C2B">
              <w:rPr>
                <w:rFonts w:ascii="Times New Roman" w:hAnsi="Times New Roman"/>
                <w:b/>
                <w:color w:val="000000"/>
                <w:kern w:val="2"/>
              </w:rPr>
              <w:t>1</w:t>
            </w:r>
            <w:r w:rsidRPr="00D34C2B">
              <w:rPr>
                <w:rFonts w:ascii="Times New Roman" w:hAnsi="Times New Roman"/>
                <w:b/>
                <w:color w:val="000000"/>
                <w:kern w:val="2"/>
              </w:rPr>
              <w:t>日至</w:t>
            </w:r>
            <w:r w:rsidRPr="00D34C2B">
              <w:rPr>
                <w:rFonts w:ascii="Times New Roman" w:hAnsi="Times New Roman"/>
                <w:b/>
                <w:color w:val="000000"/>
                <w:kern w:val="2"/>
              </w:rPr>
              <w:t>2016</w:t>
            </w:r>
            <w:r w:rsidRPr="00D34C2B">
              <w:rPr>
                <w:rFonts w:ascii="Times New Roman" w:hAnsi="Times New Roman"/>
                <w:b/>
                <w:color w:val="000000"/>
                <w:kern w:val="2"/>
              </w:rPr>
              <w:t>年</w:t>
            </w:r>
            <w:r w:rsidRPr="00D34C2B">
              <w:rPr>
                <w:rFonts w:ascii="Times New Roman" w:hAnsi="Times New Roman"/>
                <w:b/>
                <w:color w:val="000000"/>
                <w:kern w:val="2"/>
              </w:rPr>
              <w:t>12</w:t>
            </w:r>
            <w:r w:rsidRPr="00D34C2B">
              <w:rPr>
                <w:rFonts w:ascii="Times New Roman" w:hAnsi="Times New Roman"/>
                <w:b/>
                <w:color w:val="000000"/>
                <w:kern w:val="2"/>
              </w:rPr>
              <w:t>月</w:t>
            </w:r>
            <w:r w:rsidRPr="00D34C2B">
              <w:rPr>
                <w:rFonts w:ascii="Times New Roman" w:hAnsi="Times New Roman"/>
                <w:b/>
                <w:color w:val="000000"/>
                <w:kern w:val="2"/>
              </w:rPr>
              <w:t>31</w:t>
            </w:r>
            <w:r w:rsidRPr="00D34C2B">
              <w:rPr>
                <w:rFonts w:ascii="Times New Roman" w:hAnsi="Times New Roman"/>
                <w:b/>
                <w:color w:val="000000"/>
                <w:kern w:val="2"/>
              </w:rPr>
              <w:t>日</w:t>
            </w:r>
          </w:p>
        </w:tc>
      </w:tr>
      <w:tr w:rsidR="001A59F9" w:rsidRPr="00C51C77" w:rsidTr="00C37A8A">
        <w:tc>
          <w:tcPr>
            <w:tcW w:w="3459" w:type="dxa"/>
            <w:vMerge/>
            <w:vAlign w:val="center"/>
          </w:tcPr>
          <w:p w:rsidR="001A59F9" w:rsidRPr="00D34C2B" w:rsidRDefault="001A59F9" w:rsidP="00D34C2B">
            <w:pPr>
              <w:spacing w:before="29" w:line="288" w:lineRule="auto"/>
              <w:jc w:val="center"/>
              <w:rPr>
                <w:b/>
                <w:color w:val="000000"/>
                <w:sz w:val="24"/>
              </w:rPr>
            </w:pP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实收基金</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未分配利润</w:t>
            </w:r>
          </w:p>
        </w:tc>
        <w:tc>
          <w:tcPr>
            <w:tcW w:w="3459" w:type="dxa"/>
            <w:vAlign w:val="center"/>
          </w:tcPr>
          <w:p w:rsidR="001A59F9" w:rsidRPr="00D34C2B" w:rsidRDefault="001A59F9" w:rsidP="000F6A8A">
            <w:pPr>
              <w:spacing w:before="29" w:line="288" w:lineRule="auto"/>
              <w:jc w:val="center"/>
              <w:rPr>
                <w:b/>
                <w:color w:val="000000"/>
                <w:sz w:val="24"/>
              </w:rPr>
            </w:pPr>
            <w:r w:rsidRPr="00D34C2B">
              <w:rPr>
                <w:rFonts w:hint="eastAsia"/>
                <w:b/>
                <w:color w:val="000000"/>
                <w:sz w:val="24"/>
              </w:rPr>
              <w:t>所有者权益合计</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一、期初所有者权益（基金净值）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438,630,665.79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2,118,787.13</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440,749,452.92</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二、本期经营活动产生的基金净值变动数（本期利润）</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-415,505.55</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-415,505.55</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三、本期基金份额交易产生的基金净值变动数（净值减少以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其中：</w:t>
            </w:r>
            <w:r w:rsidRPr="00D34C2B">
              <w:rPr>
                <w:color w:val="000000"/>
                <w:sz w:val="24"/>
              </w:rPr>
              <w:t>1.</w:t>
            </w:r>
            <w:r w:rsidRPr="00D34C2B">
              <w:rPr>
                <w:rFonts w:hint="eastAsia"/>
                <w:color w:val="000000"/>
                <w:sz w:val="24"/>
              </w:rPr>
              <w:t>基金申购款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540257">
            <w:pPr>
              <w:spacing w:before="29" w:line="288" w:lineRule="auto"/>
              <w:ind w:firstLineChars="250" w:firstLine="600"/>
              <w:rPr>
                <w:color w:val="000000"/>
                <w:sz w:val="24"/>
              </w:rPr>
            </w:pPr>
            <w:r w:rsidRPr="00D34C2B">
              <w:rPr>
                <w:color w:val="000000"/>
                <w:sz w:val="24"/>
              </w:rPr>
              <w:t>2.</w:t>
            </w:r>
            <w:r w:rsidRPr="00D34C2B">
              <w:rPr>
                <w:rFonts w:hint="eastAsia"/>
                <w:color w:val="000000"/>
                <w:sz w:val="24"/>
              </w:rPr>
              <w:t>基金赎回款</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四、本期向基金份额持有人分配利润产生的基金净值变动（净值减少以</w:t>
            </w:r>
            <w:r w:rsidR="00C37A8A" w:rsidRPr="0060695C">
              <w:rPr>
                <w:color w:val="000000"/>
                <w:sz w:val="24"/>
              </w:rPr>
              <w:t>“-”</w:t>
            </w:r>
            <w:r w:rsidRPr="00D34C2B">
              <w:rPr>
                <w:rFonts w:hint="eastAsia"/>
                <w:color w:val="000000"/>
                <w:sz w:val="24"/>
              </w:rPr>
              <w:t>号填列）</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-14,474,812.58</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-14,474,812.58</w:t>
            </w:r>
          </w:p>
        </w:tc>
      </w:tr>
      <w:tr w:rsidR="001A59F9" w:rsidRPr="00C51C77" w:rsidTr="00C37A8A">
        <w:tc>
          <w:tcPr>
            <w:tcW w:w="3459" w:type="dxa"/>
            <w:vAlign w:val="center"/>
          </w:tcPr>
          <w:p w:rsidR="001A59F9" w:rsidRPr="00D34C2B" w:rsidRDefault="001A59F9" w:rsidP="00D34C2B">
            <w:pPr>
              <w:spacing w:before="29" w:line="288" w:lineRule="auto"/>
              <w:rPr>
                <w:color w:val="000000"/>
                <w:sz w:val="24"/>
              </w:rPr>
            </w:pPr>
            <w:r w:rsidRPr="00D34C2B">
              <w:rPr>
                <w:rFonts w:hint="eastAsia"/>
                <w:color w:val="000000"/>
                <w:sz w:val="24"/>
              </w:rPr>
              <w:t>五、期末所有者权益（基金净值）</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438,630,665.79</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-12,771,531.00</w:t>
            </w:r>
          </w:p>
        </w:tc>
        <w:tc>
          <w:tcPr>
            <w:tcW w:w="3459" w:type="dxa"/>
            <w:vAlign w:val="center"/>
          </w:tcPr>
          <w:p w:rsidR="001A59F9" w:rsidRPr="001C5FC7" w:rsidRDefault="001A59F9" w:rsidP="001C5FC7">
            <w:pPr>
              <w:spacing w:before="29" w:line="288" w:lineRule="auto"/>
              <w:jc w:val="right"/>
              <w:rPr>
                <w:color w:val="000000"/>
                <w:sz w:val="24"/>
              </w:rPr>
            </w:pPr>
            <w:r w:rsidRPr="001C5FC7">
              <w:rPr>
                <w:color w:val="000000"/>
                <w:sz w:val="24"/>
              </w:rPr>
              <w:t>425,859,134.79</w:t>
            </w:r>
          </w:p>
        </w:tc>
      </w:tr>
    </w:tbl>
    <w:p w:rsidR="001F790F" w:rsidRPr="00AF31CF" w:rsidRDefault="001F790F" w:rsidP="00AF31CF">
      <w:pPr>
        <w:spacing w:before="29" w:line="288" w:lineRule="auto"/>
        <w:rPr>
          <w:sz w:val="24"/>
        </w:rPr>
      </w:pPr>
      <w:r w:rsidRPr="00AF31CF">
        <w:rPr>
          <w:rFonts w:hint="eastAsia"/>
          <w:sz w:val="24"/>
        </w:rPr>
        <w:lastRenderedPageBreak/>
        <w:t>报表附注为财务报表的组成部分。</w:t>
      </w:r>
    </w:p>
    <w:p w:rsidR="001F790F" w:rsidRPr="00AF31CF" w:rsidRDefault="001F790F" w:rsidP="00AF31CF">
      <w:pPr>
        <w:spacing w:before="29" w:line="288" w:lineRule="auto"/>
        <w:rPr>
          <w:sz w:val="24"/>
        </w:rPr>
      </w:pPr>
      <w:r w:rsidRPr="00AF31CF">
        <w:rPr>
          <w:rFonts w:hint="eastAsia"/>
          <w:sz w:val="24"/>
        </w:rPr>
        <w:t>本报告</w:t>
      </w:r>
      <w:r w:rsidR="00B4640F" w:rsidRPr="00AF31CF">
        <w:rPr>
          <w:rFonts w:hint="eastAsia"/>
          <w:sz w:val="24"/>
        </w:rPr>
        <w:t>页码（序号）从</w:t>
      </w:r>
      <w:r w:rsidRPr="00AF31CF">
        <w:rPr>
          <w:rFonts w:hint="eastAsia"/>
          <w:sz w:val="24"/>
        </w:rPr>
        <w:t>7.1</w:t>
      </w:r>
      <w:r w:rsidRPr="00AF31CF">
        <w:rPr>
          <w:rFonts w:hint="eastAsia"/>
          <w:sz w:val="24"/>
        </w:rPr>
        <w:t>至</w:t>
      </w:r>
      <w:r w:rsidRPr="00AF31CF">
        <w:rPr>
          <w:rFonts w:hint="eastAsia"/>
          <w:sz w:val="24"/>
        </w:rPr>
        <w:t>7.4</w:t>
      </w:r>
      <w:r w:rsidRPr="00AF31CF">
        <w:rPr>
          <w:rFonts w:hint="eastAsia"/>
          <w:sz w:val="24"/>
        </w:rPr>
        <w:t>，财务报表由下列负责人签署：</w:t>
      </w:r>
    </w:p>
    <w:p w:rsidR="001F790F" w:rsidRPr="00AF31CF" w:rsidRDefault="00177405" w:rsidP="00AF31CF">
      <w:pPr>
        <w:spacing w:before="29" w:line="288" w:lineRule="auto"/>
        <w:rPr>
          <w:sz w:val="24"/>
        </w:rPr>
      </w:pPr>
      <w:r w:rsidRPr="00AF31CF">
        <w:rPr>
          <w:rFonts w:hint="eastAsia"/>
          <w:sz w:val="24"/>
        </w:rPr>
        <w:t>基金管理人</w:t>
      </w:r>
      <w:r w:rsidR="001F790F" w:rsidRPr="00AF31CF">
        <w:rPr>
          <w:rFonts w:hint="eastAsia"/>
          <w:sz w:val="24"/>
        </w:rPr>
        <w:t>负责人：阮红，主管会计工作负责人：夏华龙，会计机构负责人：单江</w:t>
      </w:r>
    </w:p>
    <w:p w:rsidR="001A59F9" w:rsidRPr="00C51C77" w:rsidRDefault="001A59F9" w:rsidP="00C51C77">
      <w:pPr>
        <w:spacing w:line="360" w:lineRule="auto"/>
        <w:ind w:firstLineChars="200" w:firstLine="420"/>
        <w:rPr>
          <w:rFonts w:asciiTheme="minorEastAsia" w:eastAsiaTheme="minorEastAsia" w:hAnsiTheme="minorEastAsia"/>
          <w:color w:val="000000"/>
          <w:szCs w:val="21"/>
        </w:rPr>
      </w:pPr>
    </w:p>
    <w:p w:rsidR="001A59F9" w:rsidRPr="00701155" w:rsidRDefault="001A59F9" w:rsidP="00701155">
      <w:pPr>
        <w:pStyle w:val="20"/>
        <w:spacing w:before="29" w:after="0" w:line="288" w:lineRule="auto"/>
        <w:rPr>
          <w:rFonts w:ascii="Times New Roman" w:hAnsi="Times New Roman"/>
          <w:kern w:val="0"/>
          <w:szCs w:val="24"/>
        </w:rPr>
      </w:pPr>
      <w:bookmarkStart w:id="58" w:name="_Toc225498271"/>
      <w:bookmarkStart w:id="59" w:name="_Toc361324876"/>
      <w:r w:rsidRPr="00701155">
        <w:rPr>
          <w:rFonts w:ascii="Times New Roman" w:hAnsi="Times New Roman"/>
          <w:kern w:val="0"/>
          <w:szCs w:val="24"/>
        </w:rPr>
        <w:t xml:space="preserve">7.4 </w:t>
      </w:r>
      <w:r w:rsidRPr="00701155">
        <w:rPr>
          <w:rFonts w:ascii="Times New Roman" w:hAnsi="Times New Roman" w:hint="eastAsia"/>
          <w:kern w:val="0"/>
          <w:szCs w:val="24"/>
        </w:rPr>
        <w:t>报表附注</w:t>
      </w:r>
      <w:bookmarkEnd w:id="58"/>
      <w:bookmarkEnd w:id="59"/>
    </w:p>
    <w:p w:rsidR="001A59F9" w:rsidRPr="00701155" w:rsidRDefault="001A59F9" w:rsidP="00701155">
      <w:pPr>
        <w:pStyle w:val="20"/>
        <w:spacing w:before="29" w:after="0" w:line="288" w:lineRule="auto"/>
        <w:rPr>
          <w:rFonts w:ascii="Times New Roman" w:hAnsi="Times New Roman"/>
          <w:kern w:val="0"/>
          <w:szCs w:val="24"/>
        </w:rPr>
      </w:pPr>
      <w:r w:rsidRPr="00701155">
        <w:rPr>
          <w:rFonts w:ascii="Times New Roman" w:hAnsi="Times New Roman"/>
          <w:kern w:val="0"/>
          <w:szCs w:val="24"/>
        </w:rPr>
        <w:t>7.4.1</w:t>
      </w:r>
      <w:r w:rsidR="004C2C35" w:rsidRPr="00701155">
        <w:rPr>
          <w:rFonts w:ascii="Times New Roman" w:hAnsi="Times New Roman" w:hint="eastAsia"/>
          <w:kern w:val="0"/>
          <w:szCs w:val="24"/>
        </w:rPr>
        <w:t xml:space="preserve"> </w:t>
      </w:r>
      <w:r w:rsidRPr="00701155">
        <w:rPr>
          <w:rFonts w:ascii="Times New Roman" w:hAnsi="Times New Roman" w:hint="eastAsia"/>
          <w:kern w:val="0"/>
          <w:szCs w:val="24"/>
        </w:rPr>
        <w:t>基金基本情况</w:t>
      </w:r>
    </w:p>
    <w:p w:rsidR="007C483C" w:rsidRDefault="007F41B2" w:rsidP="003B685F">
      <w:pPr>
        <w:spacing w:before="29" w:line="288" w:lineRule="auto"/>
        <w:ind w:firstLineChars="200" w:firstLine="480"/>
        <w:rPr>
          <w:color w:val="000000"/>
          <w:sz w:val="24"/>
        </w:rPr>
      </w:pPr>
      <w:r>
        <w:rPr>
          <w:color w:val="000000"/>
          <w:sz w:val="24"/>
        </w:rPr>
        <w:t>交银施罗德丰硕收益债券型证券投资基金</w:t>
      </w:r>
      <w:r>
        <w:rPr>
          <w:color w:val="000000"/>
          <w:sz w:val="24"/>
        </w:rPr>
        <w:t>(</w:t>
      </w:r>
      <w:r>
        <w:rPr>
          <w:color w:val="000000"/>
          <w:sz w:val="24"/>
        </w:rPr>
        <w:t>以下简称</w:t>
      </w:r>
      <w:r>
        <w:rPr>
          <w:color w:val="000000"/>
          <w:sz w:val="24"/>
        </w:rPr>
        <w:t>“</w:t>
      </w:r>
      <w:r>
        <w:rPr>
          <w:color w:val="000000"/>
          <w:sz w:val="24"/>
        </w:rPr>
        <w:t>本基金</w:t>
      </w:r>
      <w:r>
        <w:rPr>
          <w:color w:val="000000"/>
          <w:sz w:val="24"/>
        </w:rPr>
        <w:t>”)</w:t>
      </w:r>
      <w:r>
        <w:rPr>
          <w:color w:val="000000"/>
          <w:sz w:val="24"/>
        </w:rPr>
        <w:t>经中国证券监督管理委员会</w:t>
      </w:r>
      <w:r>
        <w:rPr>
          <w:color w:val="000000"/>
          <w:sz w:val="24"/>
        </w:rPr>
        <w:t>(</w:t>
      </w:r>
      <w:r>
        <w:rPr>
          <w:color w:val="000000"/>
          <w:sz w:val="24"/>
        </w:rPr>
        <w:t>以下简称</w:t>
      </w:r>
      <w:r>
        <w:rPr>
          <w:color w:val="000000"/>
          <w:sz w:val="24"/>
        </w:rPr>
        <w:t>“</w:t>
      </w:r>
      <w:r>
        <w:rPr>
          <w:color w:val="000000"/>
          <w:sz w:val="24"/>
        </w:rPr>
        <w:t>中国证监会</w:t>
      </w:r>
      <w:r>
        <w:rPr>
          <w:color w:val="000000"/>
          <w:sz w:val="24"/>
        </w:rPr>
        <w:t>”)</w:t>
      </w:r>
      <w:r>
        <w:rPr>
          <w:color w:val="000000"/>
          <w:sz w:val="24"/>
        </w:rPr>
        <w:t>证监许可</w:t>
      </w:r>
      <w:r>
        <w:rPr>
          <w:color w:val="000000"/>
          <w:sz w:val="24"/>
        </w:rPr>
        <w:t>[2015]2267</w:t>
      </w:r>
      <w:r>
        <w:rPr>
          <w:color w:val="000000"/>
          <w:sz w:val="24"/>
        </w:rPr>
        <w:t>号《关于准予交银施罗德丰硕收益债券型证券投资基金注册的批复》核准，由交银施罗德基金管理有限公司依照《中华人民共和国证券投资基金法》和《交银施罗德丰硕收益债券型证券投资基金基金合同》负责公开募集。本基金为契约型基金，存续期限不定，本基金在基金合同生效之日起两年</w:t>
      </w:r>
      <w:r>
        <w:rPr>
          <w:color w:val="000000"/>
          <w:sz w:val="24"/>
        </w:rPr>
        <w:t>(</w:t>
      </w:r>
      <w:r>
        <w:rPr>
          <w:color w:val="000000"/>
          <w:sz w:val="24"/>
        </w:rPr>
        <w:t>含两年</w:t>
      </w:r>
      <w:r>
        <w:rPr>
          <w:color w:val="000000"/>
          <w:sz w:val="24"/>
        </w:rPr>
        <w:t>)</w:t>
      </w:r>
      <w:r>
        <w:rPr>
          <w:color w:val="000000"/>
          <w:sz w:val="24"/>
        </w:rPr>
        <w:t>的期间内，采取封闭式运作</w:t>
      </w:r>
      <w:r>
        <w:rPr>
          <w:color w:val="000000"/>
          <w:sz w:val="24"/>
        </w:rPr>
        <w:t>(</w:t>
      </w:r>
      <w:r>
        <w:rPr>
          <w:color w:val="000000"/>
          <w:sz w:val="24"/>
        </w:rPr>
        <w:t>按照基金合同的约定提前转换基金运作方式的除外</w:t>
      </w:r>
      <w:r>
        <w:rPr>
          <w:color w:val="000000"/>
          <w:sz w:val="24"/>
        </w:rPr>
        <w:t>)</w:t>
      </w:r>
      <w:r>
        <w:rPr>
          <w:color w:val="000000"/>
          <w:sz w:val="24"/>
        </w:rPr>
        <w:t>，封闭期满后转为开放式基金。本基金首次设立募集不包括认购资金利息共募集人民币</w:t>
      </w:r>
      <w:r>
        <w:rPr>
          <w:color w:val="000000"/>
          <w:sz w:val="24"/>
        </w:rPr>
        <w:t>438,442,304.66</w:t>
      </w:r>
      <w:r>
        <w:rPr>
          <w:color w:val="000000"/>
          <w:sz w:val="24"/>
        </w:rPr>
        <w:t>元，业经普华永道中天会计师事务所</w:t>
      </w:r>
      <w:r>
        <w:rPr>
          <w:color w:val="000000"/>
          <w:sz w:val="24"/>
        </w:rPr>
        <w:t>(</w:t>
      </w:r>
      <w:r>
        <w:rPr>
          <w:color w:val="000000"/>
          <w:sz w:val="24"/>
        </w:rPr>
        <w:t>特殊普通合伙</w:t>
      </w:r>
      <w:r>
        <w:rPr>
          <w:color w:val="000000"/>
          <w:sz w:val="24"/>
        </w:rPr>
        <w:t>)</w:t>
      </w:r>
      <w:r>
        <w:rPr>
          <w:color w:val="000000"/>
          <w:sz w:val="24"/>
        </w:rPr>
        <w:t>普华永道中天验字</w:t>
      </w:r>
      <w:r>
        <w:rPr>
          <w:color w:val="000000"/>
          <w:sz w:val="24"/>
        </w:rPr>
        <w:t>(2015)</w:t>
      </w:r>
      <w:r>
        <w:rPr>
          <w:color w:val="000000"/>
          <w:sz w:val="24"/>
        </w:rPr>
        <w:t>第</w:t>
      </w:r>
      <w:r>
        <w:rPr>
          <w:color w:val="000000"/>
          <w:sz w:val="24"/>
        </w:rPr>
        <w:t>1235</w:t>
      </w:r>
      <w:r>
        <w:rPr>
          <w:color w:val="000000"/>
          <w:sz w:val="24"/>
        </w:rPr>
        <w:t>号验资报告予以验证。经向中国证监会备案，《交银施罗德丰硕收益债券型证券投资基金基金合同》于</w:t>
      </w:r>
      <w:r>
        <w:rPr>
          <w:color w:val="000000"/>
          <w:sz w:val="24"/>
        </w:rPr>
        <w:t>2015</w:t>
      </w:r>
      <w:r>
        <w:rPr>
          <w:color w:val="000000"/>
          <w:sz w:val="24"/>
        </w:rPr>
        <w:t>年</w:t>
      </w:r>
      <w:r>
        <w:rPr>
          <w:color w:val="000000"/>
          <w:sz w:val="24"/>
        </w:rPr>
        <w:t>11</w:t>
      </w:r>
      <w:r>
        <w:rPr>
          <w:color w:val="000000"/>
          <w:sz w:val="24"/>
        </w:rPr>
        <w:t>月</w:t>
      </w:r>
      <w:r>
        <w:rPr>
          <w:color w:val="000000"/>
          <w:sz w:val="24"/>
        </w:rPr>
        <w:t>9</w:t>
      </w:r>
      <w:r>
        <w:rPr>
          <w:color w:val="000000"/>
          <w:sz w:val="24"/>
        </w:rPr>
        <w:t>日正式生效，基金合同生效日的基金份额总额为</w:t>
      </w:r>
      <w:r>
        <w:rPr>
          <w:color w:val="000000"/>
          <w:sz w:val="24"/>
        </w:rPr>
        <w:t>438,630,665.79</w:t>
      </w:r>
      <w:r>
        <w:rPr>
          <w:color w:val="000000"/>
          <w:sz w:val="24"/>
        </w:rPr>
        <w:t>份基金份额，其中认购资金利息折合</w:t>
      </w:r>
      <w:r>
        <w:rPr>
          <w:color w:val="000000"/>
          <w:sz w:val="24"/>
        </w:rPr>
        <w:t>188,361.13</w:t>
      </w:r>
      <w:r>
        <w:rPr>
          <w:color w:val="000000"/>
          <w:sz w:val="24"/>
        </w:rPr>
        <w:t>份基金份额。本基金的基金管理人为交银施罗德基金管理有限公司，基金托管人为中信银行股份有限公司。</w:t>
      </w:r>
    </w:p>
    <w:p w:rsidR="007C483C" w:rsidRDefault="007C483C">
      <w:pPr>
        <w:spacing w:before="29" w:line="288" w:lineRule="auto"/>
        <w:ind w:firstLineChars="200" w:firstLine="480"/>
        <w:rPr>
          <w:color w:val="000000"/>
          <w:sz w:val="24"/>
        </w:rPr>
      </w:pPr>
    </w:p>
    <w:p w:rsidR="007C483C" w:rsidRDefault="007F41B2">
      <w:pPr>
        <w:spacing w:before="29" w:line="288" w:lineRule="auto"/>
        <w:ind w:firstLineChars="200" w:firstLine="480"/>
        <w:rPr>
          <w:color w:val="000000"/>
          <w:sz w:val="24"/>
        </w:rPr>
      </w:pPr>
      <w:r>
        <w:rPr>
          <w:color w:val="000000"/>
          <w:sz w:val="24"/>
        </w:rPr>
        <w:t>根据《交银施罗德丰硕收益债券型证券投资基金基金合同》和《交银施罗德丰硕收益债券型证券投资基金招募说明书》，本基金根据认购</w:t>
      </w:r>
      <w:r>
        <w:rPr>
          <w:color w:val="000000"/>
          <w:sz w:val="24"/>
        </w:rPr>
        <w:t>/</w:t>
      </w:r>
      <w:r>
        <w:rPr>
          <w:color w:val="000000"/>
          <w:sz w:val="24"/>
        </w:rPr>
        <w:t>申购费用、赎回费用、销售服务费收取方式的不同，将基金份额分为不同的类别。在投资人申购时收取申购费用、赎回时收取赎回费用的，称为</w:t>
      </w:r>
      <w:r>
        <w:rPr>
          <w:color w:val="000000"/>
          <w:sz w:val="24"/>
        </w:rPr>
        <w:t>A</w:t>
      </w:r>
      <w:r>
        <w:rPr>
          <w:color w:val="000000"/>
          <w:sz w:val="24"/>
        </w:rPr>
        <w:t>类基金份额，在投资人认购</w:t>
      </w:r>
      <w:r>
        <w:rPr>
          <w:color w:val="000000"/>
          <w:sz w:val="24"/>
        </w:rPr>
        <w:t>/</w:t>
      </w:r>
      <w:r>
        <w:rPr>
          <w:color w:val="000000"/>
          <w:sz w:val="24"/>
        </w:rPr>
        <w:t>申购、赎回时不收取认购</w:t>
      </w:r>
      <w:r>
        <w:rPr>
          <w:color w:val="000000"/>
          <w:sz w:val="24"/>
        </w:rPr>
        <w:t>/</w:t>
      </w:r>
      <w:r>
        <w:rPr>
          <w:color w:val="000000"/>
          <w:sz w:val="24"/>
        </w:rPr>
        <w:t>申购费用、赎回费用，而是从本类别基金资产中计提销售服务费的，称为</w:t>
      </w:r>
      <w:r>
        <w:rPr>
          <w:color w:val="000000"/>
          <w:sz w:val="24"/>
        </w:rPr>
        <w:t>C</w:t>
      </w:r>
      <w:r>
        <w:rPr>
          <w:color w:val="000000"/>
          <w:sz w:val="24"/>
        </w:rPr>
        <w:t>类基金份额；本基金募集期内仅开放</w:t>
      </w:r>
      <w:r>
        <w:rPr>
          <w:color w:val="000000"/>
          <w:sz w:val="24"/>
        </w:rPr>
        <w:t>C</w:t>
      </w:r>
      <w:r>
        <w:rPr>
          <w:color w:val="000000"/>
          <w:sz w:val="24"/>
        </w:rPr>
        <w:t>类基金份额的认购；在基金合同生效之日起两年</w:t>
      </w:r>
      <w:r>
        <w:rPr>
          <w:color w:val="000000"/>
          <w:sz w:val="24"/>
        </w:rPr>
        <w:t>(</w:t>
      </w:r>
      <w:r>
        <w:rPr>
          <w:color w:val="000000"/>
          <w:sz w:val="24"/>
        </w:rPr>
        <w:t>含两年</w:t>
      </w:r>
      <w:r>
        <w:rPr>
          <w:color w:val="000000"/>
          <w:sz w:val="24"/>
        </w:rPr>
        <w:t>)</w:t>
      </w:r>
      <w:r>
        <w:rPr>
          <w:color w:val="000000"/>
          <w:sz w:val="24"/>
        </w:rPr>
        <w:t>的期间内封闭式运作，封闭期结束后转为开放式运作，并可视业务情况择时增开</w:t>
      </w:r>
      <w:r>
        <w:rPr>
          <w:color w:val="000000"/>
          <w:sz w:val="24"/>
        </w:rPr>
        <w:t>A</w:t>
      </w:r>
      <w:r>
        <w:rPr>
          <w:color w:val="000000"/>
          <w:sz w:val="24"/>
        </w:rPr>
        <w:t>类基金份额的申购。根据《关于交银施罗德丰硕收益债券型证券投资基金封闭期结束转为开放式运作暨开放日常申购、赎回业务的公告》的相关规定，本基金封闭期自</w:t>
      </w:r>
      <w:r>
        <w:rPr>
          <w:color w:val="000000"/>
          <w:sz w:val="24"/>
        </w:rPr>
        <w:t>2015</w:t>
      </w:r>
      <w:r>
        <w:rPr>
          <w:color w:val="000000"/>
          <w:sz w:val="24"/>
        </w:rPr>
        <w:t>年</w:t>
      </w:r>
      <w:r>
        <w:rPr>
          <w:color w:val="000000"/>
          <w:sz w:val="24"/>
        </w:rPr>
        <w:t>11</w:t>
      </w:r>
      <w:r>
        <w:rPr>
          <w:color w:val="000000"/>
          <w:sz w:val="24"/>
        </w:rPr>
        <w:t>月</w:t>
      </w:r>
      <w:r>
        <w:rPr>
          <w:color w:val="000000"/>
          <w:sz w:val="24"/>
        </w:rPr>
        <w:t>9</w:t>
      </w:r>
      <w:r>
        <w:rPr>
          <w:color w:val="000000"/>
          <w:sz w:val="24"/>
        </w:rPr>
        <w:t>日</w:t>
      </w:r>
      <w:r>
        <w:rPr>
          <w:color w:val="000000"/>
          <w:sz w:val="24"/>
        </w:rPr>
        <w:t>(</w:t>
      </w:r>
      <w:r>
        <w:rPr>
          <w:color w:val="000000"/>
          <w:sz w:val="24"/>
        </w:rPr>
        <w:t>基金合同生效日</w:t>
      </w:r>
      <w:r>
        <w:rPr>
          <w:color w:val="000000"/>
          <w:sz w:val="24"/>
        </w:rPr>
        <w:t>)</w:t>
      </w:r>
      <w:r>
        <w:rPr>
          <w:color w:val="000000"/>
          <w:sz w:val="24"/>
        </w:rPr>
        <w:t>至</w:t>
      </w:r>
      <w:r>
        <w:rPr>
          <w:color w:val="000000"/>
          <w:sz w:val="24"/>
        </w:rPr>
        <w:t>2017</w:t>
      </w:r>
      <w:r>
        <w:rPr>
          <w:color w:val="000000"/>
          <w:sz w:val="24"/>
        </w:rPr>
        <w:t>年</w:t>
      </w:r>
      <w:r>
        <w:rPr>
          <w:color w:val="000000"/>
          <w:sz w:val="24"/>
        </w:rPr>
        <w:t>11</w:t>
      </w:r>
      <w:r>
        <w:rPr>
          <w:color w:val="000000"/>
          <w:sz w:val="24"/>
        </w:rPr>
        <w:t>月</w:t>
      </w:r>
      <w:r>
        <w:rPr>
          <w:color w:val="000000"/>
          <w:sz w:val="24"/>
        </w:rPr>
        <w:t>9</w:t>
      </w:r>
      <w:r>
        <w:rPr>
          <w:color w:val="000000"/>
          <w:sz w:val="24"/>
        </w:rPr>
        <w:t>日止，自</w:t>
      </w:r>
      <w:r>
        <w:rPr>
          <w:color w:val="000000"/>
          <w:sz w:val="24"/>
        </w:rPr>
        <w:t>2017</w:t>
      </w:r>
      <w:r>
        <w:rPr>
          <w:color w:val="000000"/>
          <w:sz w:val="24"/>
        </w:rPr>
        <w:t>年</w:t>
      </w:r>
      <w:r>
        <w:rPr>
          <w:color w:val="000000"/>
          <w:sz w:val="24"/>
        </w:rPr>
        <w:t>11</w:t>
      </w:r>
      <w:r>
        <w:rPr>
          <w:color w:val="000000"/>
          <w:sz w:val="24"/>
        </w:rPr>
        <w:t>月</w:t>
      </w:r>
      <w:r>
        <w:rPr>
          <w:color w:val="000000"/>
          <w:sz w:val="24"/>
        </w:rPr>
        <w:t>10</w:t>
      </w:r>
      <w:r>
        <w:rPr>
          <w:color w:val="000000"/>
          <w:sz w:val="24"/>
        </w:rPr>
        <w:t>日起转为开放式运作，自该日起开始办理日常申购、赎回业务。</w:t>
      </w:r>
    </w:p>
    <w:p w:rsidR="007C483C" w:rsidRDefault="007C483C">
      <w:pPr>
        <w:spacing w:before="29" w:line="288" w:lineRule="auto"/>
        <w:ind w:firstLineChars="200" w:firstLine="480"/>
        <w:rPr>
          <w:color w:val="000000"/>
          <w:sz w:val="24"/>
        </w:rPr>
      </w:pPr>
    </w:p>
    <w:p w:rsidR="007C483C" w:rsidRDefault="007F41B2">
      <w:pPr>
        <w:spacing w:before="29" w:line="288" w:lineRule="auto"/>
        <w:ind w:firstLineChars="200" w:firstLine="480"/>
        <w:rPr>
          <w:color w:val="000000"/>
          <w:sz w:val="24"/>
        </w:rPr>
      </w:pPr>
      <w:r>
        <w:rPr>
          <w:color w:val="000000"/>
          <w:sz w:val="24"/>
        </w:rPr>
        <w:t>根据《中华人民共和国证券投资基金法》和《交银施罗德丰硕收益债券型证券投资基金基金合同》的有关规定，本基金的投资范围为具有良好流动性的金融工具，包括国内依法发行上市的国债、金融债、央行票据、地方政府债、企业债、公司债、分离交易可转债的纯债、次级债、资产支持证券、短期融资券、中期票据、非公开发行公司债、债券回购、银行存款、货币市场工具等固定收益类资产和法律法规允许投资的其他金融</w:t>
      </w:r>
      <w:r>
        <w:rPr>
          <w:color w:val="000000"/>
          <w:sz w:val="24"/>
        </w:rPr>
        <w:lastRenderedPageBreak/>
        <w:t>工具。其中，封闭期内，本基金所投企业债和公司债信用评级需在</w:t>
      </w:r>
      <w:r>
        <w:rPr>
          <w:color w:val="000000"/>
          <w:sz w:val="24"/>
        </w:rPr>
        <w:t>AA</w:t>
      </w:r>
      <w:r>
        <w:rPr>
          <w:color w:val="000000"/>
          <w:sz w:val="24"/>
        </w:rPr>
        <w:t>级</w:t>
      </w:r>
      <w:r>
        <w:rPr>
          <w:color w:val="000000"/>
          <w:sz w:val="24"/>
        </w:rPr>
        <w:t>(</w:t>
      </w:r>
      <w:r>
        <w:rPr>
          <w:color w:val="000000"/>
          <w:sz w:val="24"/>
        </w:rPr>
        <w:t>含</w:t>
      </w:r>
      <w:r>
        <w:rPr>
          <w:color w:val="000000"/>
          <w:sz w:val="24"/>
        </w:rPr>
        <w:t>)</w:t>
      </w:r>
      <w:r>
        <w:rPr>
          <w:color w:val="000000"/>
          <w:sz w:val="24"/>
        </w:rPr>
        <w:t>以上。本基金不投资股票、权证等权益类资产。同时本基金不参与可转换债券投资</w:t>
      </w:r>
      <w:r>
        <w:rPr>
          <w:color w:val="000000"/>
          <w:sz w:val="24"/>
        </w:rPr>
        <w:t>(</w:t>
      </w:r>
      <w:r>
        <w:rPr>
          <w:color w:val="000000"/>
          <w:sz w:val="24"/>
        </w:rPr>
        <w:t>分离交易可转债的纯债部分除外</w:t>
      </w:r>
      <w:r>
        <w:rPr>
          <w:color w:val="000000"/>
          <w:sz w:val="24"/>
        </w:rPr>
        <w:t>)</w:t>
      </w:r>
      <w:r>
        <w:rPr>
          <w:color w:val="000000"/>
          <w:sz w:val="24"/>
        </w:rPr>
        <w:t>。基金的投资组合比例为：债券资产的比例不低于基金资产的</w:t>
      </w:r>
      <w:r>
        <w:rPr>
          <w:color w:val="000000"/>
          <w:sz w:val="24"/>
        </w:rPr>
        <w:t>80%</w:t>
      </w:r>
      <w:r>
        <w:rPr>
          <w:color w:val="000000"/>
          <w:sz w:val="24"/>
        </w:rPr>
        <w:t>，但在封闭期结束前三个月和转开放后三个月内，基金投资不受上述债券资产投资比例限制。本基金在开放期内，现金或到期日在一年以内的政府债券的比例合计不低于基金资产净值的</w:t>
      </w:r>
      <w:r>
        <w:rPr>
          <w:color w:val="000000"/>
          <w:sz w:val="24"/>
        </w:rPr>
        <w:t>5%</w:t>
      </w:r>
      <w:r>
        <w:rPr>
          <w:color w:val="000000"/>
          <w:sz w:val="24"/>
        </w:rPr>
        <w:t>。本基金封闭期内投资的业绩比较基准为两年期银行定期存款税后收益率</w:t>
      </w:r>
      <w:r>
        <w:rPr>
          <w:color w:val="000000"/>
          <w:sz w:val="24"/>
        </w:rPr>
        <w:t>+1.25%</w:t>
      </w:r>
      <w:r>
        <w:rPr>
          <w:color w:val="000000"/>
          <w:sz w:val="24"/>
        </w:rPr>
        <w:t>，转为开放式运作后业绩比较基准为中债综合全价指数。</w:t>
      </w:r>
    </w:p>
    <w:p w:rsidR="007C483C" w:rsidRDefault="007C483C">
      <w:pPr>
        <w:spacing w:before="29" w:line="288" w:lineRule="auto"/>
        <w:ind w:firstLineChars="200" w:firstLine="480"/>
        <w:rPr>
          <w:color w:val="000000"/>
          <w:sz w:val="24"/>
        </w:rPr>
      </w:pPr>
    </w:p>
    <w:p w:rsidR="001A59F9" w:rsidRPr="002F6772" w:rsidRDefault="001A59F9" w:rsidP="002F6772">
      <w:pPr>
        <w:spacing w:before="29" w:line="288" w:lineRule="auto"/>
        <w:ind w:firstLineChars="200" w:firstLine="480"/>
        <w:rPr>
          <w:color w:val="000000"/>
          <w:sz w:val="24"/>
        </w:rPr>
      </w:pPr>
      <w:bookmarkStart w:id="60" w:name="_GoBack"/>
      <w:bookmarkEnd w:id="60"/>
      <w:r w:rsidRPr="002F6772">
        <w:rPr>
          <w:color w:val="000000"/>
          <w:sz w:val="24"/>
        </w:rPr>
        <w:t>本财务报表由本基金的基金管理人交银施罗德基金管理有限公司于</w:t>
      </w:r>
      <w:r w:rsidRPr="002F6772">
        <w:rPr>
          <w:color w:val="000000"/>
          <w:sz w:val="24"/>
        </w:rPr>
        <w:t>2018</w:t>
      </w:r>
      <w:r w:rsidRPr="002F6772">
        <w:rPr>
          <w:color w:val="000000"/>
          <w:sz w:val="24"/>
        </w:rPr>
        <w:t>年</w:t>
      </w:r>
      <w:r w:rsidRPr="002F6772">
        <w:rPr>
          <w:color w:val="000000"/>
          <w:sz w:val="24"/>
        </w:rPr>
        <w:t>3</w:t>
      </w:r>
      <w:r w:rsidRPr="002F6772">
        <w:rPr>
          <w:color w:val="000000"/>
          <w:sz w:val="24"/>
        </w:rPr>
        <w:t>月</w:t>
      </w:r>
      <w:r w:rsidRPr="002F6772">
        <w:rPr>
          <w:color w:val="000000"/>
          <w:sz w:val="24"/>
        </w:rPr>
        <w:t>26</w:t>
      </w:r>
      <w:r w:rsidRPr="002F6772">
        <w:rPr>
          <w:color w:val="000000"/>
          <w:sz w:val="24"/>
        </w:rPr>
        <w:t>日批准报出。</w:t>
      </w:r>
    </w:p>
    <w:p w:rsidR="001A59F9" w:rsidRPr="00C51C77" w:rsidRDefault="001A59F9" w:rsidP="00016A50">
      <w:pPr>
        <w:tabs>
          <w:tab w:val="left" w:pos="2265"/>
        </w:tabs>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7.4.2</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会计报表的编制基础</w:t>
      </w:r>
    </w:p>
    <w:p w:rsidR="007C483C" w:rsidRDefault="007F41B2">
      <w:pPr>
        <w:spacing w:before="29" w:line="288" w:lineRule="auto"/>
        <w:ind w:firstLineChars="200" w:firstLine="480"/>
        <w:rPr>
          <w:color w:val="000000"/>
          <w:sz w:val="24"/>
        </w:rPr>
      </w:pPr>
      <w:r>
        <w:rPr>
          <w:color w:val="000000"/>
          <w:sz w:val="24"/>
        </w:rPr>
        <w:t>本基金的财务报表按照财政部于</w:t>
      </w:r>
      <w:r>
        <w:rPr>
          <w:color w:val="000000"/>
          <w:sz w:val="24"/>
        </w:rPr>
        <w:t>2006</w:t>
      </w:r>
      <w:r>
        <w:rPr>
          <w:color w:val="000000"/>
          <w:sz w:val="24"/>
        </w:rPr>
        <w:t>年</w:t>
      </w:r>
      <w:r>
        <w:rPr>
          <w:color w:val="000000"/>
          <w:sz w:val="24"/>
        </w:rPr>
        <w:t>2</w:t>
      </w:r>
      <w:r>
        <w:rPr>
          <w:color w:val="000000"/>
          <w:sz w:val="24"/>
        </w:rPr>
        <w:t>月</w:t>
      </w:r>
      <w:r>
        <w:rPr>
          <w:color w:val="000000"/>
          <w:sz w:val="24"/>
        </w:rPr>
        <w:t>15</w:t>
      </w:r>
      <w:r>
        <w:rPr>
          <w:color w:val="000000"/>
          <w:sz w:val="24"/>
        </w:rPr>
        <w:t>日及以后期间颁布的《企业会计准则－基本准则》、各项具体会计准则及相关规定</w:t>
      </w:r>
      <w:r>
        <w:rPr>
          <w:color w:val="000000"/>
          <w:sz w:val="24"/>
        </w:rPr>
        <w:t>(</w:t>
      </w:r>
      <w:r>
        <w:rPr>
          <w:color w:val="000000"/>
          <w:sz w:val="24"/>
        </w:rPr>
        <w:t>以下合称</w:t>
      </w:r>
      <w:r>
        <w:rPr>
          <w:color w:val="000000"/>
          <w:sz w:val="24"/>
        </w:rPr>
        <w:t>“</w:t>
      </w:r>
      <w:r>
        <w:rPr>
          <w:color w:val="000000"/>
          <w:sz w:val="24"/>
        </w:rPr>
        <w:t>企业会计准则</w:t>
      </w:r>
      <w:r>
        <w:rPr>
          <w:color w:val="000000"/>
          <w:sz w:val="24"/>
        </w:rPr>
        <w:t>”)</w:t>
      </w:r>
      <w:r>
        <w:rPr>
          <w:color w:val="000000"/>
          <w:sz w:val="24"/>
        </w:rPr>
        <w:t>、中国证监会颁布的《证券投资基金信息披露</w:t>
      </w:r>
      <w:r>
        <w:rPr>
          <w:color w:val="000000"/>
          <w:sz w:val="24"/>
        </w:rPr>
        <w:t>XBRL</w:t>
      </w:r>
      <w:r>
        <w:rPr>
          <w:color w:val="000000"/>
          <w:sz w:val="24"/>
        </w:rPr>
        <w:t>模板第</w:t>
      </w:r>
      <w:r>
        <w:rPr>
          <w:color w:val="000000"/>
          <w:sz w:val="24"/>
        </w:rPr>
        <w:t>3</w:t>
      </w:r>
      <w:r>
        <w:rPr>
          <w:color w:val="000000"/>
          <w:sz w:val="24"/>
        </w:rPr>
        <w:t>号</w:t>
      </w:r>
      <w:r>
        <w:rPr>
          <w:color w:val="000000"/>
          <w:sz w:val="24"/>
        </w:rPr>
        <w:t>&lt;</w:t>
      </w:r>
      <w:r>
        <w:rPr>
          <w:color w:val="000000"/>
          <w:sz w:val="24"/>
        </w:rPr>
        <w:t>年度报告和半年度报告</w:t>
      </w:r>
      <w:r>
        <w:rPr>
          <w:color w:val="000000"/>
          <w:sz w:val="24"/>
        </w:rPr>
        <w:t>&gt;</w:t>
      </w:r>
      <w:r>
        <w:rPr>
          <w:color w:val="000000"/>
          <w:sz w:val="24"/>
        </w:rPr>
        <w:t>》、中国证券投资基金业协会</w:t>
      </w:r>
      <w:r>
        <w:rPr>
          <w:color w:val="000000"/>
          <w:sz w:val="24"/>
        </w:rPr>
        <w:t>(</w:t>
      </w:r>
      <w:r>
        <w:rPr>
          <w:color w:val="000000"/>
          <w:sz w:val="24"/>
        </w:rPr>
        <w:t>以下简称</w:t>
      </w:r>
      <w:r>
        <w:rPr>
          <w:color w:val="000000"/>
          <w:sz w:val="24"/>
        </w:rPr>
        <w:t>“</w:t>
      </w:r>
      <w:r>
        <w:rPr>
          <w:color w:val="000000"/>
          <w:sz w:val="24"/>
        </w:rPr>
        <w:t>中国基金业协会</w:t>
      </w:r>
      <w:r>
        <w:rPr>
          <w:color w:val="000000"/>
          <w:sz w:val="24"/>
        </w:rPr>
        <w:t>”)</w:t>
      </w:r>
      <w:r>
        <w:rPr>
          <w:color w:val="000000"/>
          <w:sz w:val="24"/>
        </w:rPr>
        <w:t>颁布的《证券投资基金会计核算业务指引》、《交银施罗德丰硕收益债券型证券投资基金基金合同》和在财务报表附注</w:t>
      </w:r>
      <w:r>
        <w:rPr>
          <w:color w:val="000000"/>
          <w:sz w:val="24"/>
        </w:rPr>
        <w:t>7.4.4</w:t>
      </w:r>
      <w:r>
        <w:rPr>
          <w:color w:val="000000"/>
          <w:sz w:val="24"/>
        </w:rPr>
        <w:t>所列示的中国证监会、中国基金业协会发布的有关规定及允许的基金行业实务操作编制。</w:t>
      </w:r>
    </w:p>
    <w:p w:rsidR="001A59F9" w:rsidRPr="002F6772" w:rsidRDefault="001A59F9" w:rsidP="002F6772">
      <w:pPr>
        <w:spacing w:before="29" w:line="288" w:lineRule="auto"/>
        <w:ind w:firstLineChars="200" w:firstLine="480"/>
        <w:rPr>
          <w:color w:val="000000"/>
          <w:sz w:val="24"/>
        </w:rPr>
      </w:pPr>
      <w:r w:rsidRPr="002F6772">
        <w:rPr>
          <w:color w:val="000000"/>
          <w:sz w:val="24"/>
        </w:rPr>
        <w:t>本财务报表以持续经营为基础编制。</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7.4.3</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遵循企业会计准则及其他有关规定的声明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w:t>
      </w:r>
      <w:r w:rsidRPr="002F6772">
        <w:rPr>
          <w:color w:val="000000"/>
          <w:sz w:val="24"/>
        </w:rPr>
        <w:t>2017</w:t>
      </w:r>
      <w:r w:rsidRPr="002F6772">
        <w:rPr>
          <w:color w:val="000000"/>
          <w:sz w:val="24"/>
        </w:rPr>
        <w:t>年度财务报表符合企业会计准则的要求，真实、完整地反映了本基金</w:t>
      </w:r>
      <w:r w:rsidRPr="002F6772">
        <w:rPr>
          <w:color w:val="000000"/>
          <w:sz w:val="24"/>
        </w:rPr>
        <w:t>2017</w:t>
      </w:r>
      <w:r w:rsidRPr="002F6772">
        <w:rPr>
          <w:color w:val="000000"/>
          <w:sz w:val="24"/>
        </w:rPr>
        <w:t>年</w:t>
      </w:r>
      <w:r w:rsidRPr="002F6772">
        <w:rPr>
          <w:color w:val="000000"/>
          <w:sz w:val="24"/>
        </w:rPr>
        <w:t>12</w:t>
      </w:r>
      <w:r w:rsidRPr="002F6772">
        <w:rPr>
          <w:color w:val="000000"/>
          <w:sz w:val="24"/>
        </w:rPr>
        <w:t>月</w:t>
      </w:r>
      <w:r w:rsidRPr="002F6772">
        <w:rPr>
          <w:color w:val="000000"/>
          <w:sz w:val="24"/>
        </w:rPr>
        <w:t>31</w:t>
      </w:r>
      <w:r w:rsidRPr="002F6772">
        <w:rPr>
          <w:color w:val="000000"/>
          <w:sz w:val="24"/>
        </w:rPr>
        <w:t>日的财务状况以及</w:t>
      </w:r>
      <w:r w:rsidRPr="002F6772">
        <w:rPr>
          <w:color w:val="000000"/>
          <w:sz w:val="24"/>
        </w:rPr>
        <w:t>2017</w:t>
      </w:r>
      <w:r w:rsidRPr="002F6772">
        <w:rPr>
          <w:color w:val="000000"/>
          <w:sz w:val="24"/>
        </w:rPr>
        <w:t>年度的经营成果和基金净值变动情况等有关信息。</w:t>
      </w:r>
    </w:p>
    <w:p w:rsidR="001A59F9" w:rsidRPr="00C51C77" w:rsidRDefault="001A59F9" w:rsidP="00016A50">
      <w:pPr>
        <w:spacing w:line="360" w:lineRule="auto"/>
        <w:ind w:firstLineChars="200" w:firstLine="422"/>
        <w:rPr>
          <w:rFonts w:asciiTheme="minorEastAsia" w:eastAsiaTheme="minorEastAsia" w:hAnsiTheme="minorEastAsia"/>
          <w:b/>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7.4.4</w:t>
      </w:r>
      <w:r w:rsidR="004C2C35" w:rsidRPr="00245C29">
        <w:rPr>
          <w:rFonts w:ascii="Times New Roman" w:hAnsi="Times New Roman" w:hint="eastAsia"/>
          <w:kern w:val="0"/>
          <w:szCs w:val="24"/>
        </w:rPr>
        <w:t xml:space="preserve"> </w:t>
      </w:r>
      <w:r w:rsidR="0096133D" w:rsidRPr="00245C29">
        <w:rPr>
          <w:rFonts w:ascii="Times New Roman" w:hAnsi="Times New Roman" w:hint="eastAsia"/>
          <w:kern w:val="0"/>
          <w:szCs w:val="24"/>
        </w:rPr>
        <w:t>本报告期所采用的会计政策、会计估计与最近一期年度报告相一致的说明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本报告期所采用的会计政策、会计估计与最近一期年度报告相一致。</w:t>
      </w:r>
    </w:p>
    <w:p w:rsidR="002F6772" w:rsidRPr="00C51C77" w:rsidRDefault="002F67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7.4.5</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会计政策和会计估计变更以及差错更正的说明</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 xml:space="preserve">7.4.5.1 </w:t>
      </w:r>
      <w:r w:rsidRPr="00245C29">
        <w:rPr>
          <w:rFonts w:ascii="Times New Roman" w:hAnsi="Times New Roman" w:hint="eastAsia"/>
          <w:kern w:val="0"/>
          <w:szCs w:val="24"/>
        </w:rPr>
        <w:t>会计政策变更的说明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本基金本报告期未发生会计政策变更。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C51C77" w:rsidRDefault="001A59F9" w:rsidP="00245C29">
      <w:pPr>
        <w:pStyle w:val="20"/>
        <w:spacing w:before="29" w:after="0" w:line="288" w:lineRule="auto"/>
        <w:rPr>
          <w:rFonts w:asciiTheme="minorEastAsia" w:eastAsiaTheme="minorEastAsia" w:hAnsiTheme="minorEastAsia"/>
          <w:b w:val="0"/>
          <w:color w:val="000000"/>
          <w:kern w:val="0"/>
          <w:szCs w:val="21"/>
        </w:rPr>
      </w:pPr>
      <w:r w:rsidRPr="00245C29">
        <w:rPr>
          <w:rFonts w:ascii="Times New Roman" w:hAnsi="Times New Roman"/>
          <w:kern w:val="0"/>
          <w:szCs w:val="24"/>
        </w:rPr>
        <w:t xml:space="preserve">7.4.5.2 </w:t>
      </w:r>
      <w:r w:rsidRPr="00245C29">
        <w:rPr>
          <w:rFonts w:ascii="Times New Roman" w:hAnsi="Times New Roman" w:hint="eastAsia"/>
          <w:kern w:val="0"/>
          <w:szCs w:val="24"/>
        </w:rPr>
        <w:t>会计估计变更的说明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本基金本报告期未发生会计估计变更。</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 xml:space="preserve">7.4.5.3 </w:t>
      </w:r>
      <w:r w:rsidRPr="00245C29">
        <w:rPr>
          <w:rFonts w:ascii="Times New Roman" w:hAnsi="Times New Roman" w:hint="eastAsia"/>
          <w:kern w:val="0"/>
          <w:szCs w:val="24"/>
        </w:rPr>
        <w:t>差错更正的说明</w:t>
      </w:r>
    </w:p>
    <w:p w:rsidR="001A59F9" w:rsidRPr="002F6772" w:rsidRDefault="001A59F9" w:rsidP="002F6772">
      <w:pPr>
        <w:spacing w:before="29" w:line="288" w:lineRule="auto"/>
        <w:ind w:firstLineChars="200" w:firstLine="480"/>
        <w:rPr>
          <w:color w:val="000000"/>
          <w:sz w:val="24"/>
        </w:rPr>
      </w:pPr>
      <w:r w:rsidRPr="002F6772">
        <w:rPr>
          <w:color w:val="000000"/>
          <w:sz w:val="24"/>
        </w:rPr>
        <w:t>本基金在本报告期间无需说明的会计差错更正。</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7.4.6</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税项</w:t>
      </w:r>
    </w:p>
    <w:p w:rsidR="007C483C" w:rsidRDefault="007F41B2">
      <w:pPr>
        <w:spacing w:before="29" w:line="288" w:lineRule="auto"/>
        <w:ind w:firstLineChars="200" w:firstLine="480"/>
        <w:rPr>
          <w:color w:val="000000"/>
          <w:sz w:val="24"/>
        </w:rPr>
      </w:pPr>
      <w:r>
        <w:rPr>
          <w:color w:val="000000"/>
          <w:sz w:val="24"/>
        </w:rPr>
        <w:t>根据财政部、国家税务总局财税</w:t>
      </w:r>
      <w:r>
        <w:rPr>
          <w:color w:val="000000"/>
          <w:sz w:val="24"/>
        </w:rPr>
        <w:t>[2004]78</w:t>
      </w:r>
      <w:r>
        <w:rPr>
          <w:color w:val="000000"/>
          <w:sz w:val="24"/>
        </w:rPr>
        <w:t>号《财政部、国家税务总局关于证券投资基金税收政策的通知》、财税</w:t>
      </w:r>
      <w:r>
        <w:rPr>
          <w:color w:val="000000"/>
          <w:sz w:val="24"/>
        </w:rPr>
        <w:t>[2008]1</w:t>
      </w:r>
      <w:r>
        <w:rPr>
          <w:color w:val="000000"/>
          <w:sz w:val="24"/>
        </w:rPr>
        <w:t>号《关于企业所得税若干优惠政策的通知》、财税</w:t>
      </w:r>
      <w:r>
        <w:rPr>
          <w:color w:val="000000"/>
          <w:sz w:val="24"/>
        </w:rPr>
        <w:t>[2016]36</w:t>
      </w:r>
      <w:r>
        <w:rPr>
          <w:color w:val="000000"/>
          <w:sz w:val="24"/>
        </w:rPr>
        <w:t>号《关于全面推开营业税改征增值税试点的通知》、财税</w:t>
      </w:r>
      <w:r>
        <w:rPr>
          <w:color w:val="000000"/>
          <w:sz w:val="24"/>
        </w:rPr>
        <w:t>[2016]46</w:t>
      </w:r>
      <w:r>
        <w:rPr>
          <w:color w:val="000000"/>
          <w:sz w:val="24"/>
        </w:rPr>
        <w:t>号《关于进一步明确全面推开营改增试点金融业有关政策的通知》、财税</w:t>
      </w:r>
      <w:r>
        <w:rPr>
          <w:color w:val="000000"/>
          <w:sz w:val="24"/>
        </w:rPr>
        <w:t>[2016]70</w:t>
      </w:r>
      <w:r>
        <w:rPr>
          <w:color w:val="000000"/>
          <w:sz w:val="24"/>
        </w:rPr>
        <w:t>号《关于金融机构同业往来等增值税政策的补充通知》及其他相关财税法规和实务操作，主要税项列示如下：</w:t>
      </w:r>
    </w:p>
    <w:p w:rsidR="007C483C" w:rsidRDefault="007F41B2">
      <w:pPr>
        <w:spacing w:before="29" w:line="288" w:lineRule="auto"/>
        <w:ind w:firstLineChars="200" w:firstLine="480"/>
        <w:rPr>
          <w:color w:val="000000"/>
          <w:sz w:val="24"/>
        </w:rPr>
      </w:pPr>
      <w:r>
        <w:rPr>
          <w:color w:val="000000"/>
          <w:sz w:val="24"/>
        </w:rPr>
        <w:t xml:space="preserve">(1) </w:t>
      </w:r>
      <w:r>
        <w:rPr>
          <w:color w:val="000000"/>
          <w:sz w:val="24"/>
        </w:rPr>
        <w:t>于</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日前，以发行基金方式募集资金不属于营业税征收范围，不征收营业税。对证券投资基金管理人运用基金买卖债券的差价收入免征营业税。自</w:t>
      </w:r>
      <w:r>
        <w:rPr>
          <w:color w:val="000000"/>
          <w:sz w:val="24"/>
        </w:rPr>
        <w:t>2016</w:t>
      </w:r>
      <w:r>
        <w:rPr>
          <w:color w:val="000000"/>
          <w:sz w:val="24"/>
        </w:rPr>
        <w:t>年</w:t>
      </w:r>
      <w:r>
        <w:rPr>
          <w:color w:val="000000"/>
          <w:sz w:val="24"/>
        </w:rPr>
        <w:t>5</w:t>
      </w:r>
      <w:r>
        <w:rPr>
          <w:color w:val="000000"/>
          <w:sz w:val="24"/>
        </w:rPr>
        <w:t>月</w:t>
      </w:r>
      <w:r>
        <w:rPr>
          <w:color w:val="000000"/>
          <w:sz w:val="24"/>
        </w:rPr>
        <w:t>1</w:t>
      </w:r>
      <w:r>
        <w:rPr>
          <w:color w:val="000000"/>
          <w:sz w:val="24"/>
        </w:rPr>
        <w:t>日起，金融业由缴纳营业税改为缴纳增值税。对证券投资基金管理人运用基金买卖债券的转让收入免征增值税，对国债、地方政府债以及金融同业往来利息收入亦免征增值税。</w:t>
      </w:r>
    </w:p>
    <w:p w:rsidR="007C483C" w:rsidRDefault="007F41B2">
      <w:pPr>
        <w:spacing w:before="29" w:line="288" w:lineRule="auto"/>
        <w:ind w:firstLineChars="200" w:firstLine="480"/>
        <w:rPr>
          <w:color w:val="000000"/>
          <w:sz w:val="24"/>
        </w:rPr>
      </w:pPr>
      <w:r>
        <w:rPr>
          <w:color w:val="000000"/>
          <w:sz w:val="24"/>
        </w:rPr>
        <w:t xml:space="preserve">(2) </w:t>
      </w:r>
      <w:r>
        <w:rPr>
          <w:color w:val="000000"/>
          <w:sz w:val="24"/>
        </w:rPr>
        <w:t>对基金从证券市场中取得的收入，包括买卖债券的差价收入，债券的利息收入及其他收入，暂不征收企业所得税。</w:t>
      </w:r>
    </w:p>
    <w:p w:rsidR="001A59F9" w:rsidRPr="002F6772" w:rsidRDefault="001A59F9" w:rsidP="002F6772">
      <w:pPr>
        <w:spacing w:before="29" w:line="288" w:lineRule="auto"/>
        <w:ind w:firstLineChars="200" w:firstLine="480"/>
        <w:rPr>
          <w:color w:val="000000"/>
          <w:sz w:val="24"/>
        </w:rPr>
      </w:pPr>
      <w:r w:rsidRPr="002F6772">
        <w:rPr>
          <w:color w:val="000000"/>
          <w:sz w:val="24"/>
        </w:rPr>
        <w:t xml:space="preserve">(3) </w:t>
      </w:r>
      <w:r w:rsidRPr="002F6772">
        <w:rPr>
          <w:color w:val="000000"/>
          <w:sz w:val="24"/>
        </w:rPr>
        <w:t>对基金取得的企业债券利息收入，应由发行债券的企业在向基金支付利息时代扣代缴</w:t>
      </w:r>
      <w:r w:rsidRPr="002F6772">
        <w:rPr>
          <w:color w:val="000000"/>
          <w:sz w:val="24"/>
        </w:rPr>
        <w:t>20%</w:t>
      </w:r>
      <w:r w:rsidRPr="002F6772">
        <w:rPr>
          <w:color w:val="000000"/>
          <w:sz w:val="24"/>
        </w:rPr>
        <w:t>的个人所得税。</w:t>
      </w:r>
    </w:p>
    <w:p w:rsidR="001A59F9" w:rsidRPr="00C51C77" w:rsidRDefault="001A59F9" w:rsidP="00016A50">
      <w:pPr>
        <w:spacing w:line="360" w:lineRule="auto"/>
        <w:ind w:firstLineChars="200" w:firstLine="420"/>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7.4.7</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关联方关系</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20"/>
        <w:gridCol w:w="3780"/>
      </w:tblGrid>
      <w:tr w:rsidR="001A59F9" w:rsidRPr="00C51C77" w:rsidTr="006D141C">
        <w:tc>
          <w:tcPr>
            <w:tcW w:w="5220" w:type="dxa"/>
          </w:tcPr>
          <w:p w:rsidR="001A59F9" w:rsidRPr="004C38F5" w:rsidRDefault="001A59F9" w:rsidP="004C38F5">
            <w:pPr>
              <w:spacing w:before="29" w:line="288" w:lineRule="auto"/>
              <w:jc w:val="center"/>
              <w:rPr>
                <w:color w:val="000000"/>
                <w:sz w:val="24"/>
              </w:rPr>
            </w:pPr>
            <w:r w:rsidRPr="004C38F5">
              <w:rPr>
                <w:rFonts w:hint="eastAsia"/>
                <w:color w:val="000000"/>
                <w:sz w:val="24"/>
              </w:rPr>
              <w:t>关联方名称</w:t>
            </w:r>
          </w:p>
        </w:tc>
        <w:tc>
          <w:tcPr>
            <w:tcW w:w="3780" w:type="dxa"/>
          </w:tcPr>
          <w:p w:rsidR="001A59F9" w:rsidRPr="004C38F5" w:rsidRDefault="001A59F9" w:rsidP="004C38F5">
            <w:pPr>
              <w:spacing w:before="29" w:line="288" w:lineRule="auto"/>
              <w:jc w:val="center"/>
              <w:rPr>
                <w:color w:val="000000"/>
                <w:sz w:val="24"/>
              </w:rPr>
            </w:pPr>
            <w:r w:rsidRPr="004C38F5">
              <w:rPr>
                <w:rFonts w:hint="eastAsia"/>
                <w:color w:val="000000"/>
                <w:sz w:val="24"/>
              </w:rPr>
              <w:t>与本基金的关系</w:t>
            </w:r>
          </w:p>
        </w:tc>
      </w:tr>
      <w:tr w:rsidR="007C483C">
        <w:tc>
          <w:tcPr>
            <w:tcW w:w="5220" w:type="dxa"/>
            <w:vAlign w:val="center"/>
          </w:tcPr>
          <w:p w:rsidR="007C483C" w:rsidRDefault="007F41B2">
            <w:pPr>
              <w:jc w:val="left"/>
            </w:pPr>
            <w:r>
              <w:rPr>
                <w:color w:val="000000"/>
                <w:sz w:val="24"/>
              </w:rPr>
              <w:t>交银施罗德基金管理有限公司</w:t>
            </w:r>
            <w:r>
              <w:rPr>
                <w:color w:val="000000"/>
                <w:sz w:val="24"/>
              </w:rPr>
              <w:t>(“</w:t>
            </w:r>
            <w:r>
              <w:rPr>
                <w:color w:val="000000"/>
                <w:sz w:val="24"/>
              </w:rPr>
              <w:t>交银施罗德基金公司</w:t>
            </w:r>
            <w:r>
              <w:rPr>
                <w:color w:val="000000"/>
                <w:sz w:val="24"/>
              </w:rPr>
              <w:t>”)</w:t>
            </w:r>
          </w:p>
        </w:tc>
        <w:tc>
          <w:tcPr>
            <w:tcW w:w="3780" w:type="dxa"/>
            <w:vAlign w:val="center"/>
          </w:tcPr>
          <w:p w:rsidR="007C483C" w:rsidRDefault="007F41B2">
            <w:pPr>
              <w:jc w:val="center"/>
            </w:pPr>
            <w:r>
              <w:rPr>
                <w:color w:val="000000"/>
                <w:sz w:val="24"/>
              </w:rPr>
              <w:t>基金管理人、基金销售机构</w:t>
            </w:r>
          </w:p>
        </w:tc>
      </w:tr>
      <w:tr w:rsidR="007C483C">
        <w:tc>
          <w:tcPr>
            <w:tcW w:w="5220" w:type="dxa"/>
            <w:vAlign w:val="center"/>
          </w:tcPr>
          <w:p w:rsidR="007C483C" w:rsidRDefault="007F41B2">
            <w:pPr>
              <w:jc w:val="left"/>
            </w:pPr>
            <w:r>
              <w:rPr>
                <w:color w:val="000000"/>
                <w:sz w:val="24"/>
              </w:rPr>
              <w:t>中信银行股份有限公司</w:t>
            </w:r>
            <w:r>
              <w:rPr>
                <w:color w:val="000000"/>
                <w:sz w:val="24"/>
              </w:rPr>
              <w:t>(“</w:t>
            </w:r>
            <w:r>
              <w:rPr>
                <w:color w:val="000000"/>
                <w:sz w:val="24"/>
              </w:rPr>
              <w:t>中信银行</w:t>
            </w:r>
            <w:r>
              <w:rPr>
                <w:color w:val="000000"/>
                <w:sz w:val="24"/>
              </w:rPr>
              <w:t>”)</w:t>
            </w:r>
          </w:p>
        </w:tc>
        <w:tc>
          <w:tcPr>
            <w:tcW w:w="3780" w:type="dxa"/>
            <w:vAlign w:val="center"/>
          </w:tcPr>
          <w:p w:rsidR="007C483C" w:rsidRDefault="007F41B2">
            <w:pPr>
              <w:jc w:val="center"/>
            </w:pPr>
            <w:r>
              <w:rPr>
                <w:color w:val="000000"/>
                <w:sz w:val="24"/>
              </w:rPr>
              <w:t>基金托管人、基金销售机构</w:t>
            </w:r>
          </w:p>
        </w:tc>
      </w:tr>
      <w:tr w:rsidR="007C483C">
        <w:tc>
          <w:tcPr>
            <w:tcW w:w="5220" w:type="dxa"/>
            <w:vAlign w:val="center"/>
          </w:tcPr>
          <w:p w:rsidR="007C483C" w:rsidRDefault="007F41B2">
            <w:pPr>
              <w:jc w:val="left"/>
            </w:pPr>
            <w:r>
              <w:rPr>
                <w:color w:val="000000"/>
                <w:sz w:val="24"/>
              </w:rPr>
              <w:t>交通银行股份有限公司</w:t>
            </w:r>
            <w:r>
              <w:rPr>
                <w:color w:val="000000"/>
                <w:sz w:val="24"/>
              </w:rPr>
              <w:t>(“</w:t>
            </w:r>
            <w:r>
              <w:rPr>
                <w:color w:val="000000"/>
                <w:sz w:val="24"/>
              </w:rPr>
              <w:t>交通银行</w:t>
            </w:r>
            <w:r>
              <w:rPr>
                <w:color w:val="000000"/>
                <w:sz w:val="24"/>
              </w:rPr>
              <w:t>”)</w:t>
            </w:r>
          </w:p>
        </w:tc>
        <w:tc>
          <w:tcPr>
            <w:tcW w:w="3780" w:type="dxa"/>
            <w:vAlign w:val="center"/>
          </w:tcPr>
          <w:p w:rsidR="007C483C" w:rsidRDefault="007F41B2">
            <w:pPr>
              <w:jc w:val="center"/>
            </w:pPr>
            <w:r>
              <w:rPr>
                <w:color w:val="000000"/>
                <w:sz w:val="24"/>
              </w:rPr>
              <w:t>基金管理人的股东、基金销售机构</w:t>
            </w:r>
          </w:p>
        </w:tc>
      </w:tr>
      <w:tr w:rsidR="007C483C">
        <w:tc>
          <w:tcPr>
            <w:tcW w:w="5220" w:type="dxa"/>
            <w:vAlign w:val="center"/>
          </w:tcPr>
          <w:p w:rsidR="007C483C" w:rsidRDefault="007F41B2">
            <w:pPr>
              <w:jc w:val="left"/>
            </w:pPr>
            <w:r>
              <w:rPr>
                <w:color w:val="000000"/>
                <w:sz w:val="24"/>
              </w:rPr>
              <w:t>施罗德投资管理有限公司</w:t>
            </w:r>
          </w:p>
        </w:tc>
        <w:tc>
          <w:tcPr>
            <w:tcW w:w="3780" w:type="dxa"/>
            <w:vAlign w:val="center"/>
          </w:tcPr>
          <w:p w:rsidR="007C483C" w:rsidRDefault="007F41B2">
            <w:pPr>
              <w:jc w:val="center"/>
            </w:pPr>
            <w:r>
              <w:rPr>
                <w:color w:val="000000"/>
                <w:sz w:val="24"/>
              </w:rPr>
              <w:t>基金管理人的股东</w:t>
            </w:r>
          </w:p>
        </w:tc>
      </w:tr>
      <w:tr w:rsidR="007C483C">
        <w:tc>
          <w:tcPr>
            <w:tcW w:w="5220" w:type="dxa"/>
            <w:vAlign w:val="center"/>
          </w:tcPr>
          <w:p w:rsidR="007C483C" w:rsidRDefault="007F41B2">
            <w:pPr>
              <w:jc w:val="left"/>
            </w:pPr>
            <w:r>
              <w:rPr>
                <w:color w:val="000000"/>
                <w:sz w:val="24"/>
              </w:rPr>
              <w:t>中国国际海运集装箱</w:t>
            </w:r>
            <w:r>
              <w:rPr>
                <w:color w:val="000000"/>
                <w:sz w:val="24"/>
              </w:rPr>
              <w:t>(</w:t>
            </w:r>
            <w:r>
              <w:rPr>
                <w:color w:val="000000"/>
                <w:sz w:val="24"/>
              </w:rPr>
              <w:t>集团</w:t>
            </w:r>
            <w:r>
              <w:rPr>
                <w:color w:val="000000"/>
                <w:sz w:val="24"/>
              </w:rPr>
              <w:t>)</w:t>
            </w:r>
            <w:r>
              <w:rPr>
                <w:color w:val="000000"/>
                <w:sz w:val="24"/>
              </w:rPr>
              <w:t>股份有限公司</w:t>
            </w:r>
          </w:p>
        </w:tc>
        <w:tc>
          <w:tcPr>
            <w:tcW w:w="3780" w:type="dxa"/>
            <w:vAlign w:val="center"/>
          </w:tcPr>
          <w:p w:rsidR="007C483C" w:rsidRDefault="007F41B2">
            <w:pPr>
              <w:jc w:val="center"/>
            </w:pPr>
            <w:r>
              <w:rPr>
                <w:color w:val="000000"/>
                <w:sz w:val="24"/>
              </w:rPr>
              <w:t>基金管理人的股东</w:t>
            </w:r>
          </w:p>
        </w:tc>
      </w:tr>
      <w:tr w:rsidR="007C483C">
        <w:tc>
          <w:tcPr>
            <w:tcW w:w="5220" w:type="dxa"/>
            <w:vAlign w:val="center"/>
          </w:tcPr>
          <w:p w:rsidR="007C483C" w:rsidRDefault="007F41B2">
            <w:pPr>
              <w:jc w:val="left"/>
            </w:pPr>
            <w:r>
              <w:rPr>
                <w:color w:val="000000"/>
                <w:sz w:val="24"/>
              </w:rPr>
              <w:t>交银施罗德资产管理有限公司</w:t>
            </w:r>
          </w:p>
        </w:tc>
        <w:tc>
          <w:tcPr>
            <w:tcW w:w="3780" w:type="dxa"/>
            <w:vAlign w:val="center"/>
          </w:tcPr>
          <w:p w:rsidR="007C483C" w:rsidRDefault="007F41B2">
            <w:pPr>
              <w:jc w:val="center"/>
            </w:pPr>
            <w:r>
              <w:rPr>
                <w:color w:val="000000"/>
                <w:sz w:val="24"/>
              </w:rPr>
              <w:t>基金管理人的子公司</w:t>
            </w:r>
          </w:p>
        </w:tc>
      </w:tr>
      <w:tr w:rsidR="007C483C">
        <w:tc>
          <w:tcPr>
            <w:tcW w:w="5220" w:type="dxa"/>
            <w:vAlign w:val="center"/>
          </w:tcPr>
          <w:p w:rsidR="007C483C" w:rsidRDefault="007F41B2">
            <w:pPr>
              <w:jc w:val="left"/>
            </w:pPr>
            <w:r>
              <w:rPr>
                <w:color w:val="000000"/>
                <w:sz w:val="24"/>
              </w:rPr>
              <w:t>上海直源投资管理有限公司</w:t>
            </w:r>
          </w:p>
        </w:tc>
        <w:tc>
          <w:tcPr>
            <w:tcW w:w="3780" w:type="dxa"/>
            <w:vAlign w:val="center"/>
          </w:tcPr>
          <w:p w:rsidR="007C483C" w:rsidRDefault="007F41B2">
            <w:pPr>
              <w:jc w:val="center"/>
            </w:pPr>
            <w:r>
              <w:rPr>
                <w:color w:val="000000"/>
                <w:sz w:val="24"/>
              </w:rPr>
              <w:t>受基金管理人控制的公司</w:t>
            </w:r>
          </w:p>
        </w:tc>
      </w:tr>
      <w:tr w:rsidR="007C483C">
        <w:tc>
          <w:tcPr>
            <w:tcW w:w="5220" w:type="dxa"/>
            <w:vAlign w:val="center"/>
          </w:tcPr>
          <w:p w:rsidR="007C483C" w:rsidRDefault="007F41B2">
            <w:pPr>
              <w:jc w:val="left"/>
            </w:pPr>
            <w:r>
              <w:rPr>
                <w:color w:val="000000"/>
                <w:sz w:val="24"/>
              </w:rPr>
              <w:t>交烨投资管理</w:t>
            </w:r>
            <w:r>
              <w:rPr>
                <w:color w:val="000000"/>
                <w:sz w:val="24"/>
              </w:rPr>
              <w:t>(</w:t>
            </w:r>
            <w:r>
              <w:rPr>
                <w:color w:val="000000"/>
                <w:sz w:val="24"/>
              </w:rPr>
              <w:t>上海</w:t>
            </w:r>
            <w:r>
              <w:rPr>
                <w:color w:val="000000"/>
                <w:sz w:val="24"/>
              </w:rPr>
              <w:t>)</w:t>
            </w:r>
            <w:r>
              <w:rPr>
                <w:color w:val="000000"/>
                <w:sz w:val="24"/>
              </w:rPr>
              <w:t>有限公司</w:t>
            </w:r>
          </w:p>
        </w:tc>
        <w:tc>
          <w:tcPr>
            <w:tcW w:w="3780" w:type="dxa"/>
            <w:vAlign w:val="center"/>
          </w:tcPr>
          <w:p w:rsidR="007C483C" w:rsidRDefault="007F41B2">
            <w:pPr>
              <w:jc w:val="center"/>
            </w:pPr>
            <w:r>
              <w:rPr>
                <w:color w:val="000000"/>
                <w:sz w:val="24"/>
              </w:rPr>
              <w:t>受基金管理人控制的公司</w:t>
            </w:r>
          </w:p>
        </w:tc>
      </w:tr>
    </w:tbl>
    <w:p w:rsidR="001A59F9" w:rsidRPr="00D508DC" w:rsidRDefault="001A59F9" w:rsidP="00D508DC">
      <w:pPr>
        <w:tabs>
          <w:tab w:val="left" w:pos="426"/>
        </w:tabs>
        <w:spacing w:before="29" w:line="288" w:lineRule="auto"/>
        <w:jc w:val="left"/>
        <w:rPr>
          <w:kern w:val="0"/>
          <w:sz w:val="24"/>
        </w:rPr>
      </w:pPr>
      <w:r w:rsidRPr="00D508DC">
        <w:rPr>
          <w:kern w:val="0"/>
          <w:sz w:val="24"/>
        </w:rPr>
        <w:t>注：下述关联交易均在正常业务范围内按一般商业条款订立。</w:t>
      </w:r>
    </w:p>
    <w:p w:rsidR="001A59F9" w:rsidRPr="00C51C77" w:rsidRDefault="001A59F9" w:rsidP="00026C9C">
      <w:pPr>
        <w:spacing w:line="360" w:lineRule="auto"/>
        <w:rPr>
          <w:rFonts w:asciiTheme="minorEastAsia" w:eastAsiaTheme="minorEastAsia" w:hAnsiTheme="minorEastAsia"/>
          <w:color w:val="000000"/>
          <w:szCs w:val="21"/>
        </w:rPr>
      </w:pPr>
      <w:r w:rsidRPr="00C51C77">
        <w:rPr>
          <w:rFonts w:asciiTheme="minorEastAsia" w:eastAsiaTheme="minorEastAsia" w:hAnsiTheme="minorEastAsia"/>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本报告期及上年度可比期间的关联方交易</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7.4.8.1</w:t>
      </w:r>
      <w:r w:rsidR="004C2C35" w:rsidRPr="00245C29">
        <w:rPr>
          <w:rFonts w:ascii="Times New Roman" w:hAnsi="Times New Roman" w:hint="eastAsia"/>
          <w:kern w:val="0"/>
          <w:szCs w:val="24"/>
        </w:rPr>
        <w:t xml:space="preserve"> </w:t>
      </w:r>
      <w:r w:rsidRPr="00245C29">
        <w:rPr>
          <w:rFonts w:ascii="Times New Roman" w:hAnsi="Times New Roman" w:hint="eastAsia"/>
          <w:kern w:val="0"/>
          <w:szCs w:val="24"/>
        </w:rPr>
        <w:t>通过关联方交易单元进行的交易</w:t>
      </w:r>
    </w:p>
    <w:p w:rsidR="001A59F9" w:rsidRDefault="001A59F9" w:rsidP="002F6772">
      <w:pPr>
        <w:spacing w:before="29" w:line="288" w:lineRule="auto"/>
        <w:ind w:firstLineChars="200" w:firstLine="480"/>
        <w:rPr>
          <w:color w:val="000000"/>
          <w:sz w:val="24"/>
        </w:rPr>
      </w:pPr>
      <w:r w:rsidRPr="002F6772">
        <w:rPr>
          <w:color w:val="000000"/>
          <w:sz w:val="24"/>
        </w:rPr>
        <w:t>本基金本报告期内及上年度可比期间无通过关联方交易单元进行的交易。</w:t>
      </w:r>
    </w:p>
    <w:p w:rsidR="00B64054" w:rsidRPr="002F6772" w:rsidRDefault="00B64054" w:rsidP="002F6772">
      <w:pPr>
        <w:spacing w:before="29" w:line="288" w:lineRule="auto"/>
        <w:ind w:firstLineChars="200" w:firstLine="480"/>
        <w:rPr>
          <w:color w:val="00000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7.4.8.2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关联方报酬</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基金管理费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0F5396">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当期发生的基金应支付的管理费</w:t>
            </w:r>
          </w:p>
        </w:tc>
        <w:tc>
          <w:tcPr>
            <w:tcW w:w="2657" w:type="dxa"/>
            <w:vAlign w:val="center"/>
          </w:tcPr>
          <w:p w:rsidR="001A59F9" w:rsidRPr="00924183" w:rsidRDefault="001A59F9" w:rsidP="00924183">
            <w:pPr>
              <w:spacing w:before="29" w:line="288" w:lineRule="auto"/>
              <w:jc w:val="right"/>
              <w:rPr>
                <w:sz w:val="24"/>
              </w:rPr>
            </w:pPr>
            <w:r w:rsidRPr="00924183">
              <w:rPr>
                <w:sz w:val="24"/>
              </w:rPr>
              <w:t>3,094,715.99</w:t>
            </w:r>
          </w:p>
        </w:tc>
        <w:tc>
          <w:tcPr>
            <w:tcW w:w="2657" w:type="dxa"/>
            <w:vAlign w:val="center"/>
          </w:tcPr>
          <w:p w:rsidR="001A59F9" w:rsidRPr="00924183" w:rsidRDefault="001A59F9" w:rsidP="00924183">
            <w:pPr>
              <w:spacing w:before="29" w:line="288" w:lineRule="auto"/>
              <w:jc w:val="right"/>
              <w:rPr>
                <w:sz w:val="24"/>
              </w:rPr>
            </w:pPr>
            <w:r w:rsidRPr="00924183">
              <w:rPr>
                <w:sz w:val="24"/>
              </w:rPr>
              <w:t>3,568,241.20</w:t>
            </w:r>
          </w:p>
        </w:tc>
      </w:tr>
      <w:tr w:rsidR="001A59F9" w:rsidRPr="00C51C77" w:rsidTr="00C657A6">
        <w:tc>
          <w:tcPr>
            <w:tcW w:w="3686" w:type="dxa"/>
            <w:vAlign w:val="center"/>
          </w:tcPr>
          <w:p w:rsidR="001A59F9" w:rsidRPr="009B5359" w:rsidRDefault="001A59F9" w:rsidP="009B5359">
            <w:pPr>
              <w:spacing w:before="29" w:line="288" w:lineRule="auto"/>
              <w:rPr>
                <w:sz w:val="24"/>
              </w:rPr>
            </w:pPr>
            <w:r w:rsidRPr="009B5359">
              <w:rPr>
                <w:rFonts w:hint="eastAsia"/>
                <w:sz w:val="24"/>
              </w:rPr>
              <w:t>其中：支付销售机构的客户维护费</w:t>
            </w:r>
          </w:p>
        </w:tc>
        <w:tc>
          <w:tcPr>
            <w:tcW w:w="2657" w:type="dxa"/>
            <w:vAlign w:val="center"/>
          </w:tcPr>
          <w:p w:rsidR="001A59F9" w:rsidRPr="00924183" w:rsidRDefault="001A59F9" w:rsidP="00924183">
            <w:pPr>
              <w:spacing w:before="29" w:line="288" w:lineRule="auto"/>
              <w:jc w:val="right"/>
              <w:rPr>
                <w:sz w:val="24"/>
              </w:rPr>
            </w:pPr>
            <w:r w:rsidRPr="00924183">
              <w:rPr>
                <w:sz w:val="24"/>
              </w:rPr>
              <w:t>1,569,062.63</w:t>
            </w:r>
          </w:p>
        </w:tc>
        <w:tc>
          <w:tcPr>
            <w:tcW w:w="2657" w:type="dxa"/>
            <w:vAlign w:val="center"/>
          </w:tcPr>
          <w:p w:rsidR="001A59F9" w:rsidRPr="00924183" w:rsidRDefault="001A59F9" w:rsidP="00924183">
            <w:pPr>
              <w:spacing w:before="29" w:line="288" w:lineRule="auto"/>
              <w:jc w:val="right"/>
              <w:rPr>
                <w:sz w:val="24"/>
              </w:rPr>
            </w:pPr>
            <w:r w:rsidRPr="00924183">
              <w:rPr>
                <w:sz w:val="24"/>
              </w:rPr>
              <w:t>1,812,235.03</w:t>
            </w:r>
          </w:p>
        </w:tc>
      </w:tr>
    </w:tbl>
    <w:p w:rsidR="007C483C" w:rsidRDefault="007F41B2">
      <w:pPr>
        <w:tabs>
          <w:tab w:val="left" w:pos="426"/>
        </w:tabs>
        <w:spacing w:before="29" w:line="288" w:lineRule="auto"/>
        <w:jc w:val="left"/>
        <w:rPr>
          <w:rFonts w:asciiTheme="minorEastAsia" w:eastAsiaTheme="minorEastAsia" w:hAnsiTheme="minorEastAsia" w:cs="宋体"/>
          <w:kern w:val="0"/>
          <w:szCs w:val="21"/>
        </w:rPr>
      </w:pPr>
      <w:r>
        <w:rPr>
          <w:kern w:val="0"/>
          <w:sz w:val="24"/>
        </w:rPr>
        <w:t>注：支付基金管理人的管理人报酬按前一日基金资产净值</w:t>
      </w:r>
      <w:r>
        <w:rPr>
          <w:kern w:val="0"/>
          <w:sz w:val="24"/>
        </w:rPr>
        <w:t>0.80%</w:t>
      </w:r>
      <w:r>
        <w:rPr>
          <w:kern w:val="0"/>
          <w:sz w:val="24"/>
        </w:rPr>
        <w:t>的年费率计提，逐日累计至每月月底，按月支付。其计算公式为：</w:t>
      </w:r>
    </w:p>
    <w:p w:rsidR="001A59F9" w:rsidRPr="00C51C77" w:rsidRDefault="001A59F9" w:rsidP="008C0DD5">
      <w:pPr>
        <w:tabs>
          <w:tab w:val="left" w:pos="426"/>
        </w:tabs>
        <w:spacing w:before="29" w:line="288" w:lineRule="auto"/>
        <w:jc w:val="left"/>
        <w:rPr>
          <w:rFonts w:asciiTheme="minorEastAsia" w:eastAsiaTheme="minorEastAsia" w:hAnsiTheme="minorEastAsia" w:cs="宋体"/>
          <w:kern w:val="0"/>
          <w:szCs w:val="21"/>
        </w:rPr>
      </w:pPr>
      <w:r w:rsidRPr="008C0DD5">
        <w:rPr>
          <w:kern w:val="0"/>
          <w:sz w:val="24"/>
        </w:rPr>
        <w:t>日管理人报酬＝前一日基金资产净值</w:t>
      </w:r>
      <w:r w:rsidRPr="008C0DD5">
        <w:rPr>
          <w:kern w:val="0"/>
          <w:sz w:val="24"/>
        </w:rPr>
        <w:t>×0.80%÷</w:t>
      </w:r>
      <w:r w:rsidRPr="008C0DD5">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7.4.8.2.2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基金托管费</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686"/>
        <w:gridCol w:w="2657"/>
        <w:gridCol w:w="2657"/>
      </w:tblGrid>
      <w:tr w:rsidR="001A59F9" w:rsidRPr="00C51C77" w:rsidTr="005B1208">
        <w:tc>
          <w:tcPr>
            <w:tcW w:w="3686" w:type="dxa"/>
            <w:vAlign w:val="center"/>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项目</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本期</w:t>
            </w:r>
          </w:p>
          <w:p w:rsidR="001A59F9" w:rsidRPr="002C6C89" w:rsidRDefault="00F64FAD"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2017</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w:t>
            </w:r>
            <w:r w:rsidR="001A59F9" w:rsidRPr="002C6C89">
              <w:rPr>
                <w:rFonts w:hint="eastAsia"/>
                <w:bCs/>
                <w:color w:val="000000"/>
                <w:sz w:val="24"/>
              </w:rPr>
              <w:t>至</w:t>
            </w:r>
            <w:r w:rsidRPr="002C6C89">
              <w:rPr>
                <w:bCs/>
                <w:color w:val="000000"/>
                <w:sz w:val="24"/>
              </w:rPr>
              <w:t>2017</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c>
          <w:tcPr>
            <w:tcW w:w="2657" w:type="dxa"/>
          </w:tcPr>
          <w:p w:rsidR="001A59F9" w:rsidRPr="002C6C89" w:rsidRDefault="001A59F9" w:rsidP="002C6C89">
            <w:pPr>
              <w:autoSpaceDE w:val="0"/>
              <w:autoSpaceDN w:val="0"/>
              <w:spacing w:before="29" w:line="288" w:lineRule="auto"/>
              <w:jc w:val="center"/>
              <w:textAlignment w:val="bottom"/>
              <w:rPr>
                <w:bCs/>
                <w:color w:val="000000"/>
                <w:sz w:val="24"/>
              </w:rPr>
            </w:pPr>
            <w:r w:rsidRPr="002C6C89">
              <w:rPr>
                <w:rFonts w:hint="eastAsia"/>
                <w:bCs/>
                <w:color w:val="000000"/>
                <w:sz w:val="24"/>
              </w:rPr>
              <w:t>上年度可比期间</w:t>
            </w:r>
          </w:p>
          <w:p w:rsidR="001A59F9" w:rsidRPr="002C6C89" w:rsidRDefault="007F35DC" w:rsidP="002C6C89">
            <w:pPr>
              <w:widowControl/>
              <w:autoSpaceDE w:val="0"/>
              <w:autoSpaceDN w:val="0"/>
              <w:spacing w:before="29" w:line="288" w:lineRule="auto"/>
              <w:ind w:right="-15"/>
              <w:jc w:val="center"/>
              <w:textAlignment w:val="bottom"/>
              <w:rPr>
                <w:bCs/>
                <w:color w:val="000000"/>
                <w:sz w:val="24"/>
              </w:rPr>
            </w:pPr>
            <w:r w:rsidRPr="002C6C89">
              <w:rPr>
                <w:bCs/>
                <w:color w:val="000000"/>
                <w:sz w:val="24"/>
              </w:rPr>
              <w:t>2016</w:t>
            </w:r>
            <w:r w:rsidRPr="002C6C89">
              <w:rPr>
                <w:bCs/>
                <w:color w:val="000000"/>
                <w:sz w:val="24"/>
              </w:rPr>
              <w:t>年</w:t>
            </w:r>
            <w:r w:rsidRPr="002C6C89">
              <w:rPr>
                <w:bCs/>
                <w:color w:val="000000"/>
                <w:sz w:val="24"/>
              </w:rPr>
              <w:t>1</w:t>
            </w:r>
            <w:r w:rsidRPr="002C6C89">
              <w:rPr>
                <w:bCs/>
                <w:color w:val="000000"/>
                <w:sz w:val="24"/>
              </w:rPr>
              <w:t>月</w:t>
            </w:r>
            <w:r w:rsidRPr="002C6C89">
              <w:rPr>
                <w:bCs/>
                <w:color w:val="000000"/>
                <w:sz w:val="24"/>
              </w:rPr>
              <w:t>1</w:t>
            </w:r>
            <w:r w:rsidRPr="002C6C89">
              <w:rPr>
                <w:bCs/>
                <w:color w:val="000000"/>
                <w:sz w:val="24"/>
              </w:rPr>
              <w:t>日至</w:t>
            </w:r>
            <w:r w:rsidRPr="002C6C89">
              <w:rPr>
                <w:bCs/>
                <w:color w:val="000000"/>
                <w:sz w:val="24"/>
              </w:rPr>
              <w:t>2016</w:t>
            </w:r>
            <w:r w:rsidRPr="002C6C89">
              <w:rPr>
                <w:bCs/>
                <w:color w:val="000000"/>
                <w:sz w:val="24"/>
              </w:rPr>
              <w:t>年</w:t>
            </w:r>
            <w:r w:rsidRPr="002C6C89">
              <w:rPr>
                <w:bCs/>
                <w:color w:val="000000"/>
                <w:sz w:val="24"/>
              </w:rPr>
              <w:t>12</w:t>
            </w:r>
            <w:r w:rsidRPr="002C6C89">
              <w:rPr>
                <w:bCs/>
                <w:color w:val="000000"/>
                <w:sz w:val="24"/>
              </w:rPr>
              <w:t>月</w:t>
            </w:r>
            <w:r w:rsidRPr="002C6C89">
              <w:rPr>
                <w:bCs/>
                <w:color w:val="000000"/>
                <w:sz w:val="24"/>
              </w:rPr>
              <w:t>31</w:t>
            </w:r>
            <w:r w:rsidRPr="002C6C89">
              <w:rPr>
                <w:bCs/>
                <w:color w:val="000000"/>
                <w:sz w:val="24"/>
              </w:rPr>
              <w:t>日</w:t>
            </w:r>
          </w:p>
        </w:tc>
      </w:tr>
      <w:tr w:rsidR="001A59F9" w:rsidRPr="00C51C77" w:rsidTr="005B1208">
        <w:tc>
          <w:tcPr>
            <w:tcW w:w="3686" w:type="dxa"/>
            <w:vAlign w:val="center"/>
          </w:tcPr>
          <w:p w:rsidR="001A59F9" w:rsidRPr="00C51C77" w:rsidRDefault="001A59F9" w:rsidP="00026C9C">
            <w:pPr>
              <w:spacing w:line="360" w:lineRule="auto"/>
              <w:rPr>
                <w:rFonts w:asciiTheme="minorEastAsia" w:eastAsiaTheme="minorEastAsia" w:hAnsiTheme="minorEastAsia"/>
                <w:color w:val="000000"/>
                <w:szCs w:val="21"/>
              </w:rPr>
            </w:pPr>
            <w:r w:rsidRPr="00243BD8">
              <w:rPr>
                <w:rFonts w:hint="eastAsia"/>
                <w:sz w:val="24"/>
              </w:rPr>
              <w:t>当期发生的基金应支付的托管费</w:t>
            </w:r>
          </w:p>
        </w:tc>
        <w:tc>
          <w:tcPr>
            <w:tcW w:w="2657" w:type="dxa"/>
            <w:vAlign w:val="center"/>
          </w:tcPr>
          <w:p w:rsidR="001A59F9" w:rsidRPr="00243BD8" w:rsidRDefault="001A59F9" w:rsidP="00243BD8">
            <w:pPr>
              <w:spacing w:before="29" w:line="288" w:lineRule="auto"/>
              <w:jc w:val="right"/>
              <w:rPr>
                <w:sz w:val="24"/>
              </w:rPr>
            </w:pPr>
            <w:r w:rsidRPr="00243BD8">
              <w:rPr>
                <w:sz w:val="24"/>
              </w:rPr>
              <w:t>580,259.26</w:t>
            </w:r>
          </w:p>
        </w:tc>
        <w:tc>
          <w:tcPr>
            <w:tcW w:w="2657" w:type="dxa"/>
            <w:vAlign w:val="center"/>
          </w:tcPr>
          <w:p w:rsidR="001A59F9" w:rsidRPr="00243BD8" w:rsidRDefault="001A59F9" w:rsidP="00243BD8">
            <w:pPr>
              <w:spacing w:before="29" w:line="288" w:lineRule="auto"/>
              <w:jc w:val="right"/>
              <w:rPr>
                <w:sz w:val="24"/>
              </w:rPr>
            </w:pPr>
            <w:r w:rsidRPr="00243BD8">
              <w:rPr>
                <w:sz w:val="24"/>
              </w:rPr>
              <w:t>669,045.18</w:t>
            </w:r>
          </w:p>
        </w:tc>
      </w:tr>
    </w:tbl>
    <w:p w:rsidR="007C483C" w:rsidRDefault="007F41B2">
      <w:pPr>
        <w:tabs>
          <w:tab w:val="left" w:pos="426"/>
        </w:tabs>
        <w:spacing w:before="29" w:line="288" w:lineRule="auto"/>
        <w:jc w:val="left"/>
        <w:rPr>
          <w:kern w:val="0"/>
          <w:sz w:val="24"/>
        </w:rPr>
      </w:pPr>
      <w:r>
        <w:rPr>
          <w:kern w:val="0"/>
          <w:sz w:val="24"/>
        </w:rPr>
        <w:t>注：支付基金托管人的托管费按前一日基金资产净值</w:t>
      </w:r>
      <w:r>
        <w:rPr>
          <w:kern w:val="0"/>
          <w:sz w:val="24"/>
        </w:rPr>
        <w:t>0.15%</w:t>
      </w:r>
      <w:r>
        <w:rPr>
          <w:kern w:val="0"/>
          <w:sz w:val="24"/>
        </w:rPr>
        <w:t>的年费率计提，逐日累计至每月月底，按月支付。其计算公式为：</w:t>
      </w:r>
    </w:p>
    <w:p w:rsidR="001A59F9" w:rsidRPr="00243BD8" w:rsidRDefault="001A59F9" w:rsidP="00243BD8">
      <w:pPr>
        <w:tabs>
          <w:tab w:val="left" w:pos="426"/>
        </w:tabs>
        <w:spacing w:before="29" w:line="288" w:lineRule="auto"/>
        <w:jc w:val="left"/>
        <w:rPr>
          <w:kern w:val="0"/>
          <w:sz w:val="24"/>
        </w:rPr>
      </w:pPr>
      <w:r w:rsidRPr="00243BD8">
        <w:rPr>
          <w:kern w:val="0"/>
          <w:sz w:val="24"/>
        </w:rPr>
        <w:t>日托管费＝前一日基金资产净值</w:t>
      </w:r>
      <w:r w:rsidRPr="00243BD8">
        <w:rPr>
          <w:kern w:val="0"/>
          <w:sz w:val="24"/>
        </w:rPr>
        <w:t>×0.15%÷</w:t>
      </w:r>
      <w:r w:rsidRPr="00243BD8">
        <w:rPr>
          <w:kern w:val="0"/>
          <w:sz w:val="24"/>
        </w:rPr>
        <w:t>当年天数。</w:t>
      </w:r>
    </w:p>
    <w:p w:rsidR="001A59F9" w:rsidRPr="00C51C77" w:rsidRDefault="001A59F9" w:rsidP="00026C9C">
      <w:pPr>
        <w:spacing w:line="360" w:lineRule="auto"/>
        <w:rPr>
          <w:rFonts w:asciiTheme="minorEastAsia" w:eastAsiaTheme="minorEastAsia" w:hAnsiTheme="minorEastAsia"/>
          <w:color w:val="000000"/>
          <w:szCs w:val="21"/>
        </w:rPr>
      </w:pPr>
    </w:p>
    <w:p w:rsidR="00A1158C" w:rsidRPr="00A1158C" w:rsidRDefault="001A59F9" w:rsidP="00A1158C">
      <w:pPr>
        <w:pStyle w:val="20"/>
        <w:spacing w:before="29" w:after="0" w:line="288" w:lineRule="auto"/>
        <w:rPr>
          <w:rFonts w:ascii="Times New Roman" w:hAnsi="Times New Roman"/>
          <w:kern w:val="0"/>
          <w:szCs w:val="24"/>
        </w:rPr>
      </w:pPr>
      <w:r w:rsidRPr="00245C29">
        <w:rPr>
          <w:rFonts w:ascii="Times New Roman" w:hAnsi="Times New Roman"/>
          <w:kern w:val="0"/>
          <w:szCs w:val="24"/>
        </w:rPr>
        <w:t>7.4.8.2.3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销售服务费</w:t>
      </w:r>
    </w:p>
    <w:p w:rsidR="000A1B00" w:rsidRPr="005C4CA2" w:rsidRDefault="000A1B00" w:rsidP="000A1B00">
      <w:pPr>
        <w:autoSpaceDE w:val="0"/>
        <w:autoSpaceDN w:val="0"/>
        <w:adjustRightInd w:val="0"/>
        <w:spacing w:before="29" w:line="288" w:lineRule="auto"/>
        <w:ind w:left="15"/>
        <w:jc w:val="right"/>
        <w:rPr>
          <w:bCs/>
          <w:color w:val="000000"/>
          <w:sz w:val="24"/>
        </w:rPr>
      </w:pPr>
      <w:r w:rsidRPr="005C4CA2">
        <w:rPr>
          <w:bCs/>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26"/>
        <w:gridCol w:w="6172"/>
      </w:tblGrid>
      <w:tr w:rsidR="000A1B00" w:rsidRPr="00E54D6D" w:rsidTr="00A311D3">
        <w:tc>
          <w:tcPr>
            <w:tcW w:w="2821" w:type="dxa"/>
            <w:vMerge w:val="restart"/>
            <w:tcBorders>
              <w:top w:val="single" w:sz="4" w:space="0" w:color="000000"/>
              <w:left w:val="single" w:sz="4" w:space="0" w:color="000000"/>
              <w:right w:val="single" w:sz="4" w:space="0" w:color="000000"/>
            </w:tcBorders>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获得销售服务费的各关联方名称</w:t>
            </w:r>
          </w:p>
        </w:tc>
        <w:tc>
          <w:tcPr>
            <w:tcW w:w="6161" w:type="dxa"/>
            <w:tcBorders>
              <w:top w:val="single" w:sz="4" w:space="0" w:color="000000"/>
              <w:left w:val="single" w:sz="4" w:space="0" w:color="000000"/>
              <w:bottom w:val="single" w:sz="4" w:space="0" w:color="000000"/>
              <w:right w:val="single" w:sz="4" w:space="0" w:color="000000"/>
            </w:tcBorders>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本期</w:t>
            </w:r>
          </w:p>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2017</w:t>
            </w:r>
            <w:r w:rsidRPr="00EE65F8">
              <w:rPr>
                <w:color w:val="000000"/>
                <w:sz w:val="24"/>
              </w:rPr>
              <w:t>年</w:t>
            </w:r>
            <w:r w:rsidRPr="00EE65F8">
              <w:rPr>
                <w:color w:val="000000"/>
                <w:sz w:val="24"/>
              </w:rPr>
              <w:t>1</w:t>
            </w:r>
            <w:r w:rsidRPr="00EE65F8">
              <w:rPr>
                <w:color w:val="000000"/>
                <w:sz w:val="24"/>
              </w:rPr>
              <w:t>月</w:t>
            </w:r>
            <w:r w:rsidRPr="00EE65F8">
              <w:rPr>
                <w:color w:val="000000"/>
                <w:sz w:val="24"/>
              </w:rPr>
              <w:t>1</w:t>
            </w:r>
            <w:r w:rsidRPr="00EE65F8">
              <w:rPr>
                <w:color w:val="000000"/>
                <w:sz w:val="24"/>
              </w:rPr>
              <w:t>日至</w:t>
            </w:r>
            <w:r w:rsidRPr="00EE65F8">
              <w:rPr>
                <w:color w:val="000000"/>
                <w:sz w:val="24"/>
              </w:rPr>
              <w:t>2017</w:t>
            </w:r>
            <w:r w:rsidRPr="00EE65F8">
              <w:rPr>
                <w:color w:val="000000"/>
                <w:sz w:val="24"/>
              </w:rPr>
              <w:t>年</w:t>
            </w:r>
            <w:r w:rsidRPr="00EE65F8">
              <w:rPr>
                <w:color w:val="000000"/>
                <w:sz w:val="24"/>
              </w:rPr>
              <w:t>12</w:t>
            </w:r>
            <w:r w:rsidRPr="00EE65F8">
              <w:rPr>
                <w:color w:val="000000"/>
                <w:sz w:val="24"/>
              </w:rPr>
              <w:t>月</w:t>
            </w:r>
            <w:r w:rsidRPr="00EE65F8">
              <w:rPr>
                <w:color w:val="000000"/>
                <w:sz w:val="24"/>
              </w:rPr>
              <w:t>31</w:t>
            </w:r>
            <w:r w:rsidRPr="00EE65F8">
              <w:rPr>
                <w:color w:val="000000"/>
                <w:sz w:val="24"/>
              </w:rPr>
              <w:t>日</w:t>
            </w:r>
          </w:p>
        </w:tc>
      </w:tr>
      <w:tr w:rsidR="000A1B00" w:rsidRPr="00E54D6D" w:rsidTr="00A311D3">
        <w:tc>
          <w:tcPr>
            <w:tcW w:w="2821" w:type="dxa"/>
            <w:vMerge/>
            <w:tcBorders>
              <w:left w:val="single" w:sz="4" w:space="0" w:color="000000"/>
              <w:bottom w:val="single" w:sz="4" w:space="0" w:color="000000"/>
              <w:right w:val="single" w:sz="4" w:space="0" w:color="000000"/>
            </w:tcBorders>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p>
        </w:tc>
        <w:tc>
          <w:tcPr>
            <w:tcW w:w="6161" w:type="dxa"/>
            <w:tcBorders>
              <w:top w:val="single" w:sz="4" w:space="0" w:color="000000"/>
              <w:left w:val="single" w:sz="4" w:space="0" w:color="000000"/>
              <w:bottom w:val="single" w:sz="4" w:space="0" w:color="000000"/>
              <w:right w:val="single" w:sz="4" w:space="0" w:color="000000"/>
            </w:tcBorders>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当期发生的基金应支付的销售服务费</w:t>
            </w:r>
          </w:p>
        </w:tc>
      </w:tr>
      <w:tr w:rsidR="007C483C">
        <w:tc>
          <w:tcPr>
            <w:tcW w:w="2826" w:type="dxa"/>
            <w:vAlign w:val="center"/>
          </w:tcPr>
          <w:p w:rsidR="007C483C" w:rsidRDefault="007F41B2">
            <w:pPr>
              <w:jc w:val="left"/>
            </w:pPr>
            <w:r>
              <w:rPr>
                <w:sz w:val="24"/>
              </w:rPr>
              <w:t>中信银行</w:t>
            </w:r>
          </w:p>
        </w:tc>
        <w:tc>
          <w:tcPr>
            <w:tcW w:w="6172" w:type="dxa"/>
            <w:vAlign w:val="center"/>
          </w:tcPr>
          <w:p w:rsidR="007C483C" w:rsidRDefault="007F41B2">
            <w:pPr>
              <w:jc w:val="right"/>
            </w:pPr>
            <w:r>
              <w:rPr>
                <w:sz w:val="24"/>
              </w:rPr>
              <w:t>21,425.84</w:t>
            </w:r>
          </w:p>
        </w:tc>
      </w:tr>
      <w:tr w:rsidR="007C483C">
        <w:tc>
          <w:tcPr>
            <w:tcW w:w="2826" w:type="dxa"/>
            <w:vAlign w:val="center"/>
          </w:tcPr>
          <w:p w:rsidR="007C483C" w:rsidRDefault="007F41B2">
            <w:pPr>
              <w:jc w:val="left"/>
            </w:pPr>
            <w:r>
              <w:rPr>
                <w:sz w:val="24"/>
              </w:rPr>
              <w:t>交通银行</w:t>
            </w:r>
          </w:p>
        </w:tc>
        <w:tc>
          <w:tcPr>
            <w:tcW w:w="6172" w:type="dxa"/>
            <w:vAlign w:val="center"/>
          </w:tcPr>
          <w:p w:rsidR="007C483C" w:rsidRDefault="007F41B2">
            <w:pPr>
              <w:jc w:val="right"/>
            </w:pPr>
            <w:r>
              <w:rPr>
                <w:sz w:val="24"/>
              </w:rPr>
              <w:t>373,715.81</w:t>
            </w:r>
          </w:p>
        </w:tc>
      </w:tr>
      <w:tr w:rsidR="007C483C">
        <w:tc>
          <w:tcPr>
            <w:tcW w:w="2826" w:type="dxa"/>
            <w:vAlign w:val="center"/>
          </w:tcPr>
          <w:p w:rsidR="007C483C" w:rsidRDefault="007F41B2">
            <w:pPr>
              <w:jc w:val="left"/>
            </w:pPr>
            <w:r>
              <w:rPr>
                <w:sz w:val="24"/>
              </w:rPr>
              <w:t>交银施罗德基金公司</w:t>
            </w:r>
          </w:p>
        </w:tc>
        <w:tc>
          <w:tcPr>
            <w:tcW w:w="6172" w:type="dxa"/>
            <w:vAlign w:val="center"/>
          </w:tcPr>
          <w:p w:rsidR="007C483C" w:rsidRDefault="007F41B2">
            <w:pPr>
              <w:jc w:val="right"/>
            </w:pPr>
            <w:r>
              <w:rPr>
                <w:sz w:val="24"/>
              </w:rPr>
              <w:t>4,519.47</w:t>
            </w:r>
          </w:p>
        </w:tc>
      </w:tr>
      <w:tr w:rsidR="000A1B00" w:rsidRPr="00E54D6D" w:rsidTr="00A311D3">
        <w:tc>
          <w:tcPr>
            <w:tcW w:w="2821" w:type="dxa"/>
            <w:vAlign w:val="center"/>
          </w:tcPr>
          <w:p w:rsidR="000A1B00" w:rsidRPr="006E2BD3" w:rsidRDefault="000A1B00" w:rsidP="00A311D3">
            <w:pPr>
              <w:widowControl/>
              <w:autoSpaceDE w:val="0"/>
              <w:autoSpaceDN w:val="0"/>
              <w:spacing w:before="29" w:line="288" w:lineRule="auto"/>
              <w:ind w:right="-15"/>
              <w:jc w:val="center"/>
              <w:textAlignment w:val="bottom"/>
              <w:rPr>
                <w:color w:val="000000"/>
                <w:sz w:val="24"/>
              </w:rPr>
            </w:pPr>
            <w:r w:rsidRPr="006E2BD3">
              <w:rPr>
                <w:color w:val="000000"/>
                <w:sz w:val="24"/>
              </w:rPr>
              <w:t>合计</w:t>
            </w:r>
          </w:p>
        </w:tc>
        <w:tc>
          <w:tcPr>
            <w:tcW w:w="6161" w:type="dxa"/>
          </w:tcPr>
          <w:p w:rsidR="000A1B00" w:rsidRPr="006E2BD3" w:rsidRDefault="000A1B00" w:rsidP="00A311D3">
            <w:pPr>
              <w:widowControl/>
              <w:autoSpaceDE w:val="0"/>
              <w:autoSpaceDN w:val="0"/>
              <w:spacing w:before="29" w:line="288" w:lineRule="auto"/>
              <w:ind w:right="-15"/>
              <w:jc w:val="center"/>
              <w:textAlignment w:val="bottom"/>
              <w:rPr>
                <w:color w:val="000000"/>
                <w:sz w:val="24"/>
              </w:rPr>
            </w:pPr>
            <w:r w:rsidRPr="006E2BD3">
              <w:rPr>
                <w:color w:val="000000"/>
                <w:sz w:val="24"/>
              </w:rPr>
              <w:t>399,661.12</w:t>
            </w:r>
          </w:p>
        </w:tc>
      </w:tr>
      <w:tr w:rsidR="000A1B00" w:rsidRPr="00E54D6D" w:rsidTr="00A311D3">
        <w:tc>
          <w:tcPr>
            <w:tcW w:w="2821" w:type="dxa"/>
            <w:vMerge w:val="restart"/>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获得销售服务费的各关联方名称</w:t>
            </w:r>
          </w:p>
        </w:tc>
        <w:tc>
          <w:tcPr>
            <w:tcW w:w="6161" w:type="dxa"/>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上年度可比期间</w:t>
            </w:r>
          </w:p>
          <w:p w:rsidR="000A1B00" w:rsidRPr="00EE65F8" w:rsidRDefault="000A1B00" w:rsidP="00A311D3">
            <w:pPr>
              <w:widowControl/>
              <w:autoSpaceDE w:val="0"/>
              <w:autoSpaceDN w:val="0"/>
              <w:spacing w:before="29" w:line="288" w:lineRule="auto"/>
              <w:ind w:right="-15"/>
              <w:jc w:val="center"/>
              <w:textAlignment w:val="bottom"/>
              <w:rPr>
                <w:color w:val="000000"/>
                <w:sz w:val="24"/>
              </w:rPr>
            </w:pPr>
            <w:r w:rsidRPr="00EE65F8">
              <w:rPr>
                <w:color w:val="000000"/>
                <w:sz w:val="24"/>
              </w:rPr>
              <w:t>2016</w:t>
            </w:r>
            <w:r w:rsidRPr="00EE65F8">
              <w:rPr>
                <w:color w:val="000000"/>
                <w:sz w:val="24"/>
              </w:rPr>
              <w:t>年</w:t>
            </w:r>
            <w:r w:rsidRPr="00EE65F8">
              <w:rPr>
                <w:color w:val="000000"/>
                <w:sz w:val="24"/>
              </w:rPr>
              <w:t>1</w:t>
            </w:r>
            <w:r w:rsidRPr="00EE65F8">
              <w:rPr>
                <w:color w:val="000000"/>
                <w:sz w:val="24"/>
              </w:rPr>
              <w:t>月</w:t>
            </w:r>
            <w:r w:rsidRPr="00EE65F8">
              <w:rPr>
                <w:color w:val="000000"/>
                <w:sz w:val="24"/>
              </w:rPr>
              <w:t>1</w:t>
            </w:r>
            <w:r w:rsidRPr="00EE65F8">
              <w:rPr>
                <w:color w:val="000000"/>
                <w:sz w:val="24"/>
              </w:rPr>
              <w:t>日至</w:t>
            </w:r>
            <w:r w:rsidRPr="00EE65F8">
              <w:rPr>
                <w:color w:val="000000"/>
                <w:sz w:val="24"/>
              </w:rPr>
              <w:t>2016</w:t>
            </w:r>
            <w:r w:rsidRPr="00EE65F8">
              <w:rPr>
                <w:color w:val="000000"/>
                <w:sz w:val="24"/>
              </w:rPr>
              <w:t>年</w:t>
            </w:r>
            <w:r w:rsidRPr="00EE65F8">
              <w:rPr>
                <w:color w:val="000000"/>
                <w:sz w:val="24"/>
              </w:rPr>
              <w:t>12</w:t>
            </w:r>
            <w:r w:rsidRPr="00EE65F8">
              <w:rPr>
                <w:color w:val="000000"/>
                <w:sz w:val="24"/>
              </w:rPr>
              <w:t>月</w:t>
            </w:r>
            <w:r w:rsidRPr="00EE65F8">
              <w:rPr>
                <w:color w:val="000000"/>
                <w:sz w:val="24"/>
              </w:rPr>
              <w:t>31</w:t>
            </w:r>
            <w:r w:rsidRPr="00EE65F8">
              <w:rPr>
                <w:color w:val="000000"/>
                <w:sz w:val="24"/>
              </w:rPr>
              <w:t>日</w:t>
            </w:r>
          </w:p>
        </w:tc>
      </w:tr>
      <w:tr w:rsidR="000A1B00" w:rsidRPr="00E54D6D" w:rsidTr="00A311D3">
        <w:tc>
          <w:tcPr>
            <w:tcW w:w="2821" w:type="dxa"/>
            <w:vMerge/>
            <w:vAlign w:val="center"/>
          </w:tcPr>
          <w:p w:rsidR="000A1B00" w:rsidRPr="00EE65F8" w:rsidRDefault="000A1B00" w:rsidP="00A311D3">
            <w:pPr>
              <w:widowControl/>
              <w:autoSpaceDE w:val="0"/>
              <w:autoSpaceDN w:val="0"/>
              <w:spacing w:before="29" w:line="288" w:lineRule="auto"/>
              <w:ind w:right="-15"/>
              <w:jc w:val="center"/>
              <w:textAlignment w:val="bottom"/>
              <w:rPr>
                <w:color w:val="000000"/>
                <w:sz w:val="24"/>
              </w:rPr>
            </w:pPr>
          </w:p>
        </w:tc>
        <w:tc>
          <w:tcPr>
            <w:tcW w:w="6161" w:type="dxa"/>
            <w:vAlign w:val="center"/>
          </w:tcPr>
          <w:p w:rsidR="000A1B00" w:rsidRPr="00EE65F8" w:rsidRDefault="000A1B00" w:rsidP="00A311D3">
            <w:pPr>
              <w:autoSpaceDE w:val="0"/>
              <w:autoSpaceDN w:val="0"/>
              <w:spacing w:before="29" w:line="288" w:lineRule="auto"/>
              <w:ind w:right="-15"/>
              <w:jc w:val="center"/>
              <w:textAlignment w:val="bottom"/>
              <w:rPr>
                <w:color w:val="000000"/>
                <w:sz w:val="24"/>
              </w:rPr>
            </w:pPr>
            <w:r w:rsidRPr="00EE65F8">
              <w:rPr>
                <w:color w:val="000000"/>
                <w:sz w:val="24"/>
              </w:rPr>
              <w:t>当期发生的基金应支付的销售服务费</w:t>
            </w:r>
          </w:p>
        </w:tc>
      </w:tr>
      <w:tr w:rsidR="007C483C">
        <w:tc>
          <w:tcPr>
            <w:tcW w:w="2826" w:type="dxa"/>
            <w:vAlign w:val="center"/>
          </w:tcPr>
          <w:p w:rsidR="007C483C" w:rsidRDefault="007F41B2">
            <w:pPr>
              <w:jc w:val="left"/>
            </w:pPr>
            <w:r>
              <w:rPr>
                <w:sz w:val="24"/>
              </w:rPr>
              <w:lastRenderedPageBreak/>
              <w:t>中信银行</w:t>
            </w:r>
          </w:p>
        </w:tc>
        <w:tc>
          <w:tcPr>
            <w:tcW w:w="6172" w:type="dxa"/>
            <w:vAlign w:val="center"/>
          </w:tcPr>
          <w:p w:rsidR="007C483C" w:rsidRDefault="007F41B2">
            <w:pPr>
              <w:jc w:val="right"/>
            </w:pPr>
            <w:r>
              <w:rPr>
                <w:sz w:val="24"/>
              </w:rPr>
              <w:t>22,690.86</w:t>
            </w:r>
          </w:p>
        </w:tc>
      </w:tr>
      <w:tr w:rsidR="007C483C">
        <w:tc>
          <w:tcPr>
            <w:tcW w:w="2826" w:type="dxa"/>
            <w:vAlign w:val="center"/>
          </w:tcPr>
          <w:p w:rsidR="007C483C" w:rsidRDefault="007F41B2">
            <w:pPr>
              <w:jc w:val="left"/>
            </w:pPr>
            <w:r>
              <w:rPr>
                <w:sz w:val="24"/>
              </w:rPr>
              <w:t>交通银行</w:t>
            </w:r>
          </w:p>
        </w:tc>
        <w:tc>
          <w:tcPr>
            <w:tcW w:w="6172" w:type="dxa"/>
            <w:vAlign w:val="center"/>
          </w:tcPr>
          <w:p w:rsidR="007C483C" w:rsidRDefault="007F41B2">
            <w:pPr>
              <w:jc w:val="right"/>
            </w:pPr>
            <w:r>
              <w:rPr>
                <w:sz w:val="24"/>
              </w:rPr>
              <w:t>419,400.32</w:t>
            </w:r>
          </w:p>
        </w:tc>
      </w:tr>
      <w:tr w:rsidR="007C483C">
        <w:tc>
          <w:tcPr>
            <w:tcW w:w="2826" w:type="dxa"/>
            <w:vAlign w:val="center"/>
          </w:tcPr>
          <w:p w:rsidR="007C483C" w:rsidRDefault="007F41B2">
            <w:pPr>
              <w:jc w:val="left"/>
            </w:pPr>
            <w:r>
              <w:rPr>
                <w:sz w:val="24"/>
              </w:rPr>
              <w:t>交银施罗德基金公司</w:t>
            </w:r>
          </w:p>
        </w:tc>
        <w:tc>
          <w:tcPr>
            <w:tcW w:w="6172" w:type="dxa"/>
            <w:vAlign w:val="center"/>
          </w:tcPr>
          <w:p w:rsidR="007C483C" w:rsidRDefault="007F41B2">
            <w:pPr>
              <w:jc w:val="right"/>
            </w:pPr>
            <w:r>
              <w:rPr>
                <w:sz w:val="24"/>
              </w:rPr>
              <w:t>5,269.36</w:t>
            </w:r>
          </w:p>
        </w:tc>
      </w:tr>
      <w:tr w:rsidR="000A1B00" w:rsidRPr="00E54D6D" w:rsidTr="00A311D3">
        <w:tc>
          <w:tcPr>
            <w:tcW w:w="2821" w:type="dxa"/>
            <w:vAlign w:val="center"/>
          </w:tcPr>
          <w:p w:rsidR="000A1B00" w:rsidRPr="006E2BD3" w:rsidRDefault="000A1B00" w:rsidP="00A311D3">
            <w:pPr>
              <w:widowControl/>
              <w:autoSpaceDE w:val="0"/>
              <w:autoSpaceDN w:val="0"/>
              <w:spacing w:before="29" w:line="288" w:lineRule="auto"/>
              <w:ind w:right="-15"/>
              <w:jc w:val="center"/>
              <w:textAlignment w:val="bottom"/>
              <w:rPr>
                <w:color w:val="000000"/>
                <w:sz w:val="24"/>
              </w:rPr>
            </w:pPr>
            <w:r w:rsidRPr="006E2BD3">
              <w:rPr>
                <w:color w:val="000000"/>
                <w:sz w:val="24"/>
              </w:rPr>
              <w:t>合计</w:t>
            </w:r>
          </w:p>
        </w:tc>
        <w:tc>
          <w:tcPr>
            <w:tcW w:w="6161" w:type="dxa"/>
            <w:vAlign w:val="center"/>
          </w:tcPr>
          <w:p w:rsidR="000A1B00" w:rsidRPr="006E2BD3" w:rsidRDefault="000A1B00" w:rsidP="00A311D3">
            <w:pPr>
              <w:widowControl/>
              <w:autoSpaceDE w:val="0"/>
              <w:autoSpaceDN w:val="0"/>
              <w:spacing w:before="29" w:line="288" w:lineRule="auto"/>
              <w:ind w:right="-15"/>
              <w:jc w:val="center"/>
              <w:textAlignment w:val="bottom"/>
              <w:rPr>
                <w:color w:val="000000"/>
                <w:sz w:val="24"/>
              </w:rPr>
            </w:pPr>
            <w:r w:rsidRPr="006E2BD3">
              <w:rPr>
                <w:color w:val="000000"/>
                <w:sz w:val="24"/>
              </w:rPr>
              <w:t>447,360.54</w:t>
            </w:r>
          </w:p>
        </w:tc>
      </w:tr>
    </w:tbl>
    <w:p w:rsidR="007C483C" w:rsidRDefault="007F41B2">
      <w:pPr>
        <w:tabs>
          <w:tab w:val="left" w:pos="426"/>
        </w:tabs>
        <w:spacing w:before="29" w:line="288" w:lineRule="auto"/>
        <w:jc w:val="left"/>
        <w:rPr>
          <w:kern w:val="0"/>
          <w:sz w:val="24"/>
        </w:rPr>
      </w:pPr>
      <w:r>
        <w:rPr>
          <w:kern w:val="0"/>
          <w:sz w:val="24"/>
        </w:rPr>
        <w:t>注：支付基金销售机构的基金销售服务费按前一日</w:t>
      </w:r>
      <w:r>
        <w:rPr>
          <w:kern w:val="0"/>
          <w:sz w:val="24"/>
        </w:rPr>
        <w:t>C</w:t>
      </w:r>
      <w:r>
        <w:rPr>
          <w:kern w:val="0"/>
          <w:sz w:val="24"/>
        </w:rPr>
        <w:t>类基金份额对应的基金资产净值</w:t>
      </w:r>
      <w:r>
        <w:rPr>
          <w:kern w:val="0"/>
          <w:sz w:val="24"/>
        </w:rPr>
        <w:t>0.6%</w:t>
      </w:r>
      <w:r>
        <w:rPr>
          <w:kern w:val="0"/>
          <w:sz w:val="24"/>
        </w:rPr>
        <w:t>的年费率计提，逐日累计至每月月底，按月支付给基金管理人，再由基金管理人计算并支付给各基金销售机构。其计算公式为：</w:t>
      </w:r>
    </w:p>
    <w:p w:rsidR="000A1B00" w:rsidRPr="00846E38" w:rsidRDefault="000A1B00" w:rsidP="000A1B00">
      <w:pPr>
        <w:tabs>
          <w:tab w:val="left" w:pos="426"/>
        </w:tabs>
        <w:spacing w:before="29" w:line="288" w:lineRule="auto"/>
        <w:jc w:val="left"/>
        <w:rPr>
          <w:kern w:val="0"/>
          <w:sz w:val="24"/>
        </w:rPr>
      </w:pPr>
      <w:r w:rsidRPr="00846E38">
        <w:rPr>
          <w:kern w:val="0"/>
          <w:sz w:val="24"/>
        </w:rPr>
        <w:t>日基金销售服务费＝前一日</w:t>
      </w:r>
      <w:r w:rsidRPr="00846E38">
        <w:rPr>
          <w:kern w:val="0"/>
          <w:sz w:val="24"/>
        </w:rPr>
        <w:t>C</w:t>
      </w:r>
      <w:r w:rsidRPr="00846E38">
        <w:rPr>
          <w:kern w:val="0"/>
          <w:sz w:val="24"/>
        </w:rPr>
        <w:t>类基金份额对应的资产净值</w:t>
      </w:r>
      <w:r w:rsidRPr="00846E38">
        <w:rPr>
          <w:kern w:val="0"/>
          <w:sz w:val="24"/>
        </w:rPr>
        <w:t xml:space="preserve">×0.6%÷ </w:t>
      </w:r>
      <w:r w:rsidRPr="00846E38">
        <w:rPr>
          <w:kern w:val="0"/>
          <w:sz w:val="24"/>
        </w:rPr>
        <w:t>当年天数。</w:t>
      </w:r>
    </w:p>
    <w:p w:rsidR="001A59F9" w:rsidRPr="00E90075" w:rsidRDefault="001A59F9" w:rsidP="00E90075">
      <w:pPr>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7.4.8.3</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与关联方进行银行间同业市场的债券</w:t>
      </w:r>
      <w:r w:rsidRPr="00245C29">
        <w:rPr>
          <w:rFonts w:ascii="Times New Roman" w:hAnsi="Times New Roman"/>
          <w:kern w:val="0"/>
          <w:szCs w:val="24"/>
        </w:rPr>
        <w:t>(</w:t>
      </w:r>
      <w:r w:rsidRPr="00245C29">
        <w:rPr>
          <w:rFonts w:ascii="Times New Roman" w:hAnsi="Times New Roman" w:hint="eastAsia"/>
          <w:kern w:val="0"/>
          <w:szCs w:val="24"/>
        </w:rPr>
        <w:t>含回购</w:t>
      </w:r>
      <w:r w:rsidRPr="00245C29">
        <w:rPr>
          <w:rFonts w:ascii="Times New Roman" w:hAnsi="Times New Roman"/>
          <w:kern w:val="0"/>
          <w:szCs w:val="24"/>
        </w:rPr>
        <w:t>)</w:t>
      </w:r>
      <w:r w:rsidRPr="00245C29">
        <w:rPr>
          <w:rFonts w:ascii="Times New Roman" w:hAnsi="Times New Roman" w:hint="eastAsia"/>
          <w:kern w:val="0"/>
          <w:szCs w:val="24"/>
        </w:rPr>
        <w:t>交易</w:t>
      </w:r>
    </w:p>
    <w:p w:rsidR="003828F5" w:rsidRPr="007113D5" w:rsidRDefault="003828F5" w:rsidP="007113D5">
      <w:pPr>
        <w:tabs>
          <w:tab w:val="left" w:pos="426"/>
        </w:tabs>
        <w:spacing w:before="29" w:line="288" w:lineRule="auto"/>
        <w:jc w:val="left"/>
        <w:rPr>
          <w:kern w:val="0"/>
          <w:sz w:val="24"/>
        </w:rPr>
      </w:pPr>
      <w:r w:rsidRPr="007113D5">
        <w:rPr>
          <w:kern w:val="0"/>
          <w:sz w:val="24"/>
        </w:rPr>
        <w:t>本基金本报告期内及上年度可比期间未与关联方进行银行间同业市场的债券</w:t>
      </w:r>
      <w:r w:rsidRPr="007113D5">
        <w:rPr>
          <w:kern w:val="0"/>
          <w:sz w:val="24"/>
        </w:rPr>
        <w:t>(</w:t>
      </w:r>
      <w:r w:rsidRPr="007113D5">
        <w:rPr>
          <w:kern w:val="0"/>
          <w:sz w:val="24"/>
        </w:rPr>
        <w:t>含回购</w:t>
      </w:r>
      <w:r w:rsidRPr="007113D5">
        <w:rPr>
          <w:kern w:val="0"/>
          <w:sz w:val="24"/>
        </w:rPr>
        <w:t>)</w:t>
      </w:r>
      <w:r w:rsidRPr="007113D5">
        <w:rPr>
          <w:kern w:val="0"/>
          <w:sz w:val="24"/>
        </w:rPr>
        <w:t>交易。</w:t>
      </w:r>
    </w:p>
    <w:p w:rsidR="001A59F9" w:rsidRPr="003828F5"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各关联方投资本基金的情况</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7.4.8.4.1</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报告期内基金管理人运用固有资金投资本基金的情况</w:t>
      </w:r>
    </w:p>
    <w:p w:rsidR="001A59F9" w:rsidRPr="004D23E7" w:rsidRDefault="001A59F9" w:rsidP="004D23E7">
      <w:pPr>
        <w:tabs>
          <w:tab w:val="left" w:pos="426"/>
        </w:tabs>
        <w:spacing w:before="29" w:line="288" w:lineRule="auto"/>
        <w:jc w:val="left"/>
        <w:rPr>
          <w:kern w:val="0"/>
          <w:sz w:val="24"/>
        </w:rPr>
      </w:pPr>
      <w:r w:rsidRPr="004D23E7">
        <w:rPr>
          <w:kern w:val="0"/>
          <w:sz w:val="24"/>
        </w:rPr>
        <w:t>本报告期内及上年度可比期间未发生基金管理人运用固有资金投资本基金的情况</w:t>
      </w:r>
    </w:p>
    <w:p w:rsidR="001A59F9" w:rsidRPr="00C51C77" w:rsidRDefault="001A59F9" w:rsidP="00026C9C">
      <w:pPr>
        <w:adjustRightInd w:val="0"/>
        <w:snapToGrid w:val="0"/>
        <w:spacing w:line="360" w:lineRule="auto"/>
        <w:jc w:val="left"/>
        <w:rPr>
          <w:rFonts w:asciiTheme="minorEastAsia" w:eastAsiaTheme="minorEastAsia" w:hAnsiTheme="minorEastAsia"/>
          <w:bCs/>
          <w:color w:val="000000"/>
          <w:szCs w:val="21"/>
        </w:rPr>
      </w:pPr>
      <w:r w:rsidRPr="00C51C77">
        <w:rPr>
          <w:rFonts w:asciiTheme="minorEastAsia" w:eastAsiaTheme="minorEastAsia" w:hAnsiTheme="minorEastAsia"/>
          <w:bCs/>
          <w:color w:val="000000"/>
          <w:szCs w:val="21"/>
        </w:rPr>
        <w:tab/>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7.4.8.4.2</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报告期末除基金管理人之外的其他关联方投资本基金的情况</w:t>
      </w:r>
    </w:p>
    <w:p w:rsidR="00E6117A" w:rsidRPr="00BF4BF3" w:rsidRDefault="00E6117A" w:rsidP="00BF4BF3">
      <w:pPr>
        <w:tabs>
          <w:tab w:val="left" w:pos="426"/>
        </w:tabs>
        <w:spacing w:before="29" w:line="288" w:lineRule="auto"/>
        <w:jc w:val="left"/>
        <w:rPr>
          <w:kern w:val="0"/>
          <w:sz w:val="24"/>
        </w:rPr>
      </w:pPr>
      <w:r w:rsidRPr="00BF4BF3">
        <w:rPr>
          <w:kern w:val="0"/>
          <w:sz w:val="24"/>
        </w:rPr>
        <w:t>本报告期末及上年度末除基金管理人之外的其他关联方未持有本基金。</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7.4.8.5</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由关联方保管的银行存款余额及当期产生的利息收入</w:t>
      </w:r>
    </w:p>
    <w:p w:rsidR="001A59F9" w:rsidRPr="005F72CF" w:rsidRDefault="001A59F9" w:rsidP="005F72CF">
      <w:pPr>
        <w:autoSpaceDE w:val="0"/>
        <w:autoSpaceDN w:val="0"/>
        <w:adjustRightInd w:val="0"/>
        <w:spacing w:before="29" w:line="288" w:lineRule="auto"/>
        <w:ind w:left="15"/>
        <w:jc w:val="right"/>
        <w:rPr>
          <w:color w:val="000000"/>
          <w:sz w:val="24"/>
        </w:rPr>
      </w:pPr>
      <w:r w:rsidRPr="005F72CF">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1"/>
        <w:gridCol w:w="1985"/>
        <w:gridCol w:w="1701"/>
        <w:gridCol w:w="1843"/>
        <w:gridCol w:w="1768"/>
      </w:tblGrid>
      <w:tr w:rsidR="00360905" w:rsidRPr="00456CA2" w:rsidTr="00963ACF">
        <w:tc>
          <w:tcPr>
            <w:tcW w:w="1701" w:type="dxa"/>
            <w:vMerge w:val="restart"/>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关联方名称</w:t>
            </w:r>
          </w:p>
        </w:tc>
        <w:tc>
          <w:tcPr>
            <w:tcW w:w="3686"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本期</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2017</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w:t>
            </w:r>
            <w:r w:rsidRPr="00456CA2">
              <w:rPr>
                <w:rFonts w:hint="eastAsia"/>
                <w:color w:val="000000"/>
                <w:szCs w:val="21"/>
              </w:rPr>
              <w:t>至</w:t>
            </w:r>
            <w:r w:rsidRPr="00456CA2">
              <w:rPr>
                <w:color w:val="000000"/>
                <w:szCs w:val="21"/>
              </w:rPr>
              <w:t>2017</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c>
          <w:tcPr>
            <w:tcW w:w="3611" w:type="dxa"/>
            <w:gridSpan w:val="2"/>
          </w:tcPr>
          <w:p w:rsidR="00360905" w:rsidRPr="00456CA2" w:rsidRDefault="00360905" w:rsidP="00C27E4C">
            <w:pPr>
              <w:spacing w:before="29" w:line="288" w:lineRule="auto"/>
              <w:jc w:val="center"/>
              <w:rPr>
                <w:color w:val="000000"/>
                <w:szCs w:val="21"/>
              </w:rPr>
            </w:pPr>
            <w:r w:rsidRPr="00456CA2">
              <w:rPr>
                <w:rFonts w:hint="eastAsia"/>
                <w:color w:val="000000"/>
                <w:szCs w:val="21"/>
              </w:rPr>
              <w:t>上年度可比期间</w:t>
            </w:r>
          </w:p>
          <w:p w:rsidR="00360905" w:rsidRPr="00456CA2" w:rsidRDefault="00360905" w:rsidP="00C27E4C">
            <w:pPr>
              <w:widowControl/>
              <w:autoSpaceDE w:val="0"/>
              <w:autoSpaceDN w:val="0"/>
              <w:spacing w:before="29" w:line="288" w:lineRule="auto"/>
              <w:ind w:right="-15"/>
              <w:jc w:val="center"/>
              <w:textAlignment w:val="bottom"/>
              <w:rPr>
                <w:color w:val="000000"/>
                <w:szCs w:val="21"/>
              </w:rPr>
            </w:pPr>
            <w:r w:rsidRPr="00456CA2">
              <w:rPr>
                <w:color w:val="000000"/>
                <w:szCs w:val="21"/>
              </w:rPr>
              <w:t>2016</w:t>
            </w:r>
            <w:r w:rsidRPr="00456CA2">
              <w:rPr>
                <w:color w:val="000000"/>
                <w:szCs w:val="21"/>
              </w:rPr>
              <w:t>年</w:t>
            </w:r>
            <w:r w:rsidRPr="00456CA2">
              <w:rPr>
                <w:color w:val="000000"/>
                <w:szCs w:val="21"/>
              </w:rPr>
              <w:t>1</w:t>
            </w:r>
            <w:r w:rsidRPr="00456CA2">
              <w:rPr>
                <w:color w:val="000000"/>
                <w:szCs w:val="21"/>
              </w:rPr>
              <w:t>月</w:t>
            </w:r>
            <w:r w:rsidRPr="00456CA2">
              <w:rPr>
                <w:color w:val="000000"/>
                <w:szCs w:val="21"/>
              </w:rPr>
              <w:t>1</w:t>
            </w:r>
            <w:r w:rsidRPr="00456CA2">
              <w:rPr>
                <w:color w:val="000000"/>
                <w:szCs w:val="21"/>
              </w:rPr>
              <w:t>日至</w:t>
            </w:r>
            <w:r w:rsidRPr="00456CA2">
              <w:rPr>
                <w:color w:val="000000"/>
                <w:szCs w:val="21"/>
              </w:rPr>
              <w:t>2016</w:t>
            </w:r>
            <w:r w:rsidRPr="00456CA2">
              <w:rPr>
                <w:color w:val="000000"/>
                <w:szCs w:val="21"/>
              </w:rPr>
              <w:t>年</w:t>
            </w:r>
            <w:r w:rsidRPr="00456CA2">
              <w:rPr>
                <w:color w:val="000000"/>
                <w:szCs w:val="21"/>
              </w:rPr>
              <w:t>12</w:t>
            </w:r>
            <w:r w:rsidRPr="00456CA2">
              <w:rPr>
                <w:color w:val="000000"/>
                <w:szCs w:val="21"/>
              </w:rPr>
              <w:t>月</w:t>
            </w:r>
            <w:r w:rsidRPr="00456CA2">
              <w:rPr>
                <w:color w:val="000000"/>
                <w:szCs w:val="21"/>
              </w:rPr>
              <w:t>31</w:t>
            </w:r>
            <w:r w:rsidRPr="00456CA2">
              <w:rPr>
                <w:color w:val="000000"/>
                <w:szCs w:val="21"/>
              </w:rPr>
              <w:t>日</w:t>
            </w:r>
          </w:p>
        </w:tc>
      </w:tr>
      <w:tr w:rsidR="00360905" w:rsidRPr="00456CA2" w:rsidTr="00E42C09">
        <w:tc>
          <w:tcPr>
            <w:tcW w:w="1701" w:type="dxa"/>
            <w:vMerge/>
            <w:vAlign w:val="center"/>
          </w:tcPr>
          <w:p w:rsidR="00360905" w:rsidRPr="00456CA2" w:rsidRDefault="00360905" w:rsidP="00C27E4C">
            <w:pPr>
              <w:spacing w:before="29" w:line="288" w:lineRule="auto"/>
              <w:jc w:val="center"/>
              <w:rPr>
                <w:color w:val="000000"/>
                <w:szCs w:val="21"/>
              </w:rPr>
            </w:pPr>
          </w:p>
        </w:tc>
        <w:tc>
          <w:tcPr>
            <w:tcW w:w="1985"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01"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c>
          <w:tcPr>
            <w:tcW w:w="1843"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期末余额</w:t>
            </w:r>
          </w:p>
        </w:tc>
        <w:tc>
          <w:tcPr>
            <w:tcW w:w="1768" w:type="dxa"/>
            <w:vAlign w:val="center"/>
          </w:tcPr>
          <w:p w:rsidR="00360905" w:rsidRPr="00456CA2" w:rsidRDefault="00360905" w:rsidP="00C27E4C">
            <w:pPr>
              <w:spacing w:before="29" w:line="288" w:lineRule="auto"/>
              <w:jc w:val="center"/>
              <w:rPr>
                <w:color w:val="000000"/>
                <w:szCs w:val="21"/>
              </w:rPr>
            </w:pPr>
            <w:r w:rsidRPr="00456CA2">
              <w:rPr>
                <w:rFonts w:hint="eastAsia"/>
                <w:color w:val="000000"/>
                <w:szCs w:val="21"/>
              </w:rPr>
              <w:t>当期利息收入</w:t>
            </w:r>
          </w:p>
        </w:tc>
      </w:tr>
      <w:tr w:rsidR="007C483C">
        <w:tc>
          <w:tcPr>
            <w:tcW w:w="1701" w:type="dxa"/>
            <w:vAlign w:val="center"/>
          </w:tcPr>
          <w:p w:rsidR="007C483C" w:rsidRDefault="007F41B2">
            <w:pPr>
              <w:jc w:val="left"/>
            </w:pPr>
            <w:r>
              <w:rPr>
                <w:color w:val="000000"/>
                <w:szCs w:val="21"/>
              </w:rPr>
              <w:t>中信银行</w:t>
            </w:r>
          </w:p>
        </w:tc>
        <w:tc>
          <w:tcPr>
            <w:tcW w:w="1985" w:type="dxa"/>
            <w:vAlign w:val="center"/>
          </w:tcPr>
          <w:p w:rsidR="007C483C" w:rsidRDefault="007F41B2">
            <w:pPr>
              <w:jc w:val="right"/>
            </w:pPr>
            <w:r>
              <w:rPr>
                <w:color w:val="000000"/>
                <w:szCs w:val="21"/>
              </w:rPr>
              <w:t>522,281.43</w:t>
            </w:r>
          </w:p>
        </w:tc>
        <w:tc>
          <w:tcPr>
            <w:tcW w:w="1701" w:type="dxa"/>
            <w:vAlign w:val="center"/>
          </w:tcPr>
          <w:p w:rsidR="007C483C" w:rsidRDefault="007F41B2">
            <w:pPr>
              <w:jc w:val="right"/>
            </w:pPr>
            <w:r>
              <w:rPr>
                <w:color w:val="000000"/>
                <w:szCs w:val="21"/>
              </w:rPr>
              <w:t>53,774.93</w:t>
            </w:r>
          </w:p>
        </w:tc>
        <w:tc>
          <w:tcPr>
            <w:tcW w:w="1843" w:type="dxa"/>
            <w:vAlign w:val="center"/>
          </w:tcPr>
          <w:p w:rsidR="007C483C" w:rsidRDefault="007F41B2">
            <w:pPr>
              <w:jc w:val="right"/>
            </w:pPr>
            <w:r>
              <w:rPr>
                <w:color w:val="000000"/>
                <w:szCs w:val="21"/>
              </w:rPr>
              <w:t>3,394,086.10</w:t>
            </w:r>
          </w:p>
        </w:tc>
        <w:tc>
          <w:tcPr>
            <w:tcW w:w="1768" w:type="dxa"/>
            <w:vAlign w:val="center"/>
          </w:tcPr>
          <w:p w:rsidR="007C483C" w:rsidRDefault="007F41B2">
            <w:pPr>
              <w:jc w:val="right"/>
            </w:pPr>
            <w:r>
              <w:rPr>
                <w:color w:val="000000"/>
                <w:szCs w:val="21"/>
              </w:rPr>
              <w:t>107,549.60</w:t>
            </w:r>
          </w:p>
        </w:tc>
      </w:tr>
    </w:tbl>
    <w:p w:rsidR="00360905" w:rsidRPr="008E1883" w:rsidRDefault="00360905" w:rsidP="008E1883">
      <w:pPr>
        <w:tabs>
          <w:tab w:val="left" w:pos="426"/>
        </w:tabs>
        <w:spacing w:before="29" w:line="288" w:lineRule="auto"/>
        <w:jc w:val="left"/>
        <w:rPr>
          <w:kern w:val="0"/>
          <w:sz w:val="24"/>
        </w:rPr>
      </w:pPr>
      <w:r w:rsidRPr="008E1883">
        <w:rPr>
          <w:kern w:val="0"/>
          <w:sz w:val="24"/>
        </w:rPr>
        <w:t>注：本基金的银行存款由基金托管人保管，按银行同业利率计息。</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7.4.8.6</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本基金在承销期内参与关联方承销证券的情况</w:t>
      </w:r>
    </w:p>
    <w:p w:rsidR="0010598A" w:rsidRPr="00A22283" w:rsidRDefault="0010598A" w:rsidP="00A22283">
      <w:pPr>
        <w:tabs>
          <w:tab w:val="left" w:pos="426"/>
        </w:tabs>
        <w:spacing w:before="29" w:line="288" w:lineRule="auto"/>
        <w:jc w:val="left"/>
        <w:rPr>
          <w:kern w:val="0"/>
          <w:sz w:val="24"/>
        </w:rPr>
      </w:pPr>
      <w:r w:rsidRPr="00A22283">
        <w:rPr>
          <w:kern w:val="0"/>
          <w:sz w:val="24"/>
        </w:rPr>
        <w:t>本基金本报告期内及上年度可比期间未在承销期内参与关联方承销的证券。</w:t>
      </w:r>
    </w:p>
    <w:p w:rsidR="001A59F9" w:rsidRPr="0010598A" w:rsidRDefault="001A59F9" w:rsidP="00026C9C">
      <w:pPr>
        <w:adjustRightInd w:val="0"/>
        <w:snapToGrid w:val="0"/>
        <w:spacing w:line="360" w:lineRule="auto"/>
        <w:jc w:val="left"/>
        <w:rPr>
          <w:rFonts w:asciiTheme="minorEastAsia" w:eastAsiaTheme="minorEastAsia" w:hAnsiTheme="minorEastAsia"/>
          <w:bCs/>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7.4.8.7</w:t>
      </w:r>
      <w:r w:rsidR="002637E8" w:rsidRPr="00245C29">
        <w:rPr>
          <w:rFonts w:ascii="Times New Roman" w:hAnsi="Times New Roman" w:hint="eastAsia"/>
          <w:kern w:val="0"/>
          <w:szCs w:val="24"/>
        </w:rPr>
        <w:t xml:space="preserve"> </w:t>
      </w:r>
      <w:r w:rsidRPr="00245C29">
        <w:rPr>
          <w:rFonts w:ascii="Times New Roman" w:hAnsi="Times New Roman" w:hint="eastAsia"/>
          <w:kern w:val="0"/>
          <w:szCs w:val="24"/>
        </w:rPr>
        <w:t>其他关联交易事项的说明</w:t>
      </w:r>
    </w:p>
    <w:p w:rsidR="001A59F9" w:rsidRPr="00A22283" w:rsidRDefault="001A59F9" w:rsidP="00A22283">
      <w:pPr>
        <w:spacing w:before="29" w:line="288" w:lineRule="auto"/>
        <w:rPr>
          <w:color w:val="000000"/>
          <w:sz w:val="24"/>
        </w:rPr>
      </w:pPr>
      <w:r w:rsidRPr="00A22283">
        <w:rPr>
          <w:color w:val="000000"/>
          <w:sz w:val="24"/>
        </w:rPr>
        <w:t>本基金本报告期内及上年度可比期间无其他关联交易事项。</w:t>
      </w:r>
    </w:p>
    <w:p w:rsidR="001A59F9" w:rsidRPr="00C51C77" w:rsidRDefault="001A59F9" w:rsidP="00016A50">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lastRenderedPageBreak/>
        <w:t>7.4.9</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w:t>
      </w:r>
      <w:r w:rsidR="00F64FAD" w:rsidRPr="00245C29">
        <w:rPr>
          <w:rFonts w:ascii="Times New Roman" w:hAnsi="Times New Roman"/>
          <w:kern w:val="0"/>
          <w:szCs w:val="24"/>
        </w:rPr>
        <w:t>2017</w:t>
      </w:r>
      <w:r w:rsidR="00F64FAD" w:rsidRPr="00245C29">
        <w:rPr>
          <w:rFonts w:ascii="Times New Roman" w:hAnsi="Times New Roman"/>
          <w:kern w:val="0"/>
          <w:szCs w:val="24"/>
        </w:rPr>
        <w:t>年</w:t>
      </w:r>
      <w:r w:rsidR="00F64FAD" w:rsidRPr="00245C29">
        <w:rPr>
          <w:rFonts w:ascii="Times New Roman" w:hAnsi="Times New Roman"/>
          <w:kern w:val="0"/>
          <w:szCs w:val="24"/>
        </w:rPr>
        <w:t>12</w:t>
      </w:r>
      <w:r w:rsidR="00F64FAD" w:rsidRPr="00245C29">
        <w:rPr>
          <w:rFonts w:ascii="Times New Roman" w:hAnsi="Times New Roman"/>
          <w:kern w:val="0"/>
          <w:szCs w:val="24"/>
        </w:rPr>
        <w:t>月</w:t>
      </w:r>
      <w:r w:rsidR="00F64FAD" w:rsidRPr="00245C29">
        <w:rPr>
          <w:rFonts w:ascii="Times New Roman" w:hAnsi="Times New Roman"/>
          <w:kern w:val="0"/>
          <w:szCs w:val="24"/>
        </w:rPr>
        <w:t>31</w:t>
      </w:r>
      <w:r w:rsidR="00F64FAD" w:rsidRPr="00245C29">
        <w:rPr>
          <w:rFonts w:ascii="Times New Roman" w:hAnsi="Times New Roman"/>
          <w:kern w:val="0"/>
          <w:szCs w:val="24"/>
        </w:rPr>
        <w:t>日</w:t>
      </w:r>
      <w:r w:rsidRPr="00245C29">
        <w:rPr>
          <w:rFonts w:ascii="Times New Roman" w:hAnsi="Times New Roman" w:hint="eastAsia"/>
          <w:kern w:val="0"/>
          <w:szCs w:val="24"/>
        </w:rPr>
        <w:t>）本基金持有的流通受限证券</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7.4.9.1</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因认购新发</w:t>
      </w:r>
      <w:r w:rsidRPr="00245C29">
        <w:rPr>
          <w:rFonts w:ascii="Times New Roman" w:hAnsi="Times New Roman"/>
          <w:kern w:val="0"/>
          <w:szCs w:val="24"/>
        </w:rPr>
        <w:t>/</w:t>
      </w:r>
      <w:r w:rsidRPr="00245C29">
        <w:rPr>
          <w:rFonts w:ascii="Times New Roman" w:hAnsi="Times New Roman" w:hint="eastAsia"/>
          <w:kern w:val="0"/>
          <w:szCs w:val="24"/>
        </w:rPr>
        <w:t>增发证券而于期末持有的流通受限证券</w:t>
      </w:r>
    </w:p>
    <w:p w:rsidR="001A59F9" w:rsidRPr="00C840DF" w:rsidRDefault="001A59F9" w:rsidP="00C840DF">
      <w:pPr>
        <w:tabs>
          <w:tab w:val="left" w:pos="426"/>
        </w:tabs>
        <w:spacing w:before="29" w:line="288" w:lineRule="auto"/>
        <w:jc w:val="left"/>
        <w:rPr>
          <w:kern w:val="0"/>
          <w:sz w:val="24"/>
        </w:rPr>
      </w:pPr>
      <w:r w:rsidRPr="00C840DF">
        <w:rPr>
          <w:kern w:val="0"/>
          <w:sz w:val="24"/>
        </w:rPr>
        <w:t>本基金本报告期末未持有因认购新发</w:t>
      </w:r>
      <w:r w:rsidRPr="00C840DF">
        <w:rPr>
          <w:kern w:val="0"/>
          <w:sz w:val="24"/>
        </w:rPr>
        <w:t>/</w:t>
      </w:r>
      <w:r w:rsidRPr="00C840DF">
        <w:rPr>
          <w:kern w:val="0"/>
          <w:sz w:val="24"/>
        </w:rPr>
        <w:t>增发证券而流通受限的证券。</w:t>
      </w:r>
    </w:p>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7.4.9.2</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期末持有的暂时停牌等流通受限股票</w:t>
      </w:r>
    </w:p>
    <w:p w:rsidR="001A59F9" w:rsidRDefault="001A59F9" w:rsidP="001A2A8C">
      <w:pPr>
        <w:tabs>
          <w:tab w:val="left" w:pos="426"/>
        </w:tabs>
        <w:spacing w:before="29" w:line="288" w:lineRule="auto"/>
        <w:jc w:val="left"/>
        <w:rPr>
          <w:kern w:val="0"/>
          <w:sz w:val="24"/>
        </w:rPr>
      </w:pPr>
      <w:r w:rsidRPr="001A2A8C">
        <w:rPr>
          <w:kern w:val="0"/>
          <w:sz w:val="24"/>
        </w:rPr>
        <w:t>本基金本期末未持有暂时停牌等流通受限股票。</w:t>
      </w:r>
    </w:p>
    <w:p w:rsidR="00440E20" w:rsidRPr="001A2A8C" w:rsidRDefault="00440E20" w:rsidP="001A2A8C">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7.4.9.3</w:t>
      </w:r>
      <w:r w:rsidR="00AD16A3" w:rsidRPr="00245C29">
        <w:rPr>
          <w:rFonts w:ascii="Times New Roman" w:hAnsi="Times New Roman" w:hint="eastAsia"/>
          <w:kern w:val="0"/>
          <w:szCs w:val="24"/>
        </w:rPr>
        <w:t xml:space="preserve"> </w:t>
      </w:r>
      <w:r w:rsidRPr="00245C29">
        <w:rPr>
          <w:rFonts w:ascii="Times New Roman" w:hAnsi="Times New Roman" w:hint="eastAsia"/>
          <w:kern w:val="0"/>
          <w:szCs w:val="24"/>
        </w:rPr>
        <w:t>期末债券正回购交易中作为抵押的债券</w:t>
      </w:r>
    </w:p>
    <w:p w:rsidR="001A59F9" w:rsidRPr="001C0A9E" w:rsidRDefault="001A59F9" w:rsidP="00440E20">
      <w:pPr>
        <w:spacing w:before="29" w:line="288" w:lineRule="auto"/>
        <w:rPr>
          <w:color w:val="000000"/>
          <w:sz w:val="24"/>
        </w:rPr>
      </w:pPr>
      <w:r w:rsidRPr="001A2A8C">
        <w:rPr>
          <w:color w:val="000000"/>
          <w:sz w:val="24"/>
        </w:rPr>
        <w:t>本基金本报告期末无从事债券正回购交易形成的卖出回购证券款余额。</w:t>
      </w:r>
      <w:r w:rsidR="001C0A9E">
        <w:rPr>
          <w:rFonts w:hint="eastAsia"/>
          <w:color w:val="00000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7.4.10</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有助于理解和分析会计报表需要说明的其他事项</w:t>
      </w:r>
    </w:p>
    <w:p w:rsidR="007C483C" w:rsidRDefault="007F41B2">
      <w:pPr>
        <w:spacing w:before="29" w:line="288" w:lineRule="auto"/>
        <w:ind w:firstLineChars="200" w:firstLine="480"/>
        <w:rPr>
          <w:color w:val="000000"/>
          <w:sz w:val="24"/>
        </w:rPr>
      </w:pPr>
      <w:r>
        <w:rPr>
          <w:color w:val="000000"/>
          <w:sz w:val="24"/>
        </w:rPr>
        <w:t>(1)</w:t>
      </w:r>
      <w:r>
        <w:rPr>
          <w:color w:val="000000"/>
          <w:sz w:val="24"/>
        </w:rPr>
        <w:t>公允价值</w:t>
      </w:r>
    </w:p>
    <w:p w:rsidR="007C483C" w:rsidRDefault="007F41B2">
      <w:pPr>
        <w:spacing w:before="29" w:line="288" w:lineRule="auto"/>
        <w:ind w:firstLineChars="200" w:firstLine="480"/>
        <w:rPr>
          <w:color w:val="000000"/>
          <w:sz w:val="24"/>
        </w:rPr>
      </w:pPr>
      <w:r>
        <w:rPr>
          <w:color w:val="000000"/>
          <w:sz w:val="24"/>
        </w:rPr>
        <w:t>(a)</w:t>
      </w:r>
      <w:r>
        <w:rPr>
          <w:color w:val="000000"/>
          <w:sz w:val="24"/>
        </w:rPr>
        <w:t>金融工具公允价值计量的方法</w:t>
      </w:r>
    </w:p>
    <w:p w:rsidR="007C483C" w:rsidRDefault="007F41B2">
      <w:pPr>
        <w:spacing w:before="29" w:line="288" w:lineRule="auto"/>
        <w:ind w:firstLineChars="200" w:firstLine="480"/>
        <w:rPr>
          <w:color w:val="000000"/>
          <w:sz w:val="24"/>
        </w:rPr>
      </w:pPr>
      <w:r>
        <w:rPr>
          <w:color w:val="000000"/>
          <w:sz w:val="24"/>
        </w:rPr>
        <w:t>公允价值计量结果所属的层次，由对公允价值计量整体而言具有重要意义的输入值所属的最低层次决定：</w:t>
      </w:r>
    </w:p>
    <w:p w:rsidR="007C483C" w:rsidRDefault="007F41B2">
      <w:pPr>
        <w:spacing w:before="29" w:line="288" w:lineRule="auto"/>
        <w:ind w:firstLineChars="200" w:firstLine="480"/>
        <w:rPr>
          <w:color w:val="000000"/>
          <w:sz w:val="24"/>
        </w:rPr>
      </w:pPr>
      <w:r>
        <w:rPr>
          <w:color w:val="000000"/>
          <w:sz w:val="24"/>
        </w:rPr>
        <w:t>第一层次：相同资产或负债在活跃市场上未经调整的报价。</w:t>
      </w:r>
    </w:p>
    <w:p w:rsidR="007C483C" w:rsidRDefault="007F41B2">
      <w:pPr>
        <w:spacing w:before="29" w:line="288" w:lineRule="auto"/>
        <w:ind w:firstLineChars="200" w:firstLine="480"/>
        <w:rPr>
          <w:color w:val="000000"/>
          <w:sz w:val="24"/>
        </w:rPr>
      </w:pPr>
      <w:r>
        <w:rPr>
          <w:color w:val="000000"/>
          <w:sz w:val="24"/>
        </w:rPr>
        <w:t>第二层次：除第一层次输入值外相关资产或负债直接或间接可观察的输入值。</w:t>
      </w:r>
    </w:p>
    <w:p w:rsidR="007C483C" w:rsidRDefault="007F41B2">
      <w:pPr>
        <w:spacing w:before="29" w:line="288" w:lineRule="auto"/>
        <w:ind w:firstLineChars="200" w:firstLine="480"/>
        <w:rPr>
          <w:color w:val="000000"/>
          <w:sz w:val="24"/>
        </w:rPr>
      </w:pPr>
      <w:r>
        <w:rPr>
          <w:color w:val="000000"/>
          <w:sz w:val="24"/>
        </w:rPr>
        <w:t>第三层次：相关资产或负债的不可观察输入值。</w:t>
      </w:r>
    </w:p>
    <w:p w:rsidR="007C483C" w:rsidRDefault="007F41B2">
      <w:pPr>
        <w:spacing w:before="29" w:line="288" w:lineRule="auto"/>
        <w:ind w:firstLineChars="200" w:firstLine="480"/>
        <w:rPr>
          <w:color w:val="000000"/>
          <w:sz w:val="24"/>
        </w:rPr>
      </w:pPr>
      <w:r>
        <w:rPr>
          <w:color w:val="000000"/>
          <w:sz w:val="24"/>
        </w:rPr>
        <w:t>(b)</w:t>
      </w:r>
      <w:r>
        <w:rPr>
          <w:color w:val="000000"/>
          <w:sz w:val="24"/>
        </w:rPr>
        <w:t>持续的以公允价值计量的金融工具</w:t>
      </w:r>
    </w:p>
    <w:p w:rsidR="007C483C" w:rsidRDefault="007F41B2">
      <w:pPr>
        <w:spacing w:before="29" w:line="288" w:lineRule="auto"/>
        <w:ind w:firstLineChars="200" w:firstLine="480"/>
        <w:rPr>
          <w:color w:val="000000"/>
          <w:sz w:val="24"/>
        </w:rPr>
      </w:pPr>
      <w:r>
        <w:rPr>
          <w:color w:val="000000"/>
          <w:sz w:val="24"/>
        </w:rPr>
        <w:t>(i)</w:t>
      </w:r>
      <w:r>
        <w:rPr>
          <w:color w:val="000000"/>
          <w:sz w:val="24"/>
        </w:rPr>
        <w:t>各层次金融工具公允价值</w:t>
      </w:r>
    </w:p>
    <w:p w:rsidR="007C483C" w:rsidRDefault="007F41B2">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日，本基金持有的以公允价值计量且其变动计入当期损益的金融资产中属于第二层次的余额为</w:t>
      </w:r>
      <w:r>
        <w:rPr>
          <w:color w:val="000000"/>
          <w:sz w:val="24"/>
        </w:rPr>
        <w:t xml:space="preserve"> 33,770,800.00 </w:t>
      </w:r>
      <w:r>
        <w:rPr>
          <w:color w:val="000000"/>
          <w:sz w:val="24"/>
        </w:rPr>
        <w:t>元，无属于第一层次及第三层次的余额</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日：第二层次</w:t>
      </w:r>
      <w:r>
        <w:rPr>
          <w:color w:val="000000"/>
          <w:sz w:val="24"/>
        </w:rPr>
        <w:t>760,065,794.00</w:t>
      </w:r>
      <w:r>
        <w:rPr>
          <w:color w:val="000000"/>
          <w:sz w:val="24"/>
        </w:rPr>
        <w:t>元，无第一层次和第三层次</w:t>
      </w:r>
      <w:r>
        <w:rPr>
          <w:color w:val="000000"/>
          <w:sz w:val="24"/>
        </w:rPr>
        <w:t>)</w:t>
      </w:r>
      <w:r>
        <w:rPr>
          <w:color w:val="000000"/>
          <w:sz w:val="24"/>
        </w:rPr>
        <w:t>。</w:t>
      </w:r>
    </w:p>
    <w:p w:rsidR="007C483C" w:rsidRDefault="007F41B2">
      <w:pPr>
        <w:spacing w:before="29" w:line="288" w:lineRule="auto"/>
        <w:ind w:firstLineChars="200" w:firstLine="480"/>
        <w:rPr>
          <w:color w:val="000000"/>
          <w:sz w:val="24"/>
        </w:rPr>
      </w:pPr>
      <w:r>
        <w:rPr>
          <w:color w:val="000000"/>
          <w:sz w:val="24"/>
        </w:rPr>
        <w:t>(ii)</w:t>
      </w:r>
      <w:r>
        <w:rPr>
          <w:color w:val="000000"/>
          <w:sz w:val="24"/>
        </w:rPr>
        <w:t>公允价值所属层次间的重大变动</w:t>
      </w:r>
    </w:p>
    <w:p w:rsidR="007C483C" w:rsidRDefault="007F41B2">
      <w:pPr>
        <w:spacing w:before="29" w:line="288" w:lineRule="auto"/>
        <w:ind w:firstLineChars="200" w:firstLine="480"/>
        <w:rPr>
          <w:color w:val="000000"/>
          <w:sz w:val="24"/>
        </w:rPr>
      </w:pPr>
      <w:r>
        <w:rPr>
          <w:color w:val="000000"/>
          <w:sz w:val="24"/>
        </w:rPr>
        <w:t>本基金本期及上年度可比期间持有的以公允价值计量的金融工具的公允价值所属层次未发生重大变动。</w:t>
      </w:r>
    </w:p>
    <w:p w:rsidR="007C483C" w:rsidRDefault="007F41B2">
      <w:pPr>
        <w:spacing w:before="29" w:line="288" w:lineRule="auto"/>
        <w:ind w:firstLineChars="200" w:firstLine="480"/>
        <w:rPr>
          <w:color w:val="000000"/>
          <w:sz w:val="24"/>
        </w:rPr>
      </w:pPr>
      <w:r>
        <w:rPr>
          <w:color w:val="000000"/>
          <w:sz w:val="24"/>
        </w:rPr>
        <w:t>(iii)</w:t>
      </w:r>
      <w:r>
        <w:rPr>
          <w:color w:val="000000"/>
          <w:sz w:val="24"/>
        </w:rPr>
        <w:t>第三层次公允价值余额和本期变动金额</w:t>
      </w:r>
    </w:p>
    <w:p w:rsidR="007C483C" w:rsidRDefault="007F41B2">
      <w:pPr>
        <w:spacing w:before="29" w:line="288" w:lineRule="auto"/>
        <w:ind w:firstLineChars="200" w:firstLine="480"/>
        <w:rPr>
          <w:color w:val="000000"/>
          <w:sz w:val="24"/>
        </w:rPr>
      </w:pPr>
      <w:r>
        <w:rPr>
          <w:color w:val="000000"/>
          <w:sz w:val="24"/>
        </w:rPr>
        <w:t>无。</w:t>
      </w:r>
    </w:p>
    <w:p w:rsidR="007C483C" w:rsidRDefault="007F41B2">
      <w:pPr>
        <w:spacing w:before="29" w:line="288" w:lineRule="auto"/>
        <w:ind w:firstLineChars="200" w:firstLine="480"/>
        <w:rPr>
          <w:color w:val="000000"/>
          <w:sz w:val="24"/>
        </w:rPr>
      </w:pPr>
      <w:r>
        <w:rPr>
          <w:color w:val="000000"/>
          <w:sz w:val="24"/>
        </w:rPr>
        <w:t>(c)</w:t>
      </w:r>
      <w:r>
        <w:rPr>
          <w:color w:val="000000"/>
          <w:sz w:val="24"/>
        </w:rPr>
        <w:t>非持续的以公允价值计量的金融工具</w:t>
      </w:r>
    </w:p>
    <w:p w:rsidR="007C483C" w:rsidRDefault="007F41B2">
      <w:pPr>
        <w:spacing w:before="29" w:line="288" w:lineRule="auto"/>
        <w:ind w:firstLineChars="200" w:firstLine="480"/>
        <w:rPr>
          <w:color w:val="000000"/>
          <w:sz w:val="24"/>
        </w:rPr>
      </w:pPr>
      <w:r>
        <w:rPr>
          <w:color w:val="000000"/>
          <w:sz w:val="24"/>
        </w:rPr>
        <w:t>于</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日，本基金未持有非持续的以公允价值计量的金融资产</w:t>
      </w:r>
      <w:r>
        <w:rPr>
          <w:color w:val="000000"/>
          <w:sz w:val="24"/>
        </w:rPr>
        <w:t>(2016</w:t>
      </w:r>
      <w:r>
        <w:rPr>
          <w:color w:val="000000"/>
          <w:sz w:val="24"/>
        </w:rPr>
        <w:t>年</w:t>
      </w:r>
      <w:r>
        <w:rPr>
          <w:color w:val="000000"/>
          <w:sz w:val="24"/>
        </w:rPr>
        <w:t>12</w:t>
      </w:r>
      <w:r>
        <w:rPr>
          <w:color w:val="000000"/>
          <w:sz w:val="24"/>
        </w:rPr>
        <w:t>月</w:t>
      </w:r>
      <w:r>
        <w:rPr>
          <w:color w:val="000000"/>
          <w:sz w:val="24"/>
        </w:rPr>
        <w:t>31</w:t>
      </w:r>
      <w:r>
        <w:rPr>
          <w:color w:val="000000"/>
          <w:sz w:val="24"/>
        </w:rPr>
        <w:t>日：同</w:t>
      </w:r>
      <w:r>
        <w:rPr>
          <w:color w:val="000000"/>
          <w:sz w:val="24"/>
        </w:rPr>
        <w:t>)</w:t>
      </w:r>
      <w:r>
        <w:rPr>
          <w:color w:val="000000"/>
          <w:sz w:val="24"/>
        </w:rPr>
        <w:t>。</w:t>
      </w:r>
    </w:p>
    <w:p w:rsidR="007C483C" w:rsidRDefault="007F41B2">
      <w:pPr>
        <w:spacing w:before="29" w:line="288" w:lineRule="auto"/>
        <w:ind w:firstLineChars="200" w:firstLine="480"/>
        <w:rPr>
          <w:color w:val="000000"/>
          <w:sz w:val="24"/>
        </w:rPr>
      </w:pPr>
      <w:r>
        <w:rPr>
          <w:color w:val="000000"/>
          <w:sz w:val="24"/>
        </w:rPr>
        <w:t>(d)</w:t>
      </w:r>
      <w:r>
        <w:rPr>
          <w:color w:val="000000"/>
          <w:sz w:val="24"/>
        </w:rPr>
        <w:t>不以公允价值计量的金融工具</w:t>
      </w:r>
    </w:p>
    <w:p w:rsidR="007C483C" w:rsidRDefault="007F41B2">
      <w:pPr>
        <w:spacing w:before="29" w:line="288" w:lineRule="auto"/>
        <w:ind w:firstLineChars="200" w:firstLine="480"/>
        <w:rPr>
          <w:color w:val="000000"/>
          <w:sz w:val="24"/>
        </w:rPr>
      </w:pPr>
      <w:r>
        <w:rPr>
          <w:color w:val="000000"/>
          <w:sz w:val="24"/>
        </w:rPr>
        <w:t>不以公允价值计量的金融资产和负债主要包括应收款项和其他金融负债，其账面价值与公允价值相差很小。</w:t>
      </w:r>
    </w:p>
    <w:p w:rsidR="007C483C" w:rsidRDefault="007F41B2">
      <w:pPr>
        <w:spacing w:before="29" w:line="288" w:lineRule="auto"/>
        <w:ind w:firstLineChars="200" w:firstLine="480"/>
        <w:rPr>
          <w:color w:val="000000"/>
          <w:sz w:val="24"/>
        </w:rPr>
      </w:pPr>
      <w:r>
        <w:rPr>
          <w:color w:val="000000"/>
          <w:sz w:val="24"/>
        </w:rPr>
        <w:t xml:space="preserve">(2) </w:t>
      </w:r>
      <w:r>
        <w:rPr>
          <w:color w:val="000000"/>
          <w:sz w:val="24"/>
        </w:rPr>
        <w:t>增值税</w:t>
      </w:r>
    </w:p>
    <w:p w:rsidR="007C483C" w:rsidRDefault="007F41B2">
      <w:pPr>
        <w:spacing w:before="29" w:line="288" w:lineRule="auto"/>
        <w:ind w:firstLineChars="200" w:firstLine="480"/>
        <w:rPr>
          <w:color w:val="000000"/>
          <w:sz w:val="24"/>
        </w:rPr>
      </w:pPr>
      <w:r>
        <w:rPr>
          <w:color w:val="000000"/>
          <w:sz w:val="24"/>
        </w:rPr>
        <w:lastRenderedPageBreak/>
        <w:t>根据财政部、国家税务总局于</w:t>
      </w:r>
      <w:r>
        <w:rPr>
          <w:color w:val="000000"/>
          <w:sz w:val="24"/>
        </w:rPr>
        <w:t>2016</w:t>
      </w:r>
      <w:r>
        <w:rPr>
          <w:color w:val="000000"/>
          <w:sz w:val="24"/>
        </w:rPr>
        <w:t>年</w:t>
      </w:r>
      <w:r>
        <w:rPr>
          <w:color w:val="000000"/>
          <w:sz w:val="24"/>
        </w:rPr>
        <w:t>12</w:t>
      </w:r>
      <w:r>
        <w:rPr>
          <w:color w:val="000000"/>
          <w:sz w:val="24"/>
        </w:rPr>
        <w:t>月</w:t>
      </w:r>
      <w:r>
        <w:rPr>
          <w:color w:val="000000"/>
          <w:sz w:val="24"/>
        </w:rPr>
        <w:t>21</w:t>
      </w:r>
      <w:r>
        <w:rPr>
          <w:color w:val="000000"/>
          <w:sz w:val="24"/>
        </w:rPr>
        <w:t>日颁布的财税</w:t>
      </w:r>
      <w:r>
        <w:rPr>
          <w:color w:val="000000"/>
          <w:sz w:val="24"/>
        </w:rPr>
        <w:t>[2016]140</w:t>
      </w:r>
      <w:r>
        <w:rPr>
          <w:color w:val="000000"/>
          <w:sz w:val="24"/>
        </w:rPr>
        <w:t>号《关于明确金融</w:t>
      </w:r>
      <w:r>
        <w:rPr>
          <w:color w:val="000000"/>
          <w:sz w:val="24"/>
        </w:rPr>
        <w:t xml:space="preserve"> </w:t>
      </w:r>
      <w:r>
        <w:rPr>
          <w:color w:val="000000"/>
          <w:sz w:val="24"/>
        </w:rPr>
        <w:t>房地产开发</w:t>
      </w:r>
      <w:r>
        <w:rPr>
          <w:color w:val="000000"/>
          <w:sz w:val="24"/>
        </w:rPr>
        <w:t xml:space="preserve"> </w:t>
      </w:r>
      <w:r>
        <w:rPr>
          <w:color w:val="000000"/>
          <w:sz w:val="24"/>
        </w:rPr>
        <w:t>教育辅助服务等增值税政策的通知》的规定，资管产品运营过程中发生的增值税应税行为，以资管产品管理人为增值税纳税人。</w:t>
      </w:r>
    </w:p>
    <w:p w:rsidR="007C483C" w:rsidRDefault="007C483C">
      <w:pPr>
        <w:spacing w:before="29" w:line="288" w:lineRule="auto"/>
        <w:ind w:firstLineChars="200" w:firstLine="480"/>
        <w:rPr>
          <w:color w:val="000000"/>
          <w:sz w:val="24"/>
        </w:rPr>
      </w:pPr>
    </w:p>
    <w:p w:rsidR="007C483C" w:rsidRDefault="007F41B2">
      <w:pPr>
        <w:spacing w:before="29" w:line="288" w:lineRule="auto"/>
        <w:ind w:firstLineChars="200" w:firstLine="480"/>
        <w:rPr>
          <w:color w:val="000000"/>
          <w:sz w:val="24"/>
        </w:rPr>
      </w:pPr>
      <w:r>
        <w:rPr>
          <w:color w:val="000000"/>
          <w:sz w:val="24"/>
        </w:rPr>
        <w:t>根据财政部、国家税务总局于</w:t>
      </w:r>
      <w:r>
        <w:rPr>
          <w:color w:val="000000"/>
          <w:sz w:val="24"/>
        </w:rPr>
        <w:t>2017</w:t>
      </w:r>
      <w:r>
        <w:rPr>
          <w:color w:val="000000"/>
          <w:sz w:val="24"/>
        </w:rPr>
        <w:t>年</w:t>
      </w:r>
      <w:r>
        <w:rPr>
          <w:color w:val="000000"/>
          <w:sz w:val="24"/>
        </w:rPr>
        <w:t>6</w:t>
      </w:r>
      <w:r>
        <w:rPr>
          <w:color w:val="000000"/>
          <w:sz w:val="24"/>
        </w:rPr>
        <w:t>月</w:t>
      </w:r>
      <w:r>
        <w:rPr>
          <w:color w:val="000000"/>
          <w:sz w:val="24"/>
        </w:rPr>
        <w:t>30</w:t>
      </w:r>
      <w:r>
        <w:rPr>
          <w:color w:val="000000"/>
          <w:sz w:val="24"/>
        </w:rPr>
        <w:t>日颁布的财税</w:t>
      </w:r>
      <w:r>
        <w:rPr>
          <w:color w:val="000000"/>
          <w:sz w:val="24"/>
        </w:rPr>
        <w:t>[2017]56</w:t>
      </w:r>
      <w:r>
        <w:rPr>
          <w:color w:val="000000"/>
          <w:sz w:val="24"/>
        </w:rPr>
        <w:t>号《关于资管产品增值税有关问题的通知》的规定，资管产品管理人运营资管产品过程中发生的增值税应税行为，暂适用简易计税方法，按照</w:t>
      </w:r>
      <w:r>
        <w:rPr>
          <w:color w:val="000000"/>
          <w:sz w:val="24"/>
        </w:rPr>
        <w:t>3%</w:t>
      </w:r>
      <w:r>
        <w:rPr>
          <w:color w:val="000000"/>
          <w:sz w:val="24"/>
        </w:rPr>
        <w:t>的征收率缴纳增值税。对资管产品在</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日前运营过程中发生的增值税应税行为，未缴纳增值税的，不再缴纳；已缴纳增值税的，已纳税额从资管产品管理人以后月份的增值税应纳税额中抵减。</w:t>
      </w:r>
    </w:p>
    <w:p w:rsidR="007C483C" w:rsidRDefault="007F41B2">
      <w:pPr>
        <w:spacing w:before="29" w:line="288" w:lineRule="auto"/>
        <w:ind w:firstLineChars="200" w:firstLine="480"/>
        <w:rPr>
          <w:color w:val="000000"/>
          <w:sz w:val="24"/>
        </w:rPr>
      </w:pPr>
      <w:r>
        <w:rPr>
          <w:color w:val="000000"/>
          <w:sz w:val="24"/>
        </w:rPr>
        <w:t>此外，财政部、国家税务总局于</w:t>
      </w:r>
      <w:r>
        <w:rPr>
          <w:color w:val="000000"/>
          <w:sz w:val="24"/>
        </w:rPr>
        <w:t>2017</w:t>
      </w:r>
      <w:r>
        <w:rPr>
          <w:color w:val="000000"/>
          <w:sz w:val="24"/>
        </w:rPr>
        <w:t>年</w:t>
      </w:r>
      <w:r>
        <w:rPr>
          <w:color w:val="000000"/>
          <w:sz w:val="24"/>
        </w:rPr>
        <w:t>12</w:t>
      </w:r>
      <w:r>
        <w:rPr>
          <w:color w:val="000000"/>
          <w:sz w:val="24"/>
        </w:rPr>
        <w:t>月</w:t>
      </w:r>
      <w:r>
        <w:rPr>
          <w:color w:val="000000"/>
          <w:sz w:val="24"/>
        </w:rPr>
        <w:t>25</w:t>
      </w:r>
      <w:r>
        <w:rPr>
          <w:color w:val="000000"/>
          <w:sz w:val="24"/>
        </w:rPr>
        <w:t>日颁布的财税</w:t>
      </w:r>
      <w:r>
        <w:rPr>
          <w:color w:val="000000"/>
          <w:sz w:val="24"/>
        </w:rPr>
        <w:t>[2017]90</w:t>
      </w:r>
      <w:r>
        <w:rPr>
          <w:color w:val="000000"/>
          <w:sz w:val="24"/>
        </w:rPr>
        <w:t>号《关于租入固定资产进行税额抵扣等增值税政策的通知》对资管产品管理人自</w:t>
      </w:r>
      <w:r>
        <w:rPr>
          <w:color w:val="000000"/>
          <w:sz w:val="24"/>
        </w:rPr>
        <w:t>2018</w:t>
      </w:r>
      <w:r>
        <w:rPr>
          <w:color w:val="000000"/>
          <w:sz w:val="24"/>
        </w:rPr>
        <w:t>年</w:t>
      </w:r>
      <w:r>
        <w:rPr>
          <w:color w:val="000000"/>
          <w:sz w:val="24"/>
        </w:rPr>
        <w:t>1</w:t>
      </w:r>
      <w:r>
        <w:rPr>
          <w:color w:val="000000"/>
          <w:sz w:val="24"/>
        </w:rPr>
        <w:t>月</w:t>
      </w:r>
      <w:r>
        <w:rPr>
          <w:color w:val="000000"/>
          <w:sz w:val="24"/>
        </w:rPr>
        <w:t>1</w:t>
      </w:r>
      <w:r>
        <w:rPr>
          <w:color w:val="000000"/>
          <w:sz w:val="24"/>
        </w:rPr>
        <w:t>日起运营资管产品提供的贷款服务、发生的部分金融商品转让业务的销售额确定做出规定。</w:t>
      </w:r>
    </w:p>
    <w:p w:rsidR="007C483C" w:rsidRDefault="007F41B2">
      <w:pPr>
        <w:spacing w:before="29" w:line="288" w:lineRule="auto"/>
        <w:ind w:firstLineChars="200" w:firstLine="480"/>
        <w:rPr>
          <w:color w:val="000000"/>
          <w:sz w:val="24"/>
        </w:rPr>
      </w:pPr>
      <w:r>
        <w:rPr>
          <w:color w:val="000000"/>
          <w:sz w:val="24"/>
        </w:rPr>
        <w:t>上述税收政策对本基金截至</w:t>
      </w:r>
      <w:r>
        <w:rPr>
          <w:color w:val="000000"/>
          <w:sz w:val="24"/>
        </w:rPr>
        <w:t>2017</w:t>
      </w:r>
      <w:r>
        <w:rPr>
          <w:color w:val="000000"/>
          <w:sz w:val="24"/>
        </w:rPr>
        <w:t>年</w:t>
      </w:r>
      <w:r>
        <w:rPr>
          <w:color w:val="000000"/>
          <w:sz w:val="24"/>
        </w:rPr>
        <w:t>12</w:t>
      </w:r>
      <w:r>
        <w:rPr>
          <w:color w:val="000000"/>
          <w:sz w:val="24"/>
        </w:rPr>
        <w:t>月</w:t>
      </w:r>
      <w:r>
        <w:rPr>
          <w:color w:val="000000"/>
          <w:sz w:val="24"/>
        </w:rPr>
        <w:t>31</w:t>
      </w:r>
      <w:r>
        <w:rPr>
          <w:color w:val="000000"/>
          <w:sz w:val="24"/>
        </w:rPr>
        <w:t>日止的财务状况和经营成果无影响。</w:t>
      </w:r>
    </w:p>
    <w:p w:rsidR="001A59F9" w:rsidRDefault="001A59F9" w:rsidP="0004616F">
      <w:pPr>
        <w:spacing w:before="29" w:line="288" w:lineRule="auto"/>
        <w:ind w:firstLineChars="200" w:firstLine="480"/>
        <w:rPr>
          <w:color w:val="000000"/>
          <w:sz w:val="24"/>
        </w:rPr>
      </w:pPr>
      <w:r w:rsidRPr="0004616F">
        <w:rPr>
          <w:color w:val="000000"/>
          <w:sz w:val="24"/>
        </w:rPr>
        <w:t>(3)</w:t>
      </w:r>
      <w:r w:rsidRPr="0004616F">
        <w:rPr>
          <w:color w:val="000000"/>
          <w:sz w:val="24"/>
        </w:rPr>
        <w:t>除公允价值和增值税外，截至资产负债表日本基金无需要说明的其他重要事项。</w:t>
      </w:r>
    </w:p>
    <w:p w:rsidR="002961CF" w:rsidRPr="0004616F" w:rsidRDefault="002961CF" w:rsidP="0004616F">
      <w:pPr>
        <w:spacing w:before="29" w:line="288" w:lineRule="auto"/>
        <w:ind w:firstLineChars="200" w:firstLine="480"/>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61" w:name="_Toc225498272"/>
      <w:bookmarkStart w:id="62" w:name="_Toc361324877"/>
      <w:r w:rsidRPr="002961CF">
        <w:rPr>
          <w:rFonts w:hint="eastAsia"/>
          <w:b/>
          <w:color w:val="000000"/>
          <w:szCs w:val="24"/>
        </w:rPr>
        <w:t>§</w:t>
      </w:r>
      <w:r w:rsidRPr="002961CF">
        <w:rPr>
          <w:b/>
          <w:color w:val="000000"/>
          <w:szCs w:val="24"/>
        </w:rPr>
        <w:t>8</w:t>
      </w:r>
      <w:r w:rsidR="009153A3" w:rsidRPr="002961CF">
        <w:rPr>
          <w:rFonts w:hint="eastAsia"/>
          <w:b/>
          <w:color w:val="000000"/>
          <w:szCs w:val="24"/>
        </w:rPr>
        <w:t xml:space="preserve">  </w:t>
      </w:r>
      <w:r w:rsidRPr="002961CF">
        <w:rPr>
          <w:rFonts w:hint="eastAsia"/>
          <w:b/>
          <w:color w:val="000000"/>
          <w:szCs w:val="24"/>
        </w:rPr>
        <w:t>投资组合报告</w:t>
      </w:r>
      <w:bookmarkEnd w:id="61"/>
      <w:bookmarkEnd w:id="62"/>
    </w:p>
    <w:p w:rsidR="001A59F9" w:rsidRPr="00245C29" w:rsidRDefault="001A59F9" w:rsidP="00245C29">
      <w:pPr>
        <w:pStyle w:val="20"/>
        <w:spacing w:before="29" w:after="0" w:line="288" w:lineRule="auto"/>
        <w:rPr>
          <w:rFonts w:ascii="Times New Roman" w:hAnsi="Times New Roman"/>
          <w:kern w:val="0"/>
          <w:szCs w:val="24"/>
        </w:rPr>
      </w:pPr>
      <w:bookmarkStart w:id="63" w:name="_Toc225498273"/>
      <w:bookmarkStart w:id="64" w:name="_Toc361324878"/>
      <w:r w:rsidRPr="00245C29">
        <w:rPr>
          <w:rFonts w:ascii="Times New Roman" w:hAnsi="Times New Roman"/>
          <w:kern w:val="0"/>
          <w:szCs w:val="24"/>
        </w:rPr>
        <w:t>8.1</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期末基金资产组合情况</w:t>
      </w:r>
      <w:bookmarkEnd w:id="63"/>
      <w:bookmarkEnd w:id="64"/>
    </w:p>
    <w:p w:rsidR="001A59F9" w:rsidRPr="003A0690" w:rsidRDefault="001A59F9" w:rsidP="00026C9C">
      <w:pPr>
        <w:autoSpaceDE w:val="0"/>
        <w:autoSpaceDN w:val="0"/>
        <w:adjustRightInd w:val="0"/>
        <w:spacing w:before="29" w:line="360" w:lineRule="auto"/>
        <w:ind w:left="15"/>
        <w:jc w:val="right"/>
        <w:rPr>
          <w:color w:val="000000"/>
          <w:sz w:val="24"/>
        </w:rPr>
      </w:pPr>
      <w:r w:rsidRPr="003A0690">
        <w:rPr>
          <w:rFonts w:hint="eastAsia"/>
          <w:color w:val="000000"/>
          <w:sz w:val="24"/>
        </w:rPr>
        <w:t>金额单位：人民币元</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854"/>
        <w:gridCol w:w="3402"/>
        <w:gridCol w:w="1664"/>
      </w:tblGrid>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序号</w:t>
            </w:r>
          </w:p>
        </w:tc>
        <w:tc>
          <w:tcPr>
            <w:tcW w:w="285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项目</w:t>
            </w:r>
          </w:p>
        </w:tc>
        <w:tc>
          <w:tcPr>
            <w:tcW w:w="3402"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金额</w:t>
            </w:r>
          </w:p>
        </w:tc>
        <w:tc>
          <w:tcPr>
            <w:tcW w:w="1664" w:type="dxa"/>
            <w:vAlign w:val="center"/>
          </w:tcPr>
          <w:p w:rsidR="009A36E4" w:rsidRPr="003A0690" w:rsidRDefault="009A36E4" w:rsidP="003A0690">
            <w:pPr>
              <w:spacing w:before="29" w:line="288" w:lineRule="auto"/>
              <w:jc w:val="center"/>
              <w:rPr>
                <w:color w:val="000000"/>
                <w:sz w:val="24"/>
              </w:rPr>
            </w:pPr>
            <w:r w:rsidRPr="003A0690">
              <w:rPr>
                <w:rFonts w:hint="eastAsia"/>
                <w:color w:val="000000"/>
                <w:sz w:val="24"/>
              </w:rPr>
              <w:t>占基金总资产的比例（</w:t>
            </w:r>
            <w:r w:rsidRPr="003A0690">
              <w:rPr>
                <w:color w:val="000000"/>
                <w:sz w:val="24"/>
              </w:rPr>
              <w:t>%</w:t>
            </w:r>
            <w:r w:rsidRPr="003A0690">
              <w:rPr>
                <w:rFonts w:hint="eastAsia"/>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1</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权益投资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其中：股票</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r w:rsidRPr="003A0690">
              <w:rPr>
                <w:color w:val="000000"/>
                <w:sz w:val="24"/>
              </w:rPr>
              <w:t>2</w:t>
            </w: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固定收益投资</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33,770,800.00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62.23</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其中：债券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33,770,800.00</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62.23</w:t>
            </w:r>
          </w:p>
        </w:tc>
      </w:tr>
      <w:tr w:rsidR="009A36E4" w:rsidRPr="0091212A" w:rsidTr="00E15A4E">
        <w:trPr>
          <w:jc w:val="center"/>
        </w:trPr>
        <w:tc>
          <w:tcPr>
            <w:tcW w:w="1080" w:type="dxa"/>
            <w:vAlign w:val="center"/>
          </w:tcPr>
          <w:p w:rsidR="009A36E4" w:rsidRPr="003A0690" w:rsidRDefault="009A36E4" w:rsidP="003A0690">
            <w:pPr>
              <w:spacing w:before="29" w:line="288" w:lineRule="auto"/>
              <w:jc w:val="center"/>
              <w:rPr>
                <w:color w:val="000000"/>
                <w:sz w:val="24"/>
              </w:rPr>
            </w:pPr>
          </w:p>
        </w:tc>
        <w:tc>
          <w:tcPr>
            <w:tcW w:w="2854" w:type="dxa"/>
            <w:vAlign w:val="center"/>
          </w:tcPr>
          <w:p w:rsidR="009A36E4" w:rsidRPr="003A0690" w:rsidRDefault="009A36E4" w:rsidP="003A0690">
            <w:pPr>
              <w:spacing w:before="29" w:line="288" w:lineRule="auto"/>
              <w:ind w:leftChars="50" w:left="105"/>
              <w:rPr>
                <w:sz w:val="24"/>
              </w:rPr>
            </w:pPr>
            <w:r w:rsidRPr="003A0690">
              <w:rPr>
                <w:rFonts w:hint="eastAsia"/>
                <w:sz w:val="24"/>
              </w:rPr>
              <w:t>资产支持证券</w:t>
            </w:r>
          </w:p>
        </w:tc>
        <w:tc>
          <w:tcPr>
            <w:tcW w:w="3402"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c>
          <w:tcPr>
            <w:tcW w:w="1664" w:type="dxa"/>
            <w:vAlign w:val="center"/>
          </w:tcPr>
          <w:p w:rsidR="009A36E4" w:rsidRPr="003A0690" w:rsidRDefault="009A36E4" w:rsidP="005531B6">
            <w:pPr>
              <w:spacing w:before="29" w:line="360" w:lineRule="auto"/>
              <w:ind w:left="17"/>
              <w:jc w:val="right"/>
              <w:rPr>
                <w:color w:val="000000"/>
                <w:sz w:val="24"/>
              </w:rPr>
            </w:pPr>
            <w:r w:rsidRPr="003A0690">
              <w:rPr>
                <w:color w:val="000000"/>
                <w:sz w:val="24"/>
              </w:rPr>
              <w:t>-</w:t>
            </w:r>
          </w:p>
        </w:tc>
      </w:tr>
      <w:tr w:rsidR="00AC1249" w:rsidRPr="0091212A" w:rsidTr="00E86A35">
        <w:trPr>
          <w:jc w:val="center"/>
        </w:trPr>
        <w:tc>
          <w:tcPr>
            <w:tcW w:w="1080" w:type="dxa"/>
            <w:vAlign w:val="center"/>
          </w:tcPr>
          <w:p w:rsidR="00AC1249" w:rsidRPr="003A0690" w:rsidRDefault="00AC1249" w:rsidP="00E86A35">
            <w:pPr>
              <w:spacing w:before="29" w:line="288" w:lineRule="auto"/>
              <w:jc w:val="center"/>
              <w:rPr>
                <w:color w:val="000000"/>
                <w:sz w:val="24"/>
              </w:rPr>
            </w:pPr>
            <w:r w:rsidRPr="003A0690">
              <w:rPr>
                <w:rFonts w:hint="eastAsia"/>
                <w:color w:val="000000"/>
                <w:sz w:val="24"/>
              </w:rPr>
              <w:t>3</w:t>
            </w:r>
          </w:p>
        </w:tc>
        <w:tc>
          <w:tcPr>
            <w:tcW w:w="2854" w:type="dxa"/>
            <w:vAlign w:val="center"/>
          </w:tcPr>
          <w:p w:rsidR="00AC1249" w:rsidRPr="003A0690" w:rsidRDefault="00AC1249" w:rsidP="00396EA4">
            <w:pPr>
              <w:spacing w:before="29" w:line="288" w:lineRule="auto"/>
              <w:ind w:leftChars="50" w:left="105"/>
              <w:rPr>
                <w:sz w:val="24"/>
              </w:rPr>
            </w:pPr>
            <w:r w:rsidRPr="003A0690">
              <w:rPr>
                <w:rFonts w:hint="eastAsia"/>
                <w:sz w:val="24"/>
              </w:rPr>
              <w:t>贵金属投资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rFonts w:hint="eastAsia"/>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4</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金融衍生品投资</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5</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10,800,000.00</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19.90</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其中：买断式回购的买入返售金融资产</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rFonts w:hint="eastAsia"/>
                <w:color w:val="000000"/>
                <w:sz w:val="24"/>
              </w:rPr>
              <w:t>6</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银行存款和结算备付金</w:t>
            </w:r>
            <w:r w:rsidRPr="003A0690">
              <w:rPr>
                <w:rFonts w:hint="eastAsia"/>
                <w:sz w:val="24"/>
              </w:rPr>
              <w:lastRenderedPageBreak/>
              <w:t>合计</w:t>
            </w:r>
          </w:p>
        </w:tc>
        <w:tc>
          <w:tcPr>
            <w:tcW w:w="3402"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lastRenderedPageBreak/>
              <w:t>9,131,372.34</w:t>
            </w:r>
          </w:p>
        </w:tc>
        <w:tc>
          <w:tcPr>
            <w:tcW w:w="1664" w:type="dxa"/>
            <w:vAlign w:val="center"/>
          </w:tcPr>
          <w:p w:rsidR="00AC1249" w:rsidRPr="003A0690" w:rsidRDefault="00AC1249" w:rsidP="005531B6">
            <w:pPr>
              <w:spacing w:before="29" w:line="360" w:lineRule="auto"/>
              <w:ind w:left="17"/>
              <w:jc w:val="right"/>
              <w:rPr>
                <w:color w:val="000000"/>
                <w:sz w:val="24"/>
              </w:rPr>
            </w:pPr>
            <w:r w:rsidRPr="003A0690">
              <w:rPr>
                <w:color w:val="000000"/>
                <w:sz w:val="24"/>
              </w:rPr>
              <w:t>16.83</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7</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其他各项资产</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564,216.68</w:t>
            </w:r>
          </w:p>
        </w:tc>
        <w:tc>
          <w:tcPr>
            <w:tcW w:w="1664" w:type="dxa"/>
            <w:vAlign w:val="center"/>
          </w:tcPr>
          <w:p w:rsidR="00AC1249" w:rsidRPr="003A0690" w:rsidRDefault="00AC1249" w:rsidP="005531B6">
            <w:pPr>
              <w:spacing w:line="360" w:lineRule="auto"/>
              <w:jc w:val="right"/>
              <w:rPr>
                <w:color w:val="000000"/>
                <w:sz w:val="24"/>
              </w:rPr>
            </w:pPr>
            <w:r w:rsidRPr="003A0690">
              <w:rPr>
                <w:color w:val="000000"/>
                <w:sz w:val="24"/>
              </w:rPr>
              <w:t>1.04</w:t>
            </w:r>
          </w:p>
        </w:tc>
      </w:tr>
      <w:tr w:rsidR="00AC1249" w:rsidRPr="0091212A" w:rsidTr="00E15A4E">
        <w:trPr>
          <w:jc w:val="center"/>
        </w:trPr>
        <w:tc>
          <w:tcPr>
            <w:tcW w:w="1080" w:type="dxa"/>
            <w:vAlign w:val="center"/>
          </w:tcPr>
          <w:p w:rsidR="00AC1249" w:rsidRPr="003A0690" w:rsidRDefault="00AC1249" w:rsidP="003A0690">
            <w:pPr>
              <w:spacing w:before="29" w:line="288" w:lineRule="auto"/>
              <w:jc w:val="center"/>
              <w:rPr>
                <w:color w:val="000000"/>
                <w:sz w:val="24"/>
              </w:rPr>
            </w:pPr>
            <w:r w:rsidRPr="003A0690">
              <w:rPr>
                <w:color w:val="000000"/>
                <w:sz w:val="24"/>
              </w:rPr>
              <w:t>8</w:t>
            </w:r>
          </w:p>
        </w:tc>
        <w:tc>
          <w:tcPr>
            <w:tcW w:w="2854" w:type="dxa"/>
            <w:vAlign w:val="center"/>
          </w:tcPr>
          <w:p w:rsidR="00AC1249" w:rsidRPr="003A0690" w:rsidRDefault="00AC1249" w:rsidP="003A0690">
            <w:pPr>
              <w:spacing w:before="29" w:line="288" w:lineRule="auto"/>
              <w:ind w:leftChars="50" w:left="105"/>
              <w:rPr>
                <w:sz w:val="24"/>
              </w:rPr>
            </w:pPr>
            <w:r w:rsidRPr="003A0690">
              <w:rPr>
                <w:rFonts w:hint="eastAsia"/>
                <w:sz w:val="24"/>
              </w:rPr>
              <w:t>合计</w:t>
            </w:r>
          </w:p>
        </w:tc>
        <w:tc>
          <w:tcPr>
            <w:tcW w:w="3402"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54,266,389.02</w:t>
            </w:r>
          </w:p>
        </w:tc>
        <w:tc>
          <w:tcPr>
            <w:tcW w:w="1664" w:type="dxa"/>
            <w:vAlign w:val="center"/>
          </w:tcPr>
          <w:p w:rsidR="00AC1249" w:rsidRPr="003A0690" w:rsidRDefault="00AC1249" w:rsidP="003A0690">
            <w:pPr>
              <w:spacing w:before="29" w:line="360" w:lineRule="auto"/>
              <w:ind w:left="17"/>
              <w:jc w:val="right"/>
              <w:rPr>
                <w:color w:val="000000"/>
                <w:sz w:val="24"/>
              </w:rPr>
            </w:pPr>
            <w:r w:rsidRPr="003A0690">
              <w:rPr>
                <w:color w:val="000000"/>
                <w:sz w:val="24"/>
              </w:rPr>
              <w:t>100.00</w:t>
            </w:r>
          </w:p>
        </w:tc>
      </w:tr>
    </w:tbl>
    <w:p w:rsidR="009A36E4" w:rsidRDefault="009A36E4" w:rsidP="009A36E4">
      <w:pPr>
        <w:spacing w:line="360" w:lineRule="auto"/>
        <w:rPr>
          <w:rFonts w:asciiTheme="minorEastAsia" w:eastAsiaTheme="minorEastAsia" w:hAnsiTheme="minorEastAsia"/>
          <w:color w:val="000000"/>
          <w:szCs w:val="21"/>
        </w:rPr>
      </w:pPr>
    </w:p>
    <w:p w:rsidR="001A59F9" w:rsidRDefault="001A59F9" w:rsidP="00245C29">
      <w:pPr>
        <w:pStyle w:val="20"/>
        <w:spacing w:before="29" w:after="0" w:line="288" w:lineRule="auto"/>
        <w:rPr>
          <w:rFonts w:ascii="Times New Roman" w:hAnsi="Times New Roman"/>
          <w:kern w:val="0"/>
          <w:szCs w:val="24"/>
        </w:rPr>
      </w:pPr>
      <w:bookmarkStart w:id="65" w:name="_Toc225498274"/>
      <w:bookmarkStart w:id="66" w:name="_Toc361324879"/>
      <w:r w:rsidRPr="00245C29">
        <w:rPr>
          <w:rFonts w:ascii="Times New Roman" w:hAnsi="Times New Roman"/>
          <w:kern w:val="0"/>
          <w:szCs w:val="24"/>
        </w:rPr>
        <w:t>8.2</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期末按行业分类的股票投资组合</w:t>
      </w:r>
      <w:bookmarkEnd w:id="65"/>
      <w:bookmarkEnd w:id="66"/>
    </w:p>
    <w:p w:rsidR="00E122CE" w:rsidRPr="00E122CE" w:rsidRDefault="00E122CE" w:rsidP="00E122CE">
      <w:pPr>
        <w:pStyle w:val="20"/>
        <w:spacing w:before="29" w:after="0" w:line="288" w:lineRule="auto"/>
        <w:rPr>
          <w:rFonts w:ascii="Times New Roman" w:hAnsi="Times New Roman"/>
          <w:color w:val="000000"/>
          <w:szCs w:val="24"/>
        </w:rPr>
      </w:pPr>
      <w:r w:rsidRPr="000B7A0A">
        <w:rPr>
          <w:rFonts w:ascii="Times New Roman" w:hAnsi="Times New Roman"/>
          <w:color w:val="000000"/>
          <w:szCs w:val="24"/>
        </w:rPr>
        <w:t>8.2.1</w:t>
      </w:r>
      <w:r w:rsidRPr="000B7A0A">
        <w:rPr>
          <w:rFonts w:ascii="Times New Roman" w:hAnsi="Times New Roman" w:hint="eastAsia"/>
          <w:color w:val="000000"/>
          <w:szCs w:val="24"/>
        </w:rPr>
        <w:t>报告期末按行业分类的境内股票投资组合</w:t>
      </w:r>
    </w:p>
    <w:p w:rsidR="001A59F9" w:rsidRDefault="001A59F9" w:rsidP="00FD6854">
      <w:pPr>
        <w:tabs>
          <w:tab w:val="left" w:pos="426"/>
        </w:tabs>
        <w:spacing w:before="29" w:line="288" w:lineRule="auto"/>
        <w:jc w:val="left"/>
        <w:rPr>
          <w:kern w:val="0"/>
          <w:sz w:val="24"/>
        </w:rPr>
      </w:pPr>
      <w:r w:rsidRPr="00FD6854">
        <w:rPr>
          <w:kern w:val="0"/>
          <w:sz w:val="24"/>
        </w:rPr>
        <w:t>本基金本报告期末未持有股票。</w:t>
      </w:r>
    </w:p>
    <w:p w:rsidR="005D0476" w:rsidRPr="00FD6854" w:rsidRDefault="005D0476" w:rsidP="00FD6854">
      <w:pPr>
        <w:tabs>
          <w:tab w:val="left" w:pos="426"/>
        </w:tabs>
        <w:spacing w:before="29" w:line="288" w:lineRule="auto"/>
        <w:jc w:val="left"/>
        <w:rPr>
          <w:kern w:val="0"/>
          <w:sz w:val="24"/>
        </w:rPr>
      </w:pPr>
    </w:p>
    <w:p w:rsidR="00E122CE" w:rsidRPr="00D52A9B" w:rsidRDefault="00E122CE" w:rsidP="00E122CE">
      <w:pPr>
        <w:pStyle w:val="20"/>
        <w:spacing w:before="29" w:after="0" w:line="288" w:lineRule="auto"/>
        <w:rPr>
          <w:rFonts w:ascii="Times New Roman" w:hAnsi="Times New Roman"/>
          <w:kern w:val="0"/>
          <w:szCs w:val="24"/>
        </w:rPr>
      </w:pPr>
      <w:r w:rsidRPr="00D52A9B">
        <w:rPr>
          <w:rFonts w:ascii="Times New Roman" w:hAnsi="Times New Roman"/>
          <w:kern w:val="0"/>
          <w:szCs w:val="24"/>
        </w:rPr>
        <w:t>8.2.2</w:t>
      </w:r>
      <w:r w:rsidRPr="00D52A9B">
        <w:rPr>
          <w:rFonts w:ascii="Times New Roman" w:hAnsi="Times New Roman" w:hint="eastAsia"/>
          <w:kern w:val="0"/>
          <w:szCs w:val="24"/>
        </w:rPr>
        <w:t>报告期末按行业分类的</w:t>
      </w:r>
      <w:r w:rsidR="001320FD">
        <w:rPr>
          <w:rFonts w:ascii="Times New Roman" w:hAnsi="Times New Roman" w:hint="eastAsia"/>
          <w:kern w:val="0"/>
          <w:szCs w:val="24"/>
        </w:rPr>
        <w:t>港股通</w:t>
      </w:r>
      <w:r w:rsidRPr="00D52A9B">
        <w:rPr>
          <w:rFonts w:ascii="Times New Roman" w:hAnsi="Times New Roman" w:hint="eastAsia"/>
          <w:kern w:val="0"/>
          <w:szCs w:val="24"/>
        </w:rPr>
        <w:t>投资股票投资组合</w:t>
      </w:r>
    </w:p>
    <w:p w:rsidR="00E122CE" w:rsidRPr="00D52A9B" w:rsidRDefault="00E122CE" w:rsidP="00E122CE">
      <w:pPr>
        <w:tabs>
          <w:tab w:val="left" w:pos="426"/>
        </w:tabs>
        <w:spacing w:line="360" w:lineRule="auto"/>
        <w:jc w:val="left"/>
        <w:rPr>
          <w:kern w:val="0"/>
          <w:sz w:val="24"/>
        </w:rPr>
      </w:pPr>
      <w:r>
        <w:rPr>
          <w:rFonts w:hint="eastAsia"/>
          <w:kern w:val="0"/>
          <w:sz w:val="24"/>
        </w:rPr>
        <w:t xml:space="preserve"> </w:t>
      </w:r>
      <w:r w:rsidRPr="00D52A9B">
        <w:rPr>
          <w:kern w:val="0"/>
          <w:sz w:val="24"/>
        </w:rPr>
        <w:t>本基金本报告期末未持有通过港股通投资的股票。</w:t>
      </w:r>
    </w:p>
    <w:p w:rsidR="001A59F9" w:rsidRPr="00E122CE"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67" w:name="_Toc361324881"/>
      <w:r w:rsidRPr="00245C29">
        <w:rPr>
          <w:rFonts w:ascii="Times New Roman" w:hAnsi="Times New Roman"/>
          <w:kern w:val="0"/>
          <w:szCs w:val="24"/>
        </w:rPr>
        <w:t>8.3</w:t>
      </w:r>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期末按公允价值占基金资产净值比例大小排序的</w:t>
      </w:r>
      <w:r w:rsidR="007D167D" w:rsidRPr="00245C29">
        <w:rPr>
          <w:rFonts w:ascii="Times New Roman" w:hAnsi="Times New Roman" w:hint="eastAsia"/>
          <w:kern w:val="0"/>
          <w:szCs w:val="24"/>
        </w:rPr>
        <w:t>前十名</w:t>
      </w:r>
      <w:r w:rsidRPr="00245C29">
        <w:rPr>
          <w:rFonts w:ascii="Times New Roman" w:hAnsi="Times New Roman" w:hint="eastAsia"/>
          <w:kern w:val="0"/>
          <w:szCs w:val="24"/>
        </w:rPr>
        <w:t>股票投资明细</w:t>
      </w:r>
      <w:bookmarkEnd w:id="67"/>
    </w:p>
    <w:p w:rsidR="001A59F9" w:rsidRDefault="001A59F9" w:rsidP="00016A50">
      <w:pPr>
        <w:tabs>
          <w:tab w:val="left" w:pos="426"/>
        </w:tabs>
        <w:spacing w:line="360" w:lineRule="auto"/>
        <w:jc w:val="left"/>
        <w:rPr>
          <w:kern w:val="0"/>
          <w:sz w:val="24"/>
        </w:rPr>
      </w:pPr>
      <w:r w:rsidRPr="00A20DFB">
        <w:rPr>
          <w:kern w:val="0"/>
          <w:sz w:val="24"/>
        </w:rPr>
        <w:t>本基金本报告期末未持有股票。</w:t>
      </w:r>
    </w:p>
    <w:p w:rsidR="005D0476" w:rsidRPr="00A20DFB" w:rsidRDefault="005D0476" w:rsidP="00016A50">
      <w:pPr>
        <w:tabs>
          <w:tab w:val="left" w:pos="426"/>
        </w:tabs>
        <w:spacing w:line="360"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68" w:name="_Toc361324882"/>
      <w:r w:rsidRPr="00245C29">
        <w:rPr>
          <w:rFonts w:ascii="Times New Roman" w:hAnsi="Times New Roman"/>
          <w:kern w:val="0"/>
          <w:szCs w:val="24"/>
        </w:rPr>
        <w:t>8.4</w:t>
      </w:r>
      <w:bookmarkStart w:id="69" w:name="_Toc234814103"/>
      <w:r w:rsidR="00024200" w:rsidRPr="00245C29">
        <w:rPr>
          <w:rFonts w:ascii="Times New Roman" w:hAnsi="Times New Roman" w:hint="eastAsia"/>
          <w:kern w:val="0"/>
          <w:szCs w:val="24"/>
        </w:rPr>
        <w:t xml:space="preserve"> </w:t>
      </w:r>
      <w:r w:rsidRPr="00245C29">
        <w:rPr>
          <w:rFonts w:ascii="Times New Roman" w:hAnsi="Times New Roman" w:hint="eastAsia"/>
          <w:kern w:val="0"/>
          <w:szCs w:val="24"/>
        </w:rPr>
        <w:t>报告期内股票投资组合的重大变动</w:t>
      </w:r>
      <w:bookmarkEnd w:id="68"/>
      <w:bookmarkEnd w:id="69"/>
    </w:p>
    <w:p w:rsidR="001A59F9" w:rsidRDefault="001A59F9" w:rsidP="00C234F0">
      <w:pPr>
        <w:tabs>
          <w:tab w:val="left" w:pos="426"/>
        </w:tabs>
        <w:spacing w:before="29" w:line="288" w:lineRule="auto"/>
        <w:jc w:val="left"/>
        <w:rPr>
          <w:kern w:val="0"/>
          <w:sz w:val="24"/>
        </w:rPr>
      </w:pPr>
      <w:r w:rsidRPr="00C234F0">
        <w:rPr>
          <w:kern w:val="0"/>
          <w:sz w:val="24"/>
        </w:rPr>
        <w:t>本基金本报告期内未持有股票。</w:t>
      </w:r>
    </w:p>
    <w:p w:rsidR="005D0476" w:rsidRPr="00C234F0" w:rsidRDefault="005D0476" w:rsidP="00C234F0">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0" w:name="_Toc234814104"/>
      <w:bookmarkStart w:id="71" w:name="_Toc361324883"/>
      <w:r w:rsidRPr="00245C29">
        <w:rPr>
          <w:rFonts w:ascii="Times New Roman" w:hAnsi="Times New Roman"/>
          <w:kern w:val="0"/>
          <w:szCs w:val="24"/>
        </w:rPr>
        <w:t>8.5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期末按债券品种分类的债券投资组合</w:t>
      </w:r>
      <w:bookmarkEnd w:id="70"/>
      <w:bookmarkEnd w:id="71"/>
    </w:p>
    <w:p w:rsidR="001A59F9" w:rsidRPr="00C234F0" w:rsidRDefault="001A59F9" w:rsidP="00C234F0">
      <w:pPr>
        <w:autoSpaceDE w:val="0"/>
        <w:autoSpaceDN w:val="0"/>
        <w:adjustRightInd w:val="0"/>
        <w:spacing w:before="29" w:line="288" w:lineRule="auto"/>
        <w:ind w:left="15"/>
        <w:jc w:val="right"/>
        <w:rPr>
          <w:color w:val="000000"/>
          <w:sz w:val="24"/>
        </w:rPr>
      </w:pPr>
      <w:r w:rsidRPr="00C234F0">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2835"/>
        <w:gridCol w:w="2780"/>
        <w:gridCol w:w="2249"/>
      </w:tblGrid>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序号</w:t>
            </w:r>
          </w:p>
        </w:tc>
        <w:tc>
          <w:tcPr>
            <w:tcW w:w="2835"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债券品种</w:t>
            </w:r>
          </w:p>
        </w:tc>
        <w:tc>
          <w:tcPr>
            <w:tcW w:w="2780"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公允价值</w:t>
            </w:r>
          </w:p>
        </w:tc>
        <w:tc>
          <w:tcPr>
            <w:tcW w:w="2249" w:type="dxa"/>
            <w:vAlign w:val="center"/>
          </w:tcPr>
          <w:p w:rsidR="001A59F9" w:rsidRPr="00C234F0" w:rsidRDefault="001A59F9" w:rsidP="00C234F0">
            <w:pPr>
              <w:spacing w:before="29" w:line="288" w:lineRule="auto"/>
              <w:ind w:left="17"/>
              <w:jc w:val="center"/>
              <w:rPr>
                <w:color w:val="000000"/>
                <w:sz w:val="24"/>
              </w:rPr>
            </w:pPr>
            <w:r w:rsidRPr="00C234F0">
              <w:rPr>
                <w:rFonts w:hint="eastAsia"/>
                <w:color w:val="000000"/>
                <w:sz w:val="24"/>
              </w:rPr>
              <w:t>占基金资产净值比例</w:t>
            </w:r>
            <w:r w:rsidRPr="00C234F0">
              <w:rPr>
                <w:color w:val="000000"/>
                <w:sz w:val="24"/>
              </w:rPr>
              <w:t>(</w:t>
            </w:r>
            <w:r w:rsidRPr="00C234F0">
              <w:rPr>
                <w:rFonts w:hint="eastAsia"/>
                <w:color w:val="000000"/>
                <w:sz w:val="24"/>
              </w:rPr>
              <w:t>％</w:t>
            </w:r>
            <w:r w:rsidRPr="00C234F0">
              <w:rPr>
                <w:color w:val="000000"/>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国家债券</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2</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央行票据</w:t>
            </w:r>
          </w:p>
        </w:tc>
        <w:tc>
          <w:tcPr>
            <w:tcW w:w="2780" w:type="dxa"/>
            <w:vAlign w:val="center"/>
          </w:tcPr>
          <w:p w:rsidR="001A59F9" w:rsidRPr="00C234F0" w:rsidRDefault="001A59F9" w:rsidP="00112C6D">
            <w:pPr>
              <w:spacing w:before="29" w:line="288" w:lineRule="auto"/>
              <w:ind w:left="17"/>
              <w:jc w:val="right"/>
              <w:rPr>
                <w:sz w:val="24"/>
              </w:rPr>
            </w:pPr>
            <w:r w:rsidRPr="00C234F0">
              <w:rPr>
                <w:sz w:val="24"/>
              </w:rPr>
              <w:t>-</w:t>
            </w:r>
          </w:p>
        </w:tc>
        <w:tc>
          <w:tcPr>
            <w:tcW w:w="2249" w:type="dxa"/>
            <w:vAlign w:val="center"/>
          </w:tcPr>
          <w:p w:rsidR="001A59F9" w:rsidRPr="00C234F0" w:rsidRDefault="001A59F9" w:rsidP="00112C6D">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3</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金融债券</w:t>
            </w:r>
          </w:p>
        </w:tc>
        <w:tc>
          <w:tcPr>
            <w:tcW w:w="2780" w:type="dxa"/>
            <w:vAlign w:val="center"/>
          </w:tcPr>
          <w:p w:rsidR="001A59F9" w:rsidRPr="00C234F0" w:rsidRDefault="001A59F9" w:rsidP="00112C6D">
            <w:pPr>
              <w:spacing w:before="29" w:line="288" w:lineRule="auto"/>
              <w:ind w:left="17"/>
              <w:jc w:val="right"/>
              <w:rPr>
                <w:sz w:val="24"/>
              </w:rPr>
            </w:pPr>
            <w:r w:rsidRPr="00C234F0">
              <w:rPr>
                <w:sz w:val="24"/>
              </w:rPr>
              <w:t>23,814,800.00</w:t>
            </w:r>
          </w:p>
        </w:tc>
        <w:tc>
          <w:tcPr>
            <w:tcW w:w="2249" w:type="dxa"/>
            <w:vAlign w:val="center"/>
          </w:tcPr>
          <w:p w:rsidR="001A59F9" w:rsidRPr="00C234F0" w:rsidRDefault="001A59F9" w:rsidP="00112C6D">
            <w:pPr>
              <w:spacing w:before="29" w:line="288" w:lineRule="auto"/>
              <w:ind w:left="17"/>
              <w:jc w:val="right"/>
              <w:rPr>
                <w:sz w:val="24"/>
              </w:rPr>
            </w:pPr>
            <w:r w:rsidRPr="00C234F0">
              <w:rPr>
                <w:sz w:val="24"/>
              </w:rPr>
              <w:t>44.27</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其中：政策性金融债</w:t>
            </w:r>
          </w:p>
        </w:tc>
        <w:tc>
          <w:tcPr>
            <w:tcW w:w="2780" w:type="dxa"/>
            <w:vAlign w:val="center"/>
          </w:tcPr>
          <w:p w:rsidR="001A59F9" w:rsidRPr="00C234F0" w:rsidRDefault="001A59F9" w:rsidP="00112C6D">
            <w:pPr>
              <w:spacing w:before="29" w:line="288" w:lineRule="auto"/>
              <w:ind w:left="17"/>
              <w:jc w:val="right"/>
              <w:rPr>
                <w:sz w:val="24"/>
              </w:rPr>
            </w:pPr>
            <w:r w:rsidRPr="00C234F0">
              <w:rPr>
                <w:sz w:val="24"/>
              </w:rPr>
              <w:t>23,814,800.00</w:t>
            </w:r>
          </w:p>
        </w:tc>
        <w:tc>
          <w:tcPr>
            <w:tcW w:w="2249" w:type="dxa"/>
            <w:vAlign w:val="center"/>
          </w:tcPr>
          <w:p w:rsidR="001A59F9" w:rsidRPr="00C234F0" w:rsidRDefault="001A59F9" w:rsidP="00112C6D">
            <w:pPr>
              <w:spacing w:before="29" w:line="288" w:lineRule="auto"/>
              <w:ind w:left="17"/>
              <w:jc w:val="right"/>
              <w:rPr>
                <w:sz w:val="24"/>
              </w:rPr>
            </w:pPr>
            <w:r w:rsidRPr="00C234F0">
              <w:rPr>
                <w:sz w:val="24"/>
              </w:rPr>
              <w:t>44.27</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4</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企业债券</w:t>
            </w:r>
          </w:p>
        </w:tc>
        <w:tc>
          <w:tcPr>
            <w:tcW w:w="2780" w:type="dxa"/>
            <w:vAlign w:val="center"/>
          </w:tcPr>
          <w:p w:rsidR="001A59F9" w:rsidRPr="00C234F0" w:rsidRDefault="001A59F9" w:rsidP="00112C6D">
            <w:pPr>
              <w:spacing w:before="29" w:line="288" w:lineRule="auto"/>
              <w:ind w:left="17"/>
              <w:jc w:val="right"/>
              <w:rPr>
                <w:sz w:val="24"/>
              </w:rPr>
            </w:pPr>
            <w:r w:rsidRPr="00C234F0">
              <w:rPr>
                <w:sz w:val="24"/>
              </w:rPr>
              <w:t>-</w:t>
            </w:r>
          </w:p>
        </w:tc>
        <w:tc>
          <w:tcPr>
            <w:tcW w:w="2249" w:type="dxa"/>
            <w:vAlign w:val="center"/>
          </w:tcPr>
          <w:p w:rsidR="001A59F9" w:rsidRPr="00C234F0" w:rsidRDefault="001A59F9" w:rsidP="00112C6D">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5</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企业短期融资</w:t>
            </w:r>
            <w:r w:rsidR="000C0A18" w:rsidRPr="00C234F0">
              <w:rPr>
                <w:rFonts w:hint="eastAsia"/>
                <w:color w:val="000000"/>
                <w:sz w:val="24"/>
              </w:rPr>
              <w:t>券</w:t>
            </w:r>
          </w:p>
        </w:tc>
        <w:tc>
          <w:tcPr>
            <w:tcW w:w="2780" w:type="dxa"/>
            <w:vAlign w:val="center"/>
          </w:tcPr>
          <w:p w:rsidR="001A59F9" w:rsidRPr="00C234F0" w:rsidRDefault="001A59F9" w:rsidP="00112C6D">
            <w:pPr>
              <w:spacing w:before="29" w:line="288" w:lineRule="auto"/>
              <w:ind w:left="17"/>
              <w:jc w:val="right"/>
              <w:rPr>
                <w:sz w:val="24"/>
              </w:rPr>
            </w:pPr>
            <w:r w:rsidRPr="00C234F0">
              <w:rPr>
                <w:sz w:val="24"/>
              </w:rPr>
              <w:t>-</w:t>
            </w:r>
          </w:p>
        </w:tc>
        <w:tc>
          <w:tcPr>
            <w:tcW w:w="2249" w:type="dxa"/>
            <w:vAlign w:val="center"/>
          </w:tcPr>
          <w:p w:rsidR="001A59F9" w:rsidRPr="00C234F0" w:rsidRDefault="001A59F9" w:rsidP="00112C6D">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6</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中期票据</w:t>
            </w:r>
          </w:p>
        </w:tc>
        <w:tc>
          <w:tcPr>
            <w:tcW w:w="2780" w:type="dxa"/>
            <w:vAlign w:val="center"/>
          </w:tcPr>
          <w:p w:rsidR="001A59F9" w:rsidRPr="00C234F0" w:rsidRDefault="001A59F9" w:rsidP="00112C6D">
            <w:pPr>
              <w:spacing w:before="29" w:line="288" w:lineRule="auto"/>
              <w:ind w:left="17"/>
              <w:jc w:val="right"/>
              <w:rPr>
                <w:sz w:val="24"/>
              </w:rPr>
            </w:pPr>
            <w:r w:rsidRPr="00C234F0">
              <w:rPr>
                <w:sz w:val="24"/>
              </w:rPr>
              <w:t>-</w:t>
            </w:r>
          </w:p>
        </w:tc>
        <w:tc>
          <w:tcPr>
            <w:tcW w:w="2249" w:type="dxa"/>
            <w:vAlign w:val="center"/>
          </w:tcPr>
          <w:p w:rsidR="001A59F9" w:rsidRPr="00C234F0" w:rsidRDefault="001A59F9" w:rsidP="00112C6D">
            <w:pPr>
              <w:spacing w:before="29" w:line="288" w:lineRule="auto"/>
              <w:ind w:left="17"/>
              <w:jc w:val="right"/>
              <w:rPr>
                <w:sz w:val="24"/>
              </w:rPr>
            </w:pPr>
            <w:r w:rsidRPr="00C234F0">
              <w:rPr>
                <w:sz w:val="24"/>
              </w:rPr>
              <w:t>-</w:t>
            </w:r>
          </w:p>
        </w:tc>
      </w:tr>
      <w:tr w:rsidR="00E122CE" w:rsidRPr="00C234F0" w:rsidTr="00986F4D">
        <w:tc>
          <w:tcPr>
            <w:tcW w:w="1134" w:type="dxa"/>
            <w:vAlign w:val="center"/>
          </w:tcPr>
          <w:p w:rsidR="00E122CE" w:rsidRPr="00C234F0" w:rsidRDefault="00E122CE" w:rsidP="00986F4D">
            <w:pPr>
              <w:spacing w:before="29" w:line="288" w:lineRule="auto"/>
              <w:ind w:left="17"/>
              <w:jc w:val="center"/>
              <w:rPr>
                <w:color w:val="000000"/>
                <w:sz w:val="24"/>
              </w:rPr>
            </w:pPr>
            <w:r w:rsidRPr="00C234F0">
              <w:rPr>
                <w:color w:val="000000"/>
                <w:sz w:val="24"/>
              </w:rPr>
              <w:t>7</w:t>
            </w:r>
          </w:p>
        </w:tc>
        <w:tc>
          <w:tcPr>
            <w:tcW w:w="2835" w:type="dxa"/>
            <w:vAlign w:val="center"/>
          </w:tcPr>
          <w:p w:rsidR="00E122CE" w:rsidRPr="00C234F0" w:rsidRDefault="00E122CE" w:rsidP="00986F4D">
            <w:pPr>
              <w:spacing w:before="29" w:line="288" w:lineRule="auto"/>
              <w:ind w:left="17"/>
              <w:jc w:val="left"/>
              <w:rPr>
                <w:color w:val="000000"/>
                <w:sz w:val="24"/>
              </w:rPr>
            </w:pPr>
            <w:r w:rsidRPr="00C234F0">
              <w:rPr>
                <w:rFonts w:hint="eastAsia"/>
                <w:color w:val="000000"/>
                <w:sz w:val="24"/>
              </w:rPr>
              <w:t>可转债</w:t>
            </w:r>
            <w:r>
              <w:rPr>
                <w:rFonts w:hint="eastAsia"/>
                <w:sz w:val="24"/>
              </w:rPr>
              <w:t>（可交换债）</w:t>
            </w:r>
          </w:p>
        </w:tc>
        <w:tc>
          <w:tcPr>
            <w:tcW w:w="2780" w:type="dxa"/>
            <w:vAlign w:val="center"/>
          </w:tcPr>
          <w:p w:rsidR="00E122CE" w:rsidRPr="00C234F0" w:rsidRDefault="00E122CE" w:rsidP="00112C6D">
            <w:pPr>
              <w:spacing w:before="29" w:line="288" w:lineRule="auto"/>
              <w:ind w:left="17"/>
              <w:jc w:val="right"/>
              <w:rPr>
                <w:sz w:val="24"/>
              </w:rPr>
            </w:pPr>
            <w:r w:rsidRPr="00C234F0">
              <w:rPr>
                <w:sz w:val="24"/>
              </w:rPr>
              <w:t>-</w:t>
            </w:r>
          </w:p>
        </w:tc>
        <w:tc>
          <w:tcPr>
            <w:tcW w:w="2249" w:type="dxa"/>
            <w:vAlign w:val="center"/>
          </w:tcPr>
          <w:p w:rsidR="00E122CE" w:rsidRPr="00C234F0" w:rsidRDefault="00E122CE" w:rsidP="00112C6D">
            <w:pPr>
              <w:spacing w:before="29" w:line="288" w:lineRule="auto"/>
              <w:ind w:left="17"/>
              <w:jc w:val="right"/>
              <w:rPr>
                <w:sz w:val="24"/>
              </w:rPr>
            </w:pPr>
            <w:r w:rsidRPr="00C234F0">
              <w:rPr>
                <w:sz w:val="24"/>
              </w:rPr>
              <w:t>-</w:t>
            </w:r>
          </w:p>
        </w:tc>
      </w:tr>
      <w:tr w:rsidR="00E122CE" w:rsidRPr="00C51C77" w:rsidTr="00C234F0">
        <w:tc>
          <w:tcPr>
            <w:tcW w:w="1134" w:type="dxa"/>
            <w:vAlign w:val="center"/>
          </w:tcPr>
          <w:p w:rsidR="00E122CE" w:rsidRPr="004B6D45" w:rsidRDefault="00E122CE" w:rsidP="00E122CE">
            <w:pPr>
              <w:spacing w:before="29" w:line="288" w:lineRule="auto"/>
              <w:ind w:left="17"/>
              <w:jc w:val="center"/>
              <w:rPr>
                <w:color w:val="000000"/>
                <w:sz w:val="24"/>
              </w:rPr>
            </w:pPr>
            <w:r w:rsidRPr="004B6D45">
              <w:rPr>
                <w:rFonts w:hint="eastAsia"/>
                <w:color w:val="000000"/>
                <w:sz w:val="24"/>
              </w:rPr>
              <w:t>8</w:t>
            </w:r>
          </w:p>
        </w:tc>
        <w:tc>
          <w:tcPr>
            <w:tcW w:w="2835" w:type="dxa"/>
            <w:vAlign w:val="center"/>
          </w:tcPr>
          <w:p w:rsidR="00E122CE" w:rsidRPr="004B6D45" w:rsidRDefault="00E122CE" w:rsidP="00E122CE">
            <w:pPr>
              <w:spacing w:before="29" w:line="288" w:lineRule="auto"/>
              <w:ind w:left="17"/>
              <w:jc w:val="left"/>
              <w:rPr>
                <w:color w:val="000000"/>
                <w:sz w:val="24"/>
              </w:rPr>
            </w:pPr>
            <w:r w:rsidRPr="004B6D45">
              <w:rPr>
                <w:rFonts w:hint="eastAsia"/>
                <w:color w:val="000000"/>
                <w:sz w:val="24"/>
              </w:rPr>
              <w:t>同业存单</w:t>
            </w:r>
          </w:p>
        </w:tc>
        <w:tc>
          <w:tcPr>
            <w:tcW w:w="2780" w:type="dxa"/>
            <w:vAlign w:val="center"/>
          </w:tcPr>
          <w:p w:rsidR="00E122CE" w:rsidRPr="004B6D45" w:rsidRDefault="00E122CE" w:rsidP="00112C6D">
            <w:pPr>
              <w:spacing w:before="29" w:line="288" w:lineRule="auto"/>
              <w:ind w:left="17"/>
              <w:jc w:val="right"/>
              <w:rPr>
                <w:color w:val="000000"/>
                <w:sz w:val="24"/>
              </w:rPr>
            </w:pPr>
            <w:r w:rsidRPr="004B6D45">
              <w:rPr>
                <w:rFonts w:hint="eastAsia"/>
                <w:color w:val="000000"/>
                <w:sz w:val="24"/>
              </w:rPr>
              <w:t>9,956,000.00</w:t>
            </w:r>
          </w:p>
        </w:tc>
        <w:tc>
          <w:tcPr>
            <w:tcW w:w="2249" w:type="dxa"/>
            <w:vAlign w:val="center"/>
          </w:tcPr>
          <w:p w:rsidR="00E122CE" w:rsidRPr="004B6D45" w:rsidRDefault="00E122CE" w:rsidP="00112C6D">
            <w:pPr>
              <w:spacing w:before="29" w:line="288" w:lineRule="auto"/>
              <w:ind w:left="17"/>
              <w:jc w:val="right"/>
              <w:rPr>
                <w:color w:val="000000"/>
                <w:sz w:val="24"/>
              </w:rPr>
            </w:pPr>
            <w:r w:rsidRPr="004B6D45">
              <w:rPr>
                <w:rFonts w:hint="eastAsia"/>
                <w:color w:val="000000"/>
                <w:sz w:val="24"/>
              </w:rPr>
              <w:t>18.51</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9</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其他</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w:t>
            </w:r>
          </w:p>
        </w:tc>
      </w:tr>
      <w:tr w:rsidR="001A59F9" w:rsidRPr="00C51C77" w:rsidTr="00C234F0">
        <w:tc>
          <w:tcPr>
            <w:tcW w:w="1134" w:type="dxa"/>
            <w:vAlign w:val="center"/>
          </w:tcPr>
          <w:p w:rsidR="001A59F9" w:rsidRPr="00C234F0" w:rsidRDefault="001A59F9" w:rsidP="00C234F0">
            <w:pPr>
              <w:spacing w:before="29" w:line="288" w:lineRule="auto"/>
              <w:ind w:left="17"/>
              <w:jc w:val="center"/>
              <w:rPr>
                <w:color w:val="000000"/>
                <w:sz w:val="24"/>
              </w:rPr>
            </w:pPr>
            <w:r w:rsidRPr="00C234F0">
              <w:rPr>
                <w:color w:val="000000"/>
                <w:sz w:val="24"/>
              </w:rPr>
              <w:t>10</w:t>
            </w:r>
          </w:p>
        </w:tc>
        <w:tc>
          <w:tcPr>
            <w:tcW w:w="2835" w:type="dxa"/>
            <w:vAlign w:val="center"/>
          </w:tcPr>
          <w:p w:rsidR="001A59F9" w:rsidRPr="00C234F0" w:rsidRDefault="001A59F9" w:rsidP="00C234F0">
            <w:pPr>
              <w:spacing w:before="29" w:line="288" w:lineRule="auto"/>
              <w:ind w:left="17"/>
              <w:jc w:val="left"/>
              <w:rPr>
                <w:color w:val="000000"/>
                <w:sz w:val="24"/>
              </w:rPr>
            </w:pPr>
            <w:r w:rsidRPr="00C234F0">
              <w:rPr>
                <w:rFonts w:hint="eastAsia"/>
                <w:color w:val="000000"/>
                <w:sz w:val="24"/>
              </w:rPr>
              <w:t>合计</w:t>
            </w:r>
          </w:p>
        </w:tc>
        <w:tc>
          <w:tcPr>
            <w:tcW w:w="2780" w:type="dxa"/>
            <w:vAlign w:val="center"/>
          </w:tcPr>
          <w:p w:rsidR="001A59F9" w:rsidRPr="00C234F0" w:rsidRDefault="001A59F9" w:rsidP="00C234F0">
            <w:pPr>
              <w:spacing w:before="29" w:line="288" w:lineRule="auto"/>
              <w:ind w:left="17"/>
              <w:jc w:val="right"/>
              <w:rPr>
                <w:sz w:val="24"/>
              </w:rPr>
            </w:pPr>
            <w:r w:rsidRPr="00C234F0">
              <w:rPr>
                <w:sz w:val="24"/>
              </w:rPr>
              <w:t>33,770,800.00</w:t>
            </w:r>
          </w:p>
        </w:tc>
        <w:tc>
          <w:tcPr>
            <w:tcW w:w="2249" w:type="dxa"/>
            <w:vAlign w:val="center"/>
          </w:tcPr>
          <w:p w:rsidR="001A59F9" w:rsidRPr="00C234F0" w:rsidRDefault="001A59F9" w:rsidP="00C234F0">
            <w:pPr>
              <w:spacing w:before="29" w:line="288" w:lineRule="auto"/>
              <w:ind w:left="17"/>
              <w:jc w:val="right"/>
              <w:rPr>
                <w:sz w:val="24"/>
              </w:rPr>
            </w:pPr>
            <w:r w:rsidRPr="00C234F0">
              <w:rPr>
                <w:sz w:val="24"/>
              </w:rPr>
              <w:t>62.78</w:t>
            </w:r>
          </w:p>
        </w:tc>
      </w:tr>
    </w:tbl>
    <w:p w:rsidR="00436166" w:rsidRPr="00C51C77" w:rsidRDefault="00436166" w:rsidP="00BE4E5D">
      <w:pPr>
        <w:tabs>
          <w:tab w:val="left" w:pos="426"/>
        </w:tabs>
        <w:spacing w:before="29" w:line="288" w:lineRule="auto"/>
        <w:jc w:val="left"/>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72" w:name="_Toc361324884"/>
      <w:r w:rsidRPr="00245C29">
        <w:rPr>
          <w:rFonts w:ascii="Times New Roman" w:hAnsi="Times New Roman"/>
          <w:kern w:val="0"/>
          <w:szCs w:val="24"/>
        </w:rPr>
        <w:lastRenderedPageBreak/>
        <w:t>8.6</w:t>
      </w:r>
      <w:bookmarkStart w:id="73" w:name="_Toc234814105"/>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451388" w:rsidRPr="00245C29">
        <w:rPr>
          <w:rFonts w:ascii="Times New Roman" w:hAnsi="Times New Roman" w:hint="eastAsia"/>
          <w:kern w:val="0"/>
          <w:szCs w:val="24"/>
        </w:rPr>
        <w:t>排序</w:t>
      </w:r>
      <w:r w:rsidRPr="00245C29">
        <w:rPr>
          <w:rFonts w:ascii="Times New Roman" w:hAnsi="Times New Roman" w:hint="eastAsia"/>
          <w:kern w:val="0"/>
          <w:szCs w:val="24"/>
        </w:rPr>
        <w:t>的前五名债券投资明细</w:t>
      </w:r>
      <w:bookmarkEnd w:id="72"/>
      <w:bookmarkEnd w:id="73"/>
    </w:p>
    <w:p w:rsidR="001A59F9" w:rsidRPr="005F057B" w:rsidRDefault="001A59F9" w:rsidP="005F057B">
      <w:pPr>
        <w:autoSpaceDE w:val="0"/>
        <w:autoSpaceDN w:val="0"/>
        <w:adjustRightInd w:val="0"/>
        <w:spacing w:before="29" w:line="288" w:lineRule="auto"/>
        <w:ind w:left="15"/>
        <w:jc w:val="right"/>
        <w:rPr>
          <w:color w:val="000000"/>
          <w:sz w:val="24"/>
        </w:rPr>
      </w:pPr>
      <w:r w:rsidRPr="005F057B">
        <w:rPr>
          <w:rFonts w:hint="eastAsia"/>
          <w:color w:val="000000"/>
          <w:sz w:val="24"/>
        </w:rPr>
        <w:t>金额单位：人民币元</w:t>
      </w:r>
    </w:p>
    <w:tbl>
      <w:tblPr>
        <w:tblW w:w="89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99"/>
        <w:gridCol w:w="1499"/>
        <w:gridCol w:w="1500"/>
        <w:gridCol w:w="1500"/>
        <w:gridCol w:w="1500"/>
        <w:gridCol w:w="1500"/>
      </w:tblGrid>
      <w:tr w:rsidR="001A59F9" w:rsidRPr="00C51C77" w:rsidTr="006A1415">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序号</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债券代码</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债券名称</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数量</w:t>
            </w:r>
            <w:r w:rsidRPr="005F057B">
              <w:rPr>
                <w:color w:val="000000"/>
                <w:sz w:val="24"/>
              </w:rPr>
              <w:t>(</w:t>
            </w:r>
            <w:r w:rsidRPr="005F057B">
              <w:rPr>
                <w:rFonts w:hint="eastAsia"/>
                <w:color w:val="000000"/>
                <w:sz w:val="24"/>
              </w:rPr>
              <w:t>张</w:t>
            </w:r>
            <w:r w:rsidRPr="005F057B">
              <w:rPr>
                <w:color w:val="000000"/>
                <w:sz w:val="24"/>
              </w:rPr>
              <w:t>)</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公允价值</w:t>
            </w:r>
          </w:p>
        </w:tc>
        <w:tc>
          <w:tcPr>
            <w:tcW w:w="3459" w:type="dxa"/>
            <w:vAlign w:val="center"/>
          </w:tcPr>
          <w:p w:rsidR="001A59F9" w:rsidRPr="005F057B" w:rsidRDefault="001A59F9" w:rsidP="005F057B">
            <w:pPr>
              <w:spacing w:before="29" w:line="288" w:lineRule="auto"/>
              <w:ind w:left="17"/>
              <w:jc w:val="center"/>
              <w:rPr>
                <w:color w:val="000000"/>
                <w:sz w:val="24"/>
              </w:rPr>
            </w:pPr>
            <w:r w:rsidRPr="005F057B">
              <w:rPr>
                <w:rFonts w:hint="eastAsia"/>
                <w:color w:val="000000"/>
                <w:sz w:val="24"/>
              </w:rPr>
              <w:t>占基金资产净值比例</w:t>
            </w:r>
            <w:r w:rsidRPr="005F057B">
              <w:rPr>
                <w:color w:val="000000"/>
                <w:sz w:val="24"/>
              </w:rPr>
              <w:t>(</w:t>
            </w:r>
            <w:r w:rsidRPr="005F057B">
              <w:rPr>
                <w:rFonts w:hint="eastAsia"/>
                <w:color w:val="000000"/>
                <w:sz w:val="24"/>
              </w:rPr>
              <w:t>％</w:t>
            </w:r>
            <w:r w:rsidRPr="005F057B">
              <w:rPr>
                <w:color w:val="000000"/>
                <w:sz w:val="24"/>
              </w:rPr>
              <w:t>)</w:t>
            </w:r>
          </w:p>
        </w:tc>
      </w:tr>
      <w:tr w:rsidR="007C483C">
        <w:tc>
          <w:tcPr>
            <w:tcW w:w="1499" w:type="dxa"/>
            <w:vAlign w:val="center"/>
          </w:tcPr>
          <w:p w:rsidR="007C483C" w:rsidRDefault="007F41B2">
            <w:pPr>
              <w:jc w:val="center"/>
            </w:pPr>
            <w:r>
              <w:rPr>
                <w:color w:val="000000"/>
                <w:sz w:val="24"/>
              </w:rPr>
              <w:t>1</w:t>
            </w:r>
          </w:p>
        </w:tc>
        <w:tc>
          <w:tcPr>
            <w:tcW w:w="1499" w:type="dxa"/>
            <w:vAlign w:val="center"/>
          </w:tcPr>
          <w:p w:rsidR="007C483C" w:rsidRDefault="007F41B2">
            <w:pPr>
              <w:jc w:val="center"/>
            </w:pPr>
            <w:r>
              <w:rPr>
                <w:color w:val="000000"/>
                <w:sz w:val="24"/>
              </w:rPr>
              <w:t>170410</w:t>
            </w:r>
          </w:p>
        </w:tc>
        <w:tc>
          <w:tcPr>
            <w:tcW w:w="1500" w:type="dxa"/>
            <w:vAlign w:val="center"/>
          </w:tcPr>
          <w:p w:rsidR="007C483C" w:rsidRDefault="007F41B2">
            <w:pPr>
              <w:jc w:val="center"/>
            </w:pPr>
            <w:r>
              <w:rPr>
                <w:color w:val="000000"/>
                <w:sz w:val="24"/>
              </w:rPr>
              <w:t>17</w:t>
            </w:r>
            <w:r>
              <w:rPr>
                <w:color w:val="000000"/>
                <w:sz w:val="24"/>
              </w:rPr>
              <w:t>农发</w:t>
            </w:r>
            <w:r>
              <w:rPr>
                <w:color w:val="000000"/>
                <w:sz w:val="24"/>
              </w:rPr>
              <w:t>10</w:t>
            </w:r>
          </w:p>
        </w:tc>
        <w:tc>
          <w:tcPr>
            <w:tcW w:w="1500" w:type="dxa"/>
            <w:vAlign w:val="center"/>
          </w:tcPr>
          <w:p w:rsidR="007C483C" w:rsidRDefault="007F41B2">
            <w:pPr>
              <w:jc w:val="right"/>
            </w:pPr>
            <w:r>
              <w:rPr>
                <w:color w:val="000000"/>
                <w:sz w:val="24"/>
              </w:rPr>
              <w:t>140,000</w:t>
            </w:r>
          </w:p>
        </w:tc>
        <w:tc>
          <w:tcPr>
            <w:tcW w:w="1500" w:type="dxa"/>
            <w:vAlign w:val="center"/>
          </w:tcPr>
          <w:p w:rsidR="007C483C" w:rsidRDefault="007F41B2">
            <w:pPr>
              <w:jc w:val="right"/>
            </w:pPr>
            <w:r>
              <w:rPr>
                <w:color w:val="000000"/>
                <w:sz w:val="24"/>
              </w:rPr>
              <w:t>13,925,800.00</w:t>
            </w:r>
          </w:p>
        </w:tc>
        <w:tc>
          <w:tcPr>
            <w:tcW w:w="1500" w:type="dxa"/>
            <w:vAlign w:val="center"/>
          </w:tcPr>
          <w:p w:rsidR="007C483C" w:rsidRDefault="007F41B2">
            <w:pPr>
              <w:jc w:val="right"/>
            </w:pPr>
            <w:r>
              <w:rPr>
                <w:color w:val="000000"/>
                <w:sz w:val="24"/>
              </w:rPr>
              <w:t>25.89</w:t>
            </w:r>
          </w:p>
        </w:tc>
      </w:tr>
      <w:tr w:rsidR="007C483C">
        <w:tc>
          <w:tcPr>
            <w:tcW w:w="1499" w:type="dxa"/>
            <w:vAlign w:val="center"/>
          </w:tcPr>
          <w:p w:rsidR="007C483C" w:rsidRDefault="007F41B2">
            <w:pPr>
              <w:jc w:val="center"/>
            </w:pPr>
            <w:r>
              <w:rPr>
                <w:color w:val="000000"/>
                <w:sz w:val="24"/>
              </w:rPr>
              <w:t>2</w:t>
            </w:r>
          </w:p>
        </w:tc>
        <w:tc>
          <w:tcPr>
            <w:tcW w:w="1499" w:type="dxa"/>
            <w:vAlign w:val="center"/>
          </w:tcPr>
          <w:p w:rsidR="007C483C" w:rsidRDefault="007F41B2">
            <w:pPr>
              <w:jc w:val="center"/>
            </w:pPr>
            <w:r>
              <w:rPr>
                <w:color w:val="000000"/>
                <w:sz w:val="24"/>
              </w:rPr>
              <w:t>111716279</w:t>
            </w:r>
          </w:p>
        </w:tc>
        <w:tc>
          <w:tcPr>
            <w:tcW w:w="1500" w:type="dxa"/>
            <w:vAlign w:val="center"/>
          </w:tcPr>
          <w:p w:rsidR="007C483C" w:rsidRDefault="007F41B2">
            <w:pPr>
              <w:jc w:val="center"/>
            </w:pPr>
            <w:r>
              <w:rPr>
                <w:color w:val="000000"/>
                <w:sz w:val="24"/>
              </w:rPr>
              <w:t>17</w:t>
            </w:r>
            <w:r>
              <w:rPr>
                <w:color w:val="000000"/>
                <w:sz w:val="24"/>
              </w:rPr>
              <w:t>上海银行</w:t>
            </w:r>
            <w:r>
              <w:rPr>
                <w:color w:val="000000"/>
                <w:sz w:val="24"/>
              </w:rPr>
              <w:t>CD279</w:t>
            </w:r>
          </w:p>
        </w:tc>
        <w:tc>
          <w:tcPr>
            <w:tcW w:w="1500" w:type="dxa"/>
            <w:vAlign w:val="center"/>
          </w:tcPr>
          <w:p w:rsidR="007C483C" w:rsidRDefault="007F41B2">
            <w:pPr>
              <w:jc w:val="right"/>
            </w:pPr>
            <w:r>
              <w:rPr>
                <w:color w:val="000000"/>
                <w:sz w:val="24"/>
              </w:rPr>
              <w:t>100,000</w:t>
            </w:r>
          </w:p>
        </w:tc>
        <w:tc>
          <w:tcPr>
            <w:tcW w:w="1500" w:type="dxa"/>
            <w:vAlign w:val="center"/>
          </w:tcPr>
          <w:p w:rsidR="007C483C" w:rsidRDefault="007F41B2">
            <w:pPr>
              <w:jc w:val="right"/>
            </w:pPr>
            <w:r>
              <w:rPr>
                <w:color w:val="000000"/>
                <w:sz w:val="24"/>
              </w:rPr>
              <w:t>9,956,000.00</w:t>
            </w:r>
          </w:p>
        </w:tc>
        <w:tc>
          <w:tcPr>
            <w:tcW w:w="1500" w:type="dxa"/>
            <w:vAlign w:val="center"/>
          </w:tcPr>
          <w:p w:rsidR="007C483C" w:rsidRDefault="007F41B2">
            <w:pPr>
              <w:jc w:val="right"/>
            </w:pPr>
            <w:r>
              <w:rPr>
                <w:color w:val="000000"/>
                <w:sz w:val="24"/>
              </w:rPr>
              <w:t>18.51</w:t>
            </w:r>
          </w:p>
        </w:tc>
      </w:tr>
      <w:tr w:rsidR="007C483C">
        <w:tc>
          <w:tcPr>
            <w:tcW w:w="1499" w:type="dxa"/>
            <w:vAlign w:val="center"/>
          </w:tcPr>
          <w:p w:rsidR="007C483C" w:rsidRDefault="007F41B2">
            <w:pPr>
              <w:jc w:val="center"/>
            </w:pPr>
            <w:r>
              <w:rPr>
                <w:color w:val="000000"/>
                <w:sz w:val="24"/>
              </w:rPr>
              <w:t>3</w:t>
            </w:r>
          </w:p>
        </w:tc>
        <w:tc>
          <w:tcPr>
            <w:tcW w:w="1499" w:type="dxa"/>
            <w:vAlign w:val="center"/>
          </w:tcPr>
          <w:p w:rsidR="007C483C" w:rsidRDefault="007F41B2">
            <w:pPr>
              <w:jc w:val="center"/>
            </w:pPr>
            <w:r>
              <w:rPr>
                <w:color w:val="000000"/>
                <w:sz w:val="24"/>
              </w:rPr>
              <w:t>018005</w:t>
            </w:r>
          </w:p>
        </w:tc>
        <w:tc>
          <w:tcPr>
            <w:tcW w:w="1500" w:type="dxa"/>
            <w:vAlign w:val="center"/>
          </w:tcPr>
          <w:p w:rsidR="007C483C" w:rsidRDefault="007F41B2">
            <w:pPr>
              <w:jc w:val="center"/>
            </w:pPr>
            <w:r>
              <w:rPr>
                <w:color w:val="000000"/>
                <w:sz w:val="24"/>
              </w:rPr>
              <w:t>国开</w:t>
            </w:r>
            <w:r>
              <w:rPr>
                <w:color w:val="000000"/>
                <w:sz w:val="24"/>
              </w:rPr>
              <w:t>1701</w:t>
            </w:r>
          </w:p>
        </w:tc>
        <w:tc>
          <w:tcPr>
            <w:tcW w:w="1500" w:type="dxa"/>
            <w:vAlign w:val="center"/>
          </w:tcPr>
          <w:p w:rsidR="007C483C" w:rsidRDefault="007F41B2">
            <w:pPr>
              <w:jc w:val="right"/>
            </w:pPr>
            <w:r>
              <w:rPr>
                <w:color w:val="000000"/>
                <w:sz w:val="24"/>
              </w:rPr>
              <w:t>100,000</w:t>
            </w:r>
          </w:p>
        </w:tc>
        <w:tc>
          <w:tcPr>
            <w:tcW w:w="1500" w:type="dxa"/>
            <w:vAlign w:val="center"/>
          </w:tcPr>
          <w:p w:rsidR="007C483C" w:rsidRDefault="007F41B2">
            <w:pPr>
              <w:jc w:val="right"/>
            </w:pPr>
            <w:r>
              <w:rPr>
                <w:color w:val="000000"/>
                <w:sz w:val="24"/>
              </w:rPr>
              <w:t>9,889,000.00</w:t>
            </w:r>
          </w:p>
        </w:tc>
        <w:tc>
          <w:tcPr>
            <w:tcW w:w="1500" w:type="dxa"/>
            <w:vAlign w:val="center"/>
          </w:tcPr>
          <w:p w:rsidR="007C483C" w:rsidRDefault="007F41B2">
            <w:pPr>
              <w:jc w:val="right"/>
            </w:pPr>
            <w:r>
              <w:rPr>
                <w:color w:val="000000"/>
                <w:sz w:val="24"/>
              </w:rPr>
              <w:t>18.38</w:t>
            </w:r>
          </w:p>
        </w:tc>
      </w:tr>
    </w:tbl>
    <w:p w:rsidR="00360E5D" w:rsidRPr="00BE4E5D" w:rsidRDefault="00360E5D" w:rsidP="00BE4E5D">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bookmarkStart w:id="74" w:name="_Toc361324885"/>
      <w:r w:rsidRPr="00245C29">
        <w:rPr>
          <w:rFonts w:ascii="Times New Roman" w:hAnsi="Times New Roman"/>
          <w:kern w:val="0"/>
          <w:szCs w:val="24"/>
        </w:rPr>
        <w:t>8.7</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w:t>
      </w:r>
      <w:r w:rsidR="003D0669" w:rsidRPr="00245C29">
        <w:rPr>
          <w:rFonts w:ascii="Times New Roman" w:hAnsi="Times New Roman" w:hint="eastAsia"/>
          <w:kern w:val="0"/>
          <w:szCs w:val="24"/>
        </w:rPr>
        <w:t>排序</w:t>
      </w:r>
      <w:r w:rsidRPr="00245C29">
        <w:rPr>
          <w:rFonts w:ascii="Times New Roman" w:hAnsi="Times New Roman" w:hint="eastAsia"/>
          <w:kern w:val="0"/>
          <w:szCs w:val="24"/>
        </w:rPr>
        <w:t>的</w:t>
      </w:r>
      <w:r w:rsidR="007D125C" w:rsidRPr="00245C29">
        <w:rPr>
          <w:rFonts w:ascii="Times New Roman" w:hAnsi="Times New Roman" w:hint="eastAsia"/>
          <w:kern w:val="0"/>
          <w:szCs w:val="24"/>
        </w:rPr>
        <w:t>前十名</w:t>
      </w:r>
      <w:r w:rsidRPr="00245C29">
        <w:rPr>
          <w:rFonts w:ascii="Times New Roman" w:hAnsi="Times New Roman" w:hint="eastAsia"/>
          <w:kern w:val="0"/>
          <w:szCs w:val="24"/>
        </w:rPr>
        <w:t>资产支持证券投资明细</w:t>
      </w:r>
      <w:bookmarkEnd w:id="74"/>
    </w:p>
    <w:p w:rsidR="001A59F9" w:rsidRPr="00BE4E5D" w:rsidRDefault="001A59F9" w:rsidP="00BE4E5D">
      <w:pPr>
        <w:tabs>
          <w:tab w:val="left" w:pos="426"/>
        </w:tabs>
        <w:spacing w:before="29" w:line="288" w:lineRule="auto"/>
        <w:jc w:val="left"/>
        <w:rPr>
          <w:kern w:val="0"/>
          <w:sz w:val="24"/>
        </w:rPr>
      </w:pPr>
      <w:r w:rsidRPr="00F20F8D">
        <w:rPr>
          <w:kern w:val="0"/>
          <w:sz w:val="24"/>
        </w:rPr>
        <w:t>本基金本报告期末未持有资产支持证券。</w:t>
      </w:r>
      <w:r w:rsidR="00BE4E5D">
        <w:rPr>
          <w:rFonts w:hint="eastAsia"/>
          <w:kern w:val="0"/>
          <w:sz w:val="24"/>
        </w:rPr>
        <w:br/>
      </w:r>
    </w:p>
    <w:p w:rsidR="000E4505" w:rsidRDefault="000E4505"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8.8</w:t>
      </w:r>
      <w:r w:rsidRPr="00245C29">
        <w:rPr>
          <w:rFonts w:ascii="Times New Roman" w:hAnsi="Times New Roman" w:hint="eastAsia"/>
          <w:kern w:val="0"/>
          <w:szCs w:val="24"/>
        </w:rPr>
        <w:t xml:space="preserve"> </w:t>
      </w:r>
      <w:r w:rsidRPr="00245C29">
        <w:rPr>
          <w:rFonts w:ascii="Times New Roman" w:hAnsi="Times New Roman" w:hint="eastAsia"/>
          <w:kern w:val="0"/>
          <w:szCs w:val="24"/>
        </w:rPr>
        <w:t>报告期末按公允价值占基金资产净值比例大小排序的前五名贵金属投资明细</w:t>
      </w:r>
    </w:p>
    <w:p w:rsidR="000E4505" w:rsidRPr="00BE4E5D" w:rsidRDefault="000E4505" w:rsidP="00BE4E5D">
      <w:pPr>
        <w:tabs>
          <w:tab w:val="left" w:pos="426"/>
        </w:tabs>
        <w:spacing w:before="29" w:line="288" w:lineRule="auto"/>
        <w:jc w:val="left"/>
        <w:rPr>
          <w:kern w:val="0"/>
          <w:sz w:val="24"/>
        </w:rPr>
      </w:pPr>
      <w:r w:rsidRPr="009B5FD9">
        <w:rPr>
          <w:kern w:val="0"/>
          <w:sz w:val="24"/>
        </w:rPr>
        <w:t>本基金本报告期末未持有贵金属。</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5" w:name="_Toc361324886"/>
      <w:r w:rsidRPr="00245C29">
        <w:rPr>
          <w:rFonts w:ascii="Times New Roman" w:hAnsi="Times New Roman"/>
          <w:kern w:val="0"/>
          <w:szCs w:val="24"/>
        </w:rPr>
        <w:t>8.9</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期末按公允价值占基金资产净值比例大小排</w:t>
      </w:r>
      <w:r w:rsidR="006A4B92" w:rsidRPr="00245C29">
        <w:rPr>
          <w:rFonts w:ascii="Times New Roman" w:hAnsi="Times New Roman" w:hint="eastAsia"/>
          <w:kern w:val="0"/>
          <w:szCs w:val="24"/>
        </w:rPr>
        <w:t>序</w:t>
      </w:r>
      <w:r w:rsidRPr="00245C29">
        <w:rPr>
          <w:rFonts w:ascii="Times New Roman" w:hAnsi="Times New Roman" w:hint="eastAsia"/>
          <w:kern w:val="0"/>
          <w:szCs w:val="24"/>
        </w:rPr>
        <w:t>的前五名权证投资明细</w:t>
      </w:r>
      <w:bookmarkEnd w:id="75"/>
    </w:p>
    <w:p w:rsidR="001A59F9" w:rsidRPr="00BE4E5D" w:rsidRDefault="001A59F9" w:rsidP="00BE4E5D">
      <w:pPr>
        <w:tabs>
          <w:tab w:val="left" w:pos="426"/>
        </w:tabs>
        <w:spacing w:line="360" w:lineRule="auto"/>
        <w:jc w:val="left"/>
        <w:rPr>
          <w:kern w:val="0"/>
          <w:sz w:val="24"/>
        </w:rPr>
      </w:pPr>
      <w:r w:rsidRPr="009B5FD9">
        <w:rPr>
          <w:kern w:val="0"/>
          <w:sz w:val="24"/>
        </w:rPr>
        <w:t>本基金本报告期末未持有权证。</w:t>
      </w:r>
      <w:r w:rsidR="00BE4E5D">
        <w:rPr>
          <w:rFonts w:hint="eastAsia"/>
          <w:kern w:val="0"/>
          <w:sz w:val="24"/>
        </w:rPr>
        <w:br/>
      </w:r>
    </w:p>
    <w:p w:rsidR="005D072B" w:rsidRPr="00245C29" w:rsidRDefault="005D072B"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 xml:space="preserve">8.10 </w:t>
      </w:r>
      <w:r w:rsidRPr="00245C29">
        <w:rPr>
          <w:rFonts w:ascii="Times New Roman" w:hAnsi="Times New Roman" w:hint="eastAsia"/>
          <w:kern w:val="0"/>
          <w:szCs w:val="24"/>
        </w:rPr>
        <w:t>报告期末本基金投资的股指期货交易情况说明</w:t>
      </w:r>
    </w:p>
    <w:p w:rsidR="005D072B" w:rsidRPr="00BE4E5D" w:rsidRDefault="005D072B" w:rsidP="00BE4E5D">
      <w:pPr>
        <w:tabs>
          <w:tab w:val="left" w:pos="426"/>
        </w:tabs>
        <w:spacing w:before="29" w:line="288" w:lineRule="auto"/>
        <w:jc w:val="left"/>
        <w:rPr>
          <w:kern w:val="0"/>
          <w:sz w:val="24"/>
        </w:rPr>
      </w:pPr>
      <w:r w:rsidRPr="00075D2A">
        <w:rPr>
          <w:kern w:val="0"/>
          <w:sz w:val="24"/>
        </w:rPr>
        <w:t>本基金本报告期末未持有股指期货。</w:t>
      </w:r>
      <w:r w:rsidR="00BE4E5D">
        <w:rPr>
          <w:rFonts w:hint="eastAsia"/>
          <w:kern w:val="0"/>
          <w:sz w:val="24"/>
        </w:rPr>
        <w:br/>
      </w:r>
    </w:p>
    <w:p w:rsidR="00E074BE" w:rsidRPr="00245C29" w:rsidRDefault="00E074BE" w:rsidP="00245C29">
      <w:pPr>
        <w:pStyle w:val="20"/>
        <w:spacing w:before="29" w:after="0" w:line="288" w:lineRule="auto"/>
        <w:rPr>
          <w:rFonts w:ascii="Times New Roman" w:hAnsi="Times New Roman"/>
          <w:kern w:val="0"/>
          <w:szCs w:val="24"/>
        </w:rPr>
      </w:pPr>
      <w:r w:rsidRPr="00245C29">
        <w:rPr>
          <w:rFonts w:ascii="Times New Roman" w:hAnsi="Times New Roman" w:hint="eastAsia"/>
          <w:kern w:val="0"/>
          <w:szCs w:val="24"/>
        </w:rPr>
        <w:t>8.11</w:t>
      </w:r>
      <w:r w:rsidRPr="00245C29">
        <w:rPr>
          <w:rFonts w:ascii="Times New Roman" w:hAnsi="Times New Roman" w:hint="eastAsia"/>
          <w:kern w:val="0"/>
          <w:szCs w:val="24"/>
        </w:rPr>
        <w:t>报告期末本基金投资的国债期货交易情况说明</w:t>
      </w:r>
    </w:p>
    <w:p w:rsidR="00294431" w:rsidRPr="00BE4E5D" w:rsidRDefault="00E074BE" w:rsidP="00BE4E5D">
      <w:pPr>
        <w:tabs>
          <w:tab w:val="left" w:pos="426"/>
        </w:tabs>
        <w:spacing w:before="29" w:line="288" w:lineRule="auto"/>
        <w:jc w:val="left"/>
        <w:rPr>
          <w:kern w:val="0"/>
          <w:sz w:val="24"/>
        </w:rPr>
      </w:pPr>
      <w:r w:rsidRPr="00294431">
        <w:rPr>
          <w:rFonts w:hint="eastAsia"/>
          <w:kern w:val="0"/>
          <w:sz w:val="24"/>
        </w:rPr>
        <w:t>本基金本报告期末未持有国债期货。</w:t>
      </w:r>
      <w:r w:rsidR="00BE4E5D">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bookmarkStart w:id="76" w:name="_Toc361324887"/>
      <w:r w:rsidRPr="00245C29">
        <w:rPr>
          <w:rFonts w:ascii="Times New Roman" w:hAnsi="Times New Roman"/>
          <w:kern w:val="0"/>
          <w:szCs w:val="24"/>
        </w:rPr>
        <w:t xml:space="preserve">8.12 </w:t>
      </w:r>
      <w:r w:rsidRPr="00245C29">
        <w:rPr>
          <w:rFonts w:ascii="Times New Roman" w:hAnsi="Times New Roman" w:hint="eastAsia"/>
          <w:kern w:val="0"/>
          <w:szCs w:val="24"/>
        </w:rPr>
        <w:t>投资组合报告附注</w:t>
      </w:r>
      <w:bookmarkEnd w:id="76"/>
    </w:p>
    <w:p w:rsidR="001A59F9" w:rsidRDefault="001A59F9" w:rsidP="00AA16A6">
      <w:pPr>
        <w:spacing w:before="29" w:line="288" w:lineRule="auto"/>
        <w:rPr>
          <w:color w:val="000000"/>
          <w:sz w:val="24"/>
        </w:rPr>
      </w:pPr>
      <w:r w:rsidRPr="00A57982">
        <w:rPr>
          <w:b/>
          <w:color w:val="000000"/>
          <w:sz w:val="24"/>
        </w:rPr>
        <w:t>8.12.1</w:t>
      </w:r>
      <w:r w:rsidRPr="00463BF5">
        <w:rPr>
          <w:color w:val="000000"/>
          <w:sz w:val="24"/>
        </w:rPr>
        <w:t>报告期内本基金投资的前十名证券的发行主体未被监管部门立案调查，在本报告编制日前一年内本基金投资的前十名证券的发行主体未受到公开谴责和处罚。</w:t>
      </w:r>
    </w:p>
    <w:p w:rsidR="00463BF5" w:rsidRPr="00463BF5" w:rsidRDefault="001A59F9" w:rsidP="00D22E67">
      <w:pPr>
        <w:spacing w:before="29" w:line="288" w:lineRule="auto"/>
        <w:rPr>
          <w:color w:val="000000"/>
          <w:sz w:val="24"/>
        </w:rPr>
      </w:pPr>
      <w:r w:rsidRPr="00A57982">
        <w:rPr>
          <w:b/>
          <w:color w:val="000000"/>
          <w:sz w:val="24"/>
        </w:rPr>
        <w:t>8.12.2</w:t>
      </w:r>
      <w:r w:rsidRPr="00463BF5">
        <w:rPr>
          <w:color w:val="000000"/>
          <w:sz w:val="24"/>
        </w:rPr>
        <w:t>本基金投资的前十名股票中，没有超出基金合同规定的备选股票库之外的股票。</w:t>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8.12.3</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期末其他各项资产构成</w:t>
      </w:r>
    </w:p>
    <w:p w:rsidR="001A59F9" w:rsidRPr="004627DD" w:rsidRDefault="001A59F9" w:rsidP="00026C9C">
      <w:pPr>
        <w:autoSpaceDE w:val="0"/>
        <w:autoSpaceDN w:val="0"/>
        <w:adjustRightInd w:val="0"/>
        <w:spacing w:before="29" w:line="360" w:lineRule="auto"/>
        <w:ind w:left="15"/>
        <w:jc w:val="right"/>
        <w:rPr>
          <w:color w:val="000000"/>
          <w:sz w:val="24"/>
        </w:rPr>
      </w:pPr>
      <w:r w:rsidRPr="004627DD">
        <w:rPr>
          <w:rFonts w:hint="eastAsia"/>
          <w:color w:val="000000"/>
          <w:sz w:val="24"/>
        </w:rPr>
        <w:t>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65"/>
        <w:gridCol w:w="4116"/>
        <w:gridCol w:w="4117"/>
      </w:tblGrid>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rFonts w:hint="eastAsia"/>
                <w:color w:val="000000"/>
                <w:sz w:val="24"/>
              </w:rPr>
              <w:t>序号</w:t>
            </w:r>
          </w:p>
        </w:tc>
        <w:tc>
          <w:tcPr>
            <w:tcW w:w="4117" w:type="dxa"/>
          </w:tcPr>
          <w:p w:rsidR="001A59F9" w:rsidRPr="005717F5" w:rsidRDefault="001A59F9" w:rsidP="005717F5">
            <w:pPr>
              <w:spacing w:before="29" w:line="288" w:lineRule="auto"/>
              <w:jc w:val="center"/>
              <w:rPr>
                <w:color w:val="000000"/>
                <w:sz w:val="24"/>
              </w:rPr>
            </w:pPr>
            <w:r w:rsidRPr="005717F5">
              <w:rPr>
                <w:rFonts w:hint="eastAsia"/>
                <w:color w:val="000000"/>
                <w:sz w:val="24"/>
              </w:rPr>
              <w:t>名称</w:t>
            </w:r>
          </w:p>
        </w:tc>
        <w:tc>
          <w:tcPr>
            <w:tcW w:w="4118" w:type="dxa"/>
          </w:tcPr>
          <w:p w:rsidR="001A59F9" w:rsidRPr="005717F5" w:rsidRDefault="001A59F9" w:rsidP="005717F5">
            <w:pPr>
              <w:spacing w:before="29" w:line="288" w:lineRule="auto"/>
              <w:jc w:val="center"/>
              <w:rPr>
                <w:color w:val="000000"/>
                <w:sz w:val="24"/>
              </w:rPr>
            </w:pPr>
            <w:r w:rsidRPr="005717F5">
              <w:rPr>
                <w:rFonts w:hint="eastAsia"/>
                <w:color w:val="000000"/>
                <w:sz w:val="24"/>
              </w:rPr>
              <w:t>金额</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1</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存出保证金</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13,261.51</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2</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应收证券清算款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19,101.37</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3</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应收股利</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lastRenderedPageBreak/>
              <w:t>4</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应收利息</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531,853.80</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5</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应收申购款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6</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其他应收款</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tcPr>
          <w:p w:rsidR="001A59F9" w:rsidRPr="005717F5" w:rsidRDefault="001A59F9" w:rsidP="005717F5">
            <w:pPr>
              <w:spacing w:before="29" w:line="288" w:lineRule="auto"/>
              <w:jc w:val="center"/>
              <w:rPr>
                <w:color w:val="000000"/>
                <w:sz w:val="24"/>
              </w:rPr>
            </w:pPr>
            <w:r w:rsidRPr="005717F5">
              <w:rPr>
                <w:color w:val="000000"/>
                <w:sz w:val="24"/>
              </w:rPr>
              <w:t>7</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待摊费用</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8</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其他</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w:t>
            </w:r>
          </w:p>
        </w:tc>
      </w:tr>
      <w:tr w:rsidR="001A59F9" w:rsidRPr="00C51C77" w:rsidTr="00273FD9">
        <w:tc>
          <w:tcPr>
            <w:tcW w:w="765" w:type="dxa"/>
            <w:vAlign w:val="center"/>
          </w:tcPr>
          <w:p w:rsidR="001A59F9" w:rsidRPr="005717F5" w:rsidRDefault="001A59F9" w:rsidP="005717F5">
            <w:pPr>
              <w:spacing w:before="29" w:line="288" w:lineRule="auto"/>
              <w:jc w:val="center"/>
              <w:rPr>
                <w:color w:val="000000"/>
                <w:sz w:val="24"/>
              </w:rPr>
            </w:pPr>
            <w:r w:rsidRPr="005717F5">
              <w:rPr>
                <w:color w:val="000000"/>
                <w:sz w:val="24"/>
              </w:rPr>
              <w:t>9</w:t>
            </w:r>
          </w:p>
        </w:tc>
        <w:tc>
          <w:tcPr>
            <w:tcW w:w="4117" w:type="dxa"/>
            <w:vAlign w:val="center"/>
          </w:tcPr>
          <w:p w:rsidR="001A59F9" w:rsidRPr="005717F5" w:rsidRDefault="001A59F9" w:rsidP="005717F5">
            <w:pPr>
              <w:spacing w:before="29" w:line="288" w:lineRule="auto"/>
              <w:ind w:leftChars="50" w:left="105"/>
              <w:rPr>
                <w:color w:val="000000"/>
                <w:sz w:val="24"/>
              </w:rPr>
            </w:pPr>
            <w:r w:rsidRPr="005717F5">
              <w:rPr>
                <w:rFonts w:hint="eastAsia"/>
                <w:color w:val="000000"/>
                <w:sz w:val="24"/>
              </w:rPr>
              <w:t>合计</w:t>
            </w:r>
          </w:p>
        </w:tc>
        <w:tc>
          <w:tcPr>
            <w:tcW w:w="4118" w:type="dxa"/>
            <w:vAlign w:val="center"/>
          </w:tcPr>
          <w:p w:rsidR="001A59F9" w:rsidRPr="007A020D" w:rsidRDefault="001A59F9" w:rsidP="007A020D">
            <w:pPr>
              <w:autoSpaceDE w:val="0"/>
              <w:autoSpaceDN w:val="0"/>
              <w:adjustRightInd w:val="0"/>
              <w:spacing w:before="29" w:line="288" w:lineRule="auto"/>
              <w:ind w:left="15"/>
              <w:jc w:val="right"/>
              <w:rPr>
                <w:color w:val="000000"/>
                <w:sz w:val="24"/>
              </w:rPr>
            </w:pPr>
            <w:r w:rsidRPr="007A020D">
              <w:rPr>
                <w:color w:val="000000"/>
                <w:sz w:val="24"/>
              </w:rPr>
              <w:t>564,216.68</w:t>
            </w:r>
          </w:p>
        </w:tc>
      </w:tr>
    </w:tbl>
    <w:p w:rsidR="001A59F9" w:rsidRPr="00C51C77" w:rsidRDefault="001A59F9" w:rsidP="00026C9C">
      <w:pPr>
        <w:pStyle w:val="af6"/>
        <w:spacing w:before="0" w:beforeAutospacing="0" w:after="0" w:afterAutospacing="0" w:line="360" w:lineRule="auto"/>
        <w:rPr>
          <w:rFonts w:asciiTheme="minorEastAsia" w:eastAsiaTheme="minorEastAsia" w:hAnsiTheme="minorEastAsia"/>
          <w:b/>
          <w:bCs/>
          <w:color w:val="000000"/>
          <w:sz w:val="21"/>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8.12.4</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期末持有的处于转股期的可转换债券明细</w:t>
      </w:r>
    </w:p>
    <w:p w:rsidR="001A59F9" w:rsidRPr="00C51C77" w:rsidRDefault="001A59F9" w:rsidP="00A81E7C">
      <w:pPr>
        <w:tabs>
          <w:tab w:val="left" w:pos="426"/>
        </w:tabs>
        <w:spacing w:before="29" w:line="288" w:lineRule="auto"/>
        <w:jc w:val="left"/>
        <w:rPr>
          <w:rFonts w:asciiTheme="minorEastAsia" w:eastAsiaTheme="minorEastAsia" w:hAnsiTheme="minorEastAsia"/>
          <w:color w:val="000000"/>
          <w:szCs w:val="21"/>
        </w:rPr>
      </w:pPr>
      <w:r w:rsidRPr="00273FD9">
        <w:rPr>
          <w:kern w:val="0"/>
          <w:sz w:val="24"/>
        </w:rPr>
        <w:t>本基金本报告期末未持有处于转股期的可转换债券。</w:t>
      </w:r>
      <w:r w:rsidR="00A81E7C">
        <w:rPr>
          <w:rFonts w:hint="eastAsia"/>
          <w:kern w:val="0"/>
          <w:sz w:val="24"/>
        </w:rPr>
        <w:br/>
      </w: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8.12.5</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期末前十名股票中存在流通受限情况的说明</w:t>
      </w:r>
    </w:p>
    <w:p w:rsidR="001A59F9" w:rsidRDefault="001A59F9" w:rsidP="00273FD9">
      <w:pPr>
        <w:tabs>
          <w:tab w:val="left" w:pos="426"/>
        </w:tabs>
        <w:spacing w:before="29" w:line="288" w:lineRule="auto"/>
        <w:jc w:val="left"/>
        <w:rPr>
          <w:kern w:val="0"/>
          <w:sz w:val="24"/>
        </w:rPr>
      </w:pPr>
      <w:r w:rsidRPr="00273FD9">
        <w:rPr>
          <w:kern w:val="0"/>
          <w:sz w:val="24"/>
        </w:rPr>
        <w:t>本基金本报告期末未持有股票。</w:t>
      </w:r>
    </w:p>
    <w:p w:rsidR="00112C6D" w:rsidRPr="00273FD9" w:rsidRDefault="00112C6D" w:rsidP="00273FD9">
      <w:pPr>
        <w:tabs>
          <w:tab w:val="left" w:pos="426"/>
        </w:tabs>
        <w:spacing w:before="29" w:line="288" w:lineRule="auto"/>
        <w:jc w:val="left"/>
        <w:rPr>
          <w:kern w:val="0"/>
          <w:sz w:val="24"/>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8.12.6</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投资组合报告附注的其他文字描述部分</w:t>
      </w:r>
    </w:p>
    <w:p w:rsidR="001A59F9" w:rsidRDefault="001A59F9" w:rsidP="00F53C7C">
      <w:pPr>
        <w:spacing w:before="29" w:line="288" w:lineRule="auto"/>
        <w:rPr>
          <w:color w:val="000000"/>
          <w:sz w:val="24"/>
        </w:rPr>
      </w:pPr>
      <w:r w:rsidRPr="00F53C7C">
        <w:rPr>
          <w:color w:val="000000"/>
          <w:sz w:val="24"/>
        </w:rPr>
        <w:t>由于四舍五入的原因，分项之和与合计项之间可能存在尾差。</w:t>
      </w:r>
    </w:p>
    <w:p w:rsidR="00F53C7C" w:rsidRPr="00F53C7C" w:rsidRDefault="00F53C7C" w:rsidP="00F53C7C">
      <w:pPr>
        <w:spacing w:before="29" w:line="288" w:lineRule="auto"/>
        <w:rPr>
          <w:color w:val="000000"/>
          <w:sz w:val="24"/>
        </w:rPr>
      </w:pPr>
    </w:p>
    <w:p w:rsidR="001A59F9" w:rsidRDefault="001A59F9" w:rsidP="001320FD">
      <w:pPr>
        <w:pStyle w:val="1"/>
        <w:keepNext/>
        <w:keepLines/>
        <w:widowControl w:val="0"/>
        <w:spacing w:beforeLines="100" w:before="312" w:afterLines="100" w:after="312" w:line="288" w:lineRule="auto"/>
        <w:jc w:val="center"/>
        <w:rPr>
          <w:b/>
          <w:color w:val="000000"/>
          <w:szCs w:val="24"/>
        </w:rPr>
      </w:pPr>
      <w:bookmarkStart w:id="77" w:name="_Toc225500050"/>
      <w:bookmarkStart w:id="78" w:name="_Toc361324888"/>
      <w:r w:rsidRPr="00EF3943">
        <w:rPr>
          <w:rFonts w:hint="eastAsia"/>
          <w:b/>
          <w:color w:val="000000"/>
          <w:szCs w:val="24"/>
        </w:rPr>
        <w:t>§</w:t>
      </w:r>
      <w:r w:rsidRPr="00EF3943">
        <w:rPr>
          <w:b/>
          <w:color w:val="000000"/>
          <w:szCs w:val="24"/>
        </w:rPr>
        <w:t>9</w:t>
      </w:r>
      <w:r w:rsidR="009153A3" w:rsidRPr="00EF3943">
        <w:rPr>
          <w:rFonts w:hint="eastAsia"/>
          <w:b/>
          <w:color w:val="000000"/>
          <w:szCs w:val="24"/>
        </w:rPr>
        <w:t xml:space="preserve">  </w:t>
      </w:r>
      <w:r w:rsidRPr="00EF3943">
        <w:rPr>
          <w:rFonts w:hint="eastAsia"/>
          <w:b/>
          <w:color w:val="000000"/>
          <w:szCs w:val="24"/>
        </w:rPr>
        <w:t>基金份额持有人信息</w:t>
      </w:r>
      <w:bookmarkEnd w:id="77"/>
      <w:bookmarkEnd w:id="78"/>
    </w:p>
    <w:p w:rsidR="001A59F9" w:rsidRPr="00245C29" w:rsidRDefault="001A59F9" w:rsidP="00245C29">
      <w:pPr>
        <w:pStyle w:val="20"/>
        <w:spacing w:before="29" w:after="0" w:line="288" w:lineRule="auto"/>
        <w:rPr>
          <w:rFonts w:ascii="Times New Roman" w:hAnsi="Times New Roman"/>
          <w:kern w:val="0"/>
          <w:szCs w:val="24"/>
        </w:rPr>
      </w:pPr>
      <w:bookmarkStart w:id="79" w:name="_Toc225500051"/>
      <w:bookmarkStart w:id="80" w:name="_Toc361324889"/>
      <w:r w:rsidRPr="00245C29">
        <w:rPr>
          <w:rFonts w:ascii="Times New Roman" w:hAnsi="Times New Roman"/>
          <w:kern w:val="0"/>
          <w:szCs w:val="24"/>
        </w:rPr>
        <w:t xml:space="preserve">9.1 </w:t>
      </w:r>
      <w:r w:rsidRPr="00245C29">
        <w:rPr>
          <w:rFonts w:ascii="Times New Roman" w:hAnsi="Times New Roman" w:hint="eastAsia"/>
          <w:kern w:val="0"/>
          <w:szCs w:val="24"/>
        </w:rPr>
        <w:t>期末基金份额持有人户数及持有人结构</w:t>
      </w:r>
      <w:bookmarkEnd w:id="79"/>
      <w:bookmarkEnd w:id="80"/>
    </w:p>
    <w:p w:rsidR="002869EF" w:rsidRPr="00FC1A5A" w:rsidRDefault="002869EF" w:rsidP="00FC1A5A">
      <w:pPr>
        <w:autoSpaceDE w:val="0"/>
        <w:autoSpaceDN w:val="0"/>
        <w:adjustRightInd w:val="0"/>
        <w:spacing w:before="29" w:line="288" w:lineRule="auto"/>
        <w:ind w:left="15"/>
        <w:jc w:val="right"/>
        <w:rPr>
          <w:color w:val="000000"/>
          <w:sz w:val="24"/>
        </w:rPr>
      </w:pPr>
      <w:r w:rsidRPr="00FC1A5A">
        <w:rPr>
          <w:rFonts w:hint="eastAsia"/>
          <w:color w:val="000000"/>
          <w:sz w:val="24"/>
        </w:rPr>
        <w:t>份额单位：份</w:t>
      </w:r>
    </w:p>
    <w:tbl>
      <w:tblPr>
        <w:tblW w:w="5000" w:type="pct"/>
        <w:tblInd w:w="108" w:type="dxa"/>
        <w:tblLayout w:type="fixed"/>
        <w:tblLook w:val="00A0" w:firstRow="1" w:lastRow="0" w:firstColumn="1" w:lastColumn="0" w:noHBand="0" w:noVBand="0"/>
      </w:tblPr>
      <w:tblGrid>
        <w:gridCol w:w="2049"/>
        <w:gridCol w:w="1463"/>
        <w:gridCol w:w="1757"/>
        <w:gridCol w:w="1129"/>
        <w:gridCol w:w="1792"/>
        <w:gridCol w:w="1096"/>
      </w:tblGrid>
      <w:tr w:rsidR="007F41B2" w:rsidRPr="004B25B0" w:rsidTr="007F41B2">
        <w:tc>
          <w:tcPr>
            <w:tcW w:w="964" w:type="pct"/>
            <w:vMerge w:val="restart"/>
            <w:tcBorders>
              <w:top w:val="single" w:sz="8" w:space="0" w:color="000000"/>
              <w:left w:val="single" w:sz="8" w:space="0" w:color="000000"/>
              <w:right w:val="single" w:sz="8" w:space="0" w:color="000000"/>
            </w:tcBorders>
            <w:vAlign w:val="center"/>
          </w:tcPr>
          <w:p w:rsidR="007C483C" w:rsidRDefault="007F41B2">
            <w:pPr>
              <w:jc w:val="center"/>
            </w:pPr>
            <w:r>
              <w:t>持有人户数</w:t>
            </w:r>
            <w:r>
              <w:t>(</w:t>
            </w:r>
            <w:r>
              <w:t>户</w:t>
            </w:r>
            <w:r>
              <w:t>)</w:t>
            </w:r>
          </w:p>
        </w:tc>
        <w:tc>
          <w:tcPr>
            <w:tcW w:w="688" w:type="pct"/>
            <w:vMerge w:val="restar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户均持有的基金份额</w:t>
            </w:r>
          </w:p>
        </w:tc>
        <w:tc>
          <w:tcPr>
            <w:tcW w:w="2715" w:type="pct"/>
            <w:gridSpan w:val="4"/>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持有人结构</w:t>
            </w:r>
          </w:p>
        </w:tc>
      </w:tr>
      <w:tr w:rsidR="007F41B2" w:rsidRPr="004B25B0" w:rsidTr="007F41B2">
        <w:tc>
          <w:tcPr>
            <w:tcW w:w="964" w:type="pct"/>
            <w:vMerge/>
            <w:tcBorders>
              <w:left w:val="single" w:sz="8" w:space="0" w:color="000000"/>
              <w:right w:val="single" w:sz="8" w:space="0" w:color="000000"/>
            </w:tcBorders>
          </w:tcPr>
          <w:p w:rsidR="007C483C" w:rsidRDefault="007C483C">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1357"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机构投资者</w:t>
            </w:r>
          </w:p>
        </w:tc>
        <w:tc>
          <w:tcPr>
            <w:tcW w:w="1358" w:type="pct"/>
            <w:gridSpan w:val="2"/>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个人投资者</w:t>
            </w:r>
          </w:p>
        </w:tc>
      </w:tr>
      <w:tr w:rsidR="007F41B2" w:rsidRPr="004B25B0" w:rsidTr="007F41B2">
        <w:tc>
          <w:tcPr>
            <w:tcW w:w="964" w:type="pct"/>
            <w:vMerge/>
            <w:tcBorders>
              <w:left w:val="single" w:sz="8" w:space="0" w:color="000000"/>
              <w:bottom w:val="single" w:sz="8" w:space="0" w:color="000000"/>
              <w:right w:val="single" w:sz="8" w:space="0" w:color="000000"/>
            </w:tcBorders>
          </w:tcPr>
          <w:p w:rsidR="007C483C" w:rsidRDefault="007C483C">
            <w:pPr>
              <w:jc w:val="center"/>
            </w:pPr>
          </w:p>
        </w:tc>
        <w:tc>
          <w:tcPr>
            <w:tcW w:w="688" w:type="pct"/>
            <w:vMerge/>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持有份额</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F10C5B">
            <w:pPr>
              <w:spacing w:before="29" w:line="288" w:lineRule="auto"/>
              <w:ind w:left="17"/>
              <w:jc w:val="center"/>
              <w:rPr>
                <w:color w:val="000000"/>
                <w:szCs w:val="21"/>
              </w:rPr>
            </w:pPr>
            <w:r w:rsidRPr="004B25B0">
              <w:rPr>
                <w:rFonts w:hint="eastAsia"/>
                <w:color w:val="000000"/>
                <w:szCs w:val="21"/>
              </w:rPr>
              <w:t>占总份额比例</w:t>
            </w:r>
          </w:p>
        </w:tc>
      </w:tr>
      <w:tr w:rsidR="007F41B2" w:rsidRPr="004B25B0" w:rsidTr="007F41B2">
        <w:tc>
          <w:tcPr>
            <w:tcW w:w="964" w:type="pct"/>
            <w:tcBorders>
              <w:top w:val="single" w:sz="8" w:space="0" w:color="000000"/>
              <w:left w:val="single" w:sz="8" w:space="0" w:color="000000"/>
              <w:bottom w:val="single" w:sz="8" w:space="0" w:color="000000"/>
              <w:right w:val="single" w:sz="8" w:space="0" w:color="000000"/>
            </w:tcBorders>
            <w:vAlign w:val="center"/>
          </w:tcPr>
          <w:p w:rsidR="007C483C" w:rsidRDefault="007F41B2">
            <w:pPr>
              <w:jc w:val="center"/>
            </w:pPr>
            <w:r>
              <w:rPr>
                <w:bCs/>
                <w:color w:val="000000"/>
                <w:szCs w:val="21"/>
              </w:rPr>
              <w:t>406</w:t>
            </w:r>
          </w:p>
        </w:tc>
        <w:tc>
          <w:tcPr>
            <w:tcW w:w="688"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132,238.00</w:t>
            </w:r>
          </w:p>
        </w:tc>
        <w:tc>
          <w:tcPr>
            <w:tcW w:w="826"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w:t>
            </w:r>
          </w:p>
        </w:tc>
        <w:tc>
          <w:tcPr>
            <w:tcW w:w="531"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w:t>
            </w:r>
          </w:p>
        </w:tc>
        <w:tc>
          <w:tcPr>
            <w:tcW w:w="843" w:type="pct"/>
            <w:tcBorders>
              <w:top w:val="single" w:sz="8" w:space="0" w:color="000000"/>
              <w:left w:val="single" w:sz="8" w:space="0" w:color="000000"/>
              <w:bottom w:val="single" w:sz="8" w:space="0" w:color="000000"/>
              <w:right w:val="single" w:sz="8" w:space="0" w:color="000000"/>
            </w:tcBorders>
            <w:vAlign w:val="center"/>
          </w:tcPr>
          <w:p w:rsidR="002869EF" w:rsidRPr="004B25B0" w:rsidRDefault="002869EF" w:rsidP="005531B6">
            <w:pPr>
              <w:spacing w:line="360" w:lineRule="auto"/>
              <w:jc w:val="right"/>
              <w:rPr>
                <w:bCs/>
                <w:color w:val="000000"/>
                <w:szCs w:val="21"/>
              </w:rPr>
            </w:pPr>
            <w:r w:rsidRPr="004B25B0">
              <w:rPr>
                <w:bCs/>
                <w:color w:val="000000"/>
                <w:szCs w:val="21"/>
              </w:rPr>
              <w:t>53,688,629.82</w:t>
            </w:r>
          </w:p>
        </w:tc>
        <w:tc>
          <w:tcPr>
            <w:tcW w:w="515" w:type="pct"/>
            <w:tcBorders>
              <w:top w:val="single" w:sz="8" w:space="0" w:color="000000"/>
              <w:left w:val="single" w:sz="8" w:space="0" w:color="000000"/>
              <w:bottom w:val="single" w:sz="8" w:space="0" w:color="000000"/>
              <w:right w:val="single" w:sz="4" w:space="0" w:color="auto"/>
            </w:tcBorders>
            <w:vAlign w:val="center"/>
          </w:tcPr>
          <w:p w:rsidR="002869EF" w:rsidRPr="004B25B0" w:rsidRDefault="002869EF" w:rsidP="005531B6">
            <w:pPr>
              <w:spacing w:line="360" w:lineRule="auto"/>
              <w:jc w:val="right"/>
              <w:rPr>
                <w:bCs/>
                <w:color w:val="000000"/>
                <w:szCs w:val="21"/>
              </w:rPr>
            </w:pPr>
            <w:r w:rsidRPr="004B25B0">
              <w:rPr>
                <w:bCs/>
                <w:color w:val="000000"/>
                <w:szCs w:val="21"/>
              </w:rPr>
              <w:t>100.00%</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1" w:name="_Toc361324891"/>
      <w:r w:rsidRPr="00245C29">
        <w:rPr>
          <w:rFonts w:ascii="Times New Roman" w:hAnsi="Times New Roman"/>
          <w:kern w:val="0"/>
          <w:szCs w:val="24"/>
        </w:rPr>
        <w:t>9.2</w:t>
      </w:r>
      <w:r w:rsidR="008A0029" w:rsidRPr="00245C29">
        <w:rPr>
          <w:rFonts w:ascii="Times New Roman" w:hAnsi="Times New Roman" w:hint="eastAsia"/>
          <w:kern w:val="0"/>
          <w:szCs w:val="24"/>
        </w:rPr>
        <w:t xml:space="preserve"> </w:t>
      </w:r>
      <w:r w:rsidRPr="00245C29">
        <w:rPr>
          <w:rFonts w:ascii="Times New Roman" w:hAnsi="Times New Roman" w:hint="eastAsia"/>
          <w:kern w:val="0"/>
          <w:szCs w:val="24"/>
        </w:rPr>
        <w:t>期末基金管理人的从业人员持有本基金的情况</w:t>
      </w:r>
      <w:bookmarkEnd w:id="81"/>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827"/>
        <w:gridCol w:w="3011"/>
        <w:gridCol w:w="2160"/>
      </w:tblGrid>
      <w:tr w:rsidR="001A59F9" w:rsidRPr="00C51C77" w:rsidTr="00E7239C">
        <w:tc>
          <w:tcPr>
            <w:tcW w:w="3827"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项目</w:t>
            </w:r>
          </w:p>
        </w:tc>
        <w:tc>
          <w:tcPr>
            <w:tcW w:w="3011"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持有份额总数（份）</w:t>
            </w:r>
          </w:p>
        </w:tc>
        <w:tc>
          <w:tcPr>
            <w:tcW w:w="2160" w:type="dxa"/>
            <w:vAlign w:val="center"/>
          </w:tcPr>
          <w:p w:rsidR="001A59F9" w:rsidRPr="00A97873" w:rsidRDefault="001A59F9" w:rsidP="00A97873">
            <w:pPr>
              <w:spacing w:before="29" w:line="288" w:lineRule="auto"/>
              <w:ind w:left="17"/>
              <w:jc w:val="center"/>
              <w:rPr>
                <w:color w:val="000000"/>
                <w:sz w:val="24"/>
              </w:rPr>
            </w:pPr>
            <w:r w:rsidRPr="00A97873">
              <w:rPr>
                <w:rFonts w:hint="eastAsia"/>
                <w:color w:val="000000"/>
                <w:sz w:val="24"/>
              </w:rPr>
              <w:t>占基金总份额比例</w:t>
            </w:r>
          </w:p>
        </w:tc>
      </w:tr>
      <w:tr w:rsidR="001A59F9" w:rsidRPr="00C51C77" w:rsidTr="00E7239C">
        <w:tc>
          <w:tcPr>
            <w:tcW w:w="3827" w:type="dxa"/>
            <w:vAlign w:val="center"/>
          </w:tcPr>
          <w:p w:rsidR="001A59F9" w:rsidRPr="00C51C77" w:rsidRDefault="001A59F9" w:rsidP="004E0F59">
            <w:pPr>
              <w:spacing w:before="29" w:line="288" w:lineRule="auto"/>
              <w:jc w:val="left"/>
              <w:rPr>
                <w:rFonts w:asciiTheme="minorEastAsia" w:eastAsiaTheme="minorEastAsia" w:hAnsiTheme="minorEastAsia"/>
                <w:color w:val="000000"/>
                <w:szCs w:val="21"/>
              </w:rPr>
            </w:pPr>
            <w:r w:rsidRPr="004E0F59">
              <w:rPr>
                <w:rFonts w:hint="eastAsia"/>
                <w:color w:val="000000"/>
                <w:sz w:val="24"/>
              </w:rPr>
              <w:t>基金管理人所有从业人员持有本基金</w:t>
            </w:r>
          </w:p>
        </w:tc>
        <w:tc>
          <w:tcPr>
            <w:tcW w:w="3011" w:type="dxa"/>
            <w:vAlign w:val="center"/>
          </w:tcPr>
          <w:p w:rsidR="001A59F9" w:rsidRPr="00BF787C" w:rsidRDefault="007F41B2" w:rsidP="00BF787C">
            <w:pPr>
              <w:widowControl/>
              <w:spacing w:before="29" w:line="288" w:lineRule="auto"/>
              <w:jc w:val="right"/>
              <w:rPr>
                <w:color w:val="000000"/>
                <w:kern w:val="0"/>
                <w:sz w:val="24"/>
              </w:rPr>
            </w:pPr>
            <w:r>
              <w:rPr>
                <w:color w:val="000000"/>
                <w:kern w:val="0"/>
                <w:sz w:val="24"/>
              </w:rPr>
              <w:t>-</w:t>
            </w:r>
          </w:p>
        </w:tc>
        <w:tc>
          <w:tcPr>
            <w:tcW w:w="2160" w:type="dxa"/>
            <w:vAlign w:val="center"/>
          </w:tcPr>
          <w:p w:rsidR="001A59F9" w:rsidRPr="00BF787C" w:rsidRDefault="007F41B2" w:rsidP="00BF787C">
            <w:pPr>
              <w:widowControl/>
              <w:spacing w:before="29" w:line="288" w:lineRule="auto"/>
              <w:jc w:val="right"/>
              <w:rPr>
                <w:color w:val="000000"/>
                <w:kern w:val="0"/>
                <w:sz w:val="24"/>
              </w:rPr>
            </w:pPr>
            <w:r>
              <w:rPr>
                <w:color w:val="000000"/>
                <w:kern w:val="0"/>
                <w:sz w:val="24"/>
              </w:rPr>
              <w:t>-</w:t>
            </w:r>
          </w:p>
        </w:tc>
      </w:tr>
    </w:tbl>
    <w:p w:rsidR="001A59F9" w:rsidRPr="00E7239C" w:rsidRDefault="001A59F9" w:rsidP="00026C9C">
      <w:pPr>
        <w:spacing w:line="360" w:lineRule="auto"/>
        <w:rPr>
          <w:rFonts w:asciiTheme="minorEastAsia" w:eastAsiaTheme="minorEastAsia" w:hAnsiTheme="minorEastAsia"/>
          <w:color w:val="000000"/>
          <w:szCs w:val="21"/>
        </w:rPr>
      </w:pPr>
    </w:p>
    <w:p w:rsidR="00DB4544" w:rsidRPr="00E77BEC" w:rsidRDefault="00DB4544" w:rsidP="00245C29">
      <w:pPr>
        <w:pStyle w:val="20"/>
        <w:spacing w:before="29" w:after="0" w:line="288" w:lineRule="auto"/>
        <w:rPr>
          <w:rFonts w:ascii="宋体" w:hAnsi="宋体"/>
          <w:sz w:val="21"/>
          <w:szCs w:val="21"/>
        </w:rPr>
      </w:pPr>
      <w:r w:rsidRPr="00245C29">
        <w:rPr>
          <w:rFonts w:ascii="Times New Roman" w:hAnsi="Times New Roman"/>
          <w:kern w:val="0"/>
          <w:szCs w:val="24"/>
        </w:rPr>
        <w:t>9.3</w:t>
      </w:r>
      <w:r w:rsidRPr="00245C29">
        <w:rPr>
          <w:rFonts w:ascii="Times New Roman" w:hAnsi="Times New Roman" w:hint="eastAsia"/>
          <w:kern w:val="0"/>
          <w:szCs w:val="24"/>
        </w:rPr>
        <w:t>期末基金管理人的从业人员持有本开放式基金份额总量区间的情况</w:t>
      </w:r>
    </w:p>
    <w:tbl>
      <w:tblPr>
        <w:tblW w:w="8998"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203"/>
        <w:gridCol w:w="5795"/>
      </w:tblGrid>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项目</w:t>
            </w:r>
          </w:p>
        </w:tc>
        <w:tc>
          <w:tcPr>
            <w:tcW w:w="3220" w:type="pct"/>
            <w:shd w:val="clear" w:color="auto" w:fill="auto"/>
            <w:tcMar>
              <w:top w:w="0" w:type="dxa"/>
              <w:left w:w="108" w:type="dxa"/>
              <w:bottom w:w="0" w:type="dxa"/>
              <w:right w:w="108" w:type="dxa"/>
            </w:tcMar>
            <w:vAlign w:val="center"/>
            <w:hideMark/>
          </w:tcPr>
          <w:p w:rsidR="00DB4544" w:rsidRPr="00A97873" w:rsidRDefault="00DB4544" w:rsidP="00A97873">
            <w:pPr>
              <w:spacing w:before="29" w:line="288" w:lineRule="auto"/>
              <w:ind w:left="17"/>
              <w:jc w:val="center"/>
              <w:rPr>
                <w:color w:val="000000"/>
                <w:sz w:val="24"/>
              </w:rPr>
            </w:pPr>
            <w:r w:rsidRPr="00A97873">
              <w:rPr>
                <w:rFonts w:hint="eastAsia"/>
                <w:color w:val="000000"/>
                <w:sz w:val="24"/>
              </w:rPr>
              <w:t>持有基金份额总量的数量区间（万份）</w:t>
            </w:r>
          </w:p>
        </w:tc>
      </w:tr>
      <w:tr w:rsidR="00DB4544" w:rsidRPr="00E77BEC" w:rsidTr="00B41E3D">
        <w:trPr>
          <w:trHeight w:val="713"/>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lastRenderedPageBreak/>
              <w:t>本公司高级管理人员、基金投资和研究部门负责人持有本开放式基金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7F41B2" w:rsidP="00BF787C">
            <w:pPr>
              <w:widowControl/>
              <w:spacing w:before="29" w:line="288" w:lineRule="auto"/>
              <w:jc w:val="right"/>
              <w:rPr>
                <w:color w:val="000000"/>
                <w:kern w:val="0"/>
                <w:sz w:val="24"/>
              </w:rPr>
            </w:pPr>
            <w:r>
              <w:rPr>
                <w:color w:val="000000"/>
                <w:kern w:val="0"/>
                <w:sz w:val="24"/>
              </w:rPr>
              <w:t>-</w:t>
            </w:r>
          </w:p>
        </w:tc>
      </w:tr>
      <w:tr w:rsidR="00DB4544" w:rsidRPr="00E77BEC" w:rsidTr="00B41E3D">
        <w:trPr>
          <w:trHeight w:val="285"/>
        </w:trPr>
        <w:tc>
          <w:tcPr>
            <w:tcW w:w="1780" w:type="pct"/>
            <w:shd w:val="clear" w:color="auto" w:fill="auto"/>
            <w:tcMar>
              <w:top w:w="0" w:type="dxa"/>
              <w:left w:w="108" w:type="dxa"/>
              <w:bottom w:w="0" w:type="dxa"/>
              <w:right w:w="108" w:type="dxa"/>
            </w:tcMar>
            <w:vAlign w:val="center"/>
            <w:hideMark/>
          </w:tcPr>
          <w:p w:rsidR="00DB4544" w:rsidRPr="00B41E3D" w:rsidRDefault="00DB4544" w:rsidP="00B41E3D">
            <w:pPr>
              <w:spacing w:before="29" w:line="288" w:lineRule="auto"/>
              <w:jc w:val="left"/>
              <w:rPr>
                <w:color w:val="000000"/>
                <w:sz w:val="24"/>
              </w:rPr>
            </w:pPr>
            <w:r w:rsidRPr="00B41E3D">
              <w:rPr>
                <w:rFonts w:hint="eastAsia"/>
                <w:color w:val="000000"/>
                <w:sz w:val="24"/>
              </w:rPr>
              <w:t>本基金基金经理持有本开放式基金</w:t>
            </w:r>
          </w:p>
        </w:tc>
        <w:tc>
          <w:tcPr>
            <w:tcW w:w="3220" w:type="pct"/>
            <w:shd w:val="clear" w:color="auto" w:fill="auto"/>
            <w:tcMar>
              <w:top w:w="0" w:type="dxa"/>
              <w:left w:w="108" w:type="dxa"/>
              <w:bottom w:w="0" w:type="dxa"/>
              <w:right w:w="108" w:type="dxa"/>
            </w:tcMar>
            <w:vAlign w:val="center"/>
            <w:hideMark/>
          </w:tcPr>
          <w:p w:rsidR="00DB4544" w:rsidRPr="00BF787C" w:rsidRDefault="007F41B2" w:rsidP="00BF787C">
            <w:pPr>
              <w:widowControl/>
              <w:spacing w:before="29" w:line="288" w:lineRule="auto"/>
              <w:jc w:val="right"/>
              <w:rPr>
                <w:color w:val="000000"/>
                <w:kern w:val="0"/>
                <w:sz w:val="24"/>
              </w:rPr>
            </w:pPr>
            <w:r>
              <w:rPr>
                <w:color w:val="000000"/>
                <w:kern w:val="0"/>
                <w:sz w:val="24"/>
              </w:rPr>
              <w:t>-</w:t>
            </w:r>
          </w:p>
        </w:tc>
      </w:tr>
    </w:tbl>
    <w:p w:rsidR="00DB4544" w:rsidRPr="00C51C77" w:rsidRDefault="00DB4544" w:rsidP="00026C9C">
      <w:pPr>
        <w:spacing w:line="360" w:lineRule="auto"/>
        <w:rPr>
          <w:rFonts w:asciiTheme="minorEastAsia" w:eastAsiaTheme="minorEastAsia" w:hAnsiTheme="minorEastAsia"/>
          <w:color w:val="000000"/>
          <w:szCs w:val="21"/>
        </w:rPr>
      </w:pPr>
    </w:p>
    <w:p w:rsidR="001A59F9" w:rsidRDefault="001A59F9" w:rsidP="00300454">
      <w:pPr>
        <w:pStyle w:val="1"/>
        <w:keepNext/>
        <w:keepLines/>
        <w:widowControl w:val="0"/>
        <w:spacing w:before="29" w:line="288" w:lineRule="auto"/>
        <w:jc w:val="center"/>
        <w:rPr>
          <w:b/>
          <w:bCs/>
          <w:szCs w:val="24"/>
          <w:lang w:val="en-US"/>
        </w:rPr>
      </w:pPr>
      <w:bookmarkStart w:id="82" w:name="_Toc225500053"/>
      <w:bookmarkStart w:id="83" w:name="_Toc361324892"/>
      <w:r w:rsidRPr="00300454">
        <w:rPr>
          <w:rFonts w:hint="eastAsia"/>
          <w:b/>
          <w:bCs/>
          <w:szCs w:val="24"/>
          <w:lang w:val="en-US"/>
        </w:rPr>
        <w:t>§</w:t>
      </w:r>
      <w:r w:rsidR="009153A3" w:rsidRPr="00300454">
        <w:rPr>
          <w:b/>
          <w:bCs/>
          <w:szCs w:val="24"/>
          <w:lang w:val="en-US"/>
        </w:rPr>
        <w:t>10</w:t>
      </w:r>
      <w:r w:rsidR="009153A3" w:rsidRPr="00300454">
        <w:rPr>
          <w:rFonts w:hint="eastAsia"/>
          <w:b/>
          <w:bCs/>
          <w:szCs w:val="24"/>
          <w:lang w:val="en-US"/>
        </w:rPr>
        <w:t xml:space="preserve">  </w:t>
      </w:r>
      <w:r w:rsidRPr="00300454">
        <w:rPr>
          <w:rFonts w:hint="eastAsia"/>
          <w:b/>
          <w:bCs/>
          <w:szCs w:val="24"/>
          <w:lang w:val="en-US"/>
        </w:rPr>
        <w:t>开放式基金份额变动</w:t>
      </w:r>
      <w:bookmarkEnd w:id="82"/>
      <w:bookmarkEnd w:id="83"/>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单位：份</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778"/>
        <w:gridCol w:w="3508"/>
      </w:tblGrid>
      <w:tr w:rsidR="001A59F9" w:rsidRPr="00C51C77" w:rsidTr="001E60E8">
        <w:tc>
          <w:tcPr>
            <w:tcW w:w="3111" w:type="pct"/>
            <w:vAlign w:val="center"/>
          </w:tcPr>
          <w:p w:rsidR="001A59F9" w:rsidRPr="00300454" w:rsidRDefault="00A76E17" w:rsidP="00300454">
            <w:pPr>
              <w:spacing w:before="29" w:line="288" w:lineRule="auto"/>
              <w:rPr>
                <w:sz w:val="24"/>
              </w:rPr>
            </w:pPr>
            <w:r w:rsidRPr="00300454">
              <w:rPr>
                <w:rFonts w:hint="eastAsia"/>
                <w:sz w:val="24"/>
              </w:rPr>
              <w:t>基金合同生效日</w:t>
            </w:r>
            <w:r w:rsidRPr="00300454">
              <w:rPr>
                <w:rFonts w:hint="eastAsia"/>
                <w:sz w:val="24"/>
              </w:rPr>
              <w:t>(</w:t>
            </w:r>
            <w:r w:rsidR="00146153" w:rsidRPr="00300454">
              <w:rPr>
                <w:sz w:val="24"/>
              </w:rPr>
              <w:t>2015</w:t>
            </w:r>
            <w:r w:rsidR="00146153" w:rsidRPr="00300454">
              <w:rPr>
                <w:sz w:val="24"/>
              </w:rPr>
              <w:t>年</w:t>
            </w:r>
            <w:r w:rsidR="00146153" w:rsidRPr="00300454">
              <w:rPr>
                <w:sz w:val="24"/>
              </w:rPr>
              <w:t>11</w:t>
            </w:r>
            <w:r w:rsidR="00146153" w:rsidRPr="00300454">
              <w:rPr>
                <w:sz w:val="24"/>
              </w:rPr>
              <w:t>月</w:t>
            </w:r>
            <w:r w:rsidR="00146153" w:rsidRPr="00300454">
              <w:rPr>
                <w:sz w:val="24"/>
              </w:rPr>
              <w:t>9</w:t>
            </w:r>
            <w:r w:rsidR="00146153" w:rsidRPr="00300454">
              <w:rPr>
                <w:sz w:val="24"/>
              </w:rPr>
              <w:t>日</w:t>
            </w:r>
            <w:r w:rsidRPr="00300454">
              <w:rPr>
                <w:rFonts w:hint="eastAsia"/>
                <w:sz w:val="24"/>
              </w:rPr>
              <w:t>)</w:t>
            </w:r>
            <w:r w:rsidR="001A59F9" w:rsidRPr="00300454">
              <w:rPr>
                <w:rFonts w:hint="eastAsia"/>
                <w:sz w:val="24"/>
              </w:rPr>
              <w:t>基金份额总额</w:t>
            </w:r>
          </w:p>
        </w:tc>
        <w:tc>
          <w:tcPr>
            <w:tcW w:w="1889" w:type="pct"/>
          </w:tcPr>
          <w:p w:rsidR="001A59F9" w:rsidRPr="00300454" w:rsidRDefault="001A59F9" w:rsidP="00300454">
            <w:pPr>
              <w:spacing w:before="29" w:line="288" w:lineRule="auto"/>
              <w:jc w:val="right"/>
              <w:rPr>
                <w:sz w:val="24"/>
              </w:rPr>
            </w:pPr>
            <w:r w:rsidRPr="00300454">
              <w:rPr>
                <w:sz w:val="24"/>
              </w:rPr>
              <w:t xml:space="preserve">438,630,665.79 </w:t>
            </w:r>
          </w:p>
        </w:tc>
      </w:tr>
      <w:tr w:rsidR="001A59F9" w:rsidRPr="00C51C77" w:rsidTr="001E60E8">
        <w:tc>
          <w:tcPr>
            <w:tcW w:w="3111" w:type="pct"/>
            <w:vAlign w:val="center"/>
          </w:tcPr>
          <w:p w:rsidR="001A59F9" w:rsidRPr="00300454" w:rsidRDefault="0078060F" w:rsidP="00300454">
            <w:pPr>
              <w:spacing w:before="29" w:line="288" w:lineRule="auto"/>
              <w:rPr>
                <w:sz w:val="24"/>
              </w:rPr>
            </w:pPr>
            <w:r w:rsidRPr="00300454">
              <w:rPr>
                <w:rFonts w:hint="eastAsia"/>
                <w:sz w:val="24"/>
              </w:rPr>
              <w:t>本报告期期初基金份额总额</w:t>
            </w:r>
          </w:p>
        </w:tc>
        <w:tc>
          <w:tcPr>
            <w:tcW w:w="1889" w:type="pct"/>
          </w:tcPr>
          <w:p w:rsidR="001A59F9" w:rsidRPr="00300454" w:rsidRDefault="001A59F9" w:rsidP="00300454">
            <w:pPr>
              <w:spacing w:before="29" w:line="288" w:lineRule="auto"/>
              <w:jc w:val="right"/>
              <w:rPr>
                <w:sz w:val="24"/>
              </w:rPr>
            </w:pPr>
            <w:r w:rsidRPr="00300454">
              <w:rPr>
                <w:sz w:val="24"/>
              </w:rPr>
              <w:t>438,630,665.79</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基金总申购份额</w:t>
            </w:r>
          </w:p>
        </w:tc>
        <w:tc>
          <w:tcPr>
            <w:tcW w:w="1889" w:type="pct"/>
          </w:tcPr>
          <w:p w:rsidR="001A59F9" w:rsidRPr="00300454" w:rsidRDefault="001A59F9" w:rsidP="00300454">
            <w:pPr>
              <w:spacing w:before="29" w:line="288" w:lineRule="auto"/>
              <w:jc w:val="right"/>
              <w:rPr>
                <w:sz w:val="24"/>
              </w:rPr>
            </w:pPr>
            <w:r w:rsidRPr="00300454">
              <w:rPr>
                <w:sz w:val="24"/>
              </w:rPr>
              <w:t>999.00</w:t>
            </w:r>
          </w:p>
        </w:tc>
      </w:tr>
      <w:tr w:rsidR="001A59F9" w:rsidRPr="00C51C77" w:rsidTr="001E60E8">
        <w:tc>
          <w:tcPr>
            <w:tcW w:w="3111" w:type="pct"/>
            <w:vAlign w:val="center"/>
          </w:tcPr>
          <w:p w:rsidR="001A59F9" w:rsidRPr="00300454" w:rsidRDefault="001A59F9" w:rsidP="00300454">
            <w:pPr>
              <w:spacing w:before="29" w:line="288" w:lineRule="auto"/>
              <w:rPr>
                <w:sz w:val="24"/>
              </w:rPr>
            </w:pPr>
            <w:r w:rsidRPr="00300454">
              <w:rPr>
                <w:rFonts w:hint="eastAsia"/>
                <w:sz w:val="24"/>
              </w:rPr>
              <w:t>减：</w:t>
            </w:r>
            <w:r w:rsidR="00B94AF7" w:rsidRPr="00300454">
              <w:rPr>
                <w:sz w:val="24"/>
              </w:rPr>
              <w:t>本报告期</w:t>
            </w:r>
            <w:r w:rsidRPr="00300454">
              <w:rPr>
                <w:rFonts w:hint="eastAsia"/>
                <w:sz w:val="24"/>
              </w:rPr>
              <w:t>基金总赎回份额</w:t>
            </w:r>
          </w:p>
        </w:tc>
        <w:tc>
          <w:tcPr>
            <w:tcW w:w="1889" w:type="pct"/>
          </w:tcPr>
          <w:p w:rsidR="001A59F9" w:rsidRPr="00300454" w:rsidRDefault="001A59F9" w:rsidP="00300454">
            <w:pPr>
              <w:spacing w:before="29" w:line="288" w:lineRule="auto"/>
              <w:jc w:val="right"/>
              <w:rPr>
                <w:sz w:val="24"/>
              </w:rPr>
            </w:pPr>
            <w:r w:rsidRPr="00300454">
              <w:rPr>
                <w:sz w:val="24"/>
              </w:rPr>
              <w:t>384,943,034.97</w:t>
            </w:r>
          </w:p>
        </w:tc>
      </w:tr>
      <w:tr w:rsidR="001A59F9" w:rsidRPr="00C51C77" w:rsidTr="001E60E8">
        <w:tc>
          <w:tcPr>
            <w:tcW w:w="3111" w:type="pct"/>
            <w:vAlign w:val="center"/>
          </w:tcPr>
          <w:p w:rsidR="001A59F9" w:rsidRPr="00300454" w:rsidRDefault="00B94AF7" w:rsidP="00300454">
            <w:pPr>
              <w:spacing w:before="29" w:line="288" w:lineRule="auto"/>
              <w:rPr>
                <w:sz w:val="24"/>
              </w:rPr>
            </w:pPr>
            <w:r w:rsidRPr="00300454">
              <w:rPr>
                <w:sz w:val="24"/>
              </w:rPr>
              <w:t>本报告期</w:t>
            </w:r>
            <w:r w:rsidR="001A59F9" w:rsidRPr="00300454">
              <w:rPr>
                <w:rFonts w:hint="eastAsia"/>
                <w:sz w:val="24"/>
              </w:rPr>
              <w:t>基金拆分变动份额</w:t>
            </w:r>
          </w:p>
        </w:tc>
        <w:tc>
          <w:tcPr>
            <w:tcW w:w="1889" w:type="pct"/>
          </w:tcPr>
          <w:p w:rsidR="001A59F9" w:rsidRPr="00300454" w:rsidRDefault="001A59F9" w:rsidP="00300454">
            <w:pPr>
              <w:spacing w:before="29" w:line="288" w:lineRule="auto"/>
              <w:jc w:val="right"/>
              <w:rPr>
                <w:sz w:val="24"/>
              </w:rPr>
            </w:pPr>
            <w:r w:rsidRPr="00300454">
              <w:rPr>
                <w:sz w:val="24"/>
              </w:rPr>
              <w:t>-</w:t>
            </w:r>
          </w:p>
        </w:tc>
      </w:tr>
      <w:tr w:rsidR="001A59F9" w:rsidRPr="00C51C77" w:rsidTr="001E60E8">
        <w:tc>
          <w:tcPr>
            <w:tcW w:w="3111" w:type="pct"/>
            <w:vAlign w:val="center"/>
          </w:tcPr>
          <w:p w:rsidR="001A59F9" w:rsidRPr="00300454" w:rsidRDefault="00ED5DF2" w:rsidP="00300454">
            <w:pPr>
              <w:spacing w:before="29" w:line="288" w:lineRule="auto"/>
              <w:rPr>
                <w:sz w:val="24"/>
              </w:rPr>
            </w:pPr>
            <w:r w:rsidRPr="00300454">
              <w:rPr>
                <w:rFonts w:hint="eastAsia"/>
                <w:sz w:val="24"/>
              </w:rPr>
              <w:t>本报告期期末基金份额总额</w:t>
            </w:r>
          </w:p>
        </w:tc>
        <w:tc>
          <w:tcPr>
            <w:tcW w:w="1889" w:type="pct"/>
          </w:tcPr>
          <w:p w:rsidR="001A59F9" w:rsidRPr="00300454" w:rsidRDefault="001A59F9" w:rsidP="00300454">
            <w:pPr>
              <w:spacing w:before="29" w:line="288" w:lineRule="auto"/>
              <w:jc w:val="right"/>
              <w:rPr>
                <w:sz w:val="24"/>
              </w:rPr>
            </w:pPr>
            <w:r w:rsidRPr="00300454">
              <w:rPr>
                <w:sz w:val="24"/>
              </w:rPr>
              <w:t>53,688,629.82</w:t>
            </w:r>
          </w:p>
        </w:tc>
      </w:tr>
    </w:tbl>
    <w:p w:rsidR="007C483C" w:rsidRDefault="007F41B2">
      <w:pPr>
        <w:tabs>
          <w:tab w:val="left" w:pos="426"/>
        </w:tabs>
        <w:spacing w:before="29" w:line="288" w:lineRule="auto"/>
        <w:jc w:val="left"/>
        <w:rPr>
          <w:kern w:val="0"/>
          <w:sz w:val="24"/>
        </w:rPr>
      </w:pPr>
      <w:r>
        <w:rPr>
          <w:kern w:val="0"/>
          <w:sz w:val="24"/>
        </w:rPr>
        <w:t>注：</w:t>
      </w:r>
      <w:r>
        <w:rPr>
          <w:kern w:val="0"/>
          <w:sz w:val="24"/>
        </w:rPr>
        <w:t>1</w:t>
      </w:r>
      <w:r>
        <w:rPr>
          <w:kern w:val="0"/>
          <w:sz w:val="24"/>
        </w:rPr>
        <w:t>、如果本报告期间发生转换入、红利再投业务，则总申购份额中包含该业务；</w:t>
      </w:r>
    </w:p>
    <w:p w:rsidR="001A59F9" w:rsidRDefault="001A59F9" w:rsidP="00273FD9">
      <w:pPr>
        <w:tabs>
          <w:tab w:val="left" w:pos="426"/>
        </w:tabs>
        <w:spacing w:before="29" w:line="288" w:lineRule="auto"/>
        <w:jc w:val="left"/>
        <w:rPr>
          <w:kern w:val="0"/>
          <w:sz w:val="24"/>
        </w:rPr>
      </w:pPr>
      <w:r w:rsidRPr="00273FD9">
        <w:rPr>
          <w:kern w:val="0"/>
          <w:sz w:val="24"/>
        </w:rPr>
        <w:t>2</w:t>
      </w:r>
      <w:r w:rsidRPr="00273FD9">
        <w:rPr>
          <w:kern w:val="0"/>
          <w:sz w:val="24"/>
        </w:rPr>
        <w:t>、如果本报告期间发生转换出业务，则总赎回份额中包含该业务。</w:t>
      </w:r>
    </w:p>
    <w:p w:rsidR="00766709" w:rsidRPr="00273FD9" w:rsidRDefault="00766709" w:rsidP="00273FD9">
      <w:pPr>
        <w:tabs>
          <w:tab w:val="left" w:pos="426"/>
        </w:tabs>
        <w:spacing w:before="29" w:line="288" w:lineRule="auto"/>
        <w:jc w:val="left"/>
        <w:rPr>
          <w:kern w:val="0"/>
          <w:sz w:val="24"/>
        </w:rPr>
      </w:pPr>
    </w:p>
    <w:p w:rsidR="001A59F9" w:rsidRDefault="001A59F9" w:rsidP="001320FD">
      <w:pPr>
        <w:pStyle w:val="1"/>
        <w:keepNext/>
        <w:keepLines/>
        <w:widowControl w:val="0"/>
        <w:spacing w:beforeLines="100" w:before="312" w:afterLines="100" w:after="312" w:line="288" w:lineRule="auto"/>
        <w:jc w:val="center"/>
        <w:rPr>
          <w:b/>
          <w:bCs/>
          <w:szCs w:val="24"/>
          <w:lang w:val="en-US"/>
        </w:rPr>
      </w:pPr>
      <w:bookmarkStart w:id="84" w:name="_Toc225500054"/>
      <w:bookmarkStart w:id="85" w:name="_Toc361324893"/>
      <w:r w:rsidRPr="00087272">
        <w:rPr>
          <w:rFonts w:hint="eastAsia"/>
          <w:b/>
          <w:bCs/>
          <w:szCs w:val="24"/>
          <w:lang w:val="en-US"/>
        </w:rPr>
        <w:t>§</w:t>
      </w:r>
      <w:r w:rsidRPr="00087272">
        <w:rPr>
          <w:b/>
          <w:bCs/>
          <w:szCs w:val="24"/>
          <w:lang w:val="en-US"/>
        </w:rPr>
        <w:t>11</w:t>
      </w:r>
      <w:r w:rsidR="009153A3" w:rsidRPr="00087272">
        <w:rPr>
          <w:rFonts w:hint="eastAsia"/>
          <w:b/>
          <w:bCs/>
          <w:szCs w:val="24"/>
          <w:lang w:val="en-US"/>
        </w:rPr>
        <w:t xml:space="preserve">  </w:t>
      </w:r>
      <w:r w:rsidRPr="00087272">
        <w:rPr>
          <w:rFonts w:hint="eastAsia"/>
          <w:b/>
          <w:bCs/>
          <w:szCs w:val="24"/>
          <w:lang w:val="en-US"/>
        </w:rPr>
        <w:t>重大事件揭示</w:t>
      </w:r>
      <w:bookmarkEnd w:id="84"/>
      <w:bookmarkEnd w:id="85"/>
    </w:p>
    <w:p w:rsidR="002546CC" w:rsidRPr="002546CC" w:rsidRDefault="002546CC" w:rsidP="002546CC"/>
    <w:p w:rsidR="001A59F9" w:rsidRPr="00245C29" w:rsidRDefault="001A59F9" w:rsidP="00245C29">
      <w:pPr>
        <w:pStyle w:val="20"/>
        <w:spacing w:before="29" w:after="0" w:line="288" w:lineRule="auto"/>
        <w:rPr>
          <w:rFonts w:ascii="Times New Roman" w:hAnsi="Times New Roman"/>
          <w:kern w:val="0"/>
          <w:szCs w:val="24"/>
        </w:rPr>
      </w:pPr>
      <w:bookmarkStart w:id="86" w:name="_Toc361324894"/>
      <w:r w:rsidRPr="00245C29">
        <w:rPr>
          <w:rFonts w:ascii="Times New Roman" w:hAnsi="Times New Roman"/>
          <w:kern w:val="0"/>
          <w:szCs w:val="24"/>
        </w:rPr>
        <w:t>11.1</w:t>
      </w:r>
      <w:r w:rsidRPr="00245C29">
        <w:rPr>
          <w:rFonts w:ascii="Times New Roman" w:hAnsi="Times New Roman" w:hint="eastAsia"/>
          <w:kern w:val="0"/>
          <w:szCs w:val="24"/>
        </w:rPr>
        <w:t>基金份额持有人大会决议</w:t>
      </w:r>
      <w:bookmarkEnd w:id="86"/>
    </w:p>
    <w:p w:rsidR="001A59F9" w:rsidRPr="00700C00" w:rsidRDefault="001A59F9" w:rsidP="00700C00">
      <w:pPr>
        <w:spacing w:before="29" w:line="288" w:lineRule="auto"/>
        <w:ind w:firstLineChars="200" w:firstLine="480"/>
        <w:rPr>
          <w:color w:val="000000"/>
          <w:sz w:val="24"/>
        </w:rPr>
      </w:pPr>
      <w:r w:rsidRPr="00700C00">
        <w:rPr>
          <w:color w:val="000000"/>
          <w:sz w:val="24"/>
        </w:rPr>
        <w:t>本基金本报告期内未召开基金份额持有人大会。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C51C77" w:rsidRDefault="001A59F9" w:rsidP="00245C29">
      <w:pPr>
        <w:pStyle w:val="20"/>
        <w:spacing w:before="29" w:after="0" w:line="288" w:lineRule="auto"/>
        <w:rPr>
          <w:rFonts w:asciiTheme="minorEastAsia" w:eastAsiaTheme="minorEastAsia" w:hAnsiTheme="minorEastAsia"/>
          <w:kern w:val="0"/>
          <w:sz w:val="21"/>
          <w:szCs w:val="21"/>
        </w:rPr>
      </w:pPr>
      <w:bookmarkStart w:id="87" w:name="_Toc361324895"/>
      <w:r w:rsidRPr="00245C29">
        <w:rPr>
          <w:rFonts w:ascii="Times New Roman" w:hAnsi="Times New Roman"/>
          <w:kern w:val="0"/>
          <w:szCs w:val="24"/>
        </w:rPr>
        <w:t xml:space="preserve">11.2 </w:t>
      </w:r>
      <w:r w:rsidRPr="00245C29">
        <w:rPr>
          <w:rFonts w:ascii="Times New Roman" w:hAnsi="Times New Roman" w:hint="eastAsia"/>
          <w:kern w:val="0"/>
          <w:szCs w:val="24"/>
        </w:rPr>
        <w:t>基金管理人、基金托管人的专门基金托管部门的重大人事变动</w:t>
      </w:r>
      <w:bookmarkEnd w:id="87"/>
    </w:p>
    <w:p w:rsidR="007C483C" w:rsidRDefault="007F41B2">
      <w:pPr>
        <w:spacing w:before="29" w:line="288" w:lineRule="auto"/>
        <w:ind w:firstLineChars="200" w:firstLine="480"/>
        <w:rPr>
          <w:color w:val="000000"/>
          <w:sz w:val="24"/>
        </w:rPr>
      </w:pPr>
      <w:r>
        <w:rPr>
          <w:color w:val="000000"/>
          <w:sz w:val="24"/>
        </w:rPr>
        <w:t>1</w:t>
      </w:r>
      <w:r>
        <w:rPr>
          <w:color w:val="000000"/>
          <w:sz w:val="24"/>
        </w:rPr>
        <w:t>、基金管理人的重大人事变动：本报告期内，本基金的基金管理人未发生重大人事变动。</w:t>
      </w:r>
      <w:r>
        <w:rPr>
          <w:color w:val="000000"/>
          <w:sz w:val="24"/>
        </w:rPr>
        <w:t xml:space="preserve"> </w:t>
      </w:r>
    </w:p>
    <w:p w:rsidR="001A59F9" w:rsidRPr="00700C00" w:rsidRDefault="001A59F9" w:rsidP="00700C00">
      <w:pPr>
        <w:spacing w:before="29" w:line="288" w:lineRule="auto"/>
        <w:ind w:firstLineChars="200" w:firstLine="480"/>
        <w:rPr>
          <w:color w:val="000000"/>
          <w:sz w:val="24"/>
        </w:rPr>
      </w:pPr>
      <w:r w:rsidRPr="00700C00">
        <w:rPr>
          <w:color w:val="000000"/>
          <w:sz w:val="24"/>
        </w:rPr>
        <w:t>2</w:t>
      </w:r>
      <w:r w:rsidRPr="00700C00">
        <w:rPr>
          <w:color w:val="000000"/>
          <w:sz w:val="24"/>
        </w:rPr>
        <w:t>、基金托管人的基金托管部门的重大人事变动：本基金托管人的专门基金托管部门本报告期内未发生重大人事变动。</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8" w:name="_Toc361324896"/>
      <w:r w:rsidRPr="00245C29">
        <w:rPr>
          <w:rFonts w:ascii="Times New Roman" w:hAnsi="Times New Roman"/>
          <w:kern w:val="0"/>
          <w:szCs w:val="24"/>
        </w:rPr>
        <w:t xml:space="preserve">11.3 </w:t>
      </w:r>
      <w:r w:rsidRPr="00245C29">
        <w:rPr>
          <w:rFonts w:ascii="Times New Roman" w:hAnsi="Times New Roman" w:hint="eastAsia"/>
          <w:kern w:val="0"/>
          <w:szCs w:val="24"/>
        </w:rPr>
        <w:t>涉及基金管理人、基金财产、基金托管业务的诉讼</w:t>
      </w:r>
      <w:bookmarkEnd w:id="88"/>
    </w:p>
    <w:p w:rsidR="001A59F9" w:rsidRPr="00700C00" w:rsidRDefault="001A59F9" w:rsidP="00700C00">
      <w:pPr>
        <w:spacing w:before="29" w:line="288" w:lineRule="auto"/>
        <w:ind w:firstLineChars="200" w:firstLine="480"/>
        <w:rPr>
          <w:color w:val="000000"/>
          <w:sz w:val="24"/>
        </w:rPr>
      </w:pPr>
      <w:r w:rsidRPr="00700C00">
        <w:rPr>
          <w:color w:val="000000"/>
          <w:sz w:val="24"/>
        </w:rPr>
        <w:t>本报告期内未发生涉及本基金管理人、基金财产、基金托管业务的诉讼事项。</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89" w:name="_Toc361324897"/>
      <w:r w:rsidRPr="00245C29">
        <w:rPr>
          <w:rFonts w:ascii="Times New Roman" w:hAnsi="Times New Roman"/>
          <w:kern w:val="0"/>
          <w:szCs w:val="24"/>
        </w:rPr>
        <w:t xml:space="preserve">11.4 </w:t>
      </w:r>
      <w:r w:rsidRPr="00245C29">
        <w:rPr>
          <w:rFonts w:ascii="Times New Roman" w:hAnsi="Times New Roman" w:hint="eastAsia"/>
          <w:kern w:val="0"/>
          <w:szCs w:val="24"/>
        </w:rPr>
        <w:t>基金投资策略的改变</w:t>
      </w:r>
      <w:bookmarkEnd w:id="89"/>
    </w:p>
    <w:p w:rsidR="001A59F9" w:rsidRPr="00700C00" w:rsidRDefault="001A59F9" w:rsidP="00700C00">
      <w:pPr>
        <w:spacing w:before="29" w:line="288" w:lineRule="auto"/>
        <w:ind w:firstLineChars="200" w:firstLine="480"/>
        <w:rPr>
          <w:color w:val="000000"/>
          <w:sz w:val="24"/>
        </w:rPr>
      </w:pPr>
      <w:r w:rsidRPr="00700C00">
        <w:rPr>
          <w:color w:val="000000"/>
          <w:sz w:val="24"/>
        </w:rPr>
        <w:t>交银施罗德丰硕收益债券型证券投资基金的封闭期自</w:t>
      </w:r>
      <w:r w:rsidRPr="00700C00">
        <w:rPr>
          <w:color w:val="000000"/>
          <w:sz w:val="24"/>
        </w:rPr>
        <w:t>2015</w:t>
      </w:r>
      <w:r w:rsidRPr="00700C00">
        <w:rPr>
          <w:color w:val="000000"/>
          <w:sz w:val="24"/>
        </w:rPr>
        <w:t>年</w:t>
      </w:r>
      <w:r w:rsidRPr="00700C00">
        <w:rPr>
          <w:color w:val="000000"/>
          <w:sz w:val="24"/>
        </w:rPr>
        <w:t>11</w:t>
      </w:r>
      <w:r w:rsidRPr="00700C00">
        <w:rPr>
          <w:color w:val="000000"/>
          <w:sz w:val="24"/>
        </w:rPr>
        <w:t>月</w:t>
      </w:r>
      <w:r w:rsidRPr="00700C00">
        <w:rPr>
          <w:color w:val="000000"/>
          <w:sz w:val="24"/>
        </w:rPr>
        <w:t>9</w:t>
      </w:r>
      <w:r w:rsidRPr="00700C00">
        <w:rPr>
          <w:color w:val="000000"/>
          <w:sz w:val="24"/>
        </w:rPr>
        <w:t>日开始至</w:t>
      </w:r>
      <w:r w:rsidRPr="00700C00">
        <w:rPr>
          <w:color w:val="000000"/>
          <w:sz w:val="24"/>
        </w:rPr>
        <w:t>2017</w:t>
      </w:r>
      <w:r w:rsidRPr="00700C00">
        <w:rPr>
          <w:color w:val="000000"/>
          <w:sz w:val="24"/>
        </w:rPr>
        <w:lastRenderedPageBreak/>
        <w:t>年</w:t>
      </w:r>
      <w:r w:rsidRPr="00700C00">
        <w:rPr>
          <w:color w:val="000000"/>
          <w:sz w:val="24"/>
        </w:rPr>
        <w:t>11</w:t>
      </w:r>
      <w:r w:rsidRPr="00700C00">
        <w:rPr>
          <w:color w:val="000000"/>
          <w:sz w:val="24"/>
        </w:rPr>
        <w:t>月</w:t>
      </w:r>
      <w:r w:rsidRPr="00700C00">
        <w:rPr>
          <w:color w:val="000000"/>
          <w:sz w:val="24"/>
        </w:rPr>
        <w:t>9</w:t>
      </w:r>
      <w:r w:rsidRPr="00700C00">
        <w:rPr>
          <w:color w:val="000000"/>
          <w:sz w:val="24"/>
        </w:rPr>
        <w:t>日止，自</w:t>
      </w:r>
      <w:r w:rsidRPr="00700C00">
        <w:rPr>
          <w:color w:val="000000"/>
          <w:sz w:val="24"/>
        </w:rPr>
        <w:t>2017</w:t>
      </w:r>
      <w:r w:rsidRPr="00700C00">
        <w:rPr>
          <w:color w:val="000000"/>
          <w:sz w:val="24"/>
        </w:rPr>
        <w:t>年</w:t>
      </w:r>
      <w:r w:rsidRPr="00700C00">
        <w:rPr>
          <w:color w:val="000000"/>
          <w:sz w:val="24"/>
        </w:rPr>
        <w:t>11</w:t>
      </w:r>
      <w:r w:rsidRPr="00700C00">
        <w:rPr>
          <w:color w:val="000000"/>
          <w:sz w:val="24"/>
        </w:rPr>
        <w:t>月</w:t>
      </w:r>
      <w:r w:rsidRPr="00700C00">
        <w:rPr>
          <w:color w:val="000000"/>
          <w:sz w:val="24"/>
        </w:rPr>
        <w:t>10</w:t>
      </w:r>
      <w:r w:rsidRPr="00700C00">
        <w:rPr>
          <w:color w:val="000000"/>
          <w:sz w:val="24"/>
        </w:rPr>
        <w:t>日起转为开放式运作，并自该日起适用《交银施罗德丰硕收益债券型证券投资基金基金合同》中关于</w:t>
      </w:r>
      <w:r w:rsidRPr="00700C00">
        <w:rPr>
          <w:color w:val="000000"/>
          <w:sz w:val="24"/>
        </w:rPr>
        <w:t>“</w:t>
      </w:r>
      <w:r w:rsidRPr="00700C00">
        <w:rPr>
          <w:color w:val="000000"/>
          <w:sz w:val="24"/>
        </w:rPr>
        <w:t>转为开放式运作后的投资</w:t>
      </w:r>
      <w:r w:rsidRPr="00700C00">
        <w:rPr>
          <w:color w:val="000000"/>
          <w:sz w:val="24"/>
        </w:rPr>
        <w:t>”</w:t>
      </w:r>
      <w:r w:rsidRPr="00700C00">
        <w:rPr>
          <w:color w:val="000000"/>
          <w:sz w:val="24"/>
        </w:rPr>
        <w:t>的相关规定进行运作。</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0" w:name="_Toc361324898"/>
      <w:r w:rsidRPr="00245C29">
        <w:rPr>
          <w:rFonts w:ascii="Times New Roman" w:hAnsi="Times New Roman"/>
          <w:kern w:val="0"/>
          <w:szCs w:val="24"/>
        </w:rPr>
        <w:t>11.5</w:t>
      </w:r>
      <w:bookmarkEnd w:id="90"/>
      <w:r w:rsidR="001134F0" w:rsidRPr="00245C29">
        <w:rPr>
          <w:rFonts w:ascii="Times New Roman" w:hAnsi="Times New Roman" w:hint="eastAsia"/>
          <w:kern w:val="0"/>
          <w:szCs w:val="24"/>
        </w:rPr>
        <w:t>为基金进行审计的会计师事务所情况</w:t>
      </w:r>
    </w:p>
    <w:p w:rsidR="001A59F9" w:rsidRPr="00700C00" w:rsidRDefault="001A59F9" w:rsidP="00700C00">
      <w:pPr>
        <w:spacing w:before="29" w:line="288" w:lineRule="auto"/>
        <w:ind w:firstLineChars="200" w:firstLine="480"/>
        <w:rPr>
          <w:color w:val="000000"/>
          <w:sz w:val="24"/>
        </w:rPr>
      </w:pPr>
      <w:bookmarkStart w:id="91" w:name="OLE_LINK3"/>
      <w:r w:rsidRPr="00700C00">
        <w:rPr>
          <w:color w:val="000000"/>
          <w:sz w:val="24"/>
        </w:rPr>
        <w:t>本报告期内，为本基金提供审计服务的会计师事务所为普华永道中天会计师事务所</w:t>
      </w:r>
      <w:r w:rsidRPr="00700C00">
        <w:rPr>
          <w:color w:val="000000"/>
          <w:sz w:val="24"/>
        </w:rPr>
        <w:t>(</w:t>
      </w:r>
      <w:r w:rsidRPr="00700C00">
        <w:rPr>
          <w:color w:val="000000"/>
          <w:sz w:val="24"/>
        </w:rPr>
        <w:t>特殊普通合伙</w:t>
      </w:r>
      <w:r w:rsidRPr="00700C00">
        <w:rPr>
          <w:color w:val="000000"/>
          <w:sz w:val="24"/>
        </w:rPr>
        <w:t>)</w:t>
      </w:r>
      <w:r w:rsidRPr="00700C00">
        <w:rPr>
          <w:color w:val="000000"/>
          <w:sz w:val="24"/>
        </w:rPr>
        <w:t>，本期审计费为</w:t>
      </w:r>
      <w:r w:rsidRPr="00700C00">
        <w:rPr>
          <w:color w:val="000000"/>
          <w:sz w:val="24"/>
        </w:rPr>
        <w:t>60,000</w:t>
      </w:r>
      <w:r w:rsidRPr="00700C00">
        <w:rPr>
          <w:color w:val="000000"/>
          <w:sz w:val="24"/>
        </w:rPr>
        <w:t>元。自本基金基金合同生效以来，本基金未改聘为其审计的会计师事务所。</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2" w:name="_Toc361324899"/>
      <w:bookmarkEnd w:id="91"/>
      <w:r w:rsidRPr="00245C29">
        <w:rPr>
          <w:rFonts w:ascii="Times New Roman" w:hAnsi="Times New Roman"/>
          <w:kern w:val="0"/>
          <w:szCs w:val="24"/>
        </w:rPr>
        <w:t xml:space="preserve">11.6 </w:t>
      </w:r>
      <w:r w:rsidRPr="00245C29">
        <w:rPr>
          <w:rFonts w:ascii="Times New Roman" w:hAnsi="Times New Roman" w:hint="eastAsia"/>
          <w:kern w:val="0"/>
          <w:szCs w:val="24"/>
        </w:rPr>
        <w:t>管理人、托管人及其高级管理人员受稽查或处罚等情况</w:t>
      </w:r>
      <w:bookmarkEnd w:id="92"/>
    </w:p>
    <w:p w:rsidR="007C483C" w:rsidRDefault="007F41B2">
      <w:pPr>
        <w:spacing w:before="29" w:line="288" w:lineRule="auto"/>
        <w:ind w:firstLineChars="200" w:firstLine="480"/>
        <w:rPr>
          <w:color w:val="000000"/>
          <w:sz w:val="24"/>
        </w:rPr>
      </w:pPr>
      <w:r>
        <w:rPr>
          <w:color w:val="000000"/>
          <w:sz w:val="24"/>
        </w:rPr>
        <w:t>（</w:t>
      </w:r>
      <w:r>
        <w:rPr>
          <w:color w:val="000000"/>
          <w:sz w:val="24"/>
        </w:rPr>
        <w:t>1</w:t>
      </w:r>
      <w:r>
        <w:rPr>
          <w:color w:val="000000"/>
          <w:sz w:val="24"/>
        </w:rPr>
        <w:t>）管理人及其高级管理人员受稽查或处罚等情况</w:t>
      </w:r>
    </w:p>
    <w:p w:rsidR="007C483C" w:rsidRDefault="007F41B2">
      <w:pPr>
        <w:spacing w:before="29" w:line="288" w:lineRule="auto"/>
        <w:ind w:firstLineChars="200" w:firstLine="480"/>
        <w:rPr>
          <w:color w:val="000000"/>
          <w:sz w:val="24"/>
        </w:rPr>
      </w:pPr>
      <w:r>
        <w:rPr>
          <w:color w:val="000000"/>
          <w:sz w:val="24"/>
        </w:rPr>
        <w:t>本报告期内公司收到中国证监会</w:t>
      </w:r>
      <w:r>
        <w:rPr>
          <w:color w:val="000000"/>
          <w:sz w:val="24"/>
        </w:rPr>
        <w:t>2016</w:t>
      </w:r>
      <w:r>
        <w:rPr>
          <w:color w:val="000000"/>
          <w:sz w:val="24"/>
        </w:rPr>
        <w:t>年</w:t>
      </w:r>
      <w:r>
        <w:rPr>
          <w:color w:val="000000"/>
          <w:sz w:val="24"/>
        </w:rPr>
        <w:t>“</w:t>
      </w:r>
      <w:r>
        <w:rPr>
          <w:color w:val="000000"/>
          <w:sz w:val="24"/>
        </w:rPr>
        <w:t>两个加强、两个遏制</w:t>
      </w:r>
      <w:r>
        <w:rPr>
          <w:color w:val="000000"/>
          <w:sz w:val="24"/>
        </w:rPr>
        <w:t>”</w:t>
      </w:r>
      <w:r>
        <w:rPr>
          <w:color w:val="000000"/>
          <w:sz w:val="24"/>
        </w:rPr>
        <w:t>回头看专项检查后采取责令改正的要求，公司已根据监管要求认真制订并落实了整改计划，按照要求完成了改进工作，并将整改情况向监管部门进行了报告。除上述情况外，本报告期内，基金管理人及其高级管理人员未受监管部门稽查或处罚。</w:t>
      </w:r>
    </w:p>
    <w:p w:rsidR="007C483C" w:rsidRDefault="007F41B2">
      <w:pPr>
        <w:spacing w:before="29" w:line="288" w:lineRule="auto"/>
        <w:ind w:firstLineChars="200" w:firstLine="480"/>
        <w:rPr>
          <w:color w:val="000000"/>
          <w:sz w:val="24"/>
        </w:rPr>
      </w:pPr>
      <w:r>
        <w:rPr>
          <w:color w:val="000000"/>
          <w:sz w:val="24"/>
        </w:rPr>
        <w:t>（</w:t>
      </w:r>
      <w:r>
        <w:rPr>
          <w:color w:val="000000"/>
          <w:sz w:val="24"/>
        </w:rPr>
        <w:t>2</w:t>
      </w:r>
      <w:r>
        <w:rPr>
          <w:color w:val="000000"/>
          <w:sz w:val="24"/>
        </w:rPr>
        <w:t>）托管人及其高级管理人员受稽查或处罚等情况</w:t>
      </w:r>
    </w:p>
    <w:p w:rsidR="001A59F9" w:rsidRPr="00700C00" w:rsidRDefault="001A59F9" w:rsidP="00700C00">
      <w:pPr>
        <w:spacing w:before="29" w:line="288" w:lineRule="auto"/>
        <w:ind w:firstLineChars="200" w:firstLine="480"/>
        <w:rPr>
          <w:color w:val="000000"/>
          <w:sz w:val="24"/>
        </w:rPr>
      </w:pPr>
      <w:r w:rsidRPr="00700C00">
        <w:rPr>
          <w:color w:val="000000"/>
          <w:sz w:val="24"/>
        </w:rPr>
        <w:t>基金托管人及其高级管理人员本报告期内未受监管部门稽查或处罚。</w:t>
      </w:r>
    </w:p>
    <w:p w:rsidR="00087272" w:rsidRPr="00C51C77" w:rsidRDefault="00087272" w:rsidP="00016A50">
      <w:pPr>
        <w:spacing w:line="360" w:lineRule="auto"/>
        <w:ind w:firstLineChars="200" w:firstLine="420"/>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bookmarkStart w:id="93" w:name="_Toc361324900"/>
      <w:r w:rsidRPr="00245C29">
        <w:rPr>
          <w:rFonts w:ascii="Times New Roman" w:hAnsi="Times New Roman"/>
          <w:kern w:val="0"/>
          <w:szCs w:val="24"/>
        </w:rPr>
        <w:t xml:space="preserve">11.7 </w:t>
      </w:r>
      <w:r w:rsidRPr="00245C29">
        <w:rPr>
          <w:rFonts w:ascii="Times New Roman" w:hAnsi="Times New Roman" w:hint="eastAsia"/>
          <w:kern w:val="0"/>
          <w:szCs w:val="24"/>
        </w:rPr>
        <w:t>基金租用证券公司交易单元的有关情况</w:t>
      </w:r>
      <w:bookmarkEnd w:id="93"/>
    </w:p>
    <w:p w:rsidR="001A59F9" w:rsidRPr="00245C29" w:rsidRDefault="001A59F9" w:rsidP="00245C29">
      <w:pPr>
        <w:pStyle w:val="20"/>
        <w:spacing w:before="29" w:after="0" w:line="288" w:lineRule="auto"/>
        <w:rPr>
          <w:rFonts w:ascii="Times New Roman" w:hAnsi="Times New Roman"/>
          <w:kern w:val="0"/>
          <w:szCs w:val="24"/>
        </w:rPr>
      </w:pPr>
      <w:bookmarkStart w:id="94" w:name="_Toc249760070"/>
      <w:r w:rsidRPr="00245C29">
        <w:rPr>
          <w:rFonts w:ascii="Times New Roman" w:hAnsi="Times New Roman"/>
          <w:kern w:val="0"/>
          <w:szCs w:val="24"/>
        </w:rPr>
        <w:t>11.7.1</w:t>
      </w:r>
      <w:r w:rsidRPr="00245C29">
        <w:rPr>
          <w:rFonts w:ascii="Times New Roman" w:hAnsi="Times New Roman" w:hint="eastAsia"/>
          <w:kern w:val="0"/>
          <w:szCs w:val="24"/>
        </w:rPr>
        <w:t>基金租用证券公司交易单元进行股票投资及佣金支付情况</w:t>
      </w:r>
      <w:bookmarkEnd w:id="94"/>
    </w:p>
    <w:p w:rsidR="001A59F9" w:rsidRPr="00FC1A5A" w:rsidRDefault="001A59F9" w:rsidP="00FC1A5A">
      <w:pPr>
        <w:autoSpaceDE w:val="0"/>
        <w:autoSpaceDN w:val="0"/>
        <w:adjustRightInd w:val="0"/>
        <w:spacing w:before="29" w:line="288" w:lineRule="auto"/>
        <w:ind w:left="15"/>
        <w:jc w:val="right"/>
        <w:rPr>
          <w:color w:val="000000"/>
          <w:sz w:val="24"/>
        </w:rPr>
      </w:pPr>
      <w:r w:rsidRPr="00FC1A5A">
        <w:rPr>
          <w:rFonts w:hint="eastAsia"/>
          <w:color w:val="000000"/>
          <w:sz w:val="24"/>
        </w:rPr>
        <w:t>金额单位：人民币元</w:t>
      </w:r>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779"/>
        <w:gridCol w:w="1800"/>
        <w:gridCol w:w="1080"/>
        <w:gridCol w:w="1620"/>
        <w:gridCol w:w="1080"/>
        <w:gridCol w:w="1080"/>
      </w:tblGrid>
      <w:tr w:rsidR="001A59F9" w:rsidRPr="00465C9F" w:rsidTr="00EA2417">
        <w:tc>
          <w:tcPr>
            <w:tcW w:w="1560" w:type="dxa"/>
            <w:vMerge w:val="restart"/>
            <w:vAlign w:val="center"/>
          </w:tcPr>
          <w:p w:rsidR="001A59F9" w:rsidRPr="00465C9F" w:rsidRDefault="001A59F9" w:rsidP="00A97873">
            <w:pPr>
              <w:spacing w:before="29" w:line="288" w:lineRule="auto"/>
              <w:ind w:left="17"/>
              <w:jc w:val="center"/>
              <w:rPr>
                <w:color w:val="000000"/>
                <w:szCs w:val="21"/>
              </w:rPr>
            </w:pPr>
            <w:bookmarkStart w:id="95" w:name="_Toc249760071"/>
            <w:r w:rsidRPr="00465C9F">
              <w:rPr>
                <w:rFonts w:hint="eastAsia"/>
                <w:color w:val="000000"/>
                <w:szCs w:val="21"/>
              </w:rPr>
              <w:t>券商名称</w:t>
            </w:r>
          </w:p>
        </w:tc>
        <w:tc>
          <w:tcPr>
            <w:tcW w:w="780" w:type="dxa"/>
            <w:vMerge w:val="restart"/>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交易单元数量</w:t>
            </w:r>
          </w:p>
        </w:tc>
        <w:tc>
          <w:tcPr>
            <w:tcW w:w="288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股票交易</w:t>
            </w:r>
          </w:p>
        </w:tc>
        <w:tc>
          <w:tcPr>
            <w:tcW w:w="2700" w:type="dxa"/>
            <w:gridSpan w:val="2"/>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应支付该券商的佣金</w:t>
            </w:r>
          </w:p>
        </w:tc>
        <w:tc>
          <w:tcPr>
            <w:tcW w:w="1080" w:type="dxa"/>
            <w:vMerge w:val="restart"/>
            <w:vAlign w:val="center"/>
          </w:tcPr>
          <w:p w:rsidR="001A59F9" w:rsidRPr="00465C9F" w:rsidRDefault="001A59F9" w:rsidP="00A97873">
            <w:pPr>
              <w:spacing w:before="29" w:line="288" w:lineRule="auto"/>
              <w:ind w:left="17"/>
              <w:jc w:val="center"/>
              <w:rPr>
                <w:rFonts w:asciiTheme="minorEastAsia" w:eastAsiaTheme="minorEastAsia" w:hAnsiTheme="minorEastAsia"/>
                <w:color w:val="000000"/>
                <w:kern w:val="0"/>
                <w:szCs w:val="21"/>
              </w:rPr>
            </w:pPr>
            <w:r w:rsidRPr="00465C9F">
              <w:rPr>
                <w:rFonts w:hint="eastAsia"/>
                <w:color w:val="000000"/>
                <w:szCs w:val="21"/>
              </w:rPr>
              <w:t>备注</w:t>
            </w:r>
          </w:p>
        </w:tc>
      </w:tr>
      <w:tr w:rsidR="001A59F9" w:rsidRPr="00465C9F" w:rsidTr="00EA2417">
        <w:tc>
          <w:tcPr>
            <w:tcW w:w="900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7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szCs w:val="21"/>
              </w:rPr>
            </w:pPr>
          </w:p>
        </w:tc>
        <w:tc>
          <w:tcPr>
            <w:tcW w:w="180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占当期股票成交总额的比例</w:t>
            </w:r>
          </w:p>
        </w:tc>
        <w:tc>
          <w:tcPr>
            <w:tcW w:w="162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佣金</w:t>
            </w:r>
          </w:p>
        </w:tc>
        <w:tc>
          <w:tcPr>
            <w:tcW w:w="1080" w:type="dxa"/>
            <w:vAlign w:val="center"/>
          </w:tcPr>
          <w:p w:rsidR="001A59F9" w:rsidRPr="00465C9F" w:rsidRDefault="001A59F9" w:rsidP="00A97873">
            <w:pPr>
              <w:spacing w:before="29" w:line="288" w:lineRule="auto"/>
              <w:ind w:left="17"/>
              <w:jc w:val="center"/>
              <w:rPr>
                <w:color w:val="000000"/>
                <w:szCs w:val="21"/>
              </w:rPr>
            </w:pPr>
            <w:r w:rsidRPr="00465C9F">
              <w:rPr>
                <w:rFonts w:hint="eastAsia"/>
                <w:color w:val="000000"/>
                <w:szCs w:val="21"/>
              </w:rPr>
              <w:t>占当期佣金总量的比例</w:t>
            </w:r>
          </w:p>
        </w:tc>
        <w:tc>
          <w:tcPr>
            <w:tcW w:w="1080" w:type="dxa"/>
            <w:vMerge/>
            <w:vAlign w:val="center"/>
          </w:tcPr>
          <w:p w:rsidR="001A59F9" w:rsidRPr="00465C9F" w:rsidRDefault="001A59F9" w:rsidP="00026C9C">
            <w:pPr>
              <w:widowControl/>
              <w:spacing w:line="360" w:lineRule="auto"/>
              <w:jc w:val="left"/>
              <w:rPr>
                <w:rFonts w:asciiTheme="minorEastAsia" w:eastAsiaTheme="minorEastAsia" w:hAnsiTheme="minorEastAsia"/>
                <w:color w:val="000000"/>
                <w:kern w:val="0"/>
                <w:szCs w:val="21"/>
              </w:rPr>
            </w:pPr>
          </w:p>
        </w:tc>
      </w:tr>
      <w:tr w:rsidR="007C483C">
        <w:tc>
          <w:tcPr>
            <w:tcW w:w="1559" w:type="dxa"/>
            <w:vAlign w:val="center"/>
          </w:tcPr>
          <w:p w:rsidR="007C483C" w:rsidRDefault="007F41B2">
            <w:pPr>
              <w:jc w:val="left"/>
            </w:pPr>
            <w:r>
              <w:rPr>
                <w:color w:val="000000"/>
                <w:szCs w:val="21"/>
              </w:rPr>
              <w:t>安信证券股份有限公司</w:t>
            </w:r>
          </w:p>
        </w:tc>
        <w:tc>
          <w:tcPr>
            <w:tcW w:w="779" w:type="dxa"/>
            <w:vAlign w:val="center"/>
          </w:tcPr>
          <w:p w:rsidR="007C483C" w:rsidRDefault="007F41B2">
            <w:pPr>
              <w:jc w:val="right"/>
            </w:pPr>
            <w:r>
              <w:rPr>
                <w:color w:val="000000"/>
                <w:szCs w:val="21"/>
              </w:rPr>
              <w:t>2</w:t>
            </w:r>
          </w:p>
        </w:tc>
        <w:tc>
          <w:tcPr>
            <w:tcW w:w="1800" w:type="dxa"/>
            <w:vAlign w:val="center"/>
          </w:tcPr>
          <w:p w:rsidR="007C483C" w:rsidRDefault="007F41B2">
            <w:pPr>
              <w:jc w:val="right"/>
            </w:pPr>
            <w:r>
              <w:rPr>
                <w:color w:val="000000"/>
                <w:szCs w:val="21"/>
              </w:rPr>
              <w:t>-</w:t>
            </w:r>
          </w:p>
        </w:tc>
        <w:tc>
          <w:tcPr>
            <w:tcW w:w="1080" w:type="dxa"/>
            <w:vAlign w:val="center"/>
          </w:tcPr>
          <w:p w:rsidR="007C483C" w:rsidRDefault="007F41B2">
            <w:pPr>
              <w:jc w:val="right"/>
            </w:pPr>
            <w:r>
              <w:rPr>
                <w:color w:val="000000"/>
                <w:szCs w:val="21"/>
              </w:rPr>
              <w:t>-</w:t>
            </w:r>
          </w:p>
        </w:tc>
        <w:tc>
          <w:tcPr>
            <w:tcW w:w="1620" w:type="dxa"/>
            <w:vAlign w:val="center"/>
          </w:tcPr>
          <w:p w:rsidR="007C483C" w:rsidRDefault="007F41B2">
            <w:pPr>
              <w:jc w:val="right"/>
            </w:pPr>
            <w:r>
              <w:rPr>
                <w:color w:val="000000"/>
                <w:szCs w:val="21"/>
              </w:rPr>
              <w:t>-</w:t>
            </w:r>
          </w:p>
        </w:tc>
        <w:tc>
          <w:tcPr>
            <w:tcW w:w="1080" w:type="dxa"/>
            <w:vAlign w:val="center"/>
          </w:tcPr>
          <w:p w:rsidR="007C483C" w:rsidRDefault="007F41B2">
            <w:pPr>
              <w:jc w:val="right"/>
            </w:pPr>
            <w:r>
              <w:rPr>
                <w:color w:val="000000"/>
                <w:szCs w:val="21"/>
              </w:rPr>
              <w:t>-</w:t>
            </w:r>
          </w:p>
        </w:tc>
        <w:tc>
          <w:tcPr>
            <w:tcW w:w="1080" w:type="dxa"/>
            <w:vAlign w:val="center"/>
          </w:tcPr>
          <w:p w:rsidR="007C483C" w:rsidRDefault="007F41B2">
            <w:pPr>
              <w:jc w:val="left"/>
            </w:pPr>
            <w:r>
              <w:rPr>
                <w:color w:val="000000"/>
                <w:szCs w:val="21"/>
              </w:rPr>
              <w:t>-</w:t>
            </w:r>
          </w:p>
        </w:tc>
      </w:tr>
      <w:tr w:rsidR="007C483C">
        <w:tc>
          <w:tcPr>
            <w:tcW w:w="1559" w:type="dxa"/>
            <w:vAlign w:val="center"/>
          </w:tcPr>
          <w:p w:rsidR="007C483C" w:rsidRDefault="007F41B2">
            <w:pPr>
              <w:jc w:val="left"/>
            </w:pPr>
            <w:r>
              <w:rPr>
                <w:color w:val="000000"/>
                <w:szCs w:val="21"/>
              </w:rPr>
              <w:t>国金证券股份有限公司</w:t>
            </w:r>
          </w:p>
        </w:tc>
        <w:tc>
          <w:tcPr>
            <w:tcW w:w="779" w:type="dxa"/>
            <w:vAlign w:val="center"/>
          </w:tcPr>
          <w:p w:rsidR="007C483C" w:rsidRDefault="007F41B2">
            <w:pPr>
              <w:jc w:val="right"/>
            </w:pPr>
            <w:r>
              <w:rPr>
                <w:color w:val="000000"/>
                <w:szCs w:val="21"/>
              </w:rPr>
              <w:t>2</w:t>
            </w:r>
          </w:p>
        </w:tc>
        <w:tc>
          <w:tcPr>
            <w:tcW w:w="1800" w:type="dxa"/>
            <w:vAlign w:val="center"/>
          </w:tcPr>
          <w:p w:rsidR="007C483C" w:rsidRDefault="007F41B2">
            <w:pPr>
              <w:jc w:val="right"/>
            </w:pPr>
            <w:r>
              <w:rPr>
                <w:color w:val="000000"/>
                <w:szCs w:val="21"/>
              </w:rPr>
              <w:t>-</w:t>
            </w:r>
          </w:p>
        </w:tc>
        <w:tc>
          <w:tcPr>
            <w:tcW w:w="1080" w:type="dxa"/>
            <w:vAlign w:val="center"/>
          </w:tcPr>
          <w:p w:rsidR="007C483C" w:rsidRDefault="007F41B2">
            <w:pPr>
              <w:jc w:val="right"/>
            </w:pPr>
            <w:r>
              <w:rPr>
                <w:color w:val="000000"/>
                <w:szCs w:val="21"/>
              </w:rPr>
              <w:t>-</w:t>
            </w:r>
          </w:p>
        </w:tc>
        <w:tc>
          <w:tcPr>
            <w:tcW w:w="1620" w:type="dxa"/>
            <w:vAlign w:val="center"/>
          </w:tcPr>
          <w:p w:rsidR="007C483C" w:rsidRDefault="007F41B2">
            <w:pPr>
              <w:jc w:val="right"/>
            </w:pPr>
            <w:r>
              <w:rPr>
                <w:color w:val="000000"/>
                <w:szCs w:val="21"/>
              </w:rPr>
              <w:t>-</w:t>
            </w:r>
          </w:p>
        </w:tc>
        <w:tc>
          <w:tcPr>
            <w:tcW w:w="1080" w:type="dxa"/>
            <w:vAlign w:val="center"/>
          </w:tcPr>
          <w:p w:rsidR="007C483C" w:rsidRDefault="007F41B2">
            <w:pPr>
              <w:jc w:val="right"/>
            </w:pPr>
            <w:r>
              <w:rPr>
                <w:color w:val="000000"/>
                <w:szCs w:val="21"/>
              </w:rPr>
              <w:t>-</w:t>
            </w:r>
          </w:p>
        </w:tc>
        <w:tc>
          <w:tcPr>
            <w:tcW w:w="1080" w:type="dxa"/>
            <w:vAlign w:val="center"/>
          </w:tcPr>
          <w:p w:rsidR="007C483C" w:rsidRDefault="007F41B2">
            <w:pPr>
              <w:jc w:val="left"/>
            </w:pPr>
            <w:r>
              <w:rPr>
                <w:color w:val="000000"/>
                <w:szCs w:val="21"/>
              </w:rPr>
              <w:t>-</w:t>
            </w:r>
          </w:p>
        </w:tc>
      </w:tr>
      <w:tr w:rsidR="007C483C">
        <w:tc>
          <w:tcPr>
            <w:tcW w:w="1559" w:type="dxa"/>
            <w:vAlign w:val="center"/>
          </w:tcPr>
          <w:p w:rsidR="007C483C" w:rsidRDefault="007F41B2">
            <w:pPr>
              <w:jc w:val="left"/>
            </w:pPr>
            <w:r>
              <w:rPr>
                <w:color w:val="000000"/>
                <w:szCs w:val="21"/>
              </w:rPr>
              <w:t>中泰证券股份有限公司</w:t>
            </w:r>
          </w:p>
        </w:tc>
        <w:tc>
          <w:tcPr>
            <w:tcW w:w="779" w:type="dxa"/>
            <w:vAlign w:val="center"/>
          </w:tcPr>
          <w:p w:rsidR="007C483C" w:rsidRDefault="007F41B2">
            <w:pPr>
              <w:jc w:val="right"/>
            </w:pPr>
            <w:r>
              <w:rPr>
                <w:color w:val="000000"/>
                <w:szCs w:val="21"/>
              </w:rPr>
              <w:t>2</w:t>
            </w:r>
          </w:p>
        </w:tc>
        <w:tc>
          <w:tcPr>
            <w:tcW w:w="1800" w:type="dxa"/>
            <w:vAlign w:val="center"/>
          </w:tcPr>
          <w:p w:rsidR="007C483C" w:rsidRDefault="007F41B2">
            <w:pPr>
              <w:jc w:val="right"/>
            </w:pPr>
            <w:r>
              <w:rPr>
                <w:color w:val="000000"/>
                <w:szCs w:val="21"/>
              </w:rPr>
              <w:t>-</w:t>
            </w:r>
          </w:p>
        </w:tc>
        <w:tc>
          <w:tcPr>
            <w:tcW w:w="1080" w:type="dxa"/>
            <w:vAlign w:val="center"/>
          </w:tcPr>
          <w:p w:rsidR="007C483C" w:rsidRDefault="007F41B2">
            <w:pPr>
              <w:jc w:val="right"/>
            </w:pPr>
            <w:r>
              <w:rPr>
                <w:color w:val="000000"/>
                <w:szCs w:val="21"/>
              </w:rPr>
              <w:t>-</w:t>
            </w:r>
          </w:p>
        </w:tc>
        <w:tc>
          <w:tcPr>
            <w:tcW w:w="1620" w:type="dxa"/>
            <w:vAlign w:val="center"/>
          </w:tcPr>
          <w:p w:rsidR="007C483C" w:rsidRDefault="007F41B2">
            <w:pPr>
              <w:jc w:val="right"/>
            </w:pPr>
            <w:r>
              <w:rPr>
                <w:color w:val="000000"/>
                <w:szCs w:val="21"/>
              </w:rPr>
              <w:t>-</w:t>
            </w:r>
          </w:p>
        </w:tc>
        <w:tc>
          <w:tcPr>
            <w:tcW w:w="1080" w:type="dxa"/>
            <w:vAlign w:val="center"/>
          </w:tcPr>
          <w:p w:rsidR="007C483C" w:rsidRDefault="007F41B2">
            <w:pPr>
              <w:jc w:val="right"/>
            </w:pPr>
            <w:r>
              <w:rPr>
                <w:color w:val="000000"/>
                <w:szCs w:val="21"/>
              </w:rPr>
              <w:t>-</w:t>
            </w:r>
          </w:p>
        </w:tc>
        <w:tc>
          <w:tcPr>
            <w:tcW w:w="1080" w:type="dxa"/>
            <w:vAlign w:val="center"/>
          </w:tcPr>
          <w:p w:rsidR="007C483C" w:rsidRDefault="007F41B2">
            <w:pPr>
              <w:jc w:val="left"/>
            </w:pPr>
            <w:r>
              <w:rPr>
                <w:color w:val="000000"/>
                <w:szCs w:val="21"/>
              </w:rPr>
              <w:t>-</w:t>
            </w:r>
          </w:p>
        </w:tc>
      </w:tr>
    </w:tbl>
    <w:p w:rsidR="001A59F9" w:rsidRPr="00C51C77" w:rsidRDefault="001A59F9" w:rsidP="00026C9C">
      <w:pPr>
        <w:spacing w:line="360" w:lineRule="auto"/>
        <w:rPr>
          <w:rFonts w:asciiTheme="minorEastAsia" w:eastAsiaTheme="minorEastAsia" w:hAnsiTheme="minorEastAsia"/>
          <w:color w:val="000000"/>
          <w:szCs w:val="21"/>
        </w:rPr>
      </w:pPr>
    </w:p>
    <w:p w:rsidR="001A59F9" w:rsidRPr="00245C29" w:rsidRDefault="001A59F9" w:rsidP="00245C29">
      <w:pPr>
        <w:pStyle w:val="20"/>
        <w:spacing w:before="29" w:after="0" w:line="288" w:lineRule="auto"/>
        <w:rPr>
          <w:rFonts w:ascii="Times New Roman" w:hAnsi="Times New Roman"/>
          <w:kern w:val="0"/>
          <w:szCs w:val="24"/>
        </w:rPr>
      </w:pPr>
      <w:r w:rsidRPr="00245C29">
        <w:rPr>
          <w:rFonts w:ascii="Times New Roman" w:hAnsi="Times New Roman"/>
          <w:kern w:val="0"/>
          <w:szCs w:val="24"/>
        </w:rPr>
        <w:t>11.7.2</w:t>
      </w:r>
      <w:r w:rsidR="009153A3" w:rsidRPr="00245C29">
        <w:rPr>
          <w:rFonts w:ascii="Times New Roman" w:hAnsi="Times New Roman" w:hint="eastAsia"/>
          <w:kern w:val="0"/>
          <w:szCs w:val="24"/>
        </w:rPr>
        <w:t xml:space="preserve"> </w:t>
      </w:r>
      <w:r w:rsidRPr="00245C29">
        <w:rPr>
          <w:rFonts w:ascii="Times New Roman" w:hAnsi="Times New Roman" w:hint="eastAsia"/>
          <w:kern w:val="0"/>
          <w:szCs w:val="24"/>
        </w:rPr>
        <w:t>基金租用证券公司交易单元进行其他证券投资的情况</w:t>
      </w:r>
      <w:bookmarkEnd w:id="95"/>
    </w:p>
    <w:p w:rsidR="001A59F9" w:rsidRPr="00FC1A5A" w:rsidRDefault="001A59F9" w:rsidP="00FC1A5A">
      <w:pPr>
        <w:autoSpaceDE w:val="0"/>
        <w:autoSpaceDN w:val="0"/>
        <w:adjustRightInd w:val="0"/>
        <w:spacing w:before="29" w:line="288" w:lineRule="auto"/>
        <w:ind w:left="15"/>
        <w:jc w:val="right"/>
        <w:rPr>
          <w:color w:val="000000"/>
          <w:sz w:val="24"/>
        </w:rPr>
      </w:pPr>
      <w:bookmarkStart w:id="96" w:name="_Toc249707408"/>
      <w:r w:rsidRPr="00FC1A5A">
        <w:rPr>
          <w:rFonts w:hint="eastAsia"/>
          <w:color w:val="000000"/>
          <w:sz w:val="24"/>
        </w:rPr>
        <w:t>金额单位：人民币元</w:t>
      </w:r>
      <w:bookmarkEnd w:id="96"/>
    </w:p>
    <w:tbl>
      <w:tblPr>
        <w:tblW w:w="89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9"/>
        <w:gridCol w:w="1319"/>
        <w:gridCol w:w="1080"/>
        <w:gridCol w:w="1143"/>
        <w:gridCol w:w="1197"/>
        <w:gridCol w:w="1497"/>
        <w:gridCol w:w="1203"/>
      </w:tblGrid>
      <w:tr w:rsidR="009A36E4" w:rsidRPr="00465C9F" w:rsidTr="009D6BB6">
        <w:tc>
          <w:tcPr>
            <w:tcW w:w="1559" w:type="dxa"/>
            <w:vMerge w:val="restart"/>
            <w:vAlign w:val="center"/>
          </w:tcPr>
          <w:p w:rsidR="009A36E4" w:rsidRPr="00465C9F" w:rsidRDefault="009A36E4" w:rsidP="00A97873">
            <w:pPr>
              <w:spacing w:before="29" w:line="288" w:lineRule="auto"/>
              <w:ind w:left="17"/>
              <w:jc w:val="center"/>
              <w:rPr>
                <w:color w:val="000000"/>
                <w:szCs w:val="21"/>
              </w:rPr>
            </w:pPr>
            <w:bookmarkStart w:id="97" w:name="_Toc361324902"/>
            <w:r w:rsidRPr="00465C9F">
              <w:rPr>
                <w:rFonts w:hint="eastAsia"/>
                <w:color w:val="000000"/>
                <w:szCs w:val="21"/>
              </w:rPr>
              <w:t>券商名称</w:t>
            </w:r>
          </w:p>
        </w:tc>
        <w:tc>
          <w:tcPr>
            <w:tcW w:w="2399"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债券交易</w:t>
            </w:r>
          </w:p>
        </w:tc>
        <w:tc>
          <w:tcPr>
            <w:tcW w:w="234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回购交易</w:t>
            </w:r>
          </w:p>
        </w:tc>
        <w:tc>
          <w:tcPr>
            <w:tcW w:w="2700" w:type="dxa"/>
            <w:gridSpan w:val="2"/>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权证交易</w:t>
            </w:r>
          </w:p>
        </w:tc>
      </w:tr>
      <w:tr w:rsidR="009A36E4" w:rsidRPr="00465C9F" w:rsidTr="009D6BB6">
        <w:tc>
          <w:tcPr>
            <w:tcW w:w="1559" w:type="dxa"/>
            <w:vMerge/>
            <w:vAlign w:val="center"/>
          </w:tcPr>
          <w:p w:rsidR="009A36E4" w:rsidRPr="00465C9F" w:rsidRDefault="009A36E4" w:rsidP="00A97873">
            <w:pPr>
              <w:spacing w:before="29" w:line="288" w:lineRule="auto"/>
              <w:ind w:left="17"/>
              <w:jc w:val="center"/>
              <w:rPr>
                <w:color w:val="000000"/>
                <w:szCs w:val="21"/>
              </w:rPr>
            </w:pPr>
          </w:p>
        </w:tc>
        <w:tc>
          <w:tcPr>
            <w:tcW w:w="1319"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成交金额</w:t>
            </w:r>
          </w:p>
        </w:tc>
        <w:tc>
          <w:tcPr>
            <w:tcW w:w="1080"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占当期债</w:t>
            </w:r>
            <w:r w:rsidRPr="00465C9F">
              <w:rPr>
                <w:rFonts w:hint="eastAsia"/>
                <w:color w:val="000000"/>
                <w:szCs w:val="21"/>
              </w:rPr>
              <w:lastRenderedPageBreak/>
              <w:t>券成交总额的比例</w:t>
            </w:r>
          </w:p>
        </w:tc>
        <w:tc>
          <w:tcPr>
            <w:tcW w:w="114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lastRenderedPageBreak/>
              <w:t>成交金额</w:t>
            </w:r>
          </w:p>
        </w:tc>
        <w:tc>
          <w:tcPr>
            <w:tcW w:w="11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占当期回</w:t>
            </w:r>
            <w:r w:rsidRPr="00465C9F">
              <w:rPr>
                <w:rFonts w:hint="eastAsia"/>
                <w:color w:val="000000"/>
                <w:szCs w:val="21"/>
              </w:rPr>
              <w:lastRenderedPageBreak/>
              <w:t>购成交总额的比例</w:t>
            </w:r>
          </w:p>
        </w:tc>
        <w:tc>
          <w:tcPr>
            <w:tcW w:w="1497"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lastRenderedPageBreak/>
              <w:t>成交金额</w:t>
            </w:r>
          </w:p>
        </w:tc>
        <w:tc>
          <w:tcPr>
            <w:tcW w:w="1203" w:type="dxa"/>
            <w:vAlign w:val="center"/>
          </w:tcPr>
          <w:p w:rsidR="009A36E4" w:rsidRPr="00465C9F" w:rsidRDefault="009A36E4" w:rsidP="00A97873">
            <w:pPr>
              <w:spacing w:before="29" w:line="288" w:lineRule="auto"/>
              <w:ind w:left="17"/>
              <w:jc w:val="center"/>
              <w:rPr>
                <w:color w:val="000000"/>
                <w:szCs w:val="21"/>
              </w:rPr>
            </w:pPr>
            <w:r w:rsidRPr="00465C9F">
              <w:rPr>
                <w:rFonts w:hint="eastAsia"/>
                <w:color w:val="000000"/>
                <w:szCs w:val="21"/>
              </w:rPr>
              <w:t>占当期权</w:t>
            </w:r>
            <w:r w:rsidRPr="00465C9F">
              <w:rPr>
                <w:rFonts w:hint="eastAsia"/>
                <w:color w:val="000000"/>
                <w:szCs w:val="21"/>
              </w:rPr>
              <w:lastRenderedPageBreak/>
              <w:t>证成交总额的比例</w:t>
            </w:r>
          </w:p>
        </w:tc>
      </w:tr>
      <w:tr w:rsidR="007C483C">
        <w:tc>
          <w:tcPr>
            <w:tcW w:w="1559" w:type="dxa"/>
            <w:vAlign w:val="center"/>
          </w:tcPr>
          <w:p w:rsidR="007C483C" w:rsidRDefault="007F41B2">
            <w:pPr>
              <w:jc w:val="left"/>
            </w:pPr>
            <w:r>
              <w:rPr>
                <w:color w:val="000000"/>
                <w:szCs w:val="21"/>
              </w:rPr>
              <w:lastRenderedPageBreak/>
              <w:t>安信证券股份有限公司</w:t>
            </w:r>
          </w:p>
        </w:tc>
        <w:tc>
          <w:tcPr>
            <w:tcW w:w="1319" w:type="dxa"/>
            <w:vAlign w:val="center"/>
          </w:tcPr>
          <w:p w:rsidR="007C483C" w:rsidRDefault="007F41B2">
            <w:pPr>
              <w:jc w:val="right"/>
            </w:pPr>
            <w:r>
              <w:rPr>
                <w:color w:val="000000"/>
                <w:szCs w:val="21"/>
              </w:rPr>
              <w:t>500,604,954.62</w:t>
            </w:r>
          </w:p>
        </w:tc>
        <w:tc>
          <w:tcPr>
            <w:tcW w:w="1080" w:type="dxa"/>
            <w:vAlign w:val="center"/>
          </w:tcPr>
          <w:p w:rsidR="007C483C" w:rsidRDefault="007F41B2">
            <w:pPr>
              <w:jc w:val="right"/>
            </w:pPr>
            <w:r>
              <w:rPr>
                <w:color w:val="000000"/>
                <w:szCs w:val="21"/>
              </w:rPr>
              <w:t>100.00%</w:t>
            </w:r>
          </w:p>
        </w:tc>
        <w:tc>
          <w:tcPr>
            <w:tcW w:w="1143" w:type="dxa"/>
            <w:vAlign w:val="center"/>
          </w:tcPr>
          <w:p w:rsidR="007C483C" w:rsidRDefault="007F41B2">
            <w:pPr>
              <w:jc w:val="right"/>
            </w:pPr>
            <w:r>
              <w:rPr>
                <w:color w:val="000000"/>
                <w:szCs w:val="21"/>
              </w:rPr>
              <w:t>11,306,200,000.00</w:t>
            </w:r>
          </w:p>
        </w:tc>
        <w:tc>
          <w:tcPr>
            <w:tcW w:w="1197" w:type="dxa"/>
            <w:vAlign w:val="center"/>
          </w:tcPr>
          <w:p w:rsidR="007C483C" w:rsidRDefault="007F41B2">
            <w:pPr>
              <w:jc w:val="right"/>
            </w:pPr>
            <w:r>
              <w:rPr>
                <w:color w:val="000000"/>
                <w:szCs w:val="21"/>
              </w:rPr>
              <w:t>100.00%</w:t>
            </w:r>
          </w:p>
        </w:tc>
        <w:tc>
          <w:tcPr>
            <w:tcW w:w="1497" w:type="dxa"/>
            <w:vAlign w:val="center"/>
          </w:tcPr>
          <w:p w:rsidR="007C483C" w:rsidRDefault="007F41B2">
            <w:pPr>
              <w:jc w:val="right"/>
            </w:pPr>
            <w:r>
              <w:rPr>
                <w:color w:val="000000"/>
                <w:szCs w:val="21"/>
              </w:rPr>
              <w:t>-</w:t>
            </w:r>
          </w:p>
        </w:tc>
        <w:tc>
          <w:tcPr>
            <w:tcW w:w="1203" w:type="dxa"/>
            <w:vAlign w:val="center"/>
          </w:tcPr>
          <w:p w:rsidR="007C483C" w:rsidRDefault="007F41B2">
            <w:pPr>
              <w:jc w:val="right"/>
            </w:pPr>
            <w:r>
              <w:rPr>
                <w:color w:val="000000"/>
                <w:szCs w:val="21"/>
              </w:rPr>
              <w:t>-</w:t>
            </w:r>
          </w:p>
        </w:tc>
      </w:tr>
    </w:tbl>
    <w:p w:rsidR="007C483C" w:rsidRDefault="007F41B2">
      <w:pPr>
        <w:tabs>
          <w:tab w:val="left" w:pos="426"/>
        </w:tabs>
        <w:spacing w:before="29" w:line="288" w:lineRule="auto"/>
        <w:jc w:val="left"/>
        <w:rPr>
          <w:kern w:val="0"/>
          <w:sz w:val="24"/>
        </w:rPr>
      </w:pPr>
      <w:r>
        <w:rPr>
          <w:kern w:val="0"/>
          <w:sz w:val="24"/>
        </w:rPr>
        <w:t>注：</w:t>
      </w:r>
      <w:r>
        <w:rPr>
          <w:kern w:val="0"/>
          <w:sz w:val="24"/>
        </w:rPr>
        <w:t>1</w:t>
      </w:r>
      <w:r>
        <w:rPr>
          <w:kern w:val="0"/>
          <w:sz w:val="24"/>
        </w:rPr>
        <w:t>、报告期内，本基金新增加国金证券股份有限公司、中泰证券股份有限公司，其它交易单元未发生变化；</w:t>
      </w:r>
    </w:p>
    <w:p w:rsidR="007C483C" w:rsidRDefault="007F41B2">
      <w:pPr>
        <w:tabs>
          <w:tab w:val="left" w:pos="426"/>
        </w:tabs>
        <w:spacing w:before="29" w:line="288" w:lineRule="auto"/>
        <w:jc w:val="left"/>
        <w:rPr>
          <w:kern w:val="0"/>
          <w:sz w:val="24"/>
        </w:rPr>
      </w:pPr>
      <w:r>
        <w:rPr>
          <w:kern w:val="0"/>
          <w:sz w:val="24"/>
        </w:rPr>
        <w:t>2</w:t>
      </w:r>
      <w:r>
        <w:rPr>
          <w:kern w:val="0"/>
          <w:sz w:val="24"/>
        </w:rPr>
        <w:t>、租用证券公司交易单元的选择标准主要包括：券商基本面评价（财务状况、经营状况）、券商研究机构评价（报告质量、及时性和数量）、券商每日信息评价（及时性和有效性）和券商协作表现评价等四个方面；</w:t>
      </w:r>
    </w:p>
    <w:p w:rsidR="009A36E4" w:rsidRDefault="009A36E4" w:rsidP="00273FD9">
      <w:pPr>
        <w:tabs>
          <w:tab w:val="left" w:pos="426"/>
        </w:tabs>
        <w:spacing w:before="29" w:line="288" w:lineRule="auto"/>
        <w:jc w:val="left"/>
        <w:rPr>
          <w:kern w:val="0"/>
          <w:sz w:val="24"/>
        </w:rPr>
      </w:pPr>
      <w:r w:rsidRPr="00273FD9">
        <w:rPr>
          <w:kern w:val="0"/>
          <w:sz w:val="24"/>
        </w:rPr>
        <w:t>3</w:t>
      </w:r>
      <w:r w:rsidRPr="00273FD9">
        <w:rPr>
          <w:kern w:val="0"/>
          <w:sz w:val="24"/>
        </w:rPr>
        <w:t>、租用证券公司交易单元的程序：首先根据租用证券公司交易单元的选择标准进行综合评价，然后根据评价选择基金交易单元。研究部提交方案，并上报公司批准。</w:t>
      </w:r>
    </w:p>
    <w:p w:rsidR="00EA2417" w:rsidRPr="00273FD9" w:rsidRDefault="00EA2417" w:rsidP="00273FD9">
      <w:pPr>
        <w:tabs>
          <w:tab w:val="left" w:pos="426"/>
        </w:tabs>
        <w:spacing w:before="29" w:line="288" w:lineRule="auto"/>
        <w:jc w:val="left"/>
        <w:rPr>
          <w:kern w:val="0"/>
          <w:sz w:val="24"/>
        </w:rPr>
      </w:pPr>
    </w:p>
    <w:p w:rsidR="001320FD" w:rsidRPr="00723729" w:rsidRDefault="001320FD" w:rsidP="001320FD">
      <w:pPr>
        <w:pStyle w:val="1"/>
        <w:keepNext/>
        <w:keepLines/>
        <w:widowControl w:val="0"/>
        <w:spacing w:beforeLines="100" w:before="312" w:afterLines="100" w:after="312" w:line="360" w:lineRule="auto"/>
        <w:jc w:val="center"/>
        <w:rPr>
          <w:rFonts w:eastAsiaTheme="minorEastAsia"/>
          <w:b/>
          <w:bCs/>
          <w:sz w:val="21"/>
          <w:szCs w:val="21"/>
          <w:lang w:val="en-US"/>
        </w:rPr>
      </w:pPr>
      <w:bookmarkStart w:id="98" w:name="_Toc374532345"/>
      <w:bookmarkEnd w:id="97"/>
      <w:r w:rsidRPr="00723729">
        <w:rPr>
          <w:rFonts w:eastAsiaTheme="minorEastAsia"/>
          <w:b/>
          <w:bCs/>
          <w:sz w:val="21"/>
          <w:szCs w:val="21"/>
          <w:lang w:val="en-US"/>
        </w:rPr>
        <w:t xml:space="preserve">12  </w:t>
      </w:r>
      <w:r w:rsidRPr="00723729">
        <w:rPr>
          <w:rFonts w:eastAsiaTheme="minorEastAsia"/>
          <w:b/>
          <w:bCs/>
          <w:sz w:val="21"/>
          <w:szCs w:val="21"/>
          <w:lang w:val="en-US"/>
        </w:rPr>
        <w:t>影响投资者决策的其他重要信息</w:t>
      </w:r>
      <w:bookmarkEnd w:id="98"/>
    </w:p>
    <w:p w:rsidR="001320FD" w:rsidRPr="004F0662" w:rsidRDefault="001320FD" w:rsidP="001320FD">
      <w:pPr>
        <w:autoSpaceDE w:val="0"/>
        <w:autoSpaceDN w:val="0"/>
        <w:adjustRightInd w:val="0"/>
        <w:spacing w:line="360" w:lineRule="auto"/>
        <w:jc w:val="left"/>
        <w:rPr>
          <w:rFonts w:ascii="宋体" w:hAnsi="宋体"/>
          <w:b/>
          <w:bCs/>
          <w:color w:val="000000"/>
          <w:kern w:val="0"/>
          <w:szCs w:val="21"/>
        </w:rPr>
      </w:pPr>
      <w:r w:rsidRPr="004F0662">
        <w:rPr>
          <w:rFonts w:ascii="宋体" w:hAnsi="宋体" w:hint="eastAsia"/>
          <w:b/>
          <w:bCs/>
          <w:color w:val="000000"/>
          <w:kern w:val="0"/>
          <w:szCs w:val="21"/>
        </w:rPr>
        <w:t>12.1 影响投资者决策的其他重要信息</w:t>
      </w:r>
    </w:p>
    <w:p w:rsidR="001320FD" w:rsidRPr="004F0662" w:rsidRDefault="001320FD" w:rsidP="001320FD">
      <w:pPr>
        <w:spacing w:line="360" w:lineRule="auto"/>
        <w:ind w:firstLineChars="200" w:firstLine="420"/>
        <w:rPr>
          <w:rFonts w:ascii="宋体" w:hAnsi="宋体"/>
          <w:color w:val="000000"/>
          <w:szCs w:val="21"/>
        </w:rPr>
      </w:pPr>
      <w:r w:rsidRPr="004F0662">
        <w:rPr>
          <w:rFonts w:ascii="宋体" w:hAnsi="宋体"/>
          <w:color w:val="000000"/>
          <w:szCs w:val="21"/>
        </w:rPr>
        <w:t>根据本基金基金合同的规定，本基金在基金合同生效之日起两年（含两年）的期间内封闭式运作（按照基金合同的约定提前转换基金运作方式的除外），封闭期结束后转为开放式运作。封闭期在本基金的基金合同中如无特别指明即为自基金合同生效之日起至两个公历年后对应日止，若两年后对应日为非工作日的，相应顺延。本基金的封闭期自2015年11月9日开始至2017年11月9日止，自2017年11月10日起转为开放式运作。本基金在转为开放式运作后，自2017年11月10日开始办理日常申购、赎回等业务，并适用基金合同中关于转为开放式运作后的有关规定。详情请查阅本基金管理人于2017年11月3日发布的《交银施罗德基金管理有限公司关于交银施罗德丰硕收益债券型证券投资基金封闭期结束转为开放式运作的提示性公告》以及2017年11月8日发布的《交银施罗德基金管理有限公司关于交银施罗德丰硕收益债券型证券投资基金封闭期结束转为开放式运作暨开放日常申购、赎回业务的公告》。</w:t>
      </w: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C51C77" w:rsidRDefault="001A59F9" w:rsidP="00C51C77">
      <w:pPr>
        <w:spacing w:line="360" w:lineRule="auto"/>
        <w:ind w:firstLineChars="150" w:firstLine="315"/>
        <w:rPr>
          <w:rFonts w:asciiTheme="minorEastAsia" w:eastAsiaTheme="minorEastAsia" w:hAnsiTheme="minorEastAsia"/>
          <w:bCs/>
          <w:color w:val="000000"/>
          <w:szCs w:val="21"/>
        </w:rPr>
      </w:pPr>
    </w:p>
    <w:p w:rsidR="001A59F9" w:rsidRPr="0014702D" w:rsidRDefault="001A59F9" w:rsidP="0014702D">
      <w:pPr>
        <w:spacing w:before="29" w:line="288" w:lineRule="auto"/>
        <w:ind w:firstLineChars="200" w:firstLine="482"/>
        <w:jc w:val="right"/>
        <w:rPr>
          <w:b/>
          <w:color w:val="000000"/>
          <w:sz w:val="24"/>
        </w:rPr>
      </w:pPr>
      <w:r w:rsidRPr="0014702D">
        <w:rPr>
          <w:b/>
          <w:color w:val="000000"/>
          <w:sz w:val="24"/>
        </w:rPr>
        <w:lastRenderedPageBreak/>
        <w:t>交银施罗德基金管理有限公司</w:t>
      </w:r>
    </w:p>
    <w:p w:rsidR="001A59F9" w:rsidRPr="0014702D" w:rsidRDefault="00A77C51" w:rsidP="0014702D">
      <w:pPr>
        <w:spacing w:before="29" w:line="288" w:lineRule="auto"/>
        <w:ind w:firstLineChars="200" w:firstLine="482"/>
        <w:jc w:val="right"/>
        <w:rPr>
          <w:b/>
          <w:color w:val="000000"/>
          <w:sz w:val="24"/>
        </w:rPr>
      </w:pPr>
      <w:r w:rsidRPr="0014702D">
        <w:rPr>
          <w:b/>
          <w:color w:val="000000"/>
          <w:sz w:val="24"/>
        </w:rPr>
        <w:t>二〇一八年三月二十八日</w:t>
      </w:r>
    </w:p>
    <w:p w:rsidR="001A59F9" w:rsidRPr="0014702D" w:rsidRDefault="001A59F9" w:rsidP="00026C9C">
      <w:pPr>
        <w:spacing w:line="360" w:lineRule="auto"/>
        <w:rPr>
          <w:rFonts w:asciiTheme="minorEastAsia" w:eastAsiaTheme="minorEastAsia" w:hAnsiTheme="minorEastAsia"/>
          <w:b/>
          <w:szCs w:val="21"/>
        </w:rPr>
      </w:pPr>
    </w:p>
    <w:sectPr w:rsidR="001A59F9" w:rsidRPr="0014702D" w:rsidSect="00937AC9">
      <w:footerReference w:type="even" r:id="rId10"/>
      <w:footerReference w:type="default" r:id="rId11"/>
      <w:pgSz w:w="11906" w:h="16838" w:code="9"/>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EDA" w:rsidRDefault="00F93EDA">
      <w:r>
        <w:separator/>
      </w:r>
    </w:p>
  </w:endnote>
  <w:endnote w:type="continuationSeparator" w:id="0">
    <w:p w:rsidR="00F93EDA" w:rsidRDefault="00F93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FangSong">
    <w:altName w:val="Arial"/>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9B0D82" w:rsidP="00C03B3A">
    <w:pPr>
      <w:pStyle w:val="a7"/>
      <w:framePr w:wrap="around" w:vAnchor="text" w:hAnchor="margin" w:xAlign="right" w:y="1"/>
      <w:rPr>
        <w:rStyle w:val="a8"/>
      </w:rPr>
    </w:pPr>
    <w:r>
      <w:rPr>
        <w:rStyle w:val="a8"/>
      </w:rPr>
      <w:fldChar w:fldCharType="begin"/>
    </w:r>
    <w:r w:rsidR="004D64B9">
      <w:rPr>
        <w:rStyle w:val="a8"/>
      </w:rPr>
      <w:instrText xml:space="preserve">PAGE  </w:instrText>
    </w:r>
    <w:r>
      <w:rPr>
        <w:rStyle w:val="a8"/>
      </w:rPr>
      <w:fldChar w:fldCharType="end"/>
    </w:r>
  </w:p>
  <w:p w:rsidR="004D64B9" w:rsidRDefault="004D64B9" w:rsidP="00C03B3A">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Default="004D64B9" w:rsidP="00C03B3A">
    <w:pPr>
      <w:pStyle w:val="a7"/>
      <w:ind w:right="360"/>
      <w:jc w:val="center"/>
    </w:pPr>
    <w:r>
      <w:rPr>
        <w:rFonts w:hint="eastAsia"/>
        <w:kern w:val="0"/>
        <w:szCs w:val="21"/>
      </w:rPr>
      <w:t>第</w:t>
    </w:r>
    <w:r w:rsidR="009D3BF1">
      <w:rPr>
        <w:rFonts w:hint="eastAsia"/>
        <w:kern w:val="0"/>
        <w:szCs w:val="21"/>
      </w:rPr>
      <w:t xml:space="preserve"> </w:t>
    </w:r>
    <w:r w:rsidR="009B0D82">
      <w:rPr>
        <w:kern w:val="0"/>
        <w:szCs w:val="21"/>
      </w:rPr>
      <w:fldChar w:fldCharType="begin"/>
    </w:r>
    <w:r>
      <w:rPr>
        <w:kern w:val="0"/>
        <w:szCs w:val="21"/>
      </w:rPr>
      <w:instrText xml:space="preserve"> PAGE </w:instrText>
    </w:r>
    <w:r w:rsidR="009B0D82">
      <w:rPr>
        <w:kern w:val="0"/>
        <w:szCs w:val="21"/>
      </w:rPr>
      <w:fldChar w:fldCharType="separate"/>
    </w:r>
    <w:r w:rsidR="003B685F">
      <w:rPr>
        <w:noProof/>
        <w:kern w:val="0"/>
        <w:szCs w:val="21"/>
      </w:rPr>
      <w:t>20</w:t>
    </w:r>
    <w:r w:rsidR="009B0D82">
      <w:rPr>
        <w:kern w:val="0"/>
        <w:szCs w:val="21"/>
      </w:rPr>
      <w:fldChar w:fldCharType="end"/>
    </w:r>
    <w:r w:rsidR="009D3BF1">
      <w:rPr>
        <w:rFonts w:hint="eastAsia"/>
        <w:kern w:val="0"/>
        <w:szCs w:val="21"/>
      </w:rPr>
      <w:t xml:space="preserve"> </w:t>
    </w:r>
    <w:r>
      <w:rPr>
        <w:rFonts w:hint="eastAsia"/>
        <w:kern w:val="0"/>
        <w:szCs w:val="21"/>
      </w:rPr>
      <w:t>页</w:t>
    </w:r>
    <w:r w:rsidR="009D3BF1">
      <w:rPr>
        <w:rFonts w:hint="eastAsia"/>
        <w:kern w:val="0"/>
        <w:szCs w:val="21"/>
      </w:rPr>
      <w:t xml:space="preserve"> </w:t>
    </w:r>
    <w:r>
      <w:rPr>
        <w:rFonts w:hint="eastAsia"/>
        <w:kern w:val="0"/>
        <w:szCs w:val="21"/>
      </w:rPr>
      <w:t>共</w:t>
    </w:r>
    <w:r w:rsidR="009D3BF1">
      <w:rPr>
        <w:rFonts w:hint="eastAsia"/>
        <w:kern w:val="0"/>
        <w:szCs w:val="21"/>
      </w:rPr>
      <w:t xml:space="preserve"> </w:t>
    </w:r>
    <w:r w:rsidR="009B0D82">
      <w:rPr>
        <w:kern w:val="0"/>
        <w:szCs w:val="21"/>
      </w:rPr>
      <w:fldChar w:fldCharType="begin"/>
    </w:r>
    <w:r>
      <w:rPr>
        <w:kern w:val="0"/>
        <w:szCs w:val="21"/>
      </w:rPr>
      <w:instrText xml:space="preserve"> NUMPAGES </w:instrText>
    </w:r>
    <w:r w:rsidR="009B0D82">
      <w:rPr>
        <w:kern w:val="0"/>
        <w:szCs w:val="21"/>
      </w:rPr>
      <w:fldChar w:fldCharType="separate"/>
    </w:r>
    <w:r w:rsidR="003B685F">
      <w:rPr>
        <w:noProof/>
        <w:kern w:val="0"/>
        <w:szCs w:val="21"/>
      </w:rPr>
      <w:t>33</w:t>
    </w:r>
    <w:r w:rsidR="009B0D82">
      <w:rPr>
        <w:kern w:val="0"/>
        <w:szCs w:val="21"/>
      </w:rPr>
      <w:fldChar w:fldCharType="end"/>
    </w:r>
    <w:r w:rsidR="009D3BF1">
      <w:rPr>
        <w:rFonts w:hint="eastAsia"/>
        <w:kern w:val="0"/>
        <w:szCs w:val="21"/>
      </w:rPr>
      <w:t xml:space="preserve"> </w:t>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EDA" w:rsidRDefault="00F93EDA">
      <w:r>
        <w:separator/>
      </w:r>
    </w:p>
  </w:footnote>
  <w:footnote w:type="continuationSeparator" w:id="0">
    <w:p w:rsidR="00F93EDA" w:rsidRDefault="00F93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4B9" w:rsidRPr="00C2542B" w:rsidRDefault="004D64B9" w:rsidP="00C2542B">
    <w:pPr>
      <w:pStyle w:val="aa"/>
      <w:pBdr>
        <w:bottom w:val="single" w:sz="6" w:space="0" w:color="auto"/>
      </w:pBdr>
      <w:jc w:val="right"/>
    </w:pPr>
    <w:r w:rsidRPr="00DB2981">
      <w:rPr>
        <w:rFonts w:hint="eastAsia"/>
        <w:noProof/>
        <w:sz w:val="21"/>
        <w:szCs w:val="21"/>
      </w:rPr>
      <w:drawing>
        <wp:anchor distT="0" distB="0" distL="114300" distR="114300" simplePos="0" relativeHeight="251659264" behindDoc="0" locked="0" layoutInCell="1" allowOverlap="1">
          <wp:simplePos x="0" y="0"/>
          <wp:positionH relativeFrom="column">
            <wp:posOffset>-24130</wp:posOffset>
          </wp:positionH>
          <wp:positionV relativeFrom="paragraph">
            <wp:posOffset>-349885</wp:posOffset>
          </wp:positionV>
          <wp:extent cx="2085975" cy="457200"/>
          <wp:effectExtent l="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085975" cy="457200"/>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055987"/>
    <w:multiLevelType w:val="hybridMultilevel"/>
    <w:tmpl w:val="6DACDB38"/>
    <w:lvl w:ilvl="0" w:tplc="307C87E8">
      <w:start w:val="2006"/>
      <w:numFmt w:val="bullet"/>
      <w:lvlText w:val="●"/>
      <w:lvlJc w:val="left"/>
      <w:pPr>
        <w:tabs>
          <w:tab w:val="num" w:pos="780"/>
        </w:tabs>
        <w:ind w:left="780" w:hanging="360"/>
      </w:pPr>
      <w:rPr>
        <w:rFonts w:ascii="Times New Roman" w:eastAsia="宋体" w:hAnsi="Times New Roman" w:hint="default"/>
      </w:rPr>
    </w:lvl>
    <w:lvl w:ilvl="1" w:tplc="04090003" w:tentative="1">
      <w:start w:val="1"/>
      <w:numFmt w:val="bullet"/>
      <w:lvlText w:val=""/>
      <w:lvlJc w:val="left"/>
      <w:pPr>
        <w:tabs>
          <w:tab w:val="num" w:pos="1260"/>
        </w:tabs>
        <w:ind w:left="1260" w:hanging="420"/>
      </w:pPr>
      <w:rPr>
        <w:rFonts w:ascii="Wingdings" w:hAnsi="Wingdings" w:hint="default"/>
      </w:rPr>
    </w:lvl>
    <w:lvl w:ilvl="2" w:tplc="04090005"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3" w:tentative="1">
      <w:start w:val="1"/>
      <w:numFmt w:val="bullet"/>
      <w:lvlText w:val=""/>
      <w:lvlJc w:val="left"/>
      <w:pPr>
        <w:tabs>
          <w:tab w:val="num" w:pos="2520"/>
        </w:tabs>
        <w:ind w:left="2520" w:hanging="420"/>
      </w:pPr>
      <w:rPr>
        <w:rFonts w:ascii="Wingdings" w:hAnsi="Wingdings" w:hint="default"/>
      </w:rPr>
    </w:lvl>
    <w:lvl w:ilvl="5" w:tplc="04090005"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3" w:tentative="1">
      <w:start w:val="1"/>
      <w:numFmt w:val="bullet"/>
      <w:lvlText w:val=""/>
      <w:lvlJc w:val="left"/>
      <w:pPr>
        <w:tabs>
          <w:tab w:val="num" w:pos="3780"/>
        </w:tabs>
        <w:ind w:left="3780" w:hanging="420"/>
      </w:pPr>
      <w:rPr>
        <w:rFonts w:ascii="Wingdings" w:hAnsi="Wingdings" w:hint="default"/>
      </w:rPr>
    </w:lvl>
    <w:lvl w:ilvl="8" w:tplc="04090005"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1DF74DBA"/>
    <w:multiLevelType w:val="multilevel"/>
    <w:tmpl w:val="B7D01BBA"/>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211D1A1B"/>
    <w:multiLevelType w:val="multilevel"/>
    <w:tmpl w:val="6E2E530C"/>
    <w:lvl w:ilvl="0">
      <w:start w:val="1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15:restartNumberingAfterBreak="0">
    <w:nsid w:val="29793D9F"/>
    <w:multiLevelType w:val="multilevel"/>
    <w:tmpl w:val="0409001D"/>
    <w:numStyleLink w:val="3"/>
  </w:abstractNum>
  <w:abstractNum w:abstractNumId="4" w15:restartNumberingAfterBreak="0">
    <w:nsid w:val="42C9614F"/>
    <w:multiLevelType w:val="multilevel"/>
    <w:tmpl w:val="1A94FD26"/>
    <w:lvl w:ilvl="0">
      <w:start w:val="9"/>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45342383"/>
    <w:multiLevelType w:val="multilevel"/>
    <w:tmpl w:val="0409001D"/>
    <w:styleLink w:val="5"/>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6" w15:restartNumberingAfterBreak="0">
    <w:nsid w:val="52D86888"/>
    <w:multiLevelType w:val="multilevel"/>
    <w:tmpl w:val="DD2C7036"/>
    <w:lvl w:ilvl="0">
      <w:start w:val="10"/>
      <w:numFmt w:val="decimal"/>
      <w:lvlText w:val="%1"/>
      <w:lvlJc w:val="left"/>
      <w:pPr>
        <w:tabs>
          <w:tab w:val="num" w:pos="480"/>
        </w:tabs>
        <w:ind w:left="480" w:hanging="480"/>
      </w:pPr>
      <w:rPr>
        <w:rFonts w:cs="Times New Roman" w:hint="default"/>
      </w:rPr>
    </w:lvl>
    <w:lvl w:ilvl="1">
      <w:start w:val="3"/>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7" w15:restartNumberingAfterBreak="0">
    <w:nsid w:val="57E8240C"/>
    <w:multiLevelType w:val="hybridMultilevel"/>
    <w:tmpl w:val="300A7112"/>
    <w:lvl w:ilvl="0" w:tplc="3782FDB8">
      <w:start w:val="1"/>
      <w:numFmt w:val="decimal"/>
      <w:lvlText w:val="（%1）"/>
      <w:lvlJc w:val="left"/>
      <w:pPr>
        <w:tabs>
          <w:tab w:val="num" w:pos="1200"/>
        </w:tabs>
        <w:ind w:left="1200" w:hanging="720"/>
      </w:pPr>
      <w:rPr>
        <w:rFonts w:cs="Times New Roman" w:hint="eastAsia"/>
        <w:sz w:val="24"/>
      </w:rPr>
    </w:lvl>
    <w:lvl w:ilvl="1" w:tplc="04090019" w:tentative="1">
      <w:start w:val="1"/>
      <w:numFmt w:val="lowerLetter"/>
      <w:lvlText w:val="%2)"/>
      <w:lvlJc w:val="left"/>
      <w:pPr>
        <w:tabs>
          <w:tab w:val="num" w:pos="1320"/>
        </w:tabs>
        <w:ind w:left="1320" w:hanging="420"/>
      </w:pPr>
      <w:rPr>
        <w:rFonts w:cs="Times New Roman"/>
      </w:rPr>
    </w:lvl>
    <w:lvl w:ilvl="2" w:tplc="0409001B" w:tentative="1">
      <w:start w:val="1"/>
      <w:numFmt w:val="lowerRoman"/>
      <w:lvlText w:val="%3."/>
      <w:lvlJc w:val="righ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9" w:tentative="1">
      <w:start w:val="1"/>
      <w:numFmt w:val="lowerLetter"/>
      <w:lvlText w:val="%5)"/>
      <w:lvlJc w:val="left"/>
      <w:pPr>
        <w:tabs>
          <w:tab w:val="num" w:pos="2580"/>
        </w:tabs>
        <w:ind w:left="2580" w:hanging="420"/>
      </w:pPr>
      <w:rPr>
        <w:rFonts w:cs="Times New Roman"/>
      </w:rPr>
    </w:lvl>
    <w:lvl w:ilvl="5" w:tplc="0409001B" w:tentative="1">
      <w:start w:val="1"/>
      <w:numFmt w:val="lowerRoman"/>
      <w:lvlText w:val="%6."/>
      <w:lvlJc w:val="righ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9" w:tentative="1">
      <w:start w:val="1"/>
      <w:numFmt w:val="lowerLetter"/>
      <w:lvlText w:val="%8)"/>
      <w:lvlJc w:val="left"/>
      <w:pPr>
        <w:tabs>
          <w:tab w:val="num" w:pos="3840"/>
        </w:tabs>
        <w:ind w:left="3840" w:hanging="420"/>
      </w:pPr>
      <w:rPr>
        <w:rFonts w:cs="Times New Roman"/>
      </w:rPr>
    </w:lvl>
    <w:lvl w:ilvl="8" w:tplc="0409001B" w:tentative="1">
      <w:start w:val="1"/>
      <w:numFmt w:val="lowerRoman"/>
      <w:lvlText w:val="%9."/>
      <w:lvlJc w:val="right"/>
      <w:pPr>
        <w:tabs>
          <w:tab w:val="num" w:pos="4260"/>
        </w:tabs>
        <w:ind w:left="4260" w:hanging="420"/>
      </w:pPr>
      <w:rPr>
        <w:rFonts w:cs="Times New Roman"/>
      </w:rPr>
    </w:lvl>
  </w:abstractNum>
  <w:abstractNum w:abstractNumId="8" w15:restartNumberingAfterBreak="0">
    <w:nsid w:val="64C22724"/>
    <w:multiLevelType w:val="multilevel"/>
    <w:tmpl w:val="0409001D"/>
    <w:numStyleLink w:val="5"/>
  </w:abstractNum>
  <w:abstractNum w:abstractNumId="9" w15:restartNumberingAfterBreak="0">
    <w:nsid w:val="651823B1"/>
    <w:multiLevelType w:val="multilevel"/>
    <w:tmpl w:val="0409001D"/>
    <w:styleLink w:val="3"/>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571"/>
        </w:tabs>
        <w:ind w:left="1418" w:hanging="567"/>
      </w:pPr>
      <w:rPr>
        <w:rFonts w:eastAsia="宋体" w:cs="Times New Roman" w:hint="eastAsia"/>
      </w:rPr>
    </w:lvl>
    <w:lvl w:ilvl="3">
      <w:start w:val="1"/>
      <w:numFmt w:val="decimal"/>
      <w:lvlText w:val="%1.%2.%3.%4"/>
      <w:lvlJc w:val="left"/>
      <w:pPr>
        <w:tabs>
          <w:tab w:val="num" w:pos="2356"/>
        </w:tabs>
        <w:ind w:left="1984" w:hanging="708"/>
      </w:pPr>
      <w:rPr>
        <w:rFonts w:cs="Times New Roman"/>
      </w:rPr>
    </w:lvl>
    <w:lvl w:ilvl="4">
      <w:start w:val="1"/>
      <w:numFmt w:val="decimal"/>
      <w:lvlText w:val="%1.%2.%3.%4.%5"/>
      <w:lvlJc w:val="left"/>
      <w:pPr>
        <w:tabs>
          <w:tab w:val="num" w:pos="2781"/>
        </w:tabs>
        <w:ind w:left="2551" w:hanging="850"/>
      </w:pPr>
      <w:rPr>
        <w:rFonts w:cs="Times New Roman"/>
      </w:rPr>
    </w:lvl>
    <w:lvl w:ilvl="5">
      <w:start w:val="1"/>
      <w:numFmt w:val="decimal"/>
      <w:lvlText w:val="%1.%2.%3.%4.%5.%6"/>
      <w:lvlJc w:val="left"/>
      <w:pPr>
        <w:tabs>
          <w:tab w:val="num" w:pos="3566"/>
        </w:tabs>
        <w:ind w:left="3260" w:hanging="1134"/>
      </w:pPr>
      <w:rPr>
        <w:rFonts w:cs="Times New Roman"/>
      </w:rPr>
    </w:lvl>
    <w:lvl w:ilvl="6">
      <w:start w:val="1"/>
      <w:numFmt w:val="decimal"/>
      <w:lvlText w:val="%1.%2.%3.%4.%5.%6.%7"/>
      <w:lvlJc w:val="left"/>
      <w:pPr>
        <w:tabs>
          <w:tab w:val="num" w:pos="4351"/>
        </w:tabs>
        <w:ind w:left="3827" w:hanging="1276"/>
      </w:pPr>
      <w:rPr>
        <w:rFonts w:cs="Times New Roman"/>
      </w:rPr>
    </w:lvl>
    <w:lvl w:ilvl="7">
      <w:start w:val="1"/>
      <w:numFmt w:val="decimal"/>
      <w:lvlText w:val="%1.%2.%3.%4.%5.%6.%7.%8"/>
      <w:lvlJc w:val="left"/>
      <w:pPr>
        <w:tabs>
          <w:tab w:val="num" w:pos="4776"/>
        </w:tabs>
        <w:ind w:left="4394" w:hanging="1418"/>
      </w:pPr>
      <w:rPr>
        <w:rFonts w:cs="Times New Roman"/>
      </w:rPr>
    </w:lvl>
    <w:lvl w:ilvl="8">
      <w:start w:val="1"/>
      <w:numFmt w:val="decimal"/>
      <w:lvlText w:val="%1.%2.%3.%4.%5.%6.%7.%8.%9"/>
      <w:lvlJc w:val="left"/>
      <w:pPr>
        <w:tabs>
          <w:tab w:val="num" w:pos="5562"/>
        </w:tabs>
        <w:ind w:left="5102" w:hanging="1700"/>
      </w:pPr>
      <w:rPr>
        <w:rFonts w:cs="Times New Roman"/>
      </w:rPr>
    </w:lvl>
  </w:abstractNum>
  <w:abstractNum w:abstractNumId="10" w15:restartNumberingAfterBreak="0">
    <w:nsid w:val="6E5C03DC"/>
    <w:multiLevelType w:val="multilevel"/>
    <w:tmpl w:val="0409001D"/>
    <w:styleLink w:val="4"/>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992"/>
        </w:tabs>
        <w:ind w:left="992" w:hanging="567"/>
      </w:pPr>
      <w:rPr>
        <w:rFonts w:cs="Times New Roman"/>
      </w:rPr>
    </w:lvl>
    <w:lvl w:ilvl="2">
      <w:start w:val="1"/>
      <w:numFmt w:val="decimal"/>
      <w:lvlText w:val="%1.%2.%3"/>
      <w:lvlJc w:val="left"/>
      <w:pPr>
        <w:tabs>
          <w:tab w:val="num" w:pos="1418"/>
        </w:tabs>
        <w:ind w:left="1418" w:hanging="567"/>
      </w:pPr>
      <w:rPr>
        <w:rFonts w:cs="Times New Roman"/>
      </w:rPr>
    </w:lvl>
    <w:lvl w:ilvl="3">
      <w:start w:val="1"/>
      <w:numFmt w:val="decimal"/>
      <w:lvlText w:val="%1.%2.%3.%4"/>
      <w:lvlJc w:val="left"/>
      <w:pPr>
        <w:tabs>
          <w:tab w:val="num" w:pos="1984"/>
        </w:tabs>
        <w:ind w:left="1984" w:hanging="708"/>
      </w:pPr>
      <w:rPr>
        <w:rFonts w:cs="Times New Roman"/>
      </w:rPr>
    </w:lvl>
    <w:lvl w:ilvl="4">
      <w:start w:val="1"/>
      <w:numFmt w:val="decimal"/>
      <w:lvlText w:val="%1.%2.%3.%4.%5"/>
      <w:lvlJc w:val="left"/>
      <w:pPr>
        <w:tabs>
          <w:tab w:val="num" w:pos="2551"/>
        </w:tabs>
        <w:ind w:left="2551" w:hanging="850"/>
      </w:pPr>
      <w:rPr>
        <w:rFonts w:cs="Times New Roman"/>
      </w:rPr>
    </w:lvl>
    <w:lvl w:ilvl="5">
      <w:start w:val="1"/>
      <w:numFmt w:val="decimal"/>
      <w:lvlText w:val="%1.%2.%3.%4.%5.%6"/>
      <w:lvlJc w:val="left"/>
      <w:pPr>
        <w:tabs>
          <w:tab w:val="num" w:pos="3260"/>
        </w:tabs>
        <w:ind w:left="3260" w:hanging="1134"/>
      </w:pPr>
      <w:rPr>
        <w:rFonts w:cs="Times New Roman"/>
      </w:rPr>
    </w:lvl>
    <w:lvl w:ilvl="6">
      <w:start w:val="1"/>
      <w:numFmt w:val="decimal"/>
      <w:lvlText w:val="%1.%2.%3.%4.%5.%6.%7"/>
      <w:lvlJc w:val="left"/>
      <w:pPr>
        <w:tabs>
          <w:tab w:val="num" w:pos="3827"/>
        </w:tabs>
        <w:ind w:left="3827" w:hanging="1276"/>
      </w:pPr>
      <w:rPr>
        <w:rFonts w:cs="Times New Roman"/>
      </w:rPr>
    </w:lvl>
    <w:lvl w:ilvl="7">
      <w:start w:val="1"/>
      <w:numFmt w:val="decimal"/>
      <w:lvlText w:val="%1.%2.%3.%4.%5.%6.%7.%8"/>
      <w:lvlJc w:val="left"/>
      <w:pPr>
        <w:tabs>
          <w:tab w:val="num" w:pos="4394"/>
        </w:tabs>
        <w:ind w:left="4394" w:hanging="1418"/>
      </w:pPr>
      <w:rPr>
        <w:rFonts w:cs="Times New Roman"/>
      </w:rPr>
    </w:lvl>
    <w:lvl w:ilvl="8">
      <w:start w:val="1"/>
      <w:numFmt w:val="decimal"/>
      <w:lvlText w:val="%1.%2.%3.%4.%5.%6.%7.%8.%9"/>
      <w:lvlJc w:val="left"/>
      <w:pPr>
        <w:tabs>
          <w:tab w:val="num" w:pos="5102"/>
        </w:tabs>
        <w:ind w:left="5102" w:hanging="1700"/>
      </w:pPr>
      <w:rPr>
        <w:rFonts w:cs="Times New Roman"/>
      </w:rPr>
    </w:lvl>
  </w:abstractNum>
  <w:abstractNum w:abstractNumId="11" w15:restartNumberingAfterBreak="0">
    <w:nsid w:val="730968E3"/>
    <w:multiLevelType w:val="multilevel"/>
    <w:tmpl w:val="C72EB838"/>
    <w:styleLink w:val="2"/>
    <w:lvl w:ilvl="0">
      <w:start w:val="1"/>
      <w:numFmt w:val="decimal"/>
      <w:lvlText w:val="§%1"/>
      <w:lvlJc w:val="left"/>
      <w:pPr>
        <w:tabs>
          <w:tab w:val="num" w:pos="425"/>
        </w:tabs>
        <w:ind w:left="425" w:hanging="425"/>
      </w:pPr>
      <w:rPr>
        <w:rFonts w:cs="Times New Roman" w:hint="eastAsia"/>
      </w:rPr>
    </w:lvl>
    <w:lvl w:ilvl="1">
      <w:start w:val="1"/>
      <w:numFmt w:val="decimal"/>
      <w:lvlText w:val="%1.%2"/>
      <w:lvlJc w:val="left"/>
      <w:pPr>
        <w:tabs>
          <w:tab w:val="num" w:pos="992"/>
        </w:tabs>
        <w:ind w:left="992" w:hanging="567"/>
      </w:pPr>
      <w:rPr>
        <w:rFonts w:cs="Times New Roman" w:hint="eastAsia"/>
      </w:rPr>
    </w:lvl>
    <w:lvl w:ilvl="2">
      <w:start w:val="1"/>
      <w:numFmt w:val="decimal"/>
      <w:lvlText w:val="%1.%2.%3"/>
      <w:lvlJc w:val="left"/>
      <w:pPr>
        <w:tabs>
          <w:tab w:val="num" w:pos="1571"/>
        </w:tabs>
        <w:ind w:left="1418" w:hanging="567"/>
      </w:pPr>
      <w:rPr>
        <w:rFonts w:cs="Times New Roman" w:hint="eastAsia"/>
      </w:rPr>
    </w:lvl>
    <w:lvl w:ilvl="3">
      <w:start w:val="1"/>
      <w:numFmt w:val="decimal"/>
      <w:lvlText w:val="%1.%2.%3.%4"/>
      <w:lvlJc w:val="left"/>
      <w:pPr>
        <w:tabs>
          <w:tab w:val="num" w:pos="2356"/>
        </w:tabs>
        <w:ind w:left="1984" w:hanging="708"/>
      </w:pPr>
      <w:rPr>
        <w:rFonts w:cs="Times New Roman" w:hint="eastAsia"/>
      </w:rPr>
    </w:lvl>
    <w:lvl w:ilvl="4">
      <w:start w:val="1"/>
      <w:numFmt w:val="decimal"/>
      <w:lvlText w:val="%1.%2.%3.%4.%5"/>
      <w:lvlJc w:val="left"/>
      <w:pPr>
        <w:tabs>
          <w:tab w:val="num" w:pos="3141"/>
        </w:tabs>
        <w:ind w:left="2551" w:hanging="850"/>
      </w:pPr>
      <w:rPr>
        <w:rFonts w:cs="Times New Roman" w:hint="eastAsia"/>
      </w:rPr>
    </w:lvl>
    <w:lvl w:ilvl="5">
      <w:start w:val="1"/>
      <w:numFmt w:val="decimal"/>
      <w:lvlText w:val="%1.%2.%3.%4.%5.%6"/>
      <w:lvlJc w:val="left"/>
      <w:pPr>
        <w:tabs>
          <w:tab w:val="num" w:pos="3566"/>
        </w:tabs>
        <w:ind w:left="3260" w:hanging="1134"/>
      </w:pPr>
      <w:rPr>
        <w:rFonts w:cs="Times New Roman" w:hint="eastAsia"/>
      </w:rPr>
    </w:lvl>
    <w:lvl w:ilvl="6">
      <w:start w:val="1"/>
      <w:numFmt w:val="decimal"/>
      <w:lvlText w:val="%1.%2.%3.%4.%5.%6.%7"/>
      <w:lvlJc w:val="left"/>
      <w:pPr>
        <w:tabs>
          <w:tab w:val="num" w:pos="4351"/>
        </w:tabs>
        <w:ind w:left="3827" w:hanging="1276"/>
      </w:pPr>
      <w:rPr>
        <w:rFonts w:cs="Times New Roman" w:hint="eastAsia"/>
      </w:rPr>
    </w:lvl>
    <w:lvl w:ilvl="7">
      <w:start w:val="1"/>
      <w:numFmt w:val="decimal"/>
      <w:lvlText w:val="%1.%2.%3.%4.%5.%6.%7.%8"/>
      <w:lvlJc w:val="left"/>
      <w:pPr>
        <w:tabs>
          <w:tab w:val="num" w:pos="5136"/>
        </w:tabs>
        <w:ind w:left="4394" w:hanging="1418"/>
      </w:pPr>
      <w:rPr>
        <w:rFonts w:cs="Times New Roman" w:hint="eastAsia"/>
      </w:rPr>
    </w:lvl>
    <w:lvl w:ilvl="8">
      <w:start w:val="1"/>
      <w:numFmt w:val="decimal"/>
      <w:lvlText w:val="%1.%2.%3.%4.%5.%6.%7.%8.%9"/>
      <w:lvlJc w:val="left"/>
      <w:pPr>
        <w:tabs>
          <w:tab w:val="num" w:pos="5562"/>
        </w:tabs>
        <w:ind w:left="5102" w:hanging="1700"/>
      </w:pPr>
      <w:rPr>
        <w:rFonts w:cs="Times New Roman" w:hint="eastAsia"/>
      </w:rPr>
    </w:lvl>
  </w:abstractNum>
  <w:abstractNum w:abstractNumId="12" w15:restartNumberingAfterBreak="0">
    <w:nsid w:val="7C2F7AB8"/>
    <w:multiLevelType w:val="multilevel"/>
    <w:tmpl w:val="7F5C4A20"/>
    <w:lvl w:ilvl="0">
      <w:start w:val="10"/>
      <w:numFmt w:val="decimal"/>
      <w:lvlText w:val="%1"/>
      <w:lvlJc w:val="left"/>
      <w:pPr>
        <w:tabs>
          <w:tab w:val="num" w:pos="480"/>
        </w:tabs>
        <w:ind w:left="480" w:hanging="48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3" w15:restartNumberingAfterBreak="0">
    <w:nsid w:val="7EC34207"/>
    <w:multiLevelType w:val="hybridMultilevel"/>
    <w:tmpl w:val="58FC50DE"/>
    <w:lvl w:ilvl="0" w:tplc="788C0680">
      <w:start w:val="1"/>
      <w:numFmt w:val="japaneseCounting"/>
      <w:lvlText w:val="%1、"/>
      <w:lvlJc w:val="left"/>
      <w:pPr>
        <w:tabs>
          <w:tab w:val="num" w:pos="480"/>
        </w:tabs>
        <w:ind w:left="480" w:hanging="480"/>
      </w:pPr>
      <w:rPr>
        <w:rFonts w:eastAsia="宋体" w:cs="Times New Roman" w:hint="eastAsia"/>
        <w:color w:val="auto"/>
      </w:rPr>
    </w:lvl>
    <w:lvl w:ilvl="1" w:tplc="D5ACC954">
      <w:start w:val="1"/>
      <w:numFmt w:val="japaneseCounting"/>
      <w:lvlText w:val="(%2)"/>
      <w:lvlJc w:val="left"/>
      <w:pPr>
        <w:tabs>
          <w:tab w:val="num" w:pos="810"/>
        </w:tabs>
        <w:ind w:left="810" w:hanging="390"/>
      </w:pPr>
      <w:rPr>
        <w:rFonts w:cs="Times New Roman" w:hint="eastAsia"/>
      </w:rPr>
    </w:lvl>
    <w:lvl w:ilvl="2" w:tplc="E2F6B948">
      <w:start w:val="1"/>
      <w:numFmt w:val="decimal"/>
      <w:lvlText w:val="%3、"/>
      <w:lvlJc w:val="left"/>
      <w:pPr>
        <w:tabs>
          <w:tab w:val="num" w:pos="1200"/>
        </w:tabs>
        <w:ind w:left="1200" w:hanging="360"/>
      </w:pPr>
      <w:rPr>
        <w:rFonts w:cs="Times New Roman" w:hint="eastAsia"/>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3"/>
  </w:num>
  <w:num w:numId="2">
    <w:abstractNumId w:val="7"/>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1107"/>
          </w:tabs>
          <w:ind w:left="1107" w:hanging="567"/>
        </w:pPr>
        <w:rPr>
          <w:rFonts w:cs="Times New Roman"/>
        </w:rPr>
      </w:lvl>
    </w:lvlOverride>
  </w:num>
  <w:num w:numId="7">
    <w:abstractNumId w:val="9"/>
  </w:num>
  <w:num w:numId="8">
    <w:abstractNumId w:val="5"/>
  </w:num>
  <w:num w:numId="9">
    <w:abstractNumId w:val="10"/>
  </w:num>
  <w:num w:numId="10">
    <w:abstractNumId w:val="1"/>
  </w:num>
  <w:num w:numId="11">
    <w:abstractNumId w:val="8"/>
    <w:lvlOverride w:ilvl="0">
      <w:lvl w:ilvl="0">
        <w:numFmt w:val="decimal"/>
        <w:lvlText w:val=""/>
        <w:lvlJc w:val="left"/>
        <w:rPr>
          <w:rFonts w:cs="Times New Roman"/>
        </w:rPr>
      </w:lvl>
    </w:lvlOverride>
    <w:lvlOverride w:ilvl="1">
      <w:lvl w:ilvl="1">
        <w:start w:val="1"/>
        <w:numFmt w:val="decimal"/>
        <w:lvlText w:val="%1.%2"/>
        <w:lvlJc w:val="left"/>
        <w:pPr>
          <w:tabs>
            <w:tab w:val="num" w:pos="992"/>
          </w:tabs>
          <w:ind w:left="992" w:hanging="567"/>
        </w:pPr>
        <w:rPr>
          <w:rFonts w:cs="Times New Roman"/>
        </w:rPr>
      </w:lvl>
    </w:lvlOverride>
  </w:num>
  <w:num w:numId="12">
    <w:abstractNumId w:val="4"/>
  </w:num>
  <w:num w:numId="13">
    <w:abstractNumId w:val="6"/>
  </w:num>
  <w:num w:numId="14">
    <w:abstractNumId w:val="12"/>
  </w:num>
  <w:num w:numId="15">
    <w:abstractNumId w:val="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PostScriptOverText/>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EBD"/>
    <w:rsid w:val="000019B6"/>
    <w:rsid w:val="00001B39"/>
    <w:rsid w:val="00002644"/>
    <w:rsid w:val="00003577"/>
    <w:rsid w:val="0000403B"/>
    <w:rsid w:val="00004337"/>
    <w:rsid w:val="00005172"/>
    <w:rsid w:val="0000551D"/>
    <w:rsid w:val="00005911"/>
    <w:rsid w:val="00005AA2"/>
    <w:rsid w:val="000102A7"/>
    <w:rsid w:val="00010918"/>
    <w:rsid w:val="00010A83"/>
    <w:rsid w:val="00010A8E"/>
    <w:rsid w:val="00010AC3"/>
    <w:rsid w:val="00010C1F"/>
    <w:rsid w:val="00010F11"/>
    <w:rsid w:val="00011081"/>
    <w:rsid w:val="00011850"/>
    <w:rsid w:val="00011EB5"/>
    <w:rsid w:val="0001280C"/>
    <w:rsid w:val="00013CAE"/>
    <w:rsid w:val="000145E9"/>
    <w:rsid w:val="000162AF"/>
    <w:rsid w:val="00016A50"/>
    <w:rsid w:val="00017581"/>
    <w:rsid w:val="0001767C"/>
    <w:rsid w:val="00020583"/>
    <w:rsid w:val="00021813"/>
    <w:rsid w:val="00021DD4"/>
    <w:rsid w:val="000221FE"/>
    <w:rsid w:val="00023BE7"/>
    <w:rsid w:val="00024200"/>
    <w:rsid w:val="0002453B"/>
    <w:rsid w:val="00024C15"/>
    <w:rsid w:val="00024C62"/>
    <w:rsid w:val="00024CA0"/>
    <w:rsid w:val="00026C9C"/>
    <w:rsid w:val="000274FE"/>
    <w:rsid w:val="000276C9"/>
    <w:rsid w:val="0003228A"/>
    <w:rsid w:val="000322D5"/>
    <w:rsid w:val="0003271C"/>
    <w:rsid w:val="00032ADD"/>
    <w:rsid w:val="00032FE1"/>
    <w:rsid w:val="000331EA"/>
    <w:rsid w:val="00033EC1"/>
    <w:rsid w:val="00034BA5"/>
    <w:rsid w:val="000358FE"/>
    <w:rsid w:val="00036ED5"/>
    <w:rsid w:val="00037267"/>
    <w:rsid w:val="000378BC"/>
    <w:rsid w:val="00037CF2"/>
    <w:rsid w:val="00037FCF"/>
    <w:rsid w:val="000415E6"/>
    <w:rsid w:val="00041BC8"/>
    <w:rsid w:val="000421B8"/>
    <w:rsid w:val="000429DF"/>
    <w:rsid w:val="00042AAD"/>
    <w:rsid w:val="000430CA"/>
    <w:rsid w:val="0004381B"/>
    <w:rsid w:val="00043ABF"/>
    <w:rsid w:val="00044158"/>
    <w:rsid w:val="000445E4"/>
    <w:rsid w:val="00045D10"/>
    <w:rsid w:val="0004616F"/>
    <w:rsid w:val="000471B4"/>
    <w:rsid w:val="0004778D"/>
    <w:rsid w:val="00047D10"/>
    <w:rsid w:val="00050260"/>
    <w:rsid w:val="00050C4A"/>
    <w:rsid w:val="000510AB"/>
    <w:rsid w:val="000514E0"/>
    <w:rsid w:val="00051639"/>
    <w:rsid w:val="00053091"/>
    <w:rsid w:val="00053242"/>
    <w:rsid w:val="00053438"/>
    <w:rsid w:val="0005346A"/>
    <w:rsid w:val="000534CD"/>
    <w:rsid w:val="00053EED"/>
    <w:rsid w:val="0005401D"/>
    <w:rsid w:val="0005448A"/>
    <w:rsid w:val="00054499"/>
    <w:rsid w:val="00055AF1"/>
    <w:rsid w:val="00055D56"/>
    <w:rsid w:val="000573B5"/>
    <w:rsid w:val="00057A1D"/>
    <w:rsid w:val="00060597"/>
    <w:rsid w:val="00060744"/>
    <w:rsid w:val="00060A2C"/>
    <w:rsid w:val="00060CB4"/>
    <w:rsid w:val="00061167"/>
    <w:rsid w:val="00061582"/>
    <w:rsid w:val="00061E30"/>
    <w:rsid w:val="00062997"/>
    <w:rsid w:val="00063D34"/>
    <w:rsid w:val="0006475F"/>
    <w:rsid w:val="00064AE3"/>
    <w:rsid w:val="00064FC8"/>
    <w:rsid w:val="00065208"/>
    <w:rsid w:val="00066524"/>
    <w:rsid w:val="000671A3"/>
    <w:rsid w:val="00067A89"/>
    <w:rsid w:val="00070549"/>
    <w:rsid w:val="00070CD1"/>
    <w:rsid w:val="00070E4D"/>
    <w:rsid w:val="00071022"/>
    <w:rsid w:val="0007171B"/>
    <w:rsid w:val="000717A1"/>
    <w:rsid w:val="00072DE0"/>
    <w:rsid w:val="00072FC7"/>
    <w:rsid w:val="00073DB1"/>
    <w:rsid w:val="00073EA5"/>
    <w:rsid w:val="00073F87"/>
    <w:rsid w:val="00074AAD"/>
    <w:rsid w:val="00075473"/>
    <w:rsid w:val="00075D2A"/>
    <w:rsid w:val="00076397"/>
    <w:rsid w:val="000764CB"/>
    <w:rsid w:val="00076CC5"/>
    <w:rsid w:val="00077FE0"/>
    <w:rsid w:val="000801F4"/>
    <w:rsid w:val="00080423"/>
    <w:rsid w:val="00080BC0"/>
    <w:rsid w:val="0008141B"/>
    <w:rsid w:val="00081A3D"/>
    <w:rsid w:val="00081D05"/>
    <w:rsid w:val="0008226A"/>
    <w:rsid w:val="00082B63"/>
    <w:rsid w:val="00083BAF"/>
    <w:rsid w:val="0008407B"/>
    <w:rsid w:val="000847EE"/>
    <w:rsid w:val="00084ADE"/>
    <w:rsid w:val="0008506D"/>
    <w:rsid w:val="00085F3E"/>
    <w:rsid w:val="000861D6"/>
    <w:rsid w:val="0008624A"/>
    <w:rsid w:val="000863CA"/>
    <w:rsid w:val="00086622"/>
    <w:rsid w:val="000866EC"/>
    <w:rsid w:val="00087011"/>
    <w:rsid w:val="00087272"/>
    <w:rsid w:val="000874BC"/>
    <w:rsid w:val="00087CF7"/>
    <w:rsid w:val="00087D8D"/>
    <w:rsid w:val="0009000C"/>
    <w:rsid w:val="00090120"/>
    <w:rsid w:val="000908ED"/>
    <w:rsid w:val="0009091B"/>
    <w:rsid w:val="000917D5"/>
    <w:rsid w:val="000919B7"/>
    <w:rsid w:val="0009357E"/>
    <w:rsid w:val="00094876"/>
    <w:rsid w:val="000951F7"/>
    <w:rsid w:val="00095912"/>
    <w:rsid w:val="00095CE0"/>
    <w:rsid w:val="000961CE"/>
    <w:rsid w:val="00096563"/>
    <w:rsid w:val="00096566"/>
    <w:rsid w:val="000968C8"/>
    <w:rsid w:val="00096933"/>
    <w:rsid w:val="00096995"/>
    <w:rsid w:val="00096A1F"/>
    <w:rsid w:val="00096B18"/>
    <w:rsid w:val="00097230"/>
    <w:rsid w:val="00097DB0"/>
    <w:rsid w:val="000A1448"/>
    <w:rsid w:val="000A1B00"/>
    <w:rsid w:val="000A1BD6"/>
    <w:rsid w:val="000A1BFB"/>
    <w:rsid w:val="000A3022"/>
    <w:rsid w:val="000A335B"/>
    <w:rsid w:val="000A38DE"/>
    <w:rsid w:val="000A457E"/>
    <w:rsid w:val="000A4672"/>
    <w:rsid w:val="000A4FEF"/>
    <w:rsid w:val="000A53FD"/>
    <w:rsid w:val="000A549A"/>
    <w:rsid w:val="000A578A"/>
    <w:rsid w:val="000A72F2"/>
    <w:rsid w:val="000B0C56"/>
    <w:rsid w:val="000B2B57"/>
    <w:rsid w:val="000B2C8D"/>
    <w:rsid w:val="000B3435"/>
    <w:rsid w:val="000B36CC"/>
    <w:rsid w:val="000B3E43"/>
    <w:rsid w:val="000B417C"/>
    <w:rsid w:val="000B4365"/>
    <w:rsid w:val="000B5CC0"/>
    <w:rsid w:val="000C01F9"/>
    <w:rsid w:val="000C05AB"/>
    <w:rsid w:val="000C0871"/>
    <w:rsid w:val="000C0A18"/>
    <w:rsid w:val="000C0A9A"/>
    <w:rsid w:val="000C0CA5"/>
    <w:rsid w:val="000C0F55"/>
    <w:rsid w:val="000C127D"/>
    <w:rsid w:val="000C15BE"/>
    <w:rsid w:val="000C1723"/>
    <w:rsid w:val="000C1774"/>
    <w:rsid w:val="000C1B20"/>
    <w:rsid w:val="000C224F"/>
    <w:rsid w:val="000C3FD9"/>
    <w:rsid w:val="000C4107"/>
    <w:rsid w:val="000C45E7"/>
    <w:rsid w:val="000C45F5"/>
    <w:rsid w:val="000C58C9"/>
    <w:rsid w:val="000C5C31"/>
    <w:rsid w:val="000C5E98"/>
    <w:rsid w:val="000C698D"/>
    <w:rsid w:val="000C705C"/>
    <w:rsid w:val="000C7AE4"/>
    <w:rsid w:val="000D01F4"/>
    <w:rsid w:val="000D0B89"/>
    <w:rsid w:val="000D1519"/>
    <w:rsid w:val="000D1889"/>
    <w:rsid w:val="000D2B86"/>
    <w:rsid w:val="000D3145"/>
    <w:rsid w:val="000D36D1"/>
    <w:rsid w:val="000D4AAD"/>
    <w:rsid w:val="000D52B3"/>
    <w:rsid w:val="000D52DC"/>
    <w:rsid w:val="000D6054"/>
    <w:rsid w:val="000D619B"/>
    <w:rsid w:val="000D788B"/>
    <w:rsid w:val="000D7D7C"/>
    <w:rsid w:val="000E34ED"/>
    <w:rsid w:val="000E4456"/>
    <w:rsid w:val="000E4505"/>
    <w:rsid w:val="000E4B9B"/>
    <w:rsid w:val="000E6184"/>
    <w:rsid w:val="000E67FE"/>
    <w:rsid w:val="000E7B5C"/>
    <w:rsid w:val="000F0C0A"/>
    <w:rsid w:val="000F0FF2"/>
    <w:rsid w:val="000F175F"/>
    <w:rsid w:val="000F17D1"/>
    <w:rsid w:val="000F255E"/>
    <w:rsid w:val="000F285F"/>
    <w:rsid w:val="000F2C75"/>
    <w:rsid w:val="000F3506"/>
    <w:rsid w:val="000F5122"/>
    <w:rsid w:val="000F5396"/>
    <w:rsid w:val="000F5704"/>
    <w:rsid w:val="000F593E"/>
    <w:rsid w:val="000F60F3"/>
    <w:rsid w:val="000F60FF"/>
    <w:rsid w:val="000F635F"/>
    <w:rsid w:val="000F6A8A"/>
    <w:rsid w:val="000F6C61"/>
    <w:rsid w:val="000F6F95"/>
    <w:rsid w:val="000F754C"/>
    <w:rsid w:val="00100C12"/>
    <w:rsid w:val="001013A8"/>
    <w:rsid w:val="00101C35"/>
    <w:rsid w:val="00102046"/>
    <w:rsid w:val="001021AD"/>
    <w:rsid w:val="00102CC8"/>
    <w:rsid w:val="001030B5"/>
    <w:rsid w:val="0010352B"/>
    <w:rsid w:val="001046E2"/>
    <w:rsid w:val="001049B6"/>
    <w:rsid w:val="00104DE3"/>
    <w:rsid w:val="001051C6"/>
    <w:rsid w:val="0010577B"/>
    <w:rsid w:val="0010598A"/>
    <w:rsid w:val="00105C9C"/>
    <w:rsid w:val="001069ED"/>
    <w:rsid w:val="00106C1F"/>
    <w:rsid w:val="00106F69"/>
    <w:rsid w:val="001116BA"/>
    <w:rsid w:val="0011177A"/>
    <w:rsid w:val="0011179E"/>
    <w:rsid w:val="00111C71"/>
    <w:rsid w:val="00112C6D"/>
    <w:rsid w:val="001134F0"/>
    <w:rsid w:val="00113763"/>
    <w:rsid w:val="001141C0"/>
    <w:rsid w:val="00116E31"/>
    <w:rsid w:val="0012065E"/>
    <w:rsid w:val="00120825"/>
    <w:rsid w:val="00120EED"/>
    <w:rsid w:val="001212B4"/>
    <w:rsid w:val="0012304E"/>
    <w:rsid w:val="00123252"/>
    <w:rsid w:val="001239C8"/>
    <w:rsid w:val="00123A56"/>
    <w:rsid w:val="0012478C"/>
    <w:rsid w:val="001248EF"/>
    <w:rsid w:val="001252EA"/>
    <w:rsid w:val="00125565"/>
    <w:rsid w:val="001257C7"/>
    <w:rsid w:val="00126502"/>
    <w:rsid w:val="001268F9"/>
    <w:rsid w:val="00126AF2"/>
    <w:rsid w:val="00126DDF"/>
    <w:rsid w:val="001270BF"/>
    <w:rsid w:val="00127BAC"/>
    <w:rsid w:val="00127FF5"/>
    <w:rsid w:val="00131EC2"/>
    <w:rsid w:val="001320FD"/>
    <w:rsid w:val="00132E82"/>
    <w:rsid w:val="0013374F"/>
    <w:rsid w:val="0013437B"/>
    <w:rsid w:val="00134789"/>
    <w:rsid w:val="00135467"/>
    <w:rsid w:val="001364D3"/>
    <w:rsid w:val="001366C4"/>
    <w:rsid w:val="0013686A"/>
    <w:rsid w:val="0013718B"/>
    <w:rsid w:val="00137BB5"/>
    <w:rsid w:val="00137BB9"/>
    <w:rsid w:val="00137D50"/>
    <w:rsid w:val="00140038"/>
    <w:rsid w:val="00140E52"/>
    <w:rsid w:val="00142280"/>
    <w:rsid w:val="0014241E"/>
    <w:rsid w:val="001424C6"/>
    <w:rsid w:val="00142A56"/>
    <w:rsid w:val="00142C11"/>
    <w:rsid w:val="001432A7"/>
    <w:rsid w:val="00143BE5"/>
    <w:rsid w:val="00144AAD"/>
    <w:rsid w:val="00144DF5"/>
    <w:rsid w:val="00145247"/>
    <w:rsid w:val="001455C7"/>
    <w:rsid w:val="00145A97"/>
    <w:rsid w:val="00146153"/>
    <w:rsid w:val="00146485"/>
    <w:rsid w:val="00146A28"/>
    <w:rsid w:val="0014702D"/>
    <w:rsid w:val="001470F0"/>
    <w:rsid w:val="00147492"/>
    <w:rsid w:val="00147D41"/>
    <w:rsid w:val="0015080E"/>
    <w:rsid w:val="00150AD6"/>
    <w:rsid w:val="0015173F"/>
    <w:rsid w:val="00151AAF"/>
    <w:rsid w:val="00151B23"/>
    <w:rsid w:val="00152B88"/>
    <w:rsid w:val="00152EE6"/>
    <w:rsid w:val="00153403"/>
    <w:rsid w:val="001535AE"/>
    <w:rsid w:val="00153B40"/>
    <w:rsid w:val="00153BCF"/>
    <w:rsid w:val="0015433E"/>
    <w:rsid w:val="00154ADA"/>
    <w:rsid w:val="00154B08"/>
    <w:rsid w:val="00154C47"/>
    <w:rsid w:val="0015519C"/>
    <w:rsid w:val="0015531A"/>
    <w:rsid w:val="00157418"/>
    <w:rsid w:val="00157B5A"/>
    <w:rsid w:val="00160039"/>
    <w:rsid w:val="0016050B"/>
    <w:rsid w:val="001622C3"/>
    <w:rsid w:val="00162C6F"/>
    <w:rsid w:val="0016380C"/>
    <w:rsid w:val="00163816"/>
    <w:rsid w:val="00163B27"/>
    <w:rsid w:val="0016425E"/>
    <w:rsid w:val="00164BF7"/>
    <w:rsid w:val="00165317"/>
    <w:rsid w:val="001657AB"/>
    <w:rsid w:val="001657E5"/>
    <w:rsid w:val="0016724C"/>
    <w:rsid w:val="0017073D"/>
    <w:rsid w:val="00170D38"/>
    <w:rsid w:val="00171484"/>
    <w:rsid w:val="00171BAD"/>
    <w:rsid w:val="00171F2C"/>
    <w:rsid w:val="00173AF1"/>
    <w:rsid w:val="001744B4"/>
    <w:rsid w:val="001751EF"/>
    <w:rsid w:val="001756A1"/>
    <w:rsid w:val="001761EE"/>
    <w:rsid w:val="00176E90"/>
    <w:rsid w:val="00176EAA"/>
    <w:rsid w:val="00177030"/>
    <w:rsid w:val="0017725A"/>
    <w:rsid w:val="00177405"/>
    <w:rsid w:val="0017761A"/>
    <w:rsid w:val="00177C4B"/>
    <w:rsid w:val="00177EE2"/>
    <w:rsid w:val="00177F6A"/>
    <w:rsid w:val="00181618"/>
    <w:rsid w:val="001819A8"/>
    <w:rsid w:val="00182A38"/>
    <w:rsid w:val="0018325A"/>
    <w:rsid w:val="00183D7A"/>
    <w:rsid w:val="00184CAE"/>
    <w:rsid w:val="00186199"/>
    <w:rsid w:val="00186F7A"/>
    <w:rsid w:val="0019036C"/>
    <w:rsid w:val="00190AE2"/>
    <w:rsid w:val="00190E27"/>
    <w:rsid w:val="001928F7"/>
    <w:rsid w:val="00193182"/>
    <w:rsid w:val="00193575"/>
    <w:rsid w:val="0019389D"/>
    <w:rsid w:val="00193B62"/>
    <w:rsid w:val="00193B93"/>
    <w:rsid w:val="00194537"/>
    <w:rsid w:val="0019563C"/>
    <w:rsid w:val="001956CA"/>
    <w:rsid w:val="00195781"/>
    <w:rsid w:val="00195B79"/>
    <w:rsid w:val="00197C86"/>
    <w:rsid w:val="001A088E"/>
    <w:rsid w:val="001A0F4A"/>
    <w:rsid w:val="001A1B13"/>
    <w:rsid w:val="001A1D38"/>
    <w:rsid w:val="001A20CE"/>
    <w:rsid w:val="001A21A9"/>
    <w:rsid w:val="001A2A8C"/>
    <w:rsid w:val="001A2A97"/>
    <w:rsid w:val="001A364F"/>
    <w:rsid w:val="001A383E"/>
    <w:rsid w:val="001A39B7"/>
    <w:rsid w:val="001A3AF4"/>
    <w:rsid w:val="001A42FA"/>
    <w:rsid w:val="001A4AEC"/>
    <w:rsid w:val="001A59D8"/>
    <w:rsid w:val="001A59F9"/>
    <w:rsid w:val="001A5FA6"/>
    <w:rsid w:val="001A668F"/>
    <w:rsid w:val="001A71CC"/>
    <w:rsid w:val="001A7F30"/>
    <w:rsid w:val="001B04D4"/>
    <w:rsid w:val="001B0A5D"/>
    <w:rsid w:val="001B179D"/>
    <w:rsid w:val="001B25CD"/>
    <w:rsid w:val="001B261A"/>
    <w:rsid w:val="001B2F0C"/>
    <w:rsid w:val="001B30CA"/>
    <w:rsid w:val="001B3513"/>
    <w:rsid w:val="001B353A"/>
    <w:rsid w:val="001B3A6B"/>
    <w:rsid w:val="001B3D3E"/>
    <w:rsid w:val="001B3F8B"/>
    <w:rsid w:val="001B50CD"/>
    <w:rsid w:val="001B52FE"/>
    <w:rsid w:val="001B7890"/>
    <w:rsid w:val="001C005A"/>
    <w:rsid w:val="001C00CF"/>
    <w:rsid w:val="001C0806"/>
    <w:rsid w:val="001C0A9E"/>
    <w:rsid w:val="001C2F9C"/>
    <w:rsid w:val="001C3399"/>
    <w:rsid w:val="001C37F6"/>
    <w:rsid w:val="001C4D9F"/>
    <w:rsid w:val="001C5289"/>
    <w:rsid w:val="001C5FC7"/>
    <w:rsid w:val="001C6288"/>
    <w:rsid w:val="001C67A1"/>
    <w:rsid w:val="001C7C6D"/>
    <w:rsid w:val="001D0538"/>
    <w:rsid w:val="001D0634"/>
    <w:rsid w:val="001D0B81"/>
    <w:rsid w:val="001D0F6A"/>
    <w:rsid w:val="001D1BBC"/>
    <w:rsid w:val="001D21BC"/>
    <w:rsid w:val="001D2E47"/>
    <w:rsid w:val="001D2FA5"/>
    <w:rsid w:val="001D35E0"/>
    <w:rsid w:val="001D38F2"/>
    <w:rsid w:val="001D5045"/>
    <w:rsid w:val="001D5494"/>
    <w:rsid w:val="001D5A44"/>
    <w:rsid w:val="001D5A62"/>
    <w:rsid w:val="001D5AFB"/>
    <w:rsid w:val="001D6213"/>
    <w:rsid w:val="001D699D"/>
    <w:rsid w:val="001D71BA"/>
    <w:rsid w:val="001D724B"/>
    <w:rsid w:val="001E03BE"/>
    <w:rsid w:val="001E040B"/>
    <w:rsid w:val="001E0AAA"/>
    <w:rsid w:val="001E0F28"/>
    <w:rsid w:val="001E11D3"/>
    <w:rsid w:val="001E15F1"/>
    <w:rsid w:val="001E1C4F"/>
    <w:rsid w:val="001E212B"/>
    <w:rsid w:val="001E2683"/>
    <w:rsid w:val="001E287E"/>
    <w:rsid w:val="001E2A6A"/>
    <w:rsid w:val="001E3DC2"/>
    <w:rsid w:val="001E4E2C"/>
    <w:rsid w:val="001E56FF"/>
    <w:rsid w:val="001E5C6B"/>
    <w:rsid w:val="001E60E8"/>
    <w:rsid w:val="001E6EBF"/>
    <w:rsid w:val="001E7ADB"/>
    <w:rsid w:val="001F0307"/>
    <w:rsid w:val="001F03E1"/>
    <w:rsid w:val="001F03EC"/>
    <w:rsid w:val="001F221F"/>
    <w:rsid w:val="001F3653"/>
    <w:rsid w:val="001F3CC6"/>
    <w:rsid w:val="001F3EE3"/>
    <w:rsid w:val="001F3F50"/>
    <w:rsid w:val="001F4530"/>
    <w:rsid w:val="001F493C"/>
    <w:rsid w:val="001F4A92"/>
    <w:rsid w:val="001F5CE2"/>
    <w:rsid w:val="001F5DBA"/>
    <w:rsid w:val="001F5DE3"/>
    <w:rsid w:val="001F5F74"/>
    <w:rsid w:val="001F790F"/>
    <w:rsid w:val="002010DE"/>
    <w:rsid w:val="0020150C"/>
    <w:rsid w:val="00201958"/>
    <w:rsid w:val="00201962"/>
    <w:rsid w:val="00201B58"/>
    <w:rsid w:val="00202968"/>
    <w:rsid w:val="00202C32"/>
    <w:rsid w:val="00203973"/>
    <w:rsid w:val="00203AEF"/>
    <w:rsid w:val="00204CB6"/>
    <w:rsid w:val="00210CF1"/>
    <w:rsid w:val="00211520"/>
    <w:rsid w:val="00211615"/>
    <w:rsid w:val="00211A26"/>
    <w:rsid w:val="00212249"/>
    <w:rsid w:val="002125F7"/>
    <w:rsid w:val="00212901"/>
    <w:rsid w:val="00212DFE"/>
    <w:rsid w:val="0021360C"/>
    <w:rsid w:val="002136AC"/>
    <w:rsid w:val="0021397C"/>
    <w:rsid w:val="00214463"/>
    <w:rsid w:val="00214756"/>
    <w:rsid w:val="00215824"/>
    <w:rsid w:val="00215C8E"/>
    <w:rsid w:val="00215CF2"/>
    <w:rsid w:val="00215D9F"/>
    <w:rsid w:val="00216310"/>
    <w:rsid w:val="00216BCE"/>
    <w:rsid w:val="00217867"/>
    <w:rsid w:val="00220542"/>
    <w:rsid w:val="00220D7F"/>
    <w:rsid w:val="002210EB"/>
    <w:rsid w:val="00221174"/>
    <w:rsid w:val="00222B4E"/>
    <w:rsid w:val="00222DE3"/>
    <w:rsid w:val="002233F0"/>
    <w:rsid w:val="0022347C"/>
    <w:rsid w:val="0022498A"/>
    <w:rsid w:val="00225756"/>
    <w:rsid w:val="00225ADC"/>
    <w:rsid w:val="00225CEB"/>
    <w:rsid w:val="00225FC3"/>
    <w:rsid w:val="0022692D"/>
    <w:rsid w:val="00230FFD"/>
    <w:rsid w:val="002310FE"/>
    <w:rsid w:val="002318F3"/>
    <w:rsid w:val="002330CE"/>
    <w:rsid w:val="0023323F"/>
    <w:rsid w:val="002334A5"/>
    <w:rsid w:val="00234202"/>
    <w:rsid w:val="002359EB"/>
    <w:rsid w:val="00236166"/>
    <w:rsid w:val="002363AB"/>
    <w:rsid w:val="00236933"/>
    <w:rsid w:val="0023727B"/>
    <w:rsid w:val="00237579"/>
    <w:rsid w:val="00237675"/>
    <w:rsid w:val="00237C6D"/>
    <w:rsid w:val="002401E6"/>
    <w:rsid w:val="0024096B"/>
    <w:rsid w:val="0024112E"/>
    <w:rsid w:val="00241582"/>
    <w:rsid w:val="00241B45"/>
    <w:rsid w:val="00241E77"/>
    <w:rsid w:val="002424D7"/>
    <w:rsid w:val="0024260D"/>
    <w:rsid w:val="00242657"/>
    <w:rsid w:val="002428F6"/>
    <w:rsid w:val="00242F49"/>
    <w:rsid w:val="00242FA2"/>
    <w:rsid w:val="00243BD8"/>
    <w:rsid w:val="00244740"/>
    <w:rsid w:val="00245012"/>
    <w:rsid w:val="0024504E"/>
    <w:rsid w:val="00245761"/>
    <w:rsid w:val="00245C29"/>
    <w:rsid w:val="002462DE"/>
    <w:rsid w:val="0024651F"/>
    <w:rsid w:val="00246775"/>
    <w:rsid w:val="00247729"/>
    <w:rsid w:val="0025158D"/>
    <w:rsid w:val="00251C7E"/>
    <w:rsid w:val="00252697"/>
    <w:rsid w:val="0025281A"/>
    <w:rsid w:val="00253D3C"/>
    <w:rsid w:val="002544D7"/>
    <w:rsid w:val="002546CC"/>
    <w:rsid w:val="00255292"/>
    <w:rsid w:val="00255A23"/>
    <w:rsid w:val="00257578"/>
    <w:rsid w:val="00257FB4"/>
    <w:rsid w:val="00260200"/>
    <w:rsid w:val="00260B06"/>
    <w:rsid w:val="00261D93"/>
    <w:rsid w:val="00261E26"/>
    <w:rsid w:val="00262029"/>
    <w:rsid w:val="002637E8"/>
    <w:rsid w:val="00263BBD"/>
    <w:rsid w:val="00264709"/>
    <w:rsid w:val="002648D8"/>
    <w:rsid w:val="00264D54"/>
    <w:rsid w:val="00265AFB"/>
    <w:rsid w:val="00267133"/>
    <w:rsid w:val="00267EE3"/>
    <w:rsid w:val="00267F59"/>
    <w:rsid w:val="002700E9"/>
    <w:rsid w:val="00270CE9"/>
    <w:rsid w:val="0027189F"/>
    <w:rsid w:val="00271B5C"/>
    <w:rsid w:val="00271DCB"/>
    <w:rsid w:val="0027235A"/>
    <w:rsid w:val="00273F86"/>
    <w:rsid w:val="00273FD9"/>
    <w:rsid w:val="002741BE"/>
    <w:rsid w:val="002742D7"/>
    <w:rsid w:val="002752EA"/>
    <w:rsid w:val="00275EAD"/>
    <w:rsid w:val="00276B03"/>
    <w:rsid w:val="002773FB"/>
    <w:rsid w:val="002774F0"/>
    <w:rsid w:val="00277722"/>
    <w:rsid w:val="00280DB6"/>
    <w:rsid w:val="002813C5"/>
    <w:rsid w:val="00282C23"/>
    <w:rsid w:val="0028315D"/>
    <w:rsid w:val="00283687"/>
    <w:rsid w:val="00283885"/>
    <w:rsid w:val="002839A4"/>
    <w:rsid w:val="0028459B"/>
    <w:rsid w:val="00284C5F"/>
    <w:rsid w:val="0028507E"/>
    <w:rsid w:val="00286183"/>
    <w:rsid w:val="002862AE"/>
    <w:rsid w:val="002869EF"/>
    <w:rsid w:val="002873F0"/>
    <w:rsid w:val="00287762"/>
    <w:rsid w:val="00290793"/>
    <w:rsid w:val="00291097"/>
    <w:rsid w:val="002916E3"/>
    <w:rsid w:val="00291A70"/>
    <w:rsid w:val="00291F6F"/>
    <w:rsid w:val="002923B1"/>
    <w:rsid w:val="0029379A"/>
    <w:rsid w:val="00293C97"/>
    <w:rsid w:val="00294271"/>
    <w:rsid w:val="002942CB"/>
    <w:rsid w:val="00294431"/>
    <w:rsid w:val="00294D8F"/>
    <w:rsid w:val="00295D5A"/>
    <w:rsid w:val="00295E0F"/>
    <w:rsid w:val="002961CF"/>
    <w:rsid w:val="002964F9"/>
    <w:rsid w:val="0029690F"/>
    <w:rsid w:val="002969CC"/>
    <w:rsid w:val="0029732D"/>
    <w:rsid w:val="00297BC2"/>
    <w:rsid w:val="00297D85"/>
    <w:rsid w:val="002A07F4"/>
    <w:rsid w:val="002A090A"/>
    <w:rsid w:val="002A0B47"/>
    <w:rsid w:val="002A1381"/>
    <w:rsid w:val="002A1F14"/>
    <w:rsid w:val="002A2678"/>
    <w:rsid w:val="002A2901"/>
    <w:rsid w:val="002A2A5F"/>
    <w:rsid w:val="002A2E01"/>
    <w:rsid w:val="002A32E5"/>
    <w:rsid w:val="002A362E"/>
    <w:rsid w:val="002A398F"/>
    <w:rsid w:val="002A3DFD"/>
    <w:rsid w:val="002A46A7"/>
    <w:rsid w:val="002A5C6B"/>
    <w:rsid w:val="002A5D31"/>
    <w:rsid w:val="002A5EF1"/>
    <w:rsid w:val="002A6A99"/>
    <w:rsid w:val="002A714F"/>
    <w:rsid w:val="002A75D7"/>
    <w:rsid w:val="002B02AE"/>
    <w:rsid w:val="002B0556"/>
    <w:rsid w:val="002B09C0"/>
    <w:rsid w:val="002B1851"/>
    <w:rsid w:val="002B27FF"/>
    <w:rsid w:val="002B2F4E"/>
    <w:rsid w:val="002B465E"/>
    <w:rsid w:val="002B5C8E"/>
    <w:rsid w:val="002B6793"/>
    <w:rsid w:val="002B6F27"/>
    <w:rsid w:val="002B780B"/>
    <w:rsid w:val="002B7F59"/>
    <w:rsid w:val="002C1260"/>
    <w:rsid w:val="002C1726"/>
    <w:rsid w:val="002C21A6"/>
    <w:rsid w:val="002C26D5"/>
    <w:rsid w:val="002C3EAB"/>
    <w:rsid w:val="002C4E82"/>
    <w:rsid w:val="002C5777"/>
    <w:rsid w:val="002C5889"/>
    <w:rsid w:val="002C65FA"/>
    <w:rsid w:val="002C661D"/>
    <w:rsid w:val="002C6C89"/>
    <w:rsid w:val="002C758F"/>
    <w:rsid w:val="002C7C89"/>
    <w:rsid w:val="002D0054"/>
    <w:rsid w:val="002D174A"/>
    <w:rsid w:val="002D1A0F"/>
    <w:rsid w:val="002D22BF"/>
    <w:rsid w:val="002D237C"/>
    <w:rsid w:val="002D32E3"/>
    <w:rsid w:val="002D33F1"/>
    <w:rsid w:val="002D344B"/>
    <w:rsid w:val="002D353D"/>
    <w:rsid w:val="002D5076"/>
    <w:rsid w:val="002D52AD"/>
    <w:rsid w:val="002D58D8"/>
    <w:rsid w:val="002D5EB1"/>
    <w:rsid w:val="002E0394"/>
    <w:rsid w:val="002E0644"/>
    <w:rsid w:val="002E0FEB"/>
    <w:rsid w:val="002E171B"/>
    <w:rsid w:val="002E23A0"/>
    <w:rsid w:val="002E2E3E"/>
    <w:rsid w:val="002E319D"/>
    <w:rsid w:val="002E4AD5"/>
    <w:rsid w:val="002E4C2D"/>
    <w:rsid w:val="002E63B8"/>
    <w:rsid w:val="002F0F79"/>
    <w:rsid w:val="002F1C9E"/>
    <w:rsid w:val="002F1EB2"/>
    <w:rsid w:val="002F2359"/>
    <w:rsid w:val="002F25C3"/>
    <w:rsid w:val="002F280E"/>
    <w:rsid w:val="002F2CBB"/>
    <w:rsid w:val="002F3470"/>
    <w:rsid w:val="002F3709"/>
    <w:rsid w:val="002F3A6C"/>
    <w:rsid w:val="002F3F8C"/>
    <w:rsid w:val="002F4296"/>
    <w:rsid w:val="002F4B0F"/>
    <w:rsid w:val="002F5777"/>
    <w:rsid w:val="002F60EA"/>
    <w:rsid w:val="002F6772"/>
    <w:rsid w:val="002F680E"/>
    <w:rsid w:val="002F6FFD"/>
    <w:rsid w:val="002F7DF4"/>
    <w:rsid w:val="00300454"/>
    <w:rsid w:val="00300871"/>
    <w:rsid w:val="00300951"/>
    <w:rsid w:val="00300E8A"/>
    <w:rsid w:val="003023C9"/>
    <w:rsid w:val="00302CA8"/>
    <w:rsid w:val="00302DE9"/>
    <w:rsid w:val="00304860"/>
    <w:rsid w:val="00304E23"/>
    <w:rsid w:val="00305084"/>
    <w:rsid w:val="00306408"/>
    <w:rsid w:val="00307249"/>
    <w:rsid w:val="0031007A"/>
    <w:rsid w:val="00310315"/>
    <w:rsid w:val="003104B9"/>
    <w:rsid w:val="00312122"/>
    <w:rsid w:val="00312C47"/>
    <w:rsid w:val="00312DAE"/>
    <w:rsid w:val="00313000"/>
    <w:rsid w:val="003132DB"/>
    <w:rsid w:val="00313336"/>
    <w:rsid w:val="003137CA"/>
    <w:rsid w:val="00313918"/>
    <w:rsid w:val="003153CB"/>
    <w:rsid w:val="0031604C"/>
    <w:rsid w:val="003166DE"/>
    <w:rsid w:val="003171A3"/>
    <w:rsid w:val="00317226"/>
    <w:rsid w:val="003201F9"/>
    <w:rsid w:val="003204E9"/>
    <w:rsid w:val="0032050A"/>
    <w:rsid w:val="00320AF3"/>
    <w:rsid w:val="00320B7B"/>
    <w:rsid w:val="0032160D"/>
    <w:rsid w:val="00321618"/>
    <w:rsid w:val="00321E8C"/>
    <w:rsid w:val="00321FDA"/>
    <w:rsid w:val="00322318"/>
    <w:rsid w:val="003224FE"/>
    <w:rsid w:val="00322A86"/>
    <w:rsid w:val="00323041"/>
    <w:rsid w:val="00323AE8"/>
    <w:rsid w:val="00323B32"/>
    <w:rsid w:val="00324548"/>
    <w:rsid w:val="003251F4"/>
    <w:rsid w:val="003253A7"/>
    <w:rsid w:val="00325408"/>
    <w:rsid w:val="00325504"/>
    <w:rsid w:val="00326927"/>
    <w:rsid w:val="00326CB3"/>
    <w:rsid w:val="00327090"/>
    <w:rsid w:val="003303E3"/>
    <w:rsid w:val="00330478"/>
    <w:rsid w:val="00330651"/>
    <w:rsid w:val="00331A88"/>
    <w:rsid w:val="003329EA"/>
    <w:rsid w:val="00332C6E"/>
    <w:rsid w:val="00332D73"/>
    <w:rsid w:val="00332F24"/>
    <w:rsid w:val="003338BE"/>
    <w:rsid w:val="00333D8E"/>
    <w:rsid w:val="00336AA2"/>
    <w:rsid w:val="00337B1B"/>
    <w:rsid w:val="00337FC0"/>
    <w:rsid w:val="003405DA"/>
    <w:rsid w:val="003407A5"/>
    <w:rsid w:val="0034096C"/>
    <w:rsid w:val="003410A1"/>
    <w:rsid w:val="00341188"/>
    <w:rsid w:val="0034147B"/>
    <w:rsid w:val="003424CB"/>
    <w:rsid w:val="003439DB"/>
    <w:rsid w:val="003444EB"/>
    <w:rsid w:val="00344ED6"/>
    <w:rsid w:val="00344FBE"/>
    <w:rsid w:val="003465F9"/>
    <w:rsid w:val="00346759"/>
    <w:rsid w:val="00350238"/>
    <w:rsid w:val="003502AD"/>
    <w:rsid w:val="0035109C"/>
    <w:rsid w:val="00351752"/>
    <w:rsid w:val="00351F0A"/>
    <w:rsid w:val="00352648"/>
    <w:rsid w:val="00352EBB"/>
    <w:rsid w:val="00353AC6"/>
    <w:rsid w:val="003542B7"/>
    <w:rsid w:val="0035432B"/>
    <w:rsid w:val="00354765"/>
    <w:rsid w:val="00354E10"/>
    <w:rsid w:val="00355CDA"/>
    <w:rsid w:val="00357B15"/>
    <w:rsid w:val="00357BA8"/>
    <w:rsid w:val="00357BB3"/>
    <w:rsid w:val="003602EA"/>
    <w:rsid w:val="00360905"/>
    <w:rsid w:val="00360E5D"/>
    <w:rsid w:val="00360F81"/>
    <w:rsid w:val="00361E7E"/>
    <w:rsid w:val="003648F2"/>
    <w:rsid w:val="00364FA1"/>
    <w:rsid w:val="00365873"/>
    <w:rsid w:val="00366B02"/>
    <w:rsid w:val="003671F5"/>
    <w:rsid w:val="00370005"/>
    <w:rsid w:val="00370AA4"/>
    <w:rsid w:val="00370FB7"/>
    <w:rsid w:val="003711F2"/>
    <w:rsid w:val="003717FC"/>
    <w:rsid w:val="00371FF4"/>
    <w:rsid w:val="003723C2"/>
    <w:rsid w:val="0037269C"/>
    <w:rsid w:val="0037275D"/>
    <w:rsid w:val="00372797"/>
    <w:rsid w:val="00373C7E"/>
    <w:rsid w:val="0037470E"/>
    <w:rsid w:val="00375CC4"/>
    <w:rsid w:val="00376103"/>
    <w:rsid w:val="003767B3"/>
    <w:rsid w:val="00376B49"/>
    <w:rsid w:val="00376FC5"/>
    <w:rsid w:val="00377520"/>
    <w:rsid w:val="00380D36"/>
    <w:rsid w:val="00380F49"/>
    <w:rsid w:val="003822D3"/>
    <w:rsid w:val="003828F5"/>
    <w:rsid w:val="0038480C"/>
    <w:rsid w:val="00384DC9"/>
    <w:rsid w:val="003854F4"/>
    <w:rsid w:val="0038566E"/>
    <w:rsid w:val="00385AA6"/>
    <w:rsid w:val="00385C66"/>
    <w:rsid w:val="00386630"/>
    <w:rsid w:val="00386A6C"/>
    <w:rsid w:val="00387876"/>
    <w:rsid w:val="00390379"/>
    <w:rsid w:val="00390741"/>
    <w:rsid w:val="003909FB"/>
    <w:rsid w:val="00390B25"/>
    <w:rsid w:val="00390DD9"/>
    <w:rsid w:val="0039116E"/>
    <w:rsid w:val="0039279A"/>
    <w:rsid w:val="00392958"/>
    <w:rsid w:val="00392AE5"/>
    <w:rsid w:val="00395B3E"/>
    <w:rsid w:val="00395CAA"/>
    <w:rsid w:val="00396588"/>
    <w:rsid w:val="00396863"/>
    <w:rsid w:val="00396EA4"/>
    <w:rsid w:val="00397156"/>
    <w:rsid w:val="00397960"/>
    <w:rsid w:val="003A0663"/>
    <w:rsid w:val="003A0690"/>
    <w:rsid w:val="003A0FD0"/>
    <w:rsid w:val="003A1FE0"/>
    <w:rsid w:val="003A3B3B"/>
    <w:rsid w:val="003A3BC4"/>
    <w:rsid w:val="003A3F9D"/>
    <w:rsid w:val="003A458A"/>
    <w:rsid w:val="003A4FE2"/>
    <w:rsid w:val="003A551D"/>
    <w:rsid w:val="003A5B8B"/>
    <w:rsid w:val="003A7E6F"/>
    <w:rsid w:val="003B05F2"/>
    <w:rsid w:val="003B0D04"/>
    <w:rsid w:val="003B130C"/>
    <w:rsid w:val="003B208E"/>
    <w:rsid w:val="003B2F13"/>
    <w:rsid w:val="003B3353"/>
    <w:rsid w:val="003B405E"/>
    <w:rsid w:val="003B4712"/>
    <w:rsid w:val="003B47EB"/>
    <w:rsid w:val="003B48BA"/>
    <w:rsid w:val="003B5508"/>
    <w:rsid w:val="003B57D3"/>
    <w:rsid w:val="003B59CA"/>
    <w:rsid w:val="003B6067"/>
    <w:rsid w:val="003B6141"/>
    <w:rsid w:val="003B685F"/>
    <w:rsid w:val="003B7CF8"/>
    <w:rsid w:val="003C0892"/>
    <w:rsid w:val="003C08E3"/>
    <w:rsid w:val="003C09B5"/>
    <w:rsid w:val="003C0F62"/>
    <w:rsid w:val="003C1176"/>
    <w:rsid w:val="003C1D9A"/>
    <w:rsid w:val="003C1F58"/>
    <w:rsid w:val="003C48B1"/>
    <w:rsid w:val="003C57A7"/>
    <w:rsid w:val="003C5AF2"/>
    <w:rsid w:val="003C5C2B"/>
    <w:rsid w:val="003C6943"/>
    <w:rsid w:val="003C6BD2"/>
    <w:rsid w:val="003C7294"/>
    <w:rsid w:val="003C792F"/>
    <w:rsid w:val="003C7ABD"/>
    <w:rsid w:val="003C7C3D"/>
    <w:rsid w:val="003D0669"/>
    <w:rsid w:val="003D08F8"/>
    <w:rsid w:val="003D124B"/>
    <w:rsid w:val="003D18F3"/>
    <w:rsid w:val="003D2CC1"/>
    <w:rsid w:val="003D4FFC"/>
    <w:rsid w:val="003D51ED"/>
    <w:rsid w:val="003D569B"/>
    <w:rsid w:val="003D637D"/>
    <w:rsid w:val="003D66E3"/>
    <w:rsid w:val="003D746C"/>
    <w:rsid w:val="003D78B5"/>
    <w:rsid w:val="003D7A7D"/>
    <w:rsid w:val="003E04AE"/>
    <w:rsid w:val="003E099F"/>
    <w:rsid w:val="003E17DE"/>
    <w:rsid w:val="003E19FF"/>
    <w:rsid w:val="003E1E98"/>
    <w:rsid w:val="003E244F"/>
    <w:rsid w:val="003E3705"/>
    <w:rsid w:val="003E37AE"/>
    <w:rsid w:val="003E4D87"/>
    <w:rsid w:val="003E5165"/>
    <w:rsid w:val="003E53AD"/>
    <w:rsid w:val="003E62A6"/>
    <w:rsid w:val="003E695F"/>
    <w:rsid w:val="003E6C9B"/>
    <w:rsid w:val="003E6D39"/>
    <w:rsid w:val="003E709C"/>
    <w:rsid w:val="003E712E"/>
    <w:rsid w:val="003E726D"/>
    <w:rsid w:val="003E73C3"/>
    <w:rsid w:val="003E7B89"/>
    <w:rsid w:val="003F0B30"/>
    <w:rsid w:val="003F0FA3"/>
    <w:rsid w:val="003F276B"/>
    <w:rsid w:val="003F3B08"/>
    <w:rsid w:val="003F4241"/>
    <w:rsid w:val="003F4597"/>
    <w:rsid w:val="003F4B8A"/>
    <w:rsid w:val="003F62BB"/>
    <w:rsid w:val="003F6580"/>
    <w:rsid w:val="003F6FEC"/>
    <w:rsid w:val="003F79D5"/>
    <w:rsid w:val="003F7C45"/>
    <w:rsid w:val="00400241"/>
    <w:rsid w:val="00401314"/>
    <w:rsid w:val="0040132C"/>
    <w:rsid w:val="0040141B"/>
    <w:rsid w:val="00401C86"/>
    <w:rsid w:val="0040231A"/>
    <w:rsid w:val="004036C3"/>
    <w:rsid w:val="00403F0C"/>
    <w:rsid w:val="004049BD"/>
    <w:rsid w:val="00404EB5"/>
    <w:rsid w:val="00405085"/>
    <w:rsid w:val="00405D28"/>
    <w:rsid w:val="004066FC"/>
    <w:rsid w:val="004067B4"/>
    <w:rsid w:val="00407481"/>
    <w:rsid w:val="0040762F"/>
    <w:rsid w:val="00407C10"/>
    <w:rsid w:val="00407E90"/>
    <w:rsid w:val="004113B4"/>
    <w:rsid w:val="00413323"/>
    <w:rsid w:val="00414503"/>
    <w:rsid w:val="00414827"/>
    <w:rsid w:val="004153B3"/>
    <w:rsid w:val="004156D3"/>
    <w:rsid w:val="00415772"/>
    <w:rsid w:val="004163FD"/>
    <w:rsid w:val="0041683D"/>
    <w:rsid w:val="00416AEB"/>
    <w:rsid w:val="00416C10"/>
    <w:rsid w:val="00417976"/>
    <w:rsid w:val="00417A0E"/>
    <w:rsid w:val="0042053A"/>
    <w:rsid w:val="004213D6"/>
    <w:rsid w:val="00421C75"/>
    <w:rsid w:val="00422440"/>
    <w:rsid w:val="00422916"/>
    <w:rsid w:val="00422F49"/>
    <w:rsid w:val="00423984"/>
    <w:rsid w:val="00423BA3"/>
    <w:rsid w:val="00424213"/>
    <w:rsid w:val="00424EF3"/>
    <w:rsid w:val="004267DB"/>
    <w:rsid w:val="004268BB"/>
    <w:rsid w:val="00426A4B"/>
    <w:rsid w:val="00427D2F"/>
    <w:rsid w:val="00430724"/>
    <w:rsid w:val="00431047"/>
    <w:rsid w:val="00431B86"/>
    <w:rsid w:val="00431E4A"/>
    <w:rsid w:val="00432B85"/>
    <w:rsid w:val="00433EED"/>
    <w:rsid w:val="004345BA"/>
    <w:rsid w:val="00435BF3"/>
    <w:rsid w:val="00436166"/>
    <w:rsid w:val="00437334"/>
    <w:rsid w:val="00437C96"/>
    <w:rsid w:val="00437F46"/>
    <w:rsid w:val="004408EC"/>
    <w:rsid w:val="00440E20"/>
    <w:rsid w:val="004416A4"/>
    <w:rsid w:val="00441E6A"/>
    <w:rsid w:val="00442AEE"/>
    <w:rsid w:val="00443C8F"/>
    <w:rsid w:val="00444105"/>
    <w:rsid w:val="00444C60"/>
    <w:rsid w:val="00444E35"/>
    <w:rsid w:val="0044502D"/>
    <w:rsid w:val="00445F6B"/>
    <w:rsid w:val="00447CEF"/>
    <w:rsid w:val="00447E28"/>
    <w:rsid w:val="00450BA9"/>
    <w:rsid w:val="00451388"/>
    <w:rsid w:val="00452481"/>
    <w:rsid w:val="004528FA"/>
    <w:rsid w:val="00453DC8"/>
    <w:rsid w:val="00455165"/>
    <w:rsid w:val="00455821"/>
    <w:rsid w:val="00456CA2"/>
    <w:rsid w:val="00457804"/>
    <w:rsid w:val="00460304"/>
    <w:rsid w:val="00460AEF"/>
    <w:rsid w:val="00460C52"/>
    <w:rsid w:val="00460EF9"/>
    <w:rsid w:val="00461001"/>
    <w:rsid w:val="00461729"/>
    <w:rsid w:val="00462279"/>
    <w:rsid w:val="004627DD"/>
    <w:rsid w:val="00463035"/>
    <w:rsid w:val="0046389C"/>
    <w:rsid w:val="00463BF5"/>
    <w:rsid w:val="004646BF"/>
    <w:rsid w:val="00464744"/>
    <w:rsid w:val="00465368"/>
    <w:rsid w:val="00465C9F"/>
    <w:rsid w:val="004665E3"/>
    <w:rsid w:val="0046760F"/>
    <w:rsid w:val="0047237D"/>
    <w:rsid w:val="00472561"/>
    <w:rsid w:val="004731F1"/>
    <w:rsid w:val="00473EB5"/>
    <w:rsid w:val="0047456B"/>
    <w:rsid w:val="00475251"/>
    <w:rsid w:val="00475872"/>
    <w:rsid w:val="0047594E"/>
    <w:rsid w:val="00477400"/>
    <w:rsid w:val="00480BC8"/>
    <w:rsid w:val="00481265"/>
    <w:rsid w:val="004814BF"/>
    <w:rsid w:val="00482649"/>
    <w:rsid w:val="00483630"/>
    <w:rsid w:val="004836EA"/>
    <w:rsid w:val="00483F72"/>
    <w:rsid w:val="00485215"/>
    <w:rsid w:val="00485340"/>
    <w:rsid w:val="0048587E"/>
    <w:rsid w:val="00487C2B"/>
    <w:rsid w:val="004900FF"/>
    <w:rsid w:val="0049125B"/>
    <w:rsid w:val="00491C58"/>
    <w:rsid w:val="00491FAB"/>
    <w:rsid w:val="00492081"/>
    <w:rsid w:val="0049227D"/>
    <w:rsid w:val="004926D2"/>
    <w:rsid w:val="0049297D"/>
    <w:rsid w:val="004929F2"/>
    <w:rsid w:val="00492F5E"/>
    <w:rsid w:val="00495A03"/>
    <w:rsid w:val="00495D1C"/>
    <w:rsid w:val="00495E28"/>
    <w:rsid w:val="00497079"/>
    <w:rsid w:val="00497450"/>
    <w:rsid w:val="00497F49"/>
    <w:rsid w:val="004A08B2"/>
    <w:rsid w:val="004A16E8"/>
    <w:rsid w:val="004A1BBA"/>
    <w:rsid w:val="004A207B"/>
    <w:rsid w:val="004A23C2"/>
    <w:rsid w:val="004A2CB1"/>
    <w:rsid w:val="004A3336"/>
    <w:rsid w:val="004A3E3C"/>
    <w:rsid w:val="004A4069"/>
    <w:rsid w:val="004A484E"/>
    <w:rsid w:val="004A4FB6"/>
    <w:rsid w:val="004A6513"/>
    <w:rsid w:val="004B0E6D"/>
    <w:rsid w:val="004B16E8"/>
    <w:rsid w:val="004B25B0"/>
    <w:rsid w:val="004B2CA5"/>
    <w:rsid w:val="004B412E"/>
    <w:rsid w:val="004B51C9"/>
    <w:rsid w:val="004B5B92"/>
    <w:rsid w:val="004B6250"/>
    <w:rsid w:val="004B66F3"/>
    <w:rsid w:val="004B76B1"/>
    <w:rsid w:val="004B7800"/>
    <w:rsid w:val="004C0057"/>
    <w:rsid w:val="004C0541"/>
    <w:rsid w:val="004C0BBF"/>
    <w:rsid w:val="004C1D08"/>
    <w:rsid w:val="004C1D55"/>
    <w:rsid w:val="004C255E"/>
    <w:rsid w:val="004C2836"/>
    <w:rsid w:val="004C2C35"/>
    <w:rsid w:val="004C2C46"/>
    <w:rsid w:val="004C3626"/>
    <w:rsid w:val="004C38F5"/>
    <w:rsid w:val="004C405B"/>
    <w:rsid w:val="004C4550"/>
    <w:rsid w:val="004C51A0"/>
    <w:rsid w:val="004C54CA"/>
    <w:rsid w:val="004C62FD"/>
    <w:rsid w:val="004C7235"/>
    <w:rsid w:val="004C75C5"/>
    <w:rsid w:val="004C7955"/>
    <w:rsid w:val="004D0213"/>
    <w:rsid w:val="004D047F"/>
    <w:rsid w:val="004D0ECC"/>
    <w:rsid w:val="004D1529"/>
    <w:rsid w:val="004D1C3E"/>
    <w:rsid w:val="004D228E"/>
    <w:rsid w:val="004D23E7"/>
    <w:rsid w:val="004D29F1"/>
    <w:rsid w:val="004D29F3"/>
    <w:rsid w:val="004D3D96"/>
    <w:rsid w:val="004D40BB"/>
    <w:rsid w:val="004D45BD"/>
    <w:rsid w:val="004D5316"/>
    <w:rsid w:val="004D575C"/>
    <w:rsid w:val="004D64B9"/>
    <w:rsid w:val="004D650F"/>
    <w:rsid w:val="004D7269"/>
    <w:rsid w:val="004D74EE"/>
    <w:rsid w:val="004D7F01"/>
    <w:rsid w:val="004E08FC"/>
    <w:rsid w:val="004E0ADE"/>
    <w:rsid w:val="004E0B6E"/>
    <w:rsid w:val="004E0F59"/>
    <w:rsid w:val="004E2133"/>
    <w:rsid w:val="004E2BD2"/>
    <w:rsid w:val="004E395B"/>
    <w:rsid w:val="004E3CB2"/>
    <w:rsid w:val="004E5EDB"/>
    <w:rsid w:val="004E60FB"/>
    <w:rsid w:val="004E73A5"/>
    <w:rsid w:val="004E758A"/>
    <w:rsid w:val="004E7BA7"/>
    <w:rsid w:val="004F1010"/>
    <w:rsid w:val="004F1C42"/>
    <w:rsid w:val="004F2340"/>
    <w:rsid w:val="004F23CE"/>
    <w:rsid w:val="004F2C5A"/>
    <w:rsid w:val="004F31EA"/>
    <w:rsid w:val="004F4601"/>
    <w:rsid w:val="004F69D2"/>
    <w:rsid w:val="004F6AA8"/>
    <w:rsid w:val="004F779C"/>
    <w:rsid w:val="004F7846"/>
    <w:rsid w:val="005000A6"/>
    <w:rsid w:val="005000D4"/>
    <w:rsid w:val="005004EE"/>
    <w:rsid w:val="005007AB"/>
    <w:rsid w:val="00500B1E"/>
    <w:rsid w:val="00500B24"/>
    <w:rsid w:val="00500C17"/>
    <w:rsid w:val="00501A91"/>
    <w:rsid w:val="00502416"/>
    <w:rsid w:val="0050264A"/>
    <w:rsid w:val="005027F4"/>
    <w:rsid w:val="00503085"/>
    <w:rsid w:val="005036C2"/>
    <w:rsid w:val="0050492E"/>
    <w:rsid w:val="005051C9"/>
    <w:rsid w:val="005060E7"/>
    <w:rsid w:val="00506389"/>
    <w:rsid w:val="00507000"/>
    <w:rsid w:val="00507FC5"/>
    <w:rsid w:val="00510A69"/>
    <w:rsid w:val="00510CAF"/>
    <w:rsid w:val="0051114C"/>
    <w:rsid w:val="00511597"/>
    <w:rsid w:val="00511915"/>
    <w:rsid w:val="005128C5"/>
    <w:rsid w:val="00512905"/>
    <w:rsid w:val="00512D8B"/>
    <w:rsid w:val="00512E85"/>
    <w:rsid w:val="0051346B"/>
    <w:rsid w:val="005136C7"/>
    <w:rsid w:val="005140E5"/>
    <w:rsid w:val="0051478B"/>
    <w:rsid w:val="00514C1C"/>
    <w:rsid w:val="0051524F"/>
    <w:rsid w:val="00515549"/>
    <w:rsid w:val="0051566A"/>
    <w:rsid w:val="00515D7B"/>
    <w:rsid w:val="00515DD8"/>
    <w:rsid w:val="0051658F"/>
    <w:rsid w:val="005166E9"/>
    <w:rsid w:val="00516B6F"/>
    <w:rsid w:val="00517917"/>
    <w:rsid w:val="0052009E"/>
    <w:rsid w:val="005200F7"/>
    <w:rsid w:val="00520AB5"/>
    <w:rsid w:val="00521568"/>
    <w:rsid w:val="00521596"/>
    <w:rsid w:val="00522066"/>
    <w:rsid w:val="005222FA"/>
    <w:rsid w:val="00522921"/>
    <w:rsid w:val="00524A64"/>
    <w:rsid w:val="00525740"/>
    <w:rsid w:val="00525E59"/>
    <w:rsid w:val="005278EE"/>
    <w:rsid w:val="00530A21"/>
    <w:rsid w:val="005310DD"/>
    <w:rsid w:val="00531851"/>
    <w:rsid w:val="005318CC"/>
    <w:rsid w:val="0053199E"/>
    <w:rsid w:val="00531D65"/>
    <w:rsid w:val="005334E4"/>
    <w:rsid w:val="005349B1"/>
    <w:rsid w:val="00535AA4"/>
    <w:rsid w:val="00535C00"/>
    <w:rsid w:val="00535DA3"/>
    <w:rsid w:val="005364A6"/>
    <w:rsid w:val="005364AE"/>
    <w:rsid w:val="0053652C"/>
    <w:rsid w:val="0053659B"/>
    <w:rsid w:val="005368A0"/>
    <w:rsid w:val="005374BC"/>
    <w:rsid w:val="00540257"/>
    <w:rsid w:val="0054097B"/>
    <w:rsid w:val="00540A78"/>
    <w:rsid w:val="005427DC"/>
    <w:rsid w:val="00543188"/>
    <w:rsid w:val="005432F0"/>
    <w:rsid w:val="00543367"/>
    <w:rsid w:val="0054384E"/>
    <w:rsid w:val="00543BFA"/>
    <w:rsid w:val="0054655E"/>
    <w:rsid w:val="00546601"/>
    <w:rsid w:val="00547D9C"/>
    <w:rsid w:val="00547DA1"/>
    <w:rsid w:val="005501BC"/>
    <w:rsid w:val="0055068D"/>
    <w:rsid w:val="00551BAB"/>
    <w:rsid w:val="00551C53"/>
    <w:rsid w:val="0055221B"/>
    <w:rsid w:val="005526DC"/>
    <w:rsid w:val="00552CFB"/>
    <w:rsid w:val="005531B6"/>
    <w:rsid w:val="005531DC"/>
    <w:rsid w:val="005535B7"/>
    <w:rsid w:val="00554CAC"/>
    <w:rsid w:val="0055513C"/>
    <w:rsid w:val="0055637C"/>
    <w:rsid w:val="00556B00"/>
    <w:rsid w:val="005573FE"/>
    <w:rsid w:val="0055753F"/>
    <w:rsid w:val="00557618"/>
    <w:rsid w:val="00557782"/>
    <w:rsid w:val="00560C94"/>
    <w:rsid w:val="00560FD5"/>
    <w:rsid w:val="005617A2"/>
    <w:rsid w:val="00561C0A"/>
    <w:rsid w:val="00562765"/>
    <w:rsid w:val="0056283B"/>
    <w:rsid w:val="0056291C"/>
    <w:rsid w:val="0056318B"/>
    <w:rsid w:val="00563E82"/>
    <w:rsid w:val="005646BB"/>
    <w:rsid w:val="005647F9"/>
    <w:rsid w:val="00564B19"/>
    <w:rsid w:val="00564C4B"/>
    <w:rsid w:val="00565A63"/>
    <w:rsid w:val="00566588"/>
    <w:rsid w:val="0056662E"/>
    <w:rsid w:val="00566A26"/>
    <w:rsid w:val="00566B1D"/>
    <w:rsid w:val="00566F6B"/>
    <w:rsid w:val="00567012"/>
    <w:rsid w:val="00567EA5"/>
    <w:rsid w:val="00570050"/>
    <w:rsid w:val="00570514"/>
    <w:rsid w:val="005717F5"/>
    <w:rsid w:val="00571A41"/>
    <w:rsid w:val="005721D0"/>
    <w:rsid w:val="0057275D"/>
    <w:rsid w:val="00572919"/>
    <w:rsid w:val="00573820"/>
    <w:rsid w:val="00574103"/>
    <w:rsid w:val="00575B68"/>
    <w:rsid w:val="00575DA6"/>
    <w:rsid w:val="00576FEE"/>
    <w:rsid w:val="0057733C"/>
    <w:rsid w:val="0057737F"/>
    <w:rsid w:val="00577C32"/>
    <w:rsid w:val="005800A9"/>
    <w:rsid w:val="00580488"/>
    <w:rsid w:val="0058074D"/>
    <w:rsid w:val="00580FD1"/>
    <w:rsid w:val="00582FAD"/>
    <w:rsid w:val="00583489"/>
    <w:rsid w:val="0058391F"/>
    <w:rsid w:val="00583A80"/>
    <w:rsid w:val="00583E3F"/>
    <w:rsid w:val="00584114"/>
    <w:rsid w:val="00584188"/>
    <w:rsid w:val="00584E33"/>
    <w:rsid w:val="00585100"/>
    <w:rsid w:val="00585AD4"/>
    <w:rsid w:val="00586819"/>
    <w:rsid w:val="00586E9A"/>
    <w:rsid w:val="00587419"/>
    <w:rsid w:val="00590FE4"/>
    <w:rsid w:val="00591D9C"/>
    <w:rsid w:val="0059282D"/>
    <w:rsid w:val="00592B3C"/>
    <w:rsid w:val="005932C1"/>
    <w:rsid w:val="00593440"/>
    <w:rsid w:val="005936BF"/>
    <w:rsid w:val="00593D1E"/>
    <w:rsid w:val="00593DE5"/>
    <w:rsid w:val="0059592B"/>
    <w:rsid w:val="00595AB2"/>
    <w:rsid w:val="005961DD"/>
    <w:rsid w:val="00596617"/>
    <w:rsid w:val="00596CC4"/>
    <w:rsid w:val="00597057"/>
    <w:rsid w:val="005973A6"/>
    <w:rsid w:val="00597AAB"/>
    <w:rsid w:val="00597D8B"/>
    <w:rsid w:val="005A0742"/>
    <w:rsid w:val="005A1C30"/>
    <w:rsid w:val="005A31C9"/>
    <w:rsid w:val="005A3295"/>
    <w:rsid w:val="005A43BE"/>
    <w:rsid w:val="005A46FF"/>
    <w:rsid w:val="005A49A4"/>
    <w:rsid w:val="005A4AFF"/>
    <w:rsid w:val="005A65F0"/>
    <w:rsid w:val="005A724A"/>
    <w:rsid w:val="005A7758"/>
    <w:rsid w:val="005B011E"/>
    <w:rsid w:val="005B028B"/>
    <w:rsid w:val="005B1208"/>
    <w:rsid w:val="005B17ED"/>
    <w:rsid w:val="005B254A"/>
    <w:rsid w:val="005B2E84"/>
    <w:rsid w:val="005B352F"/>
    <w:rsid w:val="005B3C9F"/>
    <w:rsid w:val="005B3E66"/>
    <w:rsid w:val="005B3FE8"/>
    <w:rsid w:val="005B4215"/>
    <w:rsid w:val="005B436C"/>
    <w:rsid w:val="005B47C5"/>
    <w:rsid w:val="005B4B4F"/>
    <w:rsid w:val="005B4F97"/>
    <w:rsid w:val="005B52A4"/>
    <w:rsid w:val="005B5731"/>
    <w:rsid w:val="005B5CA4"/>
    <w:rsid w:val="005B6E01"/>
    <w:rsid w:val="005B7476"/>
    <w:rsid w:val="005B75B3"/>
    <w:rsid w:val="005B7688"/>
    <w:rsid w:val="005B7849"/>
    <w:rsid w:val="005B7B0E"/>
    <w:rsid w:val="005C0DFA"/>
    <w:rsid w:val="005C0FF0"/>
    <w:rsid w:val="005C1282"/>
    <w:rsid w:val="005C1524"/>
    <w:rsid w:val="005C219B"/>
    <w:rsid w:val="005C3618"/>
    <w:rsid w:val="005C3AFB"/>
    <w:rsid w:val="005C492F"/>
    <w:rsid w:val="005C4B4C"/>
    <w:rsid w:val="005C5409"/>
    <w:rsid w:val="005C55D8"/>
    <w:rsid w:val="005C55EF"/>
    <w:rsid w:val="005C628C"/>
    <w:rsid w:val="005C6765"/>
    <w:rsid w:val="005C69AC"/>
    <w:rsid w:val="005C722E"/>
    <w:rsid w:val="005C7576"/>
    <w:rsid w:val="005C7759"/>
    <w:rsid w:val="005D01A4"/>
    <w:rsid w:val="005D0476"/>
    <w:rsid w:val="005D072B"/>
    <w:rsid w:val="005D15AE"/>
    <w:rsid w:val="005D1A7B"/>
    <w:rsid w:val="005D1EDD"/>
    <w:rsid w:val="005D2E84"/>
    <w:rsid w:val="005D456F"/>
    <w:rsid w:val="005D45B3"/>
    <w:rsid w:val="005D4AB3"/>
    <w:rsid w:val="005D4CEB"/>
    <w:rsid w:val="005D5344"/>
    <w:rsid w:val="005D5D64"/>
    <w:rsid w:val="005D5DA8"/>
    <w:rsid w:val="005D5E86"/>
    <w:rsid w:val="005D61EB"/>
    <w:rsid w:val="005D6241"/>
    <w:rsid w:val="005D78D1"/>
    <w:rsid w:val="005E0AE0"/>
    <w:rsid w:val="005E4EB2"/>
    <w:rsid w:val="005F04E6"/>
    <w:rsid w:val="005F057B"/>
    <w:rsid w:val="005F17EC"/>
    <w:rsid w:val="005F1C2F"/>
    <w:rsid w:val="005F26A9"/>
    <w:rsid w:val="005F39D5"/>
    <w:rsid w:val="005F3AB5"/>
    <w:rsid w:val="005F3E05"/>
    <w:rsid w:val="005F43B9"/>
    <w:rsid w:val="005F5256"/>
    <w:rsid w:val="005F55D6"/>
    <w:rsid w:val="005F5CA9"/>
    <w:rsid w:val="005F5D03"/>
    <w:rsid w:val="005F68CB"/>
    <w:rsid w:val="005F6BDE"/>
    <w:rsid w:val="005F72CF"/>
    <w:rsid w:val="00600242"/>
    <w:rsid w:val="0060066A"/>
    <w:rsid w:val="0060235D"/>
    <w:rsid w:val="006033E3"/>
    <w:rsid w:val="0060413F"/>
    <w:rsid w:val="00605FC7"/>
    <w:rsid w:val="00606218"/>
    <w:rsid w:val="00606CA3"/>
    <w:rsid w:val="00606E91"/>
    <w:rsid w:val="00607018"/>
    <w:rsid w:val="006073BA"/>
    <w:rsid w:val="006077ED"/>
    <w:rsid w:val="00607823"/>
    <w:rsid w:val="00610412"/>
    <w:rsid w:val="00610954"/>
    <w:rsid w:val="00610A19"/>
    <w:rsid w:val="00610CBE"/>
    <w:rsid w:val="00610E1F"/>
    <w:rsid w:val="0061321C"/>
    <w:rsid w:val="00614CA1"/>
    <w:rsid w:val="00615C2C"/>
    <w:rsid w:val="0062038A"/>
    <w:rsid w:val="006203A8"/>
    <w:rsid w:val="00620E59"/>
    <w:rsid w:val="00621132"/>
    <w:rsid w:val="00622656"/>
    <w:rsid w:val="006234C2"/>
    <w:rsid w:val="0062386E"/>
    <w:rsid w:val="00623D9A"/>
    <w:rsid w:val="00623F01"/>
    <w:rsid w:val="006242FB"/>
    <w:rsid w:val="00624738"/>
    <w:rsid w:val="00626E2D"/>
    <w:rsid w:val="006272DE"/>
    <w:rsid w:val="00627D94"/>
    <w:rsid w:val="00630017"/>
    <w:rsid w:val="006304D3"/>
    <w:rsid w:val="00630AB9"/>
    <w:rsid w:val="00630B42"/>
    <w:rsid w:val="0063104D"/>
    <w:rsid w:val="006310FC"/>
    <w:rsid w:val="00631688"/>
    <w:rsid w:val="006320D8"/>
    <w:rsid w:val="006321F5"/>
    <w:rsid w:val="00632540"/>
    <w:rsid w:val="00632E88"/>
    <w:rsid w:val="0063454C"/>
    <w:rsid w:val="00634DBB"/>
    <w:rsid w:val="00637C26"/>
    <w:rsid w:val="00640732"/>
    <w:rsid w:val="00641BFC"/>
    <w:rsid w:val="00642072"/>
    <w:rsid w:val="00643BA5"/>
    <w:rsid w:val="006440ED"/>
    <w:rsid w:val="0064467C"/>
    <w:rsid w:val="00644AB5"/>
    <w:rsid w:val="00645213"/>
    <w:rsid w:val="00645293"/>
    <w:rsid w:val="00645980"/>
    <w:rsid w:val="006468CB"/>
    <w:rsid w:val="00650E05"/>
    <w:rsid w:val="00651A3C"/>
    <w:rsid w:val="00651B78"/>
    <w:rsid w:val="00652263"/>
    <w:rsid w:val="0065238F"/>
    <w:rsid w:val="006523FC"/>
    <w:rsid w:val="00652881"/>
    <w:rsid w:val="00652985"/>
    <w:rsid w:val="006533AE"/>
    <w:rsid w:val="0065374C"/>
    <w:rsid w:val="006542A8"/>
    <w:rsid w:val="006551AE"/>
    <w:rsid w:val="00655D85"/>
    <w:rsid w:val="00655F30"/>
    <w:rsid w:val="00657420"/>
    <w:rsid w:val="00657D9D"/>
    <w:rsid w:val="00661974"/>
    <w:rsid w:val="006623E2"/>
    <w:rsid w:val="006624E3"/>
    <w:rsid w:val="006640F9"/>
    <w:rsid w:val="00664551"/>
    <w:rsid w:val="00664685"/>
    <w:rsid w:val="00664B95"/>
    <w:rsid w:val="00665D5F"/>
    <w:rsid w:val="00666372"/>
    <w:rsid w:val="00666D50"/>
    <w:rsid w:val="006676A0"/>
    <w:rsid w:val="006704F3"/>
    <w:rsid w:val="00670857"/>
    <w:rsid w:val="00671124"/>
    <w:rsid w:val="0067271C"/>
    <w:rsid w:val="006727B0"/>
    <w:rsid w:val="00672869"/>
    <w:rsid w:val="00672F43"/>
    <w:rsid w:val="0067307E"/>
    <w:rsid w:val="006739C0"/>
    <w:rsid w:val="00673F6D"/>
    <w:rsid w:val="00674850"/>
    <w:rsid w:val="00675116"/>
    <w:rsid w:val="00675D03"/>
    <w:rsid w:val="00676016"/>
    <w:rsid w:val="00676EA7"/>
    <w:rsid w:val="00680CD4"/>
    <w:rsid w:val="00682AAC"/>
    <w:rsid w:val="00682EFD"/>
    <w:rsid w:val="006833F0"/>
    <w:rsid w:val="00683F61"/>
    <w:rsid w:val="00685E80"/>
    <w:rsid w:val="00686A36"/>
    <w:rsid w:val="0068776C"/>
    <w:rsid w:val="00687AD5"/>
    <w:rsid w:val="0069211A"/>
    <w:rsid w:val="00692B81"/>
    <w:rsid w:val="00692C4F"/>
    <w:rsid w:val="00692F83"/>
    <w:rsid w:val="0069389C"/>
    <w:rsid w:val="006949D2"/>
    <w:rsid w:val="00694C5F"/>
    <w:rsid w:val="00695027"/>
    <w:rsid w:val="00695251"/>
    <w:rsid w:val="006953EF"/>
    <w:rsid w:val="00695498"/>
    <w:rsid w:val="00695689"/>
    <w:rsid w:val="00695ADE"/>
    <w:rsid w:val="00695C0D"/>
    <w:rsid w:val="00695CAE"/>
    <w:rsid w:val="00696356"/>
    <w:rsid w:val="00696586"/>
    <w:rsid w:val="006968EA"/>
    <w:rsid w:val="0069776C"/>
    <w:rsid w:val="006A015D"/>
    <w:rsid w:val="006A1415"/>
    <w:rsid w:val="006A1645"/>
    <w:rsid w:val="006A2EA3"/>
    <w:rsid w:val="006A3CC1"/>
    <w:rsid w:val="006A4899"/>
    <w:rsid w:val="006A4B92"/>
    <w:rsid w:val="006A62E1"/>
    <w:rsid w:val="006A6566"/>
    <w:rsid w:val="006A72C6"/>
    <w:rsid w:val="006A7310"/>
    <w:rsid w:val="006A74F4"/>
    <w:rsid w:val="006A7E68"/>
    <w:rsid w:val="006B02DA"/>
    <w:rsid w:val="006B08FB"/>
    <w:rsid w:val="006B0E37"/>
    <w:rsid w:val="006B2065"/>
    <w:rsid w:val="006B275B"/>
    <w:rsid w:val="006B30BF"/>
    <w:rsid w:val="006B38C6"/>
    <w:rsid w:val="006B3940"/>
    <w:rsid w:val="006B45A6"/>
    <w:rsid w:val="006B6275"/>
    <w:rsid w:val="006B62F0"/>
    <w:rsid w:val="006B686C"/>
    <w:rsid w:val="006B6C6B"/>
    <w:rsid w:val="006B6F85"/>
    <w:rsid w:val="006B77AE"/>
    <w:rsid w:val="006B7D5F"/>
    <w:rsid w:val="006C013C"/>
    <w:rsid w:val="006C09B6"/>
    <w:rsid w:val="006C168D"/>
    <w:rsid w:val="006C2116"/>
    <w:rsid w:val="006C2BF5"/>
    <w:rsid w:val="006C4A40"/>
    <w:rsid w:val="006C4E56"/>
    <w:rsid w:val="006C61CD"/>
    <w:rsid w:val="006C642C"/>
    <w:rsid w:val="006C6491"/>
    <w:rsid w:val="006C6FC6"/>
    <w:rsid w:val="006C7BB9"/>
    <w:rsid w:val="006C7D50"/>
    <w:rsid w:val="006D141C"/>
    <w:rsid w:val="006D2425"/>
    <w:rsid w:val="006D2A81"/>
    <w:rsid w:val="006D2CF3"/>
    <w:rsid w:val="006D2D08"/>
    <w:rsid w:val="006D2F35"/>
    <w:rsid w:val="006D3228"/>
    <w:rsid w:val="006D349E"/>
    <w:rsid w:val="006D41EF"/>
    <w:rsid w:val="006D4A94"/>
    <w:rsid w:val="006D53AA"/>
    <w:rsid w:val="006D6993"/>
    <w:rsid w:val="006D6B92"/>
    <w:rsid w:val="006E0D09"/>
    <w:rsid w:val="006E241F"/>
    <w:rsid w:val="006E24EE"/>
    <w:rsid w:val="006E25BD"/>
    <w:rsid w:val="006E3379"/>
    <w:rsid w:val="006E33C9"/>
    <w:rsid w:val="006E34B7"/>
    <w:rsid w:val="006E36B8"/>
    <w:rsid w:val="006E3874"/>
    <w:rsid w:val="006E50C7"/>
    <w:rsid w:val="006E5585"/>
    <w:rsid w:val="006E5E32"/>
    <w:rsid w:val="006E6196"/>
    <w:rsid w:val="006E633A"/>
    <w:rsid w:val="006E6A14"/>
    <w:rsid w:val="006E6B16"/>
    <w:rsid w:val="006E6DE8"/>
    <w:rsid w:val="006E780C"/>
    <w:rsid w:val="006F0820"/>
    <w:rsid w:val="006F0B8C"/>
    <w:rsid w:val="006F0BA7"/>
    <w:rsid w:val="006F0F01"/>
    <w:rsid w:val="006F174D"/>
    <w:rsid w:val="006F1F41"/>
    <w:rsid w:val="006F32EF"/>
    <w:rsid w:val="006F3615"/>
    <w:rsid w:val="006F3C54"/>
    <w:rsid w:val="006F4CD8"/>
    <w:rsid w:val="006F53D9"/>
    <w:rsid w:val="006F5812"/>
    <w:rsid w:val="006F609A"/>
    <w:rsid w:val="006F69A3"/>
    <w:rsid w:val="007004DC"/>
    <w:rsid w:val="00700C00"/>
    <w:rsid w:val="00701093"/>
    <w:rsid w:val="00701155"/>
    <w:rsid w:val="007013D9"/>
    <w:rsid w:val="007022C4"/>
    <w:rsid w:val="007026E9"/>
    <w:rsid w:val="00703C8B"/>
    <w:rsid w:val="00703E8A"/>
    <w:rsid w:val="00704F60"/>
    <w:rsid w:val="007056F3"/>
    <w:rsid w:val="00705A28"/>
    <w:rsid w:val="00706EA3"/>
    <w:rsid w:val="007078BE"/>
    <w:rsid w:val="00707A3C"/>
    <w:rsid w:val="00707CDD"/>
    <w:rsid w:val="00707FDA"/>
    <w:rsid w:val="00710BF6"/>
    <w:rsid w:val="007113D5"/>
    <w:rsid w:val="00711522"/>
    <w:rsid w:val="007118A6"/>
    <w:rsid w:val="007124FE"/>
    <w:rsid w:val="00712533"/>
    <w:rsid w:val="00713186"/>
    <w:rsid w:val="00713757"/>
    <w:rsid w:val="00713758"/>
    <w:rsid w:val="007137D8"/>
    <w:rsid w:val="00714064"/>
    <w:rsid w:val="0071409E"/>
    <w:rsid w:val="00714192"/>
    <w:rsid w:val="00715E29"/>
    <w:rsid w:val="00717772"/>
    <w:rsid w:val="007200E5"/>
    <w:rsid w:val="00720C17"/>
    <w:rsid w:val="0072139B"/>
    <w:rsid w:val="00721AF1"/>
    <w:rsid w:val="0072280F"/>
    <w:rsid w:val="00722B5E"/>
    <w:rsid w:val="00722BC5"/>
    <w:rsid w:val="00722EBF"/>
    <w:rsid w:val="007235F5"/>
    <w:rsid w:val="007236F8"/>
    <w:rsid w:val="00723B2C"/>
    <w:rsid w:val="00723D38"/>
    <w:rsid w:val="007253CC"/>
    <w:rsid w:val="00726452"/>
    <w:rsid w:val="00726F5A"/>
    <w:rsid w:val="0072708F"/>
    <w:rsid w:val="007279F4"/>
    <w:rsid w:val="00730935"/>
    <w:rsid w:val="00730E81"/>
    <w:rsid w:val="00731000"/>
    <w:rsid w:val="00731204"/>
    <w:rsid w:val="007319BC"/>
    <w:rsid w:val="0073222B"/>
    <w:rsid w:val="00732517"/>
    <w:rsid w:val="00732582"/>
    <w:rsid w:val="00732D1D"/>
    <w:rsid w:val="007332C4"/>
    <w:rsid w:val="0073364B"/>
    <w:rsid w:val="00734381"/>
    <w:rsid w:val="00736034"/>
    <w:rsid w:val="0073681C"/>
    <w:rsid w:val="00736C4E"/>
    <w:rsid w:val="0073725B"/>
    <w:rsid w:val="0074033C"/>
    <w:rsid w:val="0074050E"/>
    <w:rsid w:val="00740B66"/>
    <w:rsid w:val="00741AF8"/>
    <w:rsid w:val="00741EBE"/>
    <w:rsid w:val="00742181"/>
    <w:rsid w:val="007424EC"/>
    <w:rsid w:val="00742EDA"/>
    <w:rsid w:val="00742F5D"/>
    <w:rsid w:val="007440FA"/>
    <w:rsid w:val="00744201"/>
    <w:rsid w:val="0074460E"/>
    <w:rsid w:val="00744A47"/>
    <w:rsid w:val="00744E53"/>
    <w:rsid w:val="00745B3E"/>
    <w:rsid w:val="00745FCE"/>
    <w:rsid w:val="00746130"/>
    <w:rsid w:val="007468E6"/>
    <w:rsid w:val="00746A40"/>
    <w:rsid w:val="00746E6A"/>
    <w:rsid w:val="00747598"/>
    <w:rsid w:val="00750358"/>
    <w:rsid w:val="007520A3"/>
    <w:rsid w:val="007526F5"/>
    <w:rsid w:val="00753C69"/>
    <w:rsid w:val="007540CB"/>
    <w:rsid w:val="00754717"/>
    <w:rsid w:val="00754836"/>
    <w:rsid w:val="00754FB9"/>
    <w:rsid w:val="00755CDF"/>
    <w:rsid w:val="00756AD3"/>
    <w:rsid w:val="00757042"/>
    <w:rsid w:val="007578C3"/>
    <w:rsid w:val="00757A4C"/>
    <w:rsid w:val="00760895"/>
    <w:rsid w:val="00761D02"/>
    <w:rsid w:val="00762ABF"/>
    <w:rsid w:val="00763FE6"/>
    <w:rsid w:val="00764A94"/>
    <w:rsid w:val="00764B26"/>
    <w:rsid w:val="00764DBA"/>
    <w:rsid w:val="00764EA6"/>
    <w:rsid w:val="007651A9"/>
    <w:rsid w:val="007651E5"/>
    <w:rsid w:val="0076524F"/>
    <w:rsid w:val="00765584"/>
    <w:rsid w:val="0076646B"/>
    <w:rsid w:val="007665B2"/>
    <w:rsid w:val="00766709"/>
    <w:rsid w:val="007670DC"/>
    <w:rsid w:val="00767356"/>
    <w:rsid w:val="00767EA9"/>
    <w:rsid w:val="007705D4"/>
    <w:rsid w:val="00770F2A"/>
    <w:rsid w:val="0077111A"/>
    <w:rsid w:val="0077213A"/>
    <w:rsid w:val="00772272"/>
    <w:rsid w:val="0077369F"/>
    <w:rsid w:val="0077463A"/>
    <w:rsid w:val="00774AB3"/>
    <w:rsid w:val="00774D0F"/>
    <w:rsid w:val="00774D7B"/>
    <w:rsid w:val="007756ED"/>
    <w:rsid w:val="0077589D"/>
    <w:rsid w:val="00776075"/>
    <w:rsid w:val="0077617F"/>
    <w:rsid w:val="00776A3D"/>
    <w:rsid w:val="0077707A"/>
    <w:rsid w:val="0077767E"/>
    <w:rsid w:val="007776BF"/>
    <w:rsid w:val="0078060F"/>
    <w:rsid w:val="00780820"/>
    <w:rsid w:val="007819A1"/>
    <w:rsid w:val="007831A4"/>
    <w:rsid w:val="00783BA5"/>
    <w:rsid w:val="00784F9E"/>
    <w:rsid w:val="0078533C"/>
    <w:rsid w:val="007857FB"/>
    <w:rsid w:val="007870FC"/>
    <w:rsid w:val="00787CD0"/>
    <w:rsid w:val="007905A2"/>
    <w:rsid w:val="00791053"/>
    <w:rsid w:val="00791261"/>
    <w:rsid w:val="0079155B"/>
    <w:rsid w:val="007918FE"/>
    <w:rsid w:val="00791A3A"/>
    <w:rsid w:val="0079262D"/>
    <w:rsid w:val="00792A53"/>
    <w:rsid w:val="00792D48"/>
    <w:rsid w:val="00794196"/>
    <w:rsid w:val="00794C47"/>
    <w:rsid w:val="00794FFF"/>
    <w:rsid w:val="00796D4D"/>
    <w:rsid w:val="007971B8"/>
    <w:rsid w:val="00797637"/>
    <w:rsid w:val="007A0018"/>
    <w:rsid w:val="007A020D"/>
    <w:rsid w:val="007A05A7"/>
    <w:rsid w:val="007A0ADE"/>
    <w:rsid w:val="007A1B35"/>
    <w:rsid w:val="007A3680"/>
    <w:rsid w:val="007A3BCD"/>
    <w:rsid w:val="007A50C4"/>
    <w:rsid w:val="007A5214"/>
    <w:rsid w:val="007A59B8"/>
    <w:rsid w:val="007A65AF"/>
    <w:rsid w:val="007A7682"/>
    <w:rsid w:val="007A7F42"/>
    <w:rsid w:val="007B0301"/>
    <w:rsid w:val="007B0C38"/>
    <w:rsid w:val="007B2862"/>
    <w:rsid w:val="007B2FD8"/>
    <w:rsid w:val="007B3968"/>
    <w:rsid w:val="007B45AF"/>
    <w:rsid w:val="007B4DD0"/>
    <w:rsid w:val="007B611E"/>
    <w:rsid w:val="007B662A"/>
    <w:rsid w:val="007B71DC"/>
    <w:rsid w:val="007B7743"/>
    <w:rsid w:val="007C04F4"/>
    <w:rsid w:val="007C0DDA"/>
    <w:rsid w:val="007C2139"/>
    <w:rsid w:val="007C27DE"/>
    <w:rsid w:val="007C299E"/>
    <w:rsid w:val="007C3A11"/>
    <w:rsid w:val="007C483C"/>
    <w:rsid w:val="007C525F"/>
    <w:rsid w:val="007C5321"/>
    <w:rsid w:val="007C5981"/>
    <w:rsid w:val="007C5E8A"/>
    <w:rsid w:val="007C5F4B"/>
    <w:rsid w:val="007C6AAB"/>
    <w:rsid w:val="007C7B84"/>
    <w:rsid w:val="007D0C4D"/>
    <w:rsid w:val="007D125C"/>
    <w:rsid w:val="007D1336"/>
    <w:rsid w:val="007D167D"/>
    <w:rsid w:val="007D1FE9"/>
    <w:rsid w:val="007D28C9"/>
    <w:rsid w:val="007D326B"/>
    <w:rsid w:val="007D38F0"/>
    <w:rsid w:val="007D3CC8"/>
    <w:rsid w:val="007D430A"/>
    <w:rsid w:val="007D47FB"/>
    <w:rsid w:val="007D4DD3"/>
    <w:rsid w:val="007D576A"/>
    <w:rsid w:val="007D62F9"/>
    <w:rsid w:val="007D63A4"/>
    <w:rsid w:val="007D6542"/>
    <w:rsid w:val="007E0F5E"/>
    <w:rsid w:val="007E1AA2"/>
    <w:rsid w:val="007E1EB2"/>
    <w:rsid w:val="007E1F2C"/>
    <w:rsid w:val="007E279D"/>
    <w:rsid w:val="007E2D69"/>
    <w:rsid w:val="007E3B9A"/>
    <w:rsid w:val="007E3EEF"/>
    <w:rsid w:val="007E41CD"/>
    <w:rsid w:val="007E46E8"/>
    <w:rsid w:val="007E470F"/>
    <w:rsid w:val="007E4C1F"/>
    <w:rsid w:val="007E58AE"/>
    <w:rsid w:val="007F01DE"/>
    <w:rsid w:val="007F0759"/>
    <w:rsid w:val="007F0BCC"/>
    <w:rsid w:val="007F1154"/>
    <w:rsid w:val="007F156E"/>
    <w:rsid w:val="007F1CF3"/>
    <w:rsid w:val="007F25C0"/>
    <w:rsid w:val="007F30BB"/>
    <w:rsid w:val="007F35DC"/>
    <w:rsid w:val="007F3BC1"/>
    <w:rsid w:val="007F41B2"/>
    <w:rsid w:val="007F5F52"/>
    <w:rsid w:val="007F672A"/>
    <w:rsid w:val="007F6A1D"/>
    <w:rsid w:val="007F77C6"/>
    <w:rsid w:val="007F79D4"/>
    <w:rsid w:val="007F7EB4"/>
    <w:rsid w:val="008003A1"/>
    <w:rsid w:val="0080046C"/>
    <w:rsid w:val="008006B7"/>
    <w:rsid w:val="00800FDB"/>
    <w:rsid w:val="00802081"/>
    <w:rsid w:val="008020F6"/>
    <w:rsid w:val="0080298E"/>
    <w:rsid w:val="008033BA"/>
    <w:rsid w:val="00803833"/>
    <w:rsid w:val="00804316"/>
    <w:rsid w:val="008044EA"/>
    <w:rsid w:val="008044F8"/>
    <w:rsid w:val="00806461"/>
    <w:rsid w:val="008064C1"/>
    <w:rsid w:val="00807CD5"/>
    <w:rsid w:val="0081096D"/>
    <w:rsid w:val="00810EAD"/>
    <w:rsid w:val="00811833"/>
    <w:rsid w:val="00814BDE"/>
    <w:rsid w:val="00814DBC"/>
    <w:rsid w:val="008174D4"/>
    <w:rsid w:val="0082002E"/>
    <w:rsid w:val="0082083C"/>
    <w:rsid w:val="008209AC"/>
    <w:rsid w:val="00820C54"/>
    <w:rsid w:val="00820F37"/>
    <w:rsid w:val="00820FE6"/>
    <w:rsid w:val="00821A66"/>
    <w:rsid w:val="00822476"/>
    <w:rsid w:val="00822882"/>
    <w:rsid w:val="00822A1E"/>
    <w:rsid w:val="008238C7"/>
    <w:rsid w:val="008239AB"/>
    <w:rsid w:val="00825268"/>
    <w:rsid w:val="0082571C"/>
    <w:rsid w:val="00825B94"/>
    <w:rsid w:val="00825BB4"/>
    <w:rsid w:val="00825F68"/>
    <w:rsid w:val="0082600E"/>
    <w:rsid w:val="008273D2"/>
    <w:rsid w:val="00827B52"/>
    <w:rsid w:val="00830E92"/>
    <w:rsid w:val="00831DD0"/>
    <w:rsid w:val="008320ED"/>
    <w:rsid w:val="00832858"/>
    <w:rsid w:val="00832A0F"/>
    <w:rsid w:val="008353D5"/>
    <w:rsid w:val="00835408"/>
    <w:rsid w:val="008358A2"/>
    <w:rsid w:val="008359DA"/>
    <w:rsid w:val="00837CEF"/>
    <w:rsid w:val="00837E2F"/>
    <w:rsid w:val="00840035"/>
    <w:rsid w:val="00841F68"/>
    <w:rsid w:val="00842525"/>
    <w:rsid w:val="00842661"/>
    <w:rsid w:val="008428A9"/>
    <w:rsid w:val="00842925"/>
    <w:rsid w:val="00844112"/>
    <w:rsid w:val="008456C9"/>
    <w:rsid w:val="0084611D"/>
    <w:rsid w:val="00846177"/>
    <w:rsid w:val="0084654D"/>
    <w:rsid w:val="00846C9F"/>
    <w:rsid w:val="00847A83"/>
    <w:rsid w:val="00847BD6"/>
    <w:rsid w:val="00850137"/>
    <w:rsid w:val="00850C62"/>
    <w:rsid w:val="00852116"/>
    <w:rsid w:val="00852B48"/>
    <w:rsid w:val="0085474D"/>
    <w:rsid w:val="0085606B"/>
    <w:rsid w:val="00856481"/>
    <w:rsid w:val="008567A2"/>
    <w:rsid w:val="00856E6C"/>
    <w:rsid w:val="0085740D"/>
    <w:rsid w:val="00857DE1"/>
    <w:rsid w:val="00857EA7"/>
    <w:rsid w:val="0086066A"/>
    <w:rsid w:val="00860793"/>
    <w:rsid w:val="00860AC3"/>
    <w:rsid w:val="00863011"/>
    <w:rsid w:val="00863C5B"/>
    <w:rsid w:val="00863D2E"/>
    <w:rsid w:val="008641F2"/>
    <w:rsid w:val="00864E32"/>
    <w:rsid w:val="00865075"/>
    <w:rsid w:val="0086615F"/>
    <w:rsid w:val="0086748F"/>
    <w:rsid w:val="008725CB"/>
    <w:rsid w:val="00872757"/>
    <w:rsid w:val="00872BA6"/>
    <w:rsid w:val="00872CE4"/>
    <w:rsid w:val="00873AA4"/>
    <w:rsid w:val="00873CA8"/>
    <w:rsid w:val="00873F5D"/>
    <w:rsid w:val="008741AC"/>
    <w:rsid w:val="00875075"/>
    <w:rsid w:val="0087570C"/>
    <w:rsid w:val="008773BA"/>
    <w:rsid w:val="00877B62"/>
    <w:rsid w:val="00881015"/>
    <w:rsid w:val="008810B0"/>
    <w:rsid w:val="00881665"/>
    <w:rsid w:val="008819B6"/>
    <w:rsid w:val="00881AAC"/>
    <w:rsid w:val="008836B7"/>
    <w:rsid w:val="00883F7C"/>
    <w:rsid w:val="008841D3"/>
    <w:rsid w:val="00884987"/>
    <w:rsid w:val="00884A07"/>
    <w:rsid w:val="00884BE0"/>
    <w:rsid w:val="008867EA"/>
    <w:rsid w:val="008870EF"/>
    <w:rsid w:val="00887BF9"/>
    <w:rsid w:val="00887DE6"/>
    <w:rsid w:val="00890C01"/>
    <w:rsid w:val="0089214A"/>
    <w:rsid w:val="00892226"/>
    <w:rsid w:val="008922FA"/>
    <w:rsid w:val="008923CB"/>
    <w:rsid w:val="008927B8"/>
    <w:rsid w:val="00892D3E"/>
    <w:rsid w:val="008936DC"/>
    <w:rsid w:val="00893E53"/>
    <w:rsid w:val="008945EB"/>
    <w:rsid w:val="00894C2A"/>
    <w:rsid w:val="00895389"/>
    <w:rsid w:val="00895DFF"/>
    <w:rsid w:val="0089690B"/>
    <w:rsid w:val="00896A5F"/>
    <w:rsid w:val="0089728F"/>
    <w:rsid w:val="008976C0"/>
    <w:rsid w:val="00897708"/>
    <w:rsid w:val="00897D88"/>
    <w:rsid w:val="008A0029"/>
    <w:rsid w:val="008A0860"/>
    <w:rsid w:val="008A17AF"/>
    <w:rsid w:val="008A1ED9"/>
    <w:rsid w:val="008A2C65"/>
    <w:rsid w:val="008A2F16"/>
    <w:rsid w:val="008A36AE"/>
    <w:rsid w:val="008A3A74"/>
    <w:rsid w:val="008A48C3"/>
    <w:rsid w:val="008A49D2"/>
    <w:rsid w:val="008A4E18"/>
    <w:rsid w:val="008A520C"/>
    <w:rsid w:val="008A5493"/>
    <w:rsid w:val="008A596C"/>
    <w:rsid w:val="008A64C4"/>
    <w:rsid w:val="008A6BF7"/>
    <w:rsid w:val="008A6CC1"/>
    <w:rsid w:val="008A71CC"/>
    <w:rsid w:val="008A72FB"/>
    <w:rsid w:val="008A7F03"/>
    <w:rsid w:val="008B1823"/>
    <w:rsid w:val="008B1B4E"/>
    <w:rsid w:val="008B2975"/>
    <w:rsid w:val="008B2AA9"/>
    <w:rsid w:val="008B2BDF"/>
    <w:rsid w:val="008B2D72"/>
    <w:rsid w:val="008B4198"/>
    <w:rsid w:val="008B4C9F"/>
    <w:rsid w:val="008B586A"/>
    <w:rsid w:val="008B5CC9"/>
    <w:rsid w:val="008B5DEB"/>
    <w:rsid w:val="008B6651"/>
    <w:rsid w:val="008B6E16"/>
    <w:rsid w:val="008B7110"/>
    <w:rsid w:val="008B7A20"/>
    <w:rsid w:val="008C0DD5"/>
    <w:rsid w:val="008C0DF9"/>
    <w:rsid w:val="008C1ED0"/>
    <w:rsid w:val="008C2029"/>
    <w:rsid w:val="008C255B"/>
    <w:rsid w:val="008C267C"/>
    <w:rsid w:val="008C2E44"/>
    <w:rsid w:val="008C3427"/>
    <w:rsid w:val="008C3B7F"/>
    <w:rsid w:val="008C3BC2"/>
    <w:rsid w:val="008C4F76"/>
    <w:rsid w:val="008C55AD"/>
    <w:rsid w:val="008C61D6"/>
    <w:rsid w:val="008C649D"/>
    <w:rsid w:val="008C64F1"/>
    <w:rsid w:val="008C7C1A"/>
    <w:rsid w:val="008D0DC1"/>
    <w:rsid w:val="008D1BB0"/>
    <w:rsid w:val="008D20FF"/>
    <w:rsid w:val="008D22A4"/>
    <w:rsid w:val="008D2B9A"/>
    <w:rsid w:val="008D3DE6"/>
    <w:rsid w:val="008D4223"/>
    <w:rsid w:val="008D44CC"/>
    <w:rsid w:val="008D46E3"/>
    <w:rsid w:val="008D4CED"/>
    <w:rsid w:val="008D50F9"/>
    <w:rsid w:val="008D5CAF"/>
    <w:rsid w:val="008D6709"/>
    <w:rsid w:val="008D78D2"/>
    <w:rsid w:val="008E083A"/>
    <w:rsid w:val="008E0EE9"/>
    <w:rsid w:val="008E12AD"/>
    <w:rsid w:val="008E1883"/>
    <w:rsid w:val="008E1F62"/>
    <w:rsid w:val="008E2152"/>
    <w:rsid w:val="008E22FF"/>
    <w:rsid w:val="008E2450"/>
    <w:rsid w:val="008E29BE"/>
    <w:rsid w:val="008E2DCA"/>
    <w:rsid w:val="008E3F27"/>
    <w:rsid w:val="008E47EF"/>
    <w:rsid w:val="008E4E6E"/>
    <w:rsid w:val="008E5783"/>
    <w:rsid w:val="008E5DB7"/>
    <w:rsid w:val="008E61EB"/>
    <w:rsid w:val="008E7076"/>
    <w:rsid w:val="008E7896"/>
    <w:rsid w:val="008E79C7"/>
    <w:rsid w:val="008E7B6F"/>
    <w:rsid w:val="008E7C9D"/>
    <w:rsid w:val="008E7D8A"/>
    <w:rsid w:val="008F14C7"/>
    <w:rsid w:val="008F1D02"/>
    <w:rsid w:val="008F1E9E"/>
    <w:rsid w:val="008F2165"/>
    <w:rsid w:val="008F2356"/>
    <w:rsid w:val="008F2477"/>
    <w:rsid w:val="008F3879"/>
    <w:rsid w:val="008F5442"/>
    <w:rsid w:val="008F60A3"/>
    <w:rsid w:val="008F653E"/>
    <w:rsid w:val="008F7769"/>
    <w:rsid w:val="009004FE"/>
    <w:rsid w:val="00901014"/>
    <w:rsid w:val="009010F0"/>
    <w:rsid w:val="00901162"/>
    <w:rsid w:val="00901247"/>
    <w:rsid w:val="00901B53"/>
    <w:rsid w:val="0090223A"/>
    <w:rsid w:val="009028E2"/>
    <w:rsid w:val="00902D6A"/>
    <w:rsid w:val="009039FE"/>
    <w:rsid w:val="00903E9A"/>
    <w:rsid w:val="009048A5"/>
    <w:rsid w:val="00905404"/>
    <w:rsid w:val="00906478"/>
    <w:rsid w:val="00906753"/>
    <w:rsid w:val="00907264"/>
    <w:rsid w:val="0090765F"/>
    <w:rsid w:val="00907748"/>
    <w:rsid w:val="009079E4"/>
    <w:rsid w:val="00907B32"/>
    <w:rsid w:val="00911305"/>
    <w:rsid w:val="00912590"/>
    <w:rsid w:val="0091312A"/>
    <w:rsid w:val="00913200"/>
    <w:rsid w:val="009136A4"/>
    <w:rsid w:val="00913EC2"/>
    <w:rsid w:val="00914EAB"/>
    <w:rsid w:val="009152D8"/>
    <w:rsid w:val="009153A3"/>
    <w:rsid w:val="00915A1D"/>
    <w:rsid w:val="0091716F"/>
    <w:rsid w:val="009173E8"/>
    <w:rsid w:val="00917994"/>
    <w:rsid w:val="00922567"/>
    <w:rsid w:val="009228DB"/>
    <w:rsid w:val="00922D37"/>
    <w:rsid w:val="00922D49"/>
    <w:rsid w:val="009236B9"/>
    <w:rsid w:val="00924183"/>
    <w:rsid w:val="00925E37"/>
    <w:rsid w:val="00925EDD"/>
    <w:rsid w:val="00925F20"/>
    <w:rsid w:val="00926B3B"/>
    <w:rsid w:val="00927899"/>
    <w:rsid w:val="00927D0E"/>
    <w:rsid w:val="009309DA"/>
    <w:rsid w:val="00931040"/>
    <w:rsid w:val="00931663"/>
    <w:rsid w:val="00931B45"/>
    <w:rsid w:val="00931D22"/>
    <w:rsid w:val="00932CC7"/>
    <w:rsid w:val="0093355C"/>
    <w:rsid w:val="009338F3"/>
    <w:rsid w:val="00935306"/>
    <w:rsid w:val="0093640D"/>
    <w:rsid w:val="00936688"/>
    <w:rsid w:val="00937683"/>
    <w:rsid w:val="00937AC9"/>
    <w:rsid w:val="00937CFA"/>
    <w:rsid w:val="00940291"/>
    <w:rsid w:val="009406B3"/>
    <w:rsid w:val="009414BB"/>
    <w:rsid w:val="00942286"/>
    <w:rsid w:val="00943748"/>
    <w:rsid w:val="00943CEE"/>
    <w:rsid w:val="009443C5"/>
    <w:rsid w:val="009444F4"/>
    <w:rsid w:val="00944674"/>
    <w:rsid w:val="00944F2F"/>
    <w:rsid w:val="00945B95"/>
    <w:rsid w:val="00945CC4"/>
    <w:rsid w:val="00945CF5"/>
    <w:rsid w:val="00946437"/>
    <w:rsid w:val="0094691C"/>
    <w:rsid w:val="00947229"/>
    <w:rsid w:val="00947C95"/>
    <w:rsid w:val="00947EED"/>
    <w:rsid w:val="009500A1"/>
    <w:rsid w:val="0095037E"/>
    <w:rsid w:val="00951D97"/>
    <w:rsid w:val="00952230"/>
    <w:rsid w:val="00952266"/>
    <w:rsid w:val="00952A9B"/>
    <w:rsid w:val="00952AAD"/>
    <w:rsid w:val="00953B2B"/>
    <w:rsid w:val="00954567"/>
    <w:rsid w:val="009547B3"/>
    <w:rsid w:val="00954A89"/>
    <w:rsid w:val="00955CB7"/>
    <w:rsid w:val="00956671"/>
    <w:rsid w:val="00957466"/>
    <w:rsid w:val="009576F7"/>
    <w:rsid w:val="00960722"/>
    <w:rsid w:val="00961313"/>
    <w:rsid w:val="0096133D"/>
    <w:rsid w:val="00961356"/>
    <w:rsid w:val="00962401"/>
    <w:rsid w:val="00962510"/>
    <w:rsid w:val="0096260B"/>
    <w:rsid w:val="0096275C"/>
    <w:rsid w:val="009627FF"/>
    <w:rsid w:val="00962A27"/>
    <w:rsid w:val="00962B9D"/>
    <w:rsid w:val="00962EDC"/>
    <w:rsid w:val="00963ACF"/>
    <w:rsid w:val="00963D03"/>
    <w:rsid w:val="00964E3D"/>
    <w:rsid w:val="009664D5"/>
    <w:rsid w:val="0096663A"/>
    <w:rsid w:val="009670C1"/>
    <w:rsid w:val="009671B0"/>
    <w:rsid w:val="00967657"/>
    <w:rsid w:val="00970C69"/>
    <w:rsid w:val="00971F1C"/>
    <w:rsid w:val="0097211D"/>
    <w:rsid w:val="009724F9"/>
    <w:rsid w:val="0097263C"/>
    <w:rsid w:val="00972DF9"/>
    <w:rsid w:val="00972E10"/>
    <w:rsid w:val="009738AD"/>
    <w:rsid w:val="00974694"/>
    <w:rsid w:val="009746CA"/>
    <w:rsid w:val="00974E7C"/>
    <w:rsid w:val="00975B7B"/>
    <w:rsid w:val="00976DCD"/>
    <w:rsid w:val="00977134"/>
    <w:rsid w:val="009778D3"/>
    <w:rsid w:val="00977B69"/>
    <w:rsid w:val="00980013"/>
    <w:rsid w:val="00980E65"/>
    <w:rsid w:val="0098122D"/>
    <w:rsid w:val="00981963"/>
    <w:rsid w:val="00982FD1"/>
    <w:rsid w:val="009831B9"/>
    <w:rsid w:val="00983C82"/>
    <w:rsid w:val="009844D6"/>
    <w:rsid w:val="00984520"/>
    <w:rsid w:val="0098545C"/>
    <w:rsid w:val="00985506"/>
    <w:rsid w:val="009862F1"/>
    <w:rsid w:val="009871EA"/>
    <w:rsid w:val="00987220"/>
    <w:rsid w:val="00991675"/>
    <w:rsid w:val="00992BA2"/>
    <w:rsid w:val="00992F83"/>
    <w:rsid w:val="0099344F"/>
    <w:rsid w:val="009939A9"/>
    <w:rsid w:val="00993A3C"/>
    <w:rsid w:val="0099449B"/>
    <w:rsid w:val="0099508A"/>
    <w:rsid w:val="00995E53"/>
    <w:rsid w:val="00996BAA"/>
    <w:rsid w:val="00996D7F"/>
    <w:rsid w:val="009974EB"/>
    <w:rsid w:val="009978D5"/>
    <w:rsid w:val="00997A12"/>
    <w:rsid w:val="009A0EB3"/>
    <w:rsid w:val="009A1126"/>
    <w:rsid w:val="009A1232"/>
    <w:rsid w:val="009A36E4"/>
    <w:rsid w:val="009A3C12"/>
    <w:rsid w:val="009A4B06"/>
    <w:rsid w:val="009A5564"/>
    <w:rsid w:val="009A7469"/>
    <w:rsid w:val="009B07EE"/>
    <w:rsid w:val="009B0D82"/>
    <w:rsid w:val="009B1584"/>
    <w:rsid w:val="009B1B32"/>
    <w:rsid w:val="009B21CA"/>
    <w:rsid w:val="009B2648"/>
    <w:rsid w:val="009B39B1"/>
    <w:rsid w:val="009B424E"/>
    <w:rsid w:val="009B4317"/>
    <w:rsid w:val="009B4EBB"/>
    <w:rsid w:val="009B529C"/>
    <w:rsid w:val="009B5359"/>
    <w:rsid w:val="009B5860"/>
    <w:rsid w:val="009B5C45"/>
    <w:rsid w:val="009B5FD9"/>
    <w:rsid w:val="009B6133"/>
    <w:rsid w:val="009B7332"/>
    <w:rsid w:val="009B7420"/>
    <w:rsid w:val="009B7B46"/>
    <w:rsid w:val="009B7C6D"/>
    <w:rsid w:val="009C0294"/>
    <w:rsid w:val="009C03E5"/>
    <w:rsid w:val="009C08B6"/>
    <w:rsid w:val="009C0920"/>
    <w:rsid w:val="009C1266"/>
    <w:rsid w:val="009C12C3"/>
    <w:rsid w:val="009C196C"/>
    <w:rsid w:val="009C1B5C"/>
    <w:rsid w:val="009C232B"/>
    <w:rsid w:val="009C36E6"/>
    <w:rsid w:val="009C3730"/>
    <w:rsid w:val="009C37BD"/>
    <w:rsid w:val="009C3888"/>
    <w:rsid w:val="009C3AAC"/>
    <w:rsid w:val="009C43E5"/>
    <w:rsid w:val="009C44A1"/>
    <w:rsid w:val="009C4D19"/>
    <w:rsid w:val="009C5F6C"/>
    <w:rsid w:val="009C5FDB"/>
    <w:rsid w:val="009C6919"/>
    <w:rsid w:val="009C693E"/>
    <w:rsid w:val="009C6B2C"/>
    <w:rsid w:val="009C6ED6"/>
    <w:rsid w:val="009C70CB"/>
    <w:rsid w:val="009C7623"/>
    <w:rsid w:val="009D0411"/>
    <w:rsid w:val="009D14EB"/>
    <w:rsid w:val="009D1B18"/>
    <w:rsid w:val="009D1E70"/>
    <w:rsid w:val="009D1EA4"/>
    <w:rsid w:val="009D27AA"/>
    <w:rsid w:val="009D2BFD"/>
    <w:rsid w:val="009D2FF8"/>
    <w:rsid w:val="009D2FFA"/>
    <w:rsid w:val="009D3BF1"/>
    <w:rsid w:val="009D3F20"/>
    <w:rsid w:val="009D428F"/>
    <w:rsid w:val="009D4991"/>
    <w:rsid w:val="009D515C"/>
    <w:rsid w:val="009D597B"/>
    <w:rsid w:val="009D5BB5"/>
    <w:rsid w:val="009D683D"/>
    <w:rsid w:val="009D696D"/>
    <w:rsid w:val="009D6993"/>
    <w:rsid w:val="009D6BB6"/>
    <w:rsid w:val="009D6ED2"/>
    <w:rsid w:val="009E08B3"/>
    <w:rsid w:val="009E0A6A"/>
    <w:rsid w:val="009E0D0F"/>
    <w:rsid w:val="009E0F1A"/>
    <w:rsid w:val="009E140D"/>
    <w:rsid w:val="009E1A86"/>
    <w:rsid w:val="009E43DD"/>
    <w:rsid w:val="009E4465"/>
    <w:rsid w:val="009E5318"/>
    <w:rsid w:val="009E6401"/>
    <w:rsid w:val="009E6C54"/>
    <w:rsid w:val="009E773E"/>
    <w:rsid w:val="009F04C8"/>
    <w:rsid w:val="009F0812"/>
    <w:rsid w:val="009F0E02"/>
    <w:rsid w:val="009F248B"/>
    <w:rsid w:val="009F2A25"/>
    <w:rsid w:val="009F3A1A"/>
    <w:rsid w:val="009F4C7D"/>
    <w:rsid w:val="009F5235"/>
    <w:rsid w:val="009F531A"/>
    <w:rsid w:val="009F6344"/>
    <w:rsid w:val="009F6550"/>
    <w:rsid w:val="009F6927"/>
    <w:rsid w:val="009F6B65"/>
    <w:rsid w:val="009F786E"/>
    <w:rsid w:val="00A00680"/>
    <w:rsid w:val="00A00902"/>
    <w:rsid w:val="00A0098B"/>
    <w:rsid w:val="00A0191A"/>
    <w:rsid w:val="00A0223F"/>
    <w:rsid w:val="00A0294E"/>
    <w:rsid w:val="00A039FF"/>
    <w:rsid w:val="00A04524"/>
    <w:rsid w:val="00A05ACE"/>
    <w:rsid w:val="00A05EAF"/>
    <w:rsid w:val="00A076E9"/>
    <w:rsid w:val="00A114B9"/>
    <w:rsid w:val="00A1158C"/>
    <w:rsid w:val="00A12107"/>
    <w:rsid w:val="00A13A65"/>
    <w:rsid w:val="00A14589"/>
    <w:rsid w:val="00A14AE3"/>
    <w:rsid w:val="00A15FEA"/>
    <w:rsid w:val="00A16675"/>
    <w:rsid w:val="00A17957"/>
    <w:rsid w:val="00A20404"/>
    <w:rsid w:val="00A20DFB"/>
    <w:rsid w:val="00A21955"/>
    <w:rsid w:val="00A22283"/>
    <w:rsid w:val="00A225D8"/>
    <w:rsid w:val="00A22CD6"/>
    <w:rsid w:val="00A234EC"/>
    <w:rsid w:val="00A24128"/>
    <w:rsid w:val="00A2417A"/>
    <w:rsid w:val="00A25642"/>
    <w:rsid w:val="00A2631B"/>
    <w:rsid w:val="00A26668"/>
    <w:rsid w:val="00A2681F"/>
    <w:rsid w:val="00A27804"/>
    <w:rsid w:val="00A27EED"/>
    <w:rsid w:val="00A3276D"/>
    <w:rsid w:val="00A3283D"/>
    <w:rsid w:val="00A334D1"/>
    <w:rsid w:val="00A34257"/>
    <w:rsid w:val="00A3655D"/>
    <w:rsid w:val="00A3663D"/>
    <w:rsid w:val="00A36822"/>
    <w:rsid w:val="00A36AB5"/>
    <w:rsid w:val="00A37170"/>
    <w:rsid w:val="00A374FD"/>
    <w:rsid w:val="00A3754B"/>
    <w:rsid w:val="00A378AC"/>
    <w:rsid w:val="00A402DD"/>
    <w:rsid w:val="00A4069E"/>
    <w:rsid w:val="00A40BBF"/>
    <w:rsid w:val="00A411D1"/>
    <w:rsid w:val="00A41A09"/>
    <w:rsid w:val="00A42E88"/>
    <w:rsid w:val="00A43389"/>
    <w:rsid w:val="00A434A7"/>
    <w:rsid w:val="00A43E71"/>
    <w:rsid w:val="00A44C11"/>
    <w:rsid w:val="00A4526F"/>
    <w:rsid w:val="00A45753"/>
    <w:rsid w:val="00A457B8"/>
    <w:rsid w:val="00A47B15"/>
    <w:rsid w:val="00A500C1"/>
    <w:rsid w:val="00A5094A"/>
    <w:rsid w:val="00A5103D"/>
    <w:rsid w:val="00A51708"/>
    <w:rsid w:val="00A52F84"/>
    <w:rsid w:val="00A533CC"/>
    <w:rsid w:val="00A54284"/>
    <w:rsid w:val="00A5465A"/>
    <w:rsid w:val="00A54FB5"/>
    <w:rsid w:val="00A560F7"/>
    <w:rsid w:val="00A56B05"/>
    <w:rsid w:val="00A56C06"/>
    <w:rsid w:val="00A56E50"/>
    <w:rsid w:val="00A5726C"/>
    <w:rsid w:val="00A57672"/>
    <w:rsid w:val="00A57678"/>
    <w:rsid w:val="00A57972"/>
    <w:rsid w:val="00A57982"/>
    <w:rsid w:val="00A579F5"/>
    <w:rsid w:val="00A57F83"/>
    <w:rsid w:val="00A60E2F"/>
    <w:rsid w:val="00A627AD"/>
    <w:rsid w:val="00A6320B"/>
    <w:rsid w:val="00A63246"/>
    <w:rsid w:val="00A63284"/>
    <w:rsid w:val="00A63458"/>
    <w:rsid w:val="00A6372D"/>
    <w:rsid w:val="00A6401C"/>
    <w:rsid w:val="00A64CB8"/>
    <w:rsid w:val="00A66065"/>
    <w:rsid w:val="00A66291"/>
    <w:rsid w:val="00A66BDE"/>
    <w:rsid w:val="00A66C69"/>
    <w:rsid w:val="00A67018"/>
    <w:rsid w:val="00A671D2"/>
    <w:rsid w:val="00A67289"/>
    <w:rsid w:val="00A672F3"/>
    <w:rsid w:val="00A673DC"/>
    <w:rsid w:val="00A67F9C"/>
    <w:rsid w:val="00A7076E"/>
    <w:rsid w:val="00A709BE"/>
    <w:rsid w:val="00A70D85"/>
    <w:rsid w:val="00A7162E"/>
    <w:rsid w:val="00A7179D"/>
    <w:rsid w:val="00A72D71"/>
    <w:rsid w:val="00A72EF3"/>
    <w:rsid w:val="00A73112"/>
    <w:rsid w:val="00A73617"/>
    <w:rsid w:val="00A747D2"/>
    <w:rsid w:val="00A75123"/>
    <w:rsid w:val="00A75705"/>
    <w:rsid w:val="00A75F35"/>
    <w:rsid w:val="00A765A9"/>
    <w:rsid w:val="00A765BC"/>
    <w:rsid w:val="00A76E17"/>
    <w:rsid w:val="00A77B30"/>
    <w:rsid w:val="00A77C51"/>
    <w:rsid w:val="00A77C69"/>
    <w:rsid w:val="00A8063F"/>
    <w:rsid w:val="00A812B1"/>
    <w:rsid w:val="00A81E7C"/>
    <w:rsid w:val="00A82AB9"/>
    <w:rsid w:val="00A82C61"/>
    <w:rsid w:val="00A8301B"/>
    <w:rsid w:val="00A83049"/>
    <w:rsid w:val="00A8368D"/>
    <w:rsid w:val="00A83945"/>
    <w:rsid w:val="00A83953"/>
    <w:rsid w:val="00A83CD7"/>
    <w:rsid w:val="00A8400B"/>
    <w:rsid w:val="00A8416A"/>
    <w:rsid w:val="00A846DA"/>
    <w:rsid w:val="00A84956"/>
    <w:rsid w:val="00A853D8"/>
    <w:rsid w:val="00A85BBE"/>
    <w:rsid w:val="00A8661E"/>
    <w:rsid w:val="00A8695A"/>
    <w:rsid w:val="00A86ACF"/>
    <w:rsid w:val="00A8708E"/>
    <w:rsid w:val="00A903B6"/>
    <w:rsid w:val="00A9054B"/>
    <w:rsid w:val="00A90F4F"/>
    <w:rsid w:val="00A92579"/>
    <w:rsid w:val="00A936F9"/>
    <w:rsid w:val="00A9384E"/>
    <w:rsid w:val="00A943D0"/>
    <w:rsid w:val="00A947AA"/>
    <w:rsid w:val="00A94888"/>
    <w:rsid w:val="00A9681C"/>
    <w:rsid w:val="00A96867"/>
    <w:rsid w:val="00A96B3D"/>
    <w:rsid w:val="00A97873"/>
    <w:rsid w:val="00A978B4"/>
    <w:rsid w:val="00AA0214"/>
    <w:rsid w:val="00AA16A6"/>
    <w:rsid w:val="00AA18AB"/>
    <w:rsid w:val="00AA1B53"/>
    <w:rsid w:val="00AA1DEA"/>
    <w:rsid w:val="00AA256D"/>
    <w:rsid w:val="00AA2737"/>
    <w:rsid w:val="00AA2B76"/>
    <w:rsid w:val="00AA311D"/>
    <w:rsid w:val="00AA3556"/>
    <w:rsid w:val="00AA35FD"/>
    <w:rsid w:val="00AA3DB7"/>
    <w:rsid w:val="00AA41D3"/>
    <w:rsid w:val="00AA54E3"/>
    <w:rsid w:val="00AA5B93"/>
    <w:rsid w:val="00AB0039"/>
    <w:rsid w:val="00AB067C"/>
    <w:rsid w:val="00AB0828"/>
    <w:rsid w:val="00AB0D96"/>
    <w:rsid w:val="00AB15A3"/>
    <w:rsid w:val="00AB177A"/>
    <w:rsid w:val="00AB216D"/>
    <w:rsid w:val="00AB3012"/>
    <w:rsid w:val="00AB311F"/>
    <w:rsid w:val="00AB321C"/>
    <w:rsid w:val="00AB37D2"/>
    <w:rsid w:val="00AB3A48"/>
    <w:rsid w:val="00AB473F"/>
    <w:rsid w:val="00AB4C91"/>
    <w:rsid w:val="00AB4E3B"/>
    <w:rsid w:val="00AB5381"/>
    <w:rsid w:val="00AB54C1"/>
    <w:rsid w:val="00AB688F"/>
    <w:rsid w:val="00AB75EA"/>
    <w:rsid w:val="00AB7AA2"/>
    <w:rsid w:val="00AC0A22"/>
    <w:rsid w:val="00AC1249"/>
    <w:rsid w:val="00AC1515"/>
    <w:rsid w:val="00AC2234"/>
    <w:rsid w:val="00AC22D8"/>
    <w:rsid w:val="00AC34AE"/>
    <w:rsid w:val="00AC3FF3"/>
    <w:rsid w:val="00AC4BC1"/>
    <w:rsid w:val="00AC5715"/>
    <w:rsid w:val="00AD04BD"/>
    <w:rsid w:val="00AD0765"/>
    <w:rsid w:val="00AD0F00"/>
    <w:rsid w:val="00AD16A3"/>
    <w:rsid w:val="00AD1D73"/>
    <w:rsid w:val="00AD3C7F"/>
    <w:rsid w:val="00AD55A8"/>
    <w:rsid w:val="00AD58D5"/>
    <w:rsid w:val="00AD5CA4"/>
    <w:rsid w:val="00AD6A91"/>
    <w:rsid w:val="00AD7214"/>
    <w:rsid w:val="00AE04DB"/>
    <w:rsid w:val="00AE1066"/>
    <w:rsid w:val="00AE14DD"/>
    <w:rsid w:val="00AE2FA5"/>
    <w:rsid w:val="00AE3486"/>
    <w:rsid w:val="00AE3A4F"/>
    <w:rsid w:val="00AE4513"/>
    <w:rsid w:val="00AE4518"/>
    <w:rsid w:val="00AE5D7F"/>
    <w:rsid w:val="00AE79F0"/>
    <w:rsid w:val="00AF05D4"/>
    <w:rsid w:val="00AF07B0"/>
    <w:rsid w:val="00AF109C"/>
    <w:rsid w:val="00AF1701"/>
    <w:rsid w:val="00AF1752"/>
    <w:rsid w:val="00AF31CF"/>
    <w:rsid w:val="00AF42FC"/>
    <w:rsid w:val="00AF4AC5"/>
    <w:rsid w:val="00AF4C2C"/>
    <w:rsid w:val="00AF597D"/>
    <w:rsid w:val="00AF6EC1"/>
    <w:rsid w:val="00AF784D"/>
    <w:rsid w:val="00AF78DD"/>
    <w:rsid w:val="00AF7BCD"/>
    <w:rsid w:val="00AF7CE9"/>
    <w:rsid w:val="00B00331"/>
    <w:rsid w:val="00B0062E"/>
    <w:rsid w:val="00B0117E"/>
    <w:rsid w:val="00B014A1"/>
    <w:rsid w:val="00B01A80"/>
    <w:rsid w:val="00B046AF"/>
    <w:rsid w:val="00B05374"/>
    <w:rsid w:val="00B06036"/>
    <w:rsid w:val="00B061F1"/>
    <w:rsid w:val="00B06615"/>
    <w:rsid w:val="00B07C27"/>
    <w:rsid w:val="00B07FB2"/>
    <w:rsid w:val="00B10017"/>
    <w:rsid w:val="00B1004A"/>
    <w:rsid w:val="00B101CE"/>
    <w:rsid w:val="00B10531"/>
    <w:rsid w:val="00B10C40"/>
    <w:rsid w:val="00B10DE1"/>
    <w:rsid w:val="00B10FF8"/>
    <w:rsid w:val="00B11E02"/>
    <w:rsid w:val="00B12F0D"/>
    <w:rsid w:val="00B12FCF"/>
    <w:rsid w:val="00B13A85"/>
    <w:rsid w:val="00B13BC7"/>
    <w:rsid w:val="00B13CD4"/>
    <w:rsid w:val="00B153D8"/>
    <w:rsid w:val="00B154DE"/>
    <w:rsid w:val="00B157AB"/>
    <w:rsid w:val="00B15814"/>
    <w:rsid w:val="00B17B14"/>
    <w:rsid w:val="00B203C4"/>
    <w:rsid w:val="00B20863"/>
    <w:rsid w:val="00B20BEC"/>
    <w:rsid w:val="00B20CDD"/>
    <w:rsid w:val="00B22683"/>
    <w:rsid w:val="00B22BC9"/>
    <w:rsid w:val="00B22E81"/>
    <w:rsid w:val="00B232FE"/>
    <w:rsid w:val="00B23423"/>
    <w:rsid w:val="00B23996"/>
    <w:rsid w:val="00B23A8A"/>
    <w:rsid w:val="00B23CB2"/>
    <w:rsid w:val="00B23FA6"/>
    <w:rsid w:val="00B240CC"/>
    <w:rsid w:val="00B24E14"/>
    <w:rsid w:val="00B2561A"/>
    <w:rsid w:val="00B256C1"/>
    <w:rsid w:val="00B25A64"/>
    <w:rsid w:val="00B25B94"/>
    <w:rsid w:val="00B271F2"/>
    <w:rsid w:val="00B30B9E"/>
    <w:rsid w:val="00B31884"/>
    <w:rsid w:val="00B31D19"/>
    <w:rsid w:val="00B32AB3"/>
    <w:rsid w:val="00B32DAE"/>
    <w:rsid w:val="00B33825"/>
    <w:rsid w:val="00B34BB2"/>
    <w:rsid w:val="00B34E7C"/>
    <w:rsid w:val="00B35AF6"/>
    <w:rsid w:val="00B36228"/>
    <w:rsid w:val="00B366A3"/>
    <w:rsid w:val="00B368EA"/>
    <w:rsid w:val="00B37EEF"/>
    <w:rsid w:val="00B418AD"/>
    <w:rsid w:val="00B41E3D"/>
    <w:rsid w:val="00B42F1A"/>
    <w:rsid w:val="00B43790"/>
    <w:rsid w:val="00B43829"/>
    <w:rsid w:val="00B443D9"/>
    <w:rsid w:val="00B44531"/>
    <w:rsid w:val="00B4640F"/>
    <w:rsid w:val="00B46521"/>
    <w:rsid w:val="00B46587"/>
    <w:rsid w:val="00B47AD2"/>
    <w:rsid w:val="00B47CF7"/>
    <w:rsid w:val="00B502B0"/>
    <w:rsid w:val="00B50408"/>
    <w:rsid w:val="00B50686"/>
    <w:rsid w:val="00B50C50"/>
    <w:rsid w:val="00B513C0"/>
    <w:rsid w:val="00B535AF"/>
    <w:rsid w:val="00B53708"/>
    <w:rsid w:val="00B53DCB"/>
    <w:rsid w:val="00B5428F"/>
    <w:rsid w:val="00B54370"/>
    <w:rsid w:val="00B54460"/>
    <w:rsid w:val="00B54C9B"/>
    <w:rsid w:val="00B54DEA"/>
    <w:rsid w:val="00B55185"/>
    <w:rsid w:val="00B55C03"/>
    <w:rsid w:val="00B55F0B"/>
    <w:rsid w:val="00B56670"/>
    <w:rsid w:val="00B56A70"/>
    <w:rsid w:val="00B60638"/>
    <w:rsid w:val="00B606F8"/>
    <w:rsid w:val="00B61923"/>
    <w:rsid w:val="00B621D6"/>
    <w:rsid w:val="00B63AF2"/>
    <w:rsid w:val="00B64054"/>
    <w:rsid w:val="00B65747"/>
    <w:rsid w:val="00B65D6F"/>
    <w:rsid w:val="00B65FAD"/>
    <w:rsid w:val="00B66174"/>
    <w:rsid w:val="00B67021"/>
    <w:rsid w:val="00B673C9"/>
    <w:rsid w:val="00B67B37"/>
    <w:rsid w:val="00B67C23"/>
    <w:rsid w:val="00B7079B"/>
    <w:rsid w:val="00B70DC7"/>
    <w:rsid w:val="00B721A4"/>
    <w:rsid w:val="00B72B5B"/>
    <w:rsid w:val="00B72EFF"/>
    <w:rsid w:val="00B73832"/>
    <w:rsid w:val="00B73B26"/>
    <w:rsid w:val="00B73CA9"/>
    <w:rsid w:val="00B750C2"/>
    <w:rsid w:val="00B756CB"/>
    <w:rsid w:val="00B75735"/>
    <w:rsid w:val="00B77142"/>
    <w:rsid w:val="00B80879"/>
    <w:rsid w:val="00B80A2C"/>
    <w:rsid w:val="00B80D3B"/>
    <w:rsid w:val="00B8135C"/>
    <w:rsid w:val="00B814BB"/>
    <w:rsid w:val="00B81730"/>
    <w:rsid w:val="00B81C0E"/>
    <w:rsid w:val="00B81F60"/>
    <w:rsid w:val="00B82123"/>
    <w:rsid w:val="00B823D4"/>
    <w:rsid w:val="00B8314A"/>
    <w:rsid w:val="00B83E61"/>
    <w:rsid w:val="00B841AC"/>
    <w:rsid w:val="00B85869"/>
    <w:rsid w:val="00B85873"/>
    <w:rsid w:val="00B85E95"/>
    <w:rsid w:val="00B865B0"/>
    <w:rsid w:val="00B865DC"/>
    <w:rsid w:val="00B870E8"/>
    <w:rsid w:val="00B875E3"/>
    <w:rsid w:val="00B87C29"/>
    <w:rsid w:val="00B90780"/>
    <w:rsid w:val="00B90968"/>
    <w:rsid w:val="00B90BC6"/>
    <w:rsid w:val="00B91BC2"/>
    <w:rsid w:val="00B9240D"/>
    <w:rsid w:val="00B9358B"/>
    <w:rsid w:val="00B94960"/>
    <w:rsid w:val="00B94AF7"/>
    <w:rsid w:val="00B96F6E"/>
    <w:rsid w:val="00BA0185"/>
    <w:rsid w:val="00BA22A8"/>
    <w:rsid w:val="00BA309F"/>
    <w:rsid w:val="00BA3E48"/>
    <w:rsid w:val="00BA4905"/>
    <w:rsid w:val="00BA4BD3"/>
    <w:rsid w:val="00BA535D"/>
    <w:rsid w:val="00BA6E49"/>
    <w:rsid w:val="00BB0187"/>
    <w:rsid w:val="00BB06E7"/>
    <w:rsid w:val="00BB0E56"/>
    <w:rsid w:val="00BB1EB3"/>
    <w:rsid w:val="00BB2147"/>
    <w:rsid w:val="00BB2678"/>
    <w:rsid w:val="00BB3077"/>
    <w:rsid w:val="00BB33A8"/>
    <w:rsid w:val="00BB3927"/>
    <w:rsid w:val="00BB3D8C"/>
    <w:rsid w:val="00BB4B39"/>
    <w:rsid w:val="00BB53AF"/>
    <w:rsid w:val="00BB5883"/>
    <w:rsid w:val="00BB5C26"/>
    <w:rsid w:val="00BB6A40"/>
    <w:rsid w:val="00BC013A"/>
    <w:rsid w:val="00BC162A"/>
    <w:rsid w:val="00BC2060"/>
    <w:rsid w:val="00BC2343"/>
    <w:rsid w:val="00BC5824"/>
    <w:rsid w:val="00BC584D"/>
    <w:rsid w:val="00BC5CD5"/>
    <w:rsid w:val="00BC702F"/>
    <w:rsid w:val="00BD0ECF"/>
    <w:rsid w:val="00BD1BD7"/>
    <w:rsid w:val="00BD30C8"/>
    <w:rsid w:val="00BD38F4"/>
    <w:rsid w:val="00BD3EB4"/>
    <w:rsid w:val="00BD4C5B"/>
    <w:rsid w:val="00BD50EA"/>
    <w:rsid w:val="00BD5359"/>
    <w:rsid w:val="00BD54DB"/>
    <w:rsid w:val="00BD5C65"/>
    <w:rsid w:val="00BD7BCC"/>
    <w:rsid w:val="00BE0717"/>
    <w:rsid w:val="00BE16E9"/>
    <w:rsid w:val="00BE2730"/>
    <w:rsid w:val="00BE280A"/>
    <w:rsid w:val="00BE2A17"/>
    <w:rsid w:val="00BE31BE"/>
    <w:rsid w:val="00BE3A1D"/>
    <w:rsid w:val="00BE3B33"/>
    <w:rsid w:val="00BE3B92"/>
    <w:rsid w:val="00BE41BF"/>
    <w:rsid w:val="00BE487E"/>
    <w:rsid w:val="00BE4E5D"/>
    <w:rsid w:val="00BE6018"/>
    <w:rsid w:val="00BE7086"/>
    <w:rsid w:val="00BE7278"/>
    <w:rsid w:val="00BE7735"/>
    <w:rsid w:val="00BF1F57"/>
    <w:rsid w:val="00BF20FD"/>
    <w:rsid w:val="00BF2239"/>
    <w:rsid w:val="00BF22C6"/>
    <w:rsid w:val="00BF34C2"/>
    <w:rsid w:val="00BF3804"/>
    <w:rsid w:val="00BF3B4E"/>
    <w:rsid w:val="00BF4040"/>
    <w:rsid w:val="00BF4086"/>
    <w:rsid w:val="00BF426C"/>
    <w:rsid w:val="00BF4594"/>
    <w:rsid w:val="00BF4BF3"/>
    <w:rsid w:val="00BF5370"/>
    <w:rsid w:val="00BF577F"/>
    <w:rsid w:val="00BF58D0"/>
    <w:rsid w:val="00BF6027"/>
    <w:rsid w:val="00BF6702"/>
    <w:rsid w:val="00BF6D7A"/>
    <w:rsid w:val="00BF7853"/>
    <w:rsid w:val="00BF787C"/>
    <w:rsid w:val="00BF7952"/>
    <w:rsid w:val="00BF7D0C"/>
    <w:rsid w:val="00BF7D6A"/>
    <w:rsid w:val="00C0021D"/>
    <w:rsid w:val="00C00300"/>
    <w:rsid w:val="00C00A6C"/>
    <w:rsid w:val="00C00B19"/>
    <w:rsid w:val="00C00B8B"/>
    <w:rsid w:val="00C013E1"/>
    <w:rsid w:val="00C01611"/>
    <w:rsid w:val="00C016E9"/>
    <w:rsid w:val="00C02BDB"/>
    <w:rsid w:val="00C02D59"/>
    <w:rsid w:val="00C02FE3"/>
    <w:rsid w:val="00C030B6"/>
    <w:rsid w:val="00C03284"/>
    <w:rsid w:val="00C03B3A"/>
    <w:rsid w:val="00C03CD4"/>
    <w:rsid w:val="00C04694"/>
    <w:rsid w:val="00C050C4"/>
    <w:rsid w:val="00C050D7"/>
    <w:rsid w:val="00C05AAA"/>
    <w:rsid w:val="00C05B5F"/>
    <w:rsid w:val="00C06125"/>
    <w:rsid w:val="00C065C2"/>
    <w:rsid w:val="00C0703A"/>
    <w:rsid w:val="00C10086"/>
    <w:rsid w:val="00C104CC"/>
    <w:rsid w:val="00C106B3"/>
    <w:rsid w:val="00C11521"/>
    <w:rsid w:val="00C13912"/>
    <w:rsid w:val="00C14156"/>
    <w:rsid w:val="00C142AD"/>
    <w:rsid w:val="00C142C1"/>
    <w:rsid w:val="00C14A30"/>
    <w:rsid w:val="00C152FE"/>
    <w:rsid w:val="00C15D1B"/>
    <w:rsid w:val="00C16013"/>
    <w:rsid w:val="00C16739"/>
    <w:rsid w:val="00C168DD"/>
    <w:rsid w:val="00C172F3"/>
    <w:rsid w:val="00C176CC"/>
    <w:rsid w:val="00C21031"/>
    <w:rsid w:val="00C221B9"/>
    <w:rsid w:val="00C225EA"/>
    <w:rsid w:val="00C22CCE"/>
    <w:rsid w:val="00C23035"/>
    <w:rsid w:val="00C232BC"/>
    <w:rsid w:val="00C234F0"/>
    <w:rsid w:val="00C23BA2"/>
    <w:rsid w:val="00C23BEA"/>
    <w:rsid w:val="00C2485F"/>
    <w:rsid w:val="00C248B1"/>
    <w:rsid w:val="00C24B63"/>
    <w:rsid w:val="00C2542B"/>
    <w:rsid w:val="00C25C1B"/>
    <w:rsid w:val="00C262A0"/>
    <w:rsid w:val="00C26A4E"/>
    <w:rsid w:val="00C2755C"/>
    <w:rsid w:val="00C27E4C"/>
    <w:rsid w:val="00C303F3"/>
    <w:rsid w:val="00C31195"/>
    <w:rsid w:val="00C31774"/>
    <w:rsid w:val="00C3180E"/>
    <w:rsid w:val="00C32AF2"/>
    <w:rsid w:val="00C33051"/>
    <w:rsid w:val="00C33204"/>
    <w:rsid w:val="00C338EB"/>
    <w:rsid w:val="00C33F75"/>
    <w:rsid w:val="00C34389"/>
    <w:rsid w:val="00C3465D"/>
    <w:rsid w:val="00C347D5"/>
    <w:rsid w:val="00C371C9"/>
    <w:rsid w:val="00C379E9"/>
    <w:rsid w:val="00C379FD"/>
    <w:rsid w:val="00C37A8A"/>
    <w:rsid w:val="00C403CD"/>
    <w:rsid w:val="00C411C4"/>
    <w:rsid w:val="00C42041"/>
    <w:rsid w:val="00C434C4"/>
    <w:rsid w:val="00C43934"/>
    <w:rsid w:val="00C439FB"/>
    <w:rsid w:val="00C43AA8"/>
    <w:rsid w:val="00C43F23"/>
    <w:rsid w:val="00C441A4"/>
    <w:rsid w:val="00C444F3"/>
    <w:rsid w:val="00C463C9"/>
    <w:rsid w:val="00C466CF"/>
    <w:rsid w:val="00C47648"/>
    <w:rsid w:val="00C47852"/>
    <w:rsid w:val="00C50011"/>
    <w:rsid w:val="00C510DB"/>
    <w:rsid w:val="00C51C77"/>
    <w:rsid w:val="00C5220D"/>
    <w:rsid w:val="00C5254B"/>
    <w:rsid w:val="00C526A2"/>
    <w:rsid w:val="00C54F7F"/>
    <w:rsid w:val="00C55D39"/>
    <w:rsid w:val="00C55FBF"/>
    <w:rsid w:val="00C5718C"/>
    <w:rsid w:val="00C57E68"/>
    <w:rsid w:val="00C601C9"/>
    <w:rsid w:val="00C6200C"/>
    <w:rsid w:val="00C6212F"/>
    <w:rsid w:val="00C623C6"/>
    <w:rsid w:val="00C62AB0"/>
    <w:rsid w:val="00C62F35"/>
    <w:rsid w:val="00C631D3"/>
    <w:rsid w:val="00C645E6"/>
    <w:rsid w:val="00C6464F"/>
    <w:rsid w:val="00C64813"/>
    <w:rsid w:val="00C64D82"/>
    <w:rsid w:val="00C64FBC"/>
    <w:rsid w:val="00C657A6"/>
    <w:rsid w:val="00C65A83"/>
    <w:rsid w:val="00C66A00"/>
    <w:rsid w:val="00C66CBE"/>
    <w:rsid w:val="00C67118"/>
    <w:rsid w:val="00C67276"/>
    <w:rsid w:val="00C67760"/>
    <w:rsid w:val="00C67DDD"/>
    <w:rsid w:val="00C70139"/>
    <w:rsid w:val="00C70A09"/>
    <w:rsid w:val="00C7191D"/>
    <w:rsid w:val="00C72C6F"/>
    <w:rsid w:val="00C73183"/>
    <w:rsid w:val="00C7350B"/>
    <w:rsid w:val="00C73F2D"/>
    <w:rsid w:val="00C74453"/>
    <w:rsid w:val="00C7473A"/>
    <w:rsid w:val="00C75AB0"/>
    <w:rsid w:val="00C7606F"/>
    <w:rsid w:val="00C76166"/>
    <w:rsid w:val="00C76B7B"/>
    <w:rsid w:val="00C76BBD"/>
    <w:rsid w:val="00C76DE2"/>
    <w:rsid w:val="00C772BA"/>
    <w:rsid w:val="00C802D1"/>
    <w:rsid w:val="00C8036C"/>
    <w:rsid w:val="00C80CD8"/>
    <w:rsid w:val="00C80F23"/>
    <w:rsid w:val="00C81151"/>
    <w:rsid w:val="00C82255"/>
    <w:rsid w:val="00C82CC6"/>
    <w:rsid w:val="00C839CB"/>
    <w:rsid w:val="00C840DF"/>
    <w:rsid w:val="00C84593"/>
    <w:rsid w:val="00C850A3"/>
    <w:rsid w:val="00C85C32"/>
    <w:rsid w:val="00C85F45"/>
    <w:rsid w:val="00C86C8C"/>
    <w:rsid w:val="00C87568"/>
    <w:rsid w:val="00C87CA8"/>
    <w:rsid w:val="00C87FD0"/>
    <w:rsid w:val="00C90628"/>
    <w:rsid w:val="00C90DB6"/>
    <w:rsid w:val="00C915A6"/>
    <w:rsid w:val="00C92603"/>
    <w:rsid w:val="00C92652"/>
    <w:rsid w:val="00C9394F"/>
    <w:rsid w:val="00C93B1A"/>
    <w:rsid w:val="00C9444E"/>
    <w:rsid w:val="00C96F5F"/>
    <w:rsid w:val="00C97055"/>
    <w:rsid w:val="00CA194C"/>
    <w:rsid w:val="00CA2596"/>
    <w:rsid w:val="00CA2670"/>
    <w:rsid w:val="00CA2B4F"/>
    <w:rsid w:val="00CA30C3"/>
    <w:rsid w:val="00CA5927"/>
    <w:rsid w:val="00CA635E"/>
    <w:rsid w:val="00CA6BB0"/>
    <w:rsid w:val="00CA70CE"/>
    <w:rsid w:val="00CA74B3"/>
    <w:rsid w:val="00CA79EC"/>
    <w:rsid w:val="00CB002C"/>
    <w:rsid w:val="00CB1E4B"/>
    <w:rsid w:val="00CB24BA"/>
    <w:rsid w:val="00CB259F"/>
    <w:rsid w:val="00CB39C2"/>
    <w:rsid w:val="00CB3E38"/>
    <w:rsid w:val="00CB4C8C"/>
    <w:rsid w:val="00CB4E90"/>
    <w:rsid w:val="00CB5850"/>
    <w:rsid w:val="00CB5C99"/>
    <w:rsid w:val="00CB5DBA"/>
    <w:rsid w:val="00CB633B"/>
    <w:rsid w:val="00CB6782"/>
    <w:rsid w:val="00CB6E3E"/>
    <w:rsid w:val="00CC080A"/>
    <w:rsid w:val="00CC0D0F"/>
    <w:rsid w:val="00CC1275"/>
    <w:rsid w:val="00CC12EE"/>
    <w:rsid w:val="00CC3341"/>
    <w:rsid w:val="00CC3767"/>
    <w:rsid w:val="00CC5767"/>
    <w:rsid w:val="00CC5D2F"/>
    <w:rsid w:val="00CC68CC"/>
    <w:rsid w:val="00CC701E"/>
    <w:rsid w:val="00CC7735"/>
    <w:rsid w:val="00CD0310"/>
    <w:rsid w:val="00CD2E48"/>
    <w:rsid w:val="00CD4491"/>
    <w:rsid w:val="00CD4826"/>
    <w:rsid w:val="00CD4E19"/>
    <w:rsid w:val="00CD6219"/>
    <w:rsid w:val="00CD700F"/>
    <w:rsid w:val="00CD7319"/>
    <w:rsid w:val="00CE027B"/>
    <w:rsid w:val="00CE148E"/>
    <w:rsid w:val="00CE208D"/>
    <w:rsid w:val="00CE2453"/>
    <w:rsid w:val="00CE28F0"/>
    <w:rsid w:val="00CE356D"/>
    <w:rsid w:val="00CE3FA4"/>
    <w:rsid w:val="00CE44F8"/>
    <w:rsid w:val="00CE4942"/>
    <w:rsid w:val="00CE5277"/>
    <w:rsid w:val="00CE57E9"/>
    <w:rsid w:val="00CE5B4D"/>
    <w:rsid w:val="00CE614C"/>
    <w:rsid w:val="00CE6358"/>
    <w:rsid w:val="00CE6686"/>
    <w:rsid w:val="00CE6E97"/>
    <w:rsid w:val="00CE7868"/>
    <w:rsid w:val="00CE796C"/>
    <w:rsid w:val="00CF1B70"/>
    <w:rsid w:val="00CF1DD1"/>
    <w:rsid w:val="00CF2161"/>
    <w:rsid w:val="00CF2307"/>
    <w:rsid w:val="00CF26AE"/>
    <w:rsid w:val="00CF2D54"/>
    <w:rsid w:val="00CF311F"/>
    <w:rsid w:val="00CF5047"/>
    <w:rsid w:val="00CF6911"/>
    <w:rsid w:val="00D000DA"/>
    <w:rsid w:val="00D002E7"/>
    <w:rsid w:val="00D01344"/>
    <w:rsid w:val="00D01B90"/>
    <w:rsid w:val="00D024CD"/>
    <w:rsid w:val="00D034DA"/>
    <w:rsid w:val="00D03538"/>
    <w:rsid w:val="00D03790"/>
    <w:rsid w:val="00D0421D"/>
    <w:rsid w:val="00D046FD"/>
    <w:rsid w:val="00D047F7"/>
    <w:rsid w:val="00D049B8"/>
    <w:rsid w:val="00D04C8A"/>
    <w:rsid w:val="00D0516C"/>
    <w:rsid w:val="00D05B56"/>
    <w:rsid w:val="00D05C2F"/>
    <w:rsid w:val="00D05EE7"/>
    <w:rsid w:val="00D068D0"/>
    <w:rsid w:val="00D06FE0"/>
    <w:rsid w:val="00D07211"/>
    <w:rsid w:val="00D07307"/>
    <w:rsid w:val="00D076A9"/>
    <w:rsid w:val="00D07754"/>
    <w:rsid w:val="00D078D1"/>
    <w:rsid w:val="00D1113D"/>
    <w:rsid w:val="00D1293B"/>
    <w:rsid w:val="00D129A8"/>
    <w:rsid w:val="00D12FB9"/>
    <w:rsid w:val="00D135F2"/>
    <w:rsid w:val="00D13D00"/>
    <w:rsid w:val="00D147C0"/>
    <w:rsid w:val="00D15696"/>
    <w:rsid w:val="00D15C51"/>
    <w:rsid w:val="00D16C68"/>
    <w:rsid w:val="00D200BD"/>
    <w:rsid w:val="00D201AA"/>
    <w:rsid w:val="00D204A7"/>
    <w:rsid w:val="00D20AA5"/>
    <w:rsid w:val="00D22399"/>
    <w:rsid w:val="00D22E67"/>
    <w:rsid w:val="00D2559A"/>
    <w:rsid w:val="00D2662C"/>
    <w:rsid w:val="00D27FA3"/>
    <w:rsid w:val="00D308D7"/>
    <w:rsid w:val="00D3176C"/>
    <w:rsid w:val="00D31B3F"/>
    <w:rsid w:val="00D33751"/>
    <w:rsid w:val="00D34738"/>
    <w:rsid w:val="00D3486B"/>
    <w:rsid w:val="00D34C2B"/>
    <w:rsid w:val="00D35947"/>
    <w:rsid w:val="00D35D4A"/>
    <w:rsid w:val="00D36F6E"/>
    <w:rsid w:val="00D372B0"/>
    <w:rsid w:val="00D37343"/>
    <w:rsid w:val="00D415F5"/>
    <w:rsid w:val="00D41960"/>
    <w:rsid w:val="00D4205E"/>
    <w:rsid w:val="00D47399"/>
    <w:rsid w:val="00D47475"/>
    <w:rsid w:val="00D478E1"/>
    <w:rsid w:val="00D47BB2"/>
    <w:rsid w:val="00D47D04"/>
    <w:rsid w:val="00D5056A"/>
    <w:rsid w:val="00D508DC"/>
    <w:rsid w:val="00D510A0"/>
    <w:rsid w:val="00D527EE"/>
    <w:rsid w:val="00D529C4"/>
    <w:rsid w:val="00D53929"/>
    <w:rsid w:val="00D539D0"/>
    <w:rsid w:val="00D540DC"/>
    <w:rsid w:val="00D543C0"/>
    <w:rsid w:val="00D55616"/>
    <w:rsid w:val="00D5574C"/>
    <w:rsid w:val="00D55DAC"/>
    <w:rsid w:val="00D6153F"/>
    <w:rsid w:val="00D61982"/>
    <w:rsid w:val="00D61EA9"/>
    <w:rsid w:val="00D61EFF"/>
    <w:rsid w:val="00D62655"/>
    <w:rsid w:val="00D6267A"/>
    <w:rsid w:val="00D62998"/>
    <w:rsid w:val="00D62999"/>
    <w:rsid w:val="00D647DE"/>
    <w:rsid w:val="00D6501F"/>
    <w:rsid w:val="00D65347"/>
    <w:rsid w:val="00D67D12"/>
    <w:rsid w:val="00D705FF"/>
    <w:rsid w:val="00D70B0C"/>
    <w:rsid w:val="00D7145C"/>
    <w:rsid w:val="00D73A88"/>
    <w:rsid w:val="00D744BC"/>
    <w:rsid w:val="00D7489E"/>
    <w:rsid w:val="00D7585A"/>
    <w:rsid w:val="00D77337"/>
    <w:rsid w:val="00D77C53"/>
    <w:rsid w:val="00D77E96"/>
    <w:rsid w:val="00D80618"/>
    <w:rsid w:val="00D807DF"/>
    <w:rsid w:val="00D80862"/>
    <w:rsid w:val="00D82339"/>
    <w:rsid w:val="00D82494"/>
    <w:rsid w:val="00D82FF2"/>
    <w:rsid w:val="00D83774"/>
    <w:rsid w:val="00D83C27"/>
    <w:rsid w:val="00D84A4B"/>
    <w:rsid w:val="00D85686"/>
    <w:rsid w:val="00D877B1"/>
    <w:rsid w:val="00D90A81"/>
    <w:rsid w:val="00D90B7D"/>
    <w:rsid w:val="00D90DCE"/>
    <w:rsid w:val="00D91873"/>
    <w:rsid w:val="00D92168"/>
    <w:rsid w:val="00D9231C"/>
    <w:rsid w:val="00D9264D"/>
    <w:rsid w:val="00D9292C"/>
    <w:rsid w:val="00D92A5E"/>
    <w:rsid w:val="00D935BD"/>
    <w:rsid w:val="00D93F1F"/>
    <w:rsid w:val="00D940B5"/>
    <w:rsid w:val="00D9582D"/>
    <w:rsid w:val="00D95CB0"/>
    <w:rsid w:val="00D9640C"/>
    <w:rsid w:val="00D9654F"/>
    <w:rsid w:val="00D966FE"/>
    <w:rsid w:val="00D97417"/>
    <w:rsid w:val="00D977C0"/>
    <w:rsid w:val="00D97E14"/>
    <w:rsid w:val="00DA00A3"/>
    <w:rsid w:val="00DA13F3"/>
    <w:rsid w:val="00DA199F"/>
    <w:rsid w:val="00DA21E1"/>
    <w:rsid w:val="00DA2DE3"/>
    <w:rsid w:val="00DA3633"/>
    <w:rsid w:val="00DA3B22"/>
    <w:rsid w:val="00DA400B"/>
    <w:rsid w:val="00DA44D6"/>
    <w:rsid w:val="00DA53DE"/>
    <w:rsid w:val="00DA6443"/>
    <w:rsid w:val="00DA64BA"/>
    <w:rsid w:val="00DA6B5E"/>
    <w:rsid w:val="00DA6D55"/>
    <w:rsid w:val="00DA70F5"/>
    <w:rsid w:val="00DA7146"/>
    <w:rsid w:val="00DA716A"/>
    <w:rsid w:val="00DA775D"/>
    <w:rsid w:val="00DA7B82"/>
    <w:rsid w:val="00DB0434"/>
    <w:rsid w:val="00DB1F4F"/>
    <w:rsid w:val="00DB289C"/>
    <w:rsid w:val="00DB2981"/>
    <w:rsid w:val="00DB2B47"/>
    <w:rsid w:val="00DB2CD0"/>
    <w:rsid w:val="00DB347D"/>
    <w:rsid w:val="00DB37EE"/>
    <w:rsid w:val="00DB401F"/>
    <w:rsid w:val="00DB4450"/>
    <w:rsid w:val="00DB4544"/>
    <w:rsid w:val="00DB4EE7"/>
    <w:rsid w:val="00DB521D"/>
    <w:rsid w:val="00DB5971"/>
    <w:rsid w:val="00DB5D51"/>
    <w:rsid w:val="00DB5F53"/>
    <w:rsid w:val="00DB7B69"/>
    <w:rsid w:val="00DC0A2F"/>
    <w:rsid w:val="00DC0DBE"/>
    <w:rsid w:val="00DC0DBF"/>
    <w:rsid w:val="00DC234A"/>
    <w:rsid w:val="00DC2AA0"/>
    <w:rsid w:val="00DC41E4"/>
    <w:rsid w:val="00DC42D9"/>
    <w:rsid w:val="00DC43D0"/>
    <w:rsid w:val="00DC496E"/>
    <w:rsid w:val="00DC5116"/>
    <w:rsid w:val="00DC7C77"/>
    <w:rsid w:val="00DC7FD5"/>
    <w:rsid w:val="00DD02FF"/>
    <w:rsid w:val="00DD24F9"/>
    <w:rsid w:val="00DD26EC"/>
    <w:rsid w:val="00DD2DFB"/>
    <w:rsid w:val="00DD3604"/>
    <w:rsid w:val="00DD39F4"/>
    <w:rsid w:val="00DD3F4D"/>
    <w:rsid w:val="00DD481D"/>
    <w:rsid w:val="00DD5580"/>
    <w:rsid w:val="00DD6F2E"/>
    <w:rsid w:val="00DD72E1"/>
    <w:rsid w:val="00DD7EA2"/>
    <w:rsid w:val="00DD7FA4"/>
    <w:rsid w:val="00DE00F2"/>
    <w:rsid w:val="00DE117F"/>
    <w:rsid w:val="00DE2D17"/>
    <w:rsid w:val="00DE31FD"/>
    <w:rsid w:val="00DE353C"/>
    <w:rsid w:val="00DE401C"/>
    <w:rsid w:val="00DE6E2F"/>
    <w:rsid w:val="00DE6F47"/>
    <w:rsid w:val="00DE7D13"/>
    <w:rsid w:val="00DF1EAE"/>
    <w:rsid w:val="00DF279F"/>
    <w:rsid w:val="00DF2A18"/>
    <w:rsid w:val="00DF3816"/>
    <w:rsid w:val="00DF3818"/>
    <w:rsid w:val="00DF3F94"/>
    <w:rsid w:val="00DF4369"/>
    <w:rsid w:val="00DF49AE"/>
    <w:rsid w:val="00DF5970"/>
    <w:rsid w:val="00DF5B14"/>
    <w:rsid w:val="00DF614E"/>
    <w:rsid w:val="00DF63FA"/>
    <w:rsid w:val="00DF66E2"/>
    <w:rsid w:val="00E001FD"/>
    <w:rsid w:val="00E00A1C"/>
    <w:rsid w:val="00E00D60"/>
    <w:rsid w:val="00E012CC"/>
    <w:rsid w:val="00E0147A"/>
    <w:rsid w:val="00E0220A"/>
    <w:rsid w:val="00E0220E"/>
    <w:rsid w:val="00E02845"/>
    <w:rsid w:val="00E02961"/>
    <w:rsid w:val="00E02A1E"/>
    <w:rsid w:val="00E02B71"/>
    <w:rsid w:val="00E02DEB"/>
    <w:rsid w:val="00E03999"/>
    <w:rsid w:val="00E0399E"/>
    <w:rsid w:val="00E042A1"/>
    <w:rsid w:val="00E056A4"/>
    <w:rsid w:val="00E05CF4"/>
    <w:rsid w:val="00E05E82"/>
    <w:rsid w:val="00E07425"/>
    <w:rsid w:val="00E074BE"/>
    <w:rsid w:val="00E1043E"/>
    <w:rsid w:val="00E104FA"/>
    <w:rsid w:val="00E1082A"/>
    <w:rsid w:val="00E10956"/>
    <w:rsid w:val="00E110B5"/>
    <w:rsid w:val="00E11166"/>
    <w:rsid w:val="00E1223C"/>
    <w:rsid w:val="00E122CE"/>
    <w:rsid w:val="00E12818"/>
    <w:rsid w:val="00E12D39"/>
    <w:rsid w:val="00E13182"/>
    <w:rsid w:val="00E14523"/>
    <w:rsid w:val="00E14972"/>
    <w:rsid w:val="00E14CB9"/>
    <w:rsid w:val="00E151F2"/>
    <w:rsid w:val="00E15383"/>
    <w:rsid w:val="00E15A4E"/>
    <w:rsid w:val="00E15C82"/>
    <w:rsid w:val="00E1738C"/>
    <w:rsid w:val="00E17F48"/>
    <w:rsid w:val="00E201C0"/>
    <w:rsid w:val="00E20951"/>
    <w:rsid w:val="00E20B2A"/>
    <w:rsid w:val="00E20BB0"/>
    <w:rsid w:val="00E21484"/>
    <w:rsid w:val="00E21ABD"/>
    <w:rsid w:val="00E22775"/>
    <w:rsid w:val="00E22D28"/>
    <w:rsid w:val="00E22F81"/>
    <w:rsid w:val="00E22F87"/>
    <w:rsid w:val="00E230E3"/>
    <w:rsid w:val="00E23C97"/>
    <w:rsid w:val="00E24727"/>
    <w:rsid w:val="00E265A7"/>
    <w:rsid w:val="00E26B61"/>
    <w:rsid w:val="00E27B80"/>
    <w:rsid w:val="00E27FCE"/>
    <w:rsid w:val="00E30E85"/>
    <w:rsid w:val="00E30EDF"/>
    <w:rsid w:val="00E31B43"/>
    <w:rsid w:val="00E31FBA"/>
    <w:rsid w:val="00E32E11"/>
    <w:rsid w:val="00E33513"/>
    <w:rsid w:val="00E33A4F"/>
    <w:rsid w:val="00E33F3E"/>
    <w:rsid w:val="00E341E5"/>
    <w:rsid w:val="00E34315"/>
    <w:rsid w:val="00E35D4B"/>
    <w:rsid w:val="00E35FBC"/>
    <w:rsid w:val="00E36AAE"/>
    <w:rsid w:val="00E3707C"/>
    <w:rsid w:val="00E37198"/>
    <w:rsid w:val="00E3774C"/>
    <w:rsid w:val="00E37F7D"/>
    <w:rsid w:val="00E40620"/>
    <w:rsid w:val="00E41313"/>
    <w:rsid w:val="00E41773"/>
    <w:rsid w:val="00E41ACD"/>
    <w:rsid w:val="00E42C09"/>
    <w:rsid w:val="00E42FE6"/>
    <w:rsid w:val="00E44E78"/>
    <w:rsid w:val="00E460B6"/>
    <w:rsid w:val="00E464D9"/>
    <w:rsid w:val="00E46BD2"/>
    <w:rsid w:val="00E473D4"/>
    <w:rsid w:val="00E474CF"/>
    <w:rsid w:val="00E50BE8"/>
    <w:rsid w:val="00E513F6"/>
    <w:rsid w:val="00E51EC6"/>
    <w:rsid w:val="00E52F3B"/>
    <w:rsid w:val="00E52F80"/>
    <w:rsid w:val="00E536E1"/>
    <w:rsid w:val="00E53D94"/>
    <w:rsid w:val="00E53DEA"/>
    <w:rsid w:val="00E53EAF"/>
    <w:rsid w:val="00E5424B"/>
    <w:rsid w:val="00E544BA"/>
    <w:rsid w:val="00E55B64"/>
    <w:rsid w:val="00E60BE8"/>
    <w:rsid w:val="00E6117A"/>
    <w:rsid w:val="00E616DB"/>
    <w:rsid w:val="00E62442"/>
    <w:rsid w:val="00E627A4"/>
    <w:rsid w:val="00E630ED"/>
    <w:rsid w:val="00E63239"/>
    <w:rsid w:val="00E63CFB"/>
    <w:rsid w:val="00E6437C"/>
    <w:rsid w:val="00E64B66"/>
    <w:rsid w:val="00E65237"/>
    <w:rsid w:val="00E67862"/>
    <w:rsid w:val="00E70ACF"/>
    <w:rsid w:val="00E70D46"/>
    <w:rsid w:val="00E712A9"/>
    <w:rsid w:val="00E713BC"/>
    <w:rsid w:val="00E71F31"/>
    <w:rsid w:val="00E7239C"/>
    <w:rsid w:val="00E72444"/>
    <w:rsid w:val="00E73DEB"/>
    <w:rsid w:val="00E7410F"/>
    <w:rsid w:val="00E74EC5"/>
    <w:rsid w:val="00E75790"/>
    <w:rsid w:val="00E75ED1"/>
    <w:rsid w:val="00E76B86"/>
    <w:rsid w:val="00E77D79"/>
    <w:rsid w:val="00E809F3"/>
    <w:rsid w:val="00E80C21"/>
    <w:rsid w:val="00E80D61"/>
    <w:rsid w:val="00E80EFF"/>
    <w:rsid w:val="00E8131A"/>
    <w:rsid w:val="00E8167C"/>
    <w:rsid w:val="00E81CA2"/>
    <w:rsid w:val="00E820BD"/>
    <w:rsid w:val="00E8227B"/>
    <w:rsid w:val="00E826BC"/>
    <w:rsid w:val="00E8342F"/>
    <w:rsid w:val="00E84210"/>
    <w:rsid w:val="00E844CD"/>
    <w:rsid w:val="00E847A7"/>
    <w:rsid w:val="00E84FE5"/>
    <w:rsid w:val="00E86682"/>
    <w:rsid w:val="00E86A35"/>
    <w:rsid w:val="00E86A48"/>
    <w:rsid w:val="00E86E79"/>
    <w:rsid w:val="00E90075"/>
    <w:rsid w:val="00E906B4"/>
    <w:rsid w:val="00E9095B"/>
    <w:rsid w:val="00E9145E"/>
    <w:rsid w:val="00E9152D"/>
    <w:rsid w:val="00E918B3"/>
    <w:rsid w:val="00E91B24"/>
    <w:rsid w:val="00E91DEC"/>
    <w:rsid w:val="00E926B8"/>
    <w:rsid w:val="00E927BF"/>
    <w:rsid w:val="00E936DA"/>
    <w:rsid w:val="00E9399B"/>
    <w:rsid w:val="00E939A7"/>
    <w:rsid w:val="00E94008"/>
    <w:rsid w:val="00E94762"/>
    <w:rsid w:val="00E94B75"/>
    <w:rsid w:val="00E956BA"/>
    <w:rsid w:val="00E959E6"/>
    <w:rsid w:val="00E96B52"/>
    <w:rsid w:val="00E97D31"/>
    <w:rsid w:val="00EA0018"/>
    <w:rsid w:val="00EA08BE"/>
    <w:rsid w:val="00EA0A85"/>
    <w:rsid w:val="00EA14B0"/>
    <w:rsid w:val="00EA2244"/>
    <w:rsid w:val="00EA2417"/>
    <w:rsid w:val="00EA2EC5"/>
    <w:rsid w:val="00EA4DDC"/>
    <w:rsid w:val="00EA6FA7"/>
    <w:rsid w:val="00EB067F"/>
    <w:rsid w:val="00EB07BA"/>
    <w:rsid w:val="00EB17BE"/>
    <w:rsid w:val="00EB18B8"/>
    <w:rsid w:val="00EB1A1B"/>
    <w:rsid w:val="00EB1F02"/>
    <w:rsid w:val="00EB2E64"/>
    <w:rsid w:val="00EB3290"/>
    <w:rsid w:val="00EB3D4B"/>
    <w:rsid w:val="00EB5BC5"/>
    <w:rsid w:val="00EB6097"/>
    <w:rsid w:val="00EB6212"/>
    <w:rsid w:val="00EB6BB5"/>
    <w:rsid w:val="00EB6E30"/>
    <w:rsid w:val="00EB7618"/>
    <w:rsid w:val="00EB7B51"/>
    <w:rsid w:val="00EB7F93"/>
    <w:rsid w:val="00EC086C"/>
    <w:rsid w:val="00EC100B"/>
    <w:rsid w:val="00EC1720"/>
    <w:rsid w:val="00EC2DB7"/>
    <w:rsid w:val="00EC337D"/>
    <w:rsid w:val="00EC42D0"/>
    <w:rsid w:val="00EC4784"/>
    <w:rsid w:val="00EC599D"/>
    <w:rsid w:val="00EC638F"/>
    <w:rsid w:val="00EC6F34"/>
    <w:rsid w:val="00EC7927"/>
    <w:rsid w:val="00ED095E"/>
    <w:rsid w:val="00ED0CB9"/>
    <w:rsid w:val="00ED1319"/>
    <w:rsid w:val="00ED1A0B"/>
    <w:rsid w:val="00ED27DD"/>
    <w:rsid w:val="00ED4046"/>
    <w:rsid w:val="00ED5162"/>
    <w:rsid w:val="00ED53EF"/>
    <w:rsid w:val="00ED5669"/>
    <w:rsid w:val="00ED5DF2"/>
    <w:rsid w:val="00ED697C"/>
    <w:rsid w:val="00EE06CA"/>
    <w:rsid w:val="00EE1CF9"/>
    <w:rsid w:val="00EE2F83"/>
    <w:rsid w:val="00EE3319"/>
    <w:rsid w:val="00EE43AD"/>
    <w:rsid w:val="00EE4874"/>
    <w:rsid w:val="00EE48D6"/>
    <w:rsid w:val="00EE4A6E"/>
    <w:rsid w:val="00EE4BAB"/>
    <w:rsid w:val="00EE6D39"/>
    <w:rsid w:val="00EE7922"/>
    <w:rsid w:val="00EE79A6"/>
    <w:rsid w:val="00EF11DF"/>
    <w:rsid w:val="00EF130D"/>
    <w:rsid w:val="00EF30E0"/>
    <w:rsid w:val="00EF3943"/>
    <w:rsid w:val="00EF3D05"/>
    <w:rsid w:val="00EF42CF"/>
    <w:rsid w:val="00EF5403"/>
    <w:rsid w:val="00EF567D"/>
    <w:rsid w:val="00EF5F11"/>
    <w:rsid w:val="00EF6111"/>
    <w:rsid w:val="00EF6D0C"/>
    <w:rsid w:val="00EF79F2"/>
    <w:rsid w:val="00F005A0"/>
    <w:rsid w:val="00F017B1"/>
    <w:rsid w:val="00F01835"/>
    <w:rsid w:val="00F01DE9"/>
    <w:rsid w:val="00F0229D"/>
    <w:rsid w:val="00F02B1B"/>
    <w:rsid w:val="00F032BB"/>
    <w:rsid w:val="00F032C8"/>
    <w:rsid w:val="00F03567"/>
    <w:rsid w:val="00F03DD3"/>
    <w:rsid w:val="00F044C6"/>
    <w:rsid w:val="00F047A3"/>
    <w:rsid w:val="00F04BBE"/>
    <w:rsid w:val="00F05828"/>
    <w:rsid w:val="00F06616"/>
    <w:rsid w:val="00F07001"/>
    <w:rsid w:val="00F07263"/>
    <w:rsid w:val="00F07485"/>
    <w:rsid w:val="00F10BC6"/>
    <w:rsid w:val="00F10C5B"/>
    <w:rsid w:val="00F11352"/>
    <w:rsid w:val="00F11AD0"/>
    <w:rsid w:val="00F12181"/>
    <w:rsid w:val="00F12238"/>
    <w:rsid w:val="00F12313"/>
    <w:rsid w:val="00F13D34"/>
    <w:rsid w:val="00F14602"/>
    <w:rsid w:val="00F1498D"/>
    <w:rsid w:val="00F14DDF"/>
    <w:rsid w:val="00F152AD"/>
    <w:rsid w:val="00F15BA3"/>
    <w:rsid w:val="00F15BB3"/>
    <w:rsid w:val="00F165B7"/>
    <w:rsid w:val="00F20C9C"/>
    <w:rsid w:val="00F20F8D"/>
    <w:rsid w:val="00F21827"/>
    <w:rsid w:val="00F21A00"/>
    <w:rsid w:val="00F2285F"/>
    <w:rsid w:val="00F23155"/>
    <w:rsid w:val="00F23EE4"/>
    <w:rsid w:val="00F24236"/>
    <w:rsid w:val="00F24E0E"/>
    <w:rsid w:val="00F25707"/>
    <w:rsid w:val="00F26693"/>
    <w:rsid w:val="00F26A13"/>
    <w:rsid w:val="00F26ADF"/>
    <w:rsid w:val="00F27B5F"/>
    <w:rsid w:val="00F27D3B"/>
    <w:rsid w:val="00F300C1"/>
    <w:rsid w:val="00F306ED"/>
    <w:rsid w:val="00F31261"/>
    <w:rsid w:val="00F31697"/>
    <w:rsid w:val="00F31BB3"/>
    <w:rsid w:val="00F31C67"/>
    <w:rsid w:val="00F31E27"/>
    <w:rsid w:val="00F323C3"/>
    <w:rsid w:val="00F32A15"/>
    <w:rsid w:val="00F32A89"/>
    <w:rsid w:val="00F32EE6"/>
    <w:rsid w:val="00F32F3C"/>
    <w:rsid w:val="00F339EC"/>
    <w:rsid w:val="00F33A65"/>
    <w:rsid w:val="00F33E17"/>
    <w:rsid w:val="00F3443B"/>
    <w:rsid w:val="00F34FDD"/>
    <w:rsid w:val="00F35279"/>
    <w:rsid w:val="00F35923"/>
    <w:rsid w:val="00F35F1A"/>
    <w:rsid w:val="00F36130"/>
    <w:rsid w:val="00F3644F"/>
    <w:rsid w:val="00F36B71"/>
    <w:rsid w:val="00F373AE"/>
    <w:rsid w:val="00F4032F"/>
    <w:rsid w:val="00F40360"/>
    <w:rsid w:val="00F40444"/>
    <w:rsid w:val="00F40A4C"/>
    <w:rsid w:val="00F40CE6"/>
    <w:rsid w:val="00F40F15"/>
    <w:rsid w:val="00F410E7"/>
    <w:rsid w:val="00F41B59"/>
    <w:rsid w:val="00F42099"/>
    <w:rsid w:val="00F423BD"/>
    <w:rsid w:val="00F431C5"/>
    <w:rsid w:val="00F432FF"/>
    <w:rsid w:val="00F456D2"/>
    <w:rsid w:val="00F45B08"/>
    <w:rsid w:val="00F46431"/>
    <w:rsid w:val="00F469AD"/>
    <w:rsid w:val="00F4715C"/>
    <w:rsid w:val="00F47C9F"/>
    <w:rsid w:val="00F50CE8"/>
    <w:rsid w:val="00F51256"/>
    <w:rsid w:val="00F51361"/>
    <w:rsid w:val="00F52330"/>
    <w:rsid w:val="00F52407"/>
    <w:rsid w:val="00F535B5"/>
    <w:rsid w:val="00F53C7C"/>
    <w:rsid w:val="00F541F0"/>
    <w:rsid w:val="00F54603"/>
    <w:rsid w:val="00F54772"/>
    <w:rsid w:val="00F54869"/>
    <w:rsid w:val="00F556B2"/>
    <w:rsid w:val="00F55FD4"/>
    <w:rsid w:val="00F565E8"/>
    <w:rsid w:val="00F56CB4"/>
    <w:rsid w:val="00F5754B"/>
    <w:rsid w:val="00F576DE"/>
    <w:rsid w:val="00F57747"/>
    <w:rsid w:val="00F57898"/>
    <w:rsid w:val="00F578BC"/>
    <w:rsid w:val="00F601EF"/>
    <w:rsid w:val="00F606E4"/>
    <w:rsid w:val="00F62584"/>
    <w:rsid w:val="00F633F1"/>
    <w:rsid w:val="00F63BF7"/>
    <w:rsid w:val="00F6453E"/>
    <w:rsid w:val="00F64FAD"/>
    <w:rsid w:val="00F65215"/>
    <w:rsid w:val="00F65617"/>
    <w:rsid w:val="00F65A88"/>
    <w:rsid w:val="00F66494"/>
    <w:rsid w:val="00F710BE"/>
    <w:rsid w:val="00F712C1"/>
    <w:rsid w:val="00F71D7B"/>
    <w:rsid w:val="00F72016"/>
    <w:rsid w:val="00F72D3F"/>
    <w:rsid w:val="00F72DAD"/>
    <w:rsid w:val="00F72FAE"/>
    <w:rsid w:val="00F736D2"/>
    <w:rsid w:val="00F73953"/>
    <w:rsid w:val="00F74F0A"/>
    <w:rsid w:val="00F7564C"/>
    <w:rsid w:val="00F76220"/>
    <w:rsid w:val="00F769BE"/>
    <w:rsid w:val="00F7735C"/>
    <w:rsid w:val="00F77BD5"/>
    <w:rsid w:val="00F8164A"/>
    <w:rsid w:val="00F8216D"/>
    <w:rsid w:val="00F82E6B"/>
    <w:rsid w:val="00F83662"/>
    <w:rsid w:val="00F838C0"/>
    <w:rsid w:val="00F85F83"/>
    <w:rsid w:val="00F86F3C"/>
    <w:rsid w:val="00F91246"/>
    <w:rsid w:val="00F912FD"/>
    <w:rsid w:val="00F91593"/>
    <w:rsid w:val="00F91D43"/>
    <w:rsid w:val="00F9254F"/>
    <w:rsid w:val="00F9367F"/>
    <w:rsid w:val="00F93EDA"/>
    <w:rsid w:val="00F94DDB"/>
    <w:rsid w:val="00F95411"/>
    <w:rsid w:val="00F95642"/>
    <w:rsid w:val="00F95E55"/>
    <w:rsid w:val="00F96339"/>
    <w:rsid w:val="00F97859"/>
    <w:rsid w:val="00F97973"/>
    <w:rsid w:val="00F97B71"/>
    <w:rsid w:val="00FA06A3"/>
    <w:rsid w:val="00FA2CFC"/>
    <w:rsid w:val="00FA2DDA"/>
    <w:rsid w:val="00FA34CA"/>
    <w:rsid w:val="00FA3E3E"/>
    <w:rsid w:val="00FA4A55"/>
    <w:rsid w:val="00FA4D4F"/>
    <w:rsid w:val="00FA54E8"/>
    <w:rsid w:val="00FA5A36"/>
    <w:rsid w:val="00FA5FE8"/>
    <w:rsid w:val="00FA668B"/>
    <w:rsid w:val="00FA67CF"/>
    <w:rsid w:val="00FA6C3E"/>
    <w:rsid w:val="00FA6CFA"/>
    <w:rsid w:val="00FB0D68"/>
    <w:rsid w:val="00FB232C"/>
    <w:rsid w:val="00FB2D17"/>
    <w:rsid w:val="00FB2F69"/>
    <w:rsid w:val="00FB368B"/>
    <w:rsid w:val="00FB3A3A"/>
    <w:rsid w:val="00FB4217"/>
    <w:rsid w:val="00FB4379"/>
    <w:rsid w:val="00FB45FF"/>
    <w:rsid w:val="00FB5D97"/>
    <w:rsid w:val="00FB61EA"/>
    <w:rsid w:val="00FB6C7A"/>
    <w:rsid w:val="00FB732E"/>
    <w:rsid w:val="00FB79F7"/>
    <w:rsid w:val="00FC09E7"/>
    <w:rsid w:val="00FC1A5A"/>
    <w:rsid w:val="00FC1CA5"/>
    <w:rsid w:val="00FC1D8E"/>
    <w:rsid w:val="00FC2733"/>
    <w:rsid w:val="00FC2979"/>
    <w:rsid w:val="00FC45CB"/>
    <w:rsid w:val="00FC6D6C"/>
    <w:rsid w:val="00FD1C3C"/>
    <w:rsid w:val="00FD24F6"/>
    <w:rsid w:val="00FD2D6C"/>
    <w:rsid w:val="00FD2DB1"/>
    <w:rsid w:val="00FD3669"/>
    <w:rsid w:val="00FD38A8"/>
    <w:rsid w:val="00FD3AB2"/>
    <w:rsid w:val="00FD634B"/>
    <w:rsid w:val="00FD6854"/>
    <w:rsid w:val="00FD6AC8"/>
    <w:rsid w:val="00FD772D"/>
    <w:rsid w:val="00FE02F8"/>
    <w:rsid w:val="00FE0A6C"/>
    <w:rsid w:val="00FE1727"/>
    <w:rsid w:val="00FE2F58"/>
    <w:rsid w:val="00FE362F"/>
    <w:rsid w:val="00FE3638"/>
    <w:rsid w:val="00FE3A67"/>
    <w:rsid w:val="00FE3EA1"/>
    <w:rsid w:val="00FE4818"/>
    <w:rsid w:val="00FE4CA4"/>
    <w:rsid w:val="00FE5AE4"/>
    <w:rsid w:val="00FE5D80"/>
    <w:rsid w:val="00FE637F"/>
    <w:rsid w:val="00FE64EE"/>
    <w:rsid w:val="00FE668D"/>
    <w:rsid w:val="00FE73F7"/>
    <w:rsid w:val="00FE745E"/>
    <w:rsid w:val="00FE7865"/>
    <w:rsid w:val="00FF00DE"/>
    <w:rsid w:val="00FF0BB0"/>
    <w:rsid w:val="00FF0E34"/>
    <w:rsid w:val="00FF1342"/>
    <w:rsid w:val="00FF14FA"/>
    <w:rsid w:val="00FF1513"/>
    <w:rsid w:val="00FF1577"/>
    <w:rsid w:val="00FF2145"/>
    <w:rsid w:val="00FF2178"/>
    <w:rsid w:val="00FF2470"/>
    <w:rsid w:val="00FF3334"/>
    <w:rsid w:val="00FF3DF9"/>
    <w:rsid w:val="00FF59BE"/>
    <w:rsid w:val="00FF6ADB"/>
    <w:rsid w:val="00FF6C36"/>
    <w:rsid w:val="00FF70D6"/>
    <w:rsid w:val="00FF7B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33800D2-9DAB-49DD-AA99-007EB75D5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404"/>
    <w:pPr>
      <w:widowControl w:val="0"/>
      <w:jc w:val="both"/>
    </w:pPr>
    <w:rPr>
      <w:kern w:val="2"/>
      <w:sz w:val="21"/>
      <w:szCs w:val="24"/>
    </w:rPr>
  </w:style>
  <w:style w:type="paragraph" w:styleId="1">
    <w:name w:val="heading 1"/>
    <w:basedOn w:val="a"/>
    <w:next w:val="a"/>
    <w:link w:val="1Char"/>
    <w:uiPriority w:val="99"/>
    <w:qFormat/>
    <w:rsid w:val="0089214A"/>
    <w:pPr>
      <w:widowControl/>
      <w:jc w:val="left"/>
      <w:outlineLvl w:val="0"/>
    </w:pPr>
    <w:rPr>
      <w:kern w:val="0"/>
      <w:sz w:val="24"/>
      <w:szCs w:val="20"/>
      <w:lang w:val="en-GB"/>
    </w:rPr>
  </w:style>
  <w:style w:type="paragraph" w:styleId="20">
    <w:name w:val="heading 2"/>
    <w:basedOn w:val="a"/>
    <w:next w:val="a0"/>
    <w:link w:val="2Char"/>
    <w:uiPriority w:val="99"/>
    <w:qFormat/>
    <w:rsid w:val="00FB732E"/>
    <w:pPr>
      <w:keepNext/>
      <w:keepLines/>
      <w:spacing w:before="260" w:after="260" w:line="360" w:lineRule="auto"/>
      <w:outlineLvl w:val="1"/>
    </w:pPr>
    <w:rPr>
      <w:rFonts w:ascii="Arial" w:hAnsi="Arial"/>
      <w:b/>
      <w:bCs/>
      <w:sz w:val="24"/>
      <w:szCs w:val="28"/>
    </w:rPr>
  </w:style>
  <w:style w:type="paragraph" w:styleId="30">
    <w:name w:val="heading 3"/>
    <w:basedOn w:val="a"/>
    <w:next w:val="a"/>
    <w:link w:val="3Char"/>
    <w:uiPriority w:val="99"/>
    <w:qFormat/>
    <w:rsid w:val="00F85F83"/>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uiPriority w:val="99"/>
    <w:locked/>
    <w:rsid w:val="0003228A"/>
    <w:rPr>
      <w:rFonts w:cs="Times New Roman"/>
      <w:sz w:val="24"/>
      <w:lang w:val="en-GB"/>
    </w:rPr>
  </w:style>
  <w:style w:type="character" w:customStyle="1" w:styleId="2Char">
    <w:name w:val="标题 2 Char"/>
    <w:link w:val="20"/>
    <w:uiPriority w:val="99"/>
    <w:locked/>
    <w:rsid w:val="00A3655D"/>
    <w:rPr>
      <w:rFonts w:ascii="Arial" w:hAnsi="Arial"/>
      <w:b/>
      <w:kern w:val="2"/>
      <w:sz w:val="28"/>
    </w:rPr>
  </w:style>
  <w:style w:type="character" w:customStyle="1" w:styleId="3Char">
    <w:name w:val="标题 3 Char"/>
    <w:link w:val="30"/>
    <w:uiPriority w:val="99"/>
    <w:locked/>
    <w:rsid w:val="006D141C"/>
    <w:rPr>
      <w:rFonts w:cs="Times New Roman"/>
      <w:b/>
      <w:bCs/>
      <w:kern w:val="2"/>
      <w:sz w:val="32"/>
      <w:szCs w:val="32"/>
    </w:rPr>
  </w:style>
  <w:style w:type="paragraph" w:styleId="a4">
    <w:name w:val="Balloon Text"/>
    <w:basedOn w:val="a"/>
    <w:link w:val="Char"/>
    <w:uiPriority w:val="99"/>
    <w:semiHidden/>
    <w:rsid w:val="00FB732E"/>
    <w:rPr>
      <w:sz w:val="18"/>
      <w:szCs w:val="18"/>
    </w:rPr>
  </w:style>
  <w:style w:type="character" w:customStyle="1" w:styleId="Char">
    <w:name w:val="批注框文本 Char"/>
    <w:link w:val="a4"/>
    <w:uiPriority w:val="99"/>
    <w:semiHidden/>
    <w:locked/>
    <w:rsid w:val="006D141C"/>
    <w:rPr>
      <w:rFonts w:cs="Times New Roman"/>
      <w:kern w:val="2"/>
      <w:sz w:val="18"/>
      <w:szCs w:val="18"/>
    </w:rPr>
  </w:style>
  <w:style w:type="paragraph" w:styleId="a0">
    <w:name w:val="Normal Indent"/>
    <w:basedOn w:val="a"/>
    <w:uiPriority w:val="99"/>
    <w:rsid w:val="00FB732E"/>
    <w:pPr>
      <w:ind w:firstLineChars="200" w:firstLine="420"/>
    </w:pPr>
  </w:style>
  <w:style w:type="paragraph" w:styleId="a5">
    <w:name w:val="Body Text Indent"/>
    <w:basedOn w:val="a"/>
    <w:link w:val="Char0"/>
    <w:uiPriority w:val="99"/>
    <w:rsid w:val="00FB732E"/>
    <w:pPr>
      <w:widowControl/>
      <w:spacing w:before="100" w:beforeAutospacing="1" w:after="100" w:afterAutospacing="1"/>
      <w:jc w:val="left"/>
    </w:pPr>
    <w:rPr>
      <w:rFonts w:ascii="Arial Unicode MS" w:hAnsi="Arial Unicode MS" w:cs="Arial Unicode MS"/>
      <w:kern w:val="0"/>
      <w:sz w:val="24"/>
    </w:rPr>
  </w:style>
  <w:style w:type="character" w:customStyle="1" w:styleId="Char0">
    <w:name w:val="正文文本缩进 Char"/>
    <w:link w:val="a5"/>
    <w:uiPriority w:val="99"/>
    <w:locked/>
    <w:rsid w:val="006D141C"/>
    <w:rPr>
      <w:rFonts w:ascii="Arial Unicode MS" w:eastAsia="Times New Roman" w:hAnsi="Arial Unicode MS" w:cs="Arial Unicode MS"/>
      <w:sz w:val="24"/>
      <w:szCs w:val="24"/>
    </w:rPr>
  </w:style>
  <w:style w:type="paragraph" w:styleId="a6">
    <w:name w:val="Plain Text"/>
    <w:basedOn w:val="a"/>
    <w:link w:val="Char1"/>
    <w:rsid w:val="00FB732E"/>
    <w:rPr>
      <w:rFonts w:ascii="宋体" w:hAnsi="Courier New"/>
      <w:szCs w:val="21"/>
    </w:rPr>
  </w:style>
  <w:style w:type="character" w:customStyle="1" w:styleId="Char1">
    <w:name w:val="纯文本 Char"/>
    <w:link w:val="a6"/>
    <w:locked/>
    <w:rsid w:val="00586E9A"/>
    <w:rPr>
      <w:rFonts w:ascii="宋体" w:hAnsi="Courier New"/>
      <w:kern w:val="2"/>
      <w:sz w:val="21"/>
    </w:rPr>
  </w:style>
  <w:style w:type="paragraph" w:styleId="21">
    <w:name w:val="Body Text Indent 2"/>
    <w:basedOn w:val="a"/>
    <w:link w:val="2Char0"/>
    <w:uiPriority w:val="99"/>
    <w:rsid w:val="00FB732E"/>
    <w:pPr>
      <w:spacing w:line="560" w:lineRule="exact"/>
      <w:ind w:firstLineChars="200" w:firstLine="480"/>
    </w:pPr>
    <w:rPr>
      <w:rFonts w:ascii="宋体" w:hAnsi="宋体"/>
      <w:color w:val="FF0000"/>
      <w:sz w:val="24"/>
    </w:rPr>
  </w:style>
  <w:style w:type="character" w:customStyle="1" w:styleId="2Char0">
    <w:name w:val="正文文本缩进 2 Char"/>
    <w:link w:val="21"/>
    <w:uiPriority w:val="99"/>
    <w:locked/>
    <w:rsid w:val="006D141C"/>
    <w:rPr>
      <w:rFonts w:ascii="宋体" w:eastAsia="宋体" w:cs="Times New Roman"/>
      <w:color w:val="FF0000"/>
      <w:kern w:val="2"/>
      <w:sz w:val="24"/>
      <w:szCs w:val="24"/>
    </w:rPr>
  </w:style>
  <w:style w:type="paragraph" w:styleId="a7">
    <w:name w:val="footer"/>
    <w:basedOn w:val="a"/>
    <w:link w:val="Char2"/>
    <w:uiPriority w:val="99"/>
    <w:rsid w:val="00FB732E"/>
    <w:pPr>
      <w:tabs>
        <w:tab w:val="center" w:pos="4153"/>
        <w:tab w:val="right" w:pos="8306"/>
      </w:tabs>
      <w:snapToGrid w:val="0"/>
      <w:jc w:val="left"/>
    </w:pPr>
    <w:rPr>
      <w:sz w:val="18"/>
      <w:szCs w:val="18"/>
    </w:rPr>
  </w:style>
  <w:style w:type="character" w:customStyle="1" w:styleId="Char2">
    <w:name w:val="页脚 Char"/>
    <w:link w:val="a7"/>
    <w:uiPriority w:val="99"/>
    <w:locked/>
    <w:rsid w:val="006D141C"/>
    <w:rPr>
      <w:rFonts w:cs="Times New Roman"/>
      <w:kern w:val="2"/>
      <w:sz w:val="18"/>
      <w:szCs w:val="18"/>
    </w:rPr>
  </w:style>
  <w:style w:type="character" w:styleId="a8">
    <w:name w:val="page number"/>
    <w:uiPriority w:val="99"/>
    <w:rsid w:val="00FB732E"/>
    <w:rPr>
      <w:rFonts w:cs="Times New Roman"/>
    </w:rPr>
  </w:style>
  <w:style w:type="character" w:styleId="a9">
    <w:name w:val="Hyperlink"/>
    <w:uiPriority w:val="99"/>
    <w:rsid w:val="00FB732E"/>
    <w:rPr>
      <w:rFonts w:cs="Times New Roman"/>
      <w:color w:val="0000FF"/>
      <w:u w:val="single"/>
    </w:rPr>
  </w:style>
  <w:style w:type="paragraph" w:styleId="31">
    <w:name w:val="Body Text Indent 3"/>
    <w:basedOn w:val="a"/>
    <w:link w:val="3Char0"/>
    <w:uiPriority w:val="99"/>
    <w:rsid w:val="00FB732E"/>
    <w:pPr>
      <w:spacing w:line="560" w:lineRule="exact"/>
      <w:ind w:firstLineChars="200" w:firstLine="420"/>
    </w:pPr>
    <w:rPr>
      <w:rFonts w:ascii="Arial" w:hAnsi="Arial" w:cs="Arial"/>
      <w:color w:val="FF0000"/>
    </w:rPr>
  </w:style>
  <w:style w:type="character" w:customStyle="1" w:styleId="3Char0">
    <w:name w:val="正文文本缩进 3 Char"/>
    <w:link w:val="31"/>
    <w:uiPriority w:val="99"/>
    <w:locked/>
    <w:rsid w:val="006D141C"/>
    <w:rPr>
      <w:rFonts w:ascii="Arial" w:hAnsi="Arial" w:cs="Arial"/>
      <w:color w:val="FF0000"/>
      <w:kern w:val="2"/>
      <w:sz w:val="24"/>
      <w:szCs w:val="24"/>
    </w:rPr>
  </w:style>
  <w:style w:type="paragraph" w:styleId="aa">
    <w:name w:val="header"/>
    <w:basedOn w:val="a"/>
    <w:link w:val="Char3"/>
    <w:uiPriority w:val="99"/>
    <w:rsid w:val="00FB732E"/>
    <w:pPr>
      <w:pBdr>
        <w:bottom w:val="single" w:sz="6" w:space="1" w:color="auto"/>
      </w:pBdr>
      <w:tabs>
        <w:tab w:val="center" w:pos="4153"/>
        <w:tab w:val="right" w:pos="8306"/>
      </w:tabs>
      <w:snapToGrid w:val="0"/>
      <w:jc w:val="center"/>
    </w:pPr>
    <w:rPr>
      <w:sz w:val="18"/>
      <w:szCs w:val="18"/>
    </w:rPr>
  </w:style>
  <w:style w:type="character" w:customStyle="1" w:styleId="Char3">
    <w:name w:val="页眉 Char"/>
    <w:link w:val="aa"/>
    <w:uiPriority w:val="99"/>
    <w:locked/>
    <w:rsid w:val="006D141C"/>
    <w:rPr>
      <w:rFonts w:cs="Times New Roman"/>
      <w:kern w:val="2"/>
      <w:sz w:val="18"/>
      <w:szCs w:val="18"/>
    </w:rPr>
  </w:style>
  <w:style w:type="character" w:styleId="ab">
    <w:name w:val="FollowedHyperlink"/>
    <w:uiPriority w:val="99"/>
    <w:rsid w:val="00FB732E"/>
    <w:rPr>
      <w:rFonts w:cs="Times New Roman"/>
      <w:color w:val="800080"/>
      <w:u w:val="single"/>
    </w:rPr>
  </w:style>
  <w:style w:type="paragraph" w:styleId="ac">
    <w:name w:val="List"/>
    <w:basedOn w:val="ad"/>
    <w:uiPriority w:val="99"/>
    <w:rsid w:val="00FB732E"/>
    <w:pPr>
      <w:spacing w:after="220" w:line="220" w:lineRule="atLeast"/>
      <w:ind w:left="1440" w:hanging="360"/>
    </w:pPr>
    <w:rPr>
      <w:szCs w:val="20"/>
    </w:rPr>
  </w:style>
  <w:style w:type="paragraph" w:styleId="ad">
    <w:name w:val="Body Text"/>
    <w:basedOn w:val="a"/>
    <w:link w:val="Char4"/>
    <w:uiPriority w:val="99"/>
    <w:rsid w:val="00FB732E"/>
    <w:pPr>
      <w:spacing w:after="120"/>
    </w:pPr>
  </w:style>
  <w:style w:type="character" w:customStyle="1" w:styleId="Char4">
    <w:name w:val="正文文本 Char"/>
    <w:link w:val="ad"/>
    <w:uiPriority w:val="99"/>
    <w:locked/>
    <w:rsid w:val="006D141C"/>
    <w:rPr>
      <w:rFonts w:cs="Times New Roman"/>
      <w:kern w:val="2"/>
      <w:sz w:val="24"/>
      <w:szCs w:val="24"/>
    </w:rPr>
  </w:style>
  <w:style w:type="paragraph" w:styleId="ae">
    <w:name w:val="Date"/>
    <w:basedOn w:val="a"/>
    <w:next w:val="a"/>
    <w:link w:val="Char5"/>
    <w:uiPriority w:val="99"/>
    <w:rsid w:val="00FB732E"/>
    <w:rPr>
      <w:sz w:val="24"/>
      <w:szCs w:val="20"/>
    </w:rPr>
  </w:style>
  <w:style w:type="character" w:customStyle="1" w:styleId="Char5">
    <w:name w:val="日期 Char"/>
    <w:link w:val="ae"/>
    <w:uiPriority w:val="99"/>
    <w:locked/>
    <w:rsid w:val="006D141C"/>
    <w:rPr>
      <w:rFonts w:cs="Times New Roman"/>
      <w:kern w:val="2"/>
      <w:sz w:val="24"/>
    </w:rPr>
  </w:style>
  <w:style w:type="character" w:customStyle="1" w:styleId="c1">
    <w:name w:val="c1"/>
    <w:uiPriority w:val="99"/>
    <w:rsid w:val="00FB732E"/>
    <w:rPr>
      <w:color w:val="000000"/>
      <w:spacing w:val="300"/>
      <w:sz w:val="18"/>
    </w:rPr>
  </w:style>
  <w:style w:type="paragraph" w:styleId="10">
    <w:name w:val="index 1"/>
    <w:basedOn w:val="a"/>
    <w:next w:val="a"/>
    <w:autoRedefine/>
    <w:uiPriority w:val="99"/>
    <w:semiHidden/>
    <w:rsid w:val="00FB732E"/>
    <w:pPr>
      <w:jc w:val="right"/>
    </w:pPr>
    <w:rPr>
      <w:color w:val="008000"/>
    </w:rPr>
  </w:style>
  <w:style w:type="paragraph" w:customStyle="1" w:styleId="font5">
    <w:name w:val="font5"/>
    <w:basedOn w:val="a"/>
    <w:uiPriority w:val="99"/>
    <w:rsid w:val="00FB732E"/>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rsid w:val="00FB732E"/>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rsid w:val="00FB732E"/>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rsid w:val="00FB732E"/>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rsid w:val="00FB732E"/>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styleId="af">
    <w:name w:val="annotation reference"/>
    <w:uiPriority w:val="99"/>
    <w:semiHidden/>
    <w:rsid w:val="00FB732E"/>
    <w:rPr>
      <w:rFonts w:cs="Times New Roman"/>
      <w:sz w:val="21"/>
    </w:rPr>
  </w:style>
  <w:style w:type="paragraph" w:styleId="af0">
    <w:name w:val="annotation text"/>
    <w:basedOn w:val="a"/>
    <w:link w:val="Char6"/>
    <w:uiPriority w:val="99"/>
    <w:semiHidden/>
    <w:rsid w:val="00FB732E"/>
    <w:pPr>
      <w:jc w:val="left"/>
    </w:pPr>
  </w:style>
  <w:style w:type="character" w:customStyle="1" w:styleId="Char6">
    <w:name w:val="批注文字 Char"/>
    <w:link w:val="af0"/>
    <w:uiPriority w:val="99"/>
    <w:semiHidden/>
    <w:locked/>
    <w:rsid w:val="006D141C"/>
    <w:rPr>
      <w:rFonts w:cs="Times New Roman"/>
      <w:kern w:val="2"/>
      <w:sz w:val="24"/>
      <w:szCs w:val="24"/>
    </w:rPr>
  </w:style>
  <w:style w:type="paragraph" w:styleId="af1">
    <w:name w:val="annotation subject"/>
    <w:basedOn w:val="af0"/>
    <w:next w:val="af0"/>
    <w:link w:val="Char7"/>
    <w:uiPriority w:val="99"/>
    <w:semiHidden/>
    <w:rsid w:val="00FB732E"/>
    <w:rPr>
      <w:b/>
      <w:bCs/>
    </w:rPr>
  </w:style>
  <w:style w:type="character" w:customStyle="1" w:styleId="Char7">
    <w:name w:val="批注主题 Char"/>
    <w:link w:val="af1"/>
    <w:uiPriority w:val="99"/>
    <w:semiHidden/>
    <w:locked/>
    <w:rsid w:val="006D141C"/>
    <w:rPr>
      <w:rFonts w:cs="Times New Roman"/>
      <w:b/>
      <w:bCs/>
      <w:kern w:val="2"/>
      <w:sz w:val="24"/>
      <w:szCs w:val="24"/>
    </w:rPr>
  </w:style>
  <w:style w:type="paragraph" w:customStyle="1" w:styleId="Char8">
    <w:name w:val="Char"/>
    <w:basedOn w:val="a"/>
    <w:uiPriority w:val="99"/>
    <w:rsid w:val="00FB732E"/>
  </w:style>
  <w:style w:type="paragraph" w:styleId="af2">
    <w:name w:val="Document Map"/>
    <w:basedOn w:val="a"/>
    <w:link w:val="Char9"/>
    <w:uiPriority w:val="99"/>
    <w:semiHidden/>
    <w:rsid w:val="000A549A"/>
    <w:pPr>
      <w:shd w:val="clear" w:color="auto" w:fill="000080"/>
    </w:pPr>
  </w:style>
  <w:style w:type="character" w:customStyle="1" w:styleId="Char9">
    <w:name w:val="文档结构图 Char"/>
    <w:link w:val="af2"/>
    <w:uiPriority w:val="99"/>
    <w:semiHidden/>
    <w:locked/>
    <w:rsid w:val="006D141C"/>
    <w:rPr>
      <w:rFonts w:cs="Times New Roman"/>
      <w:kern w:val="2"/>
      <w:sz w:val="24"/>
      <w:szCs w:val="24"/>
      <w:shd w:val="clear" w:color="auto" w:fill="000080"/>
    </w:rPr>
  </w:style>
  <w:style w:type="paragraph" w:customStyle="1" w:styleId="af3">
    <w:name w:val="正文 + (符号) 宋体"/>
    <w:aliases w:val="小四,紧缩量  0.2 磅"/>
    <w:basedOn w:val="a"/>
    <w:uiPriority w:val="99"/>
    <w:rsid w:val="00C22CCE"/>
    <w:pPr>
      <w:autoSpaceDE w:val="0"/>
      <w:autoSpaceDN w:val="0"/>
      <w:adjustRightInd w:val="0"/>
      <w:ind w:rightChars="671" w:right="1409" w:firstLineChars="512" w:firstLine="1229"/>
      <w:jc w:val="distribute"/>
    </w:pPr>
    <w:rPr>
      <w:sz w:val="24"/>
    </w:rPr>
  </w:style>
  <w:style w:type="paragraph" w:styleId="af4">
    <w:name w:val="footnote text"/>
    <w:basedOn w:val="a"/>
    <w:link w:val="Chara"/>
    <w:uiPriority w:val="99"/>
    <w:semiHidden/>
    <w:rsid w:val="00547D9C"/>
    <w:pPr>
      <w:snapToGrid w:val="0"/>
      <w:jc w:val="left"/>
    </w:pPr>
    <w:rPr>
      <w:sz w:val="18"/>
      <w:szCs w:val="18"/>
    </w:rPr>
  </w:style>
  <w:style w:type="character" w:customStyle="1" w:styleId="Chara">
    <w:name w:val="脚注文本 Char"/>
    <w:link w:val="af4"/>
    <w:uiPriority w:val="99"/>
    <w:semiHidden/>
    <w:locked/>
    <w:rsid w:val="006D141C"/>
    <w:rPr>
      <w:rFonts w:cs="Times New Roman"/>
      <w:kern w:val="2"/>
      <w:sz w:val="18"/>
      <w:szCs w:val="18"/>
    </w:rPr>
  </w:style>
  <w:style w:type="character" w:styleId="af5">
    <w:name w:val="footnote reference"/>
    <w:uiPriority w:val="99"/>
    <w:semiHidden/>
    <w:rsid w:val="00547D9C"/>
    <w:rPr>
      <w:rFonts w:cs="Times New Roman"/>
      <w:vertAlign w:val="superscript"/>
    </w:rPr>
  </w:style>
  <w:style w:type="paragraph" w:styleId="af6">
    <w:name w:val="Normal (Web)"/>
    <w:basedOn w:val="a"/>
    <w:uiPriority w:val="99"/>
    <w:rsid w:val="005D45B3"/>
    <w:pPr>
      <w:widowControl/>
      <w:spacing w:before="100" w:beforeAutospacing="1" w:after="100" w:afterAutospacing="1"/>
      <w:jc w:val="left"/>
    </w:pPr>
    <w:rPr>
      <w:rFonts w:ascii="宋体" w:hAnsi="宋体"/>
      <w:kern w:val="0"/>
      <w:sz w:val="24"/>
    </w:rPr>
  </w:style>
  <w:style w:type="table" w:styleId="af7">
    <w:name w:val="Table Grid"/>
    <w:basedOn w:val="a2"/>
    <w:uiPriority w:val="99"/>
    <w:rsid w:val="002A5D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0">
    <w:name w:val="Char1"/>
    <w:basedOn w:val="a"/>
    <w:uiPriority w:val="99"/>
    <w:rsid w:val="00043ABF"/>
  </w:style>
  <w:style w:type="paragraph" w:customStyle="1" w:styleId="CharCharCharCharCharChar1CharCharChar">
    <w:name w:val="Char Char Char Char Char Char1 Char Char Char"/>
    <w:basedOn w:val="a"/>
    <w:uiPriority w:val="99"/>
    <w:rsid w:val="005166E9"/>
    <w:pPr>
      <w:autoSpaceDE w:val="0"/>
      <w:autoSpaceDN w:val="0"/>
      <w:adjustRightInd w:val="0"/>
      <w:jc w:val="left"/>
      <w:textAlignment w:val="baseline"/>
    </w:pPr>
    <w:rPr>
      <w:rFonts w:ascii="宋体"/>
      <w:kern w:val="0"/>
      <w:sz w:val="34"/>
      <w:szCs w:val="20"/>
    </w:rPr>
  </w:style>
  <w:style w:type="paragraph" w:styleId="22">
    <w:name w:val="toc 2"/>
    <w:basedOn w:val="a"/>
    <w:next w:val="a"/>
    <w:autoRedefine/>
    <w:uiPriority w:val="39"/>
    <w:rsid w:val="00D35D4A"/>
    <w:pPr>
      <w:tabs>
        <w:tab w:val="left" w:pos="1260"/>
        <w:tab w:val="right" w:leader="dot" w:pos="9072"/>
      </w:tabs>
      <w:ind w:leftChars="200" w:left="420"/>
    </w:pPr>
    <w:rPr>
      <w:kern w:val="0"/>
      <w:szCs w:val="21"/>
    </w:rPr>
  </w:style>
  <w:style w:type="paragraph" w:customStyle="1" w:styleId="CharCharCharChar">
    <w:name w:val="Char Char Char Char"/>
    <w:basedOn w:val="a"/>
    <w:autoRedefine/>
    <w:uiPriority w:val="99"/>
    <w:rsid w:val="005721D0"/>
    <w:pPr>
      <w:tabs>
        <w:tab w:val="num" w:pos="840"/>
      </w:tabs>
      <w:adjustRightInd w:val="0"/>
      <w:spacing w:line="360" w:lineRule="atLeast"/>
      <w:ind w:left="840" w:hanging="360"/>
      <w:textAlignment w:val="baseline"/>
    </w:pPr>
    <w:rPr>
      <w:sz w:val="24"/>
    </w:rPr>
  </w:style>
  <w:style w:type="paragraph" w:styleId="11">
    <w:name w:val="toc 1"/>
    <w:basedOn w:val="a"/>
    <w:next w:val="a"/>
    <w:autoRedefine/>
    <w:uiPriority w:val="39"/>
    <w:rsid w:val="00BE2A17"/>
    <w:pPr>
      <w:tabs>
        <w:tab w:val="right" w:leader="dot" w:pos="9072"/>
      </w:tabs>
    </w:pPr>
  </w:style>
  <w:style w:type="paragraph" w:styleId="32">
    <w:name w:val="toc 3"/>
    <w:basedOn w:val="a"/>
    <w:next w:val="a"/>
    <w:autoRedefine/>
    <w:uiPriority w:val="39"/>
    <w:rsid w:val="00954A89"/>
    <w:pPr>
      <w:ind w:leftChars="400" w:left="840"/>
    </w:pPr>
  </w:style>
  <w:style w:type="paragraph" w:customStyle="1" w:styleId="CharCharCharCharCharChar1CharCharChar1">
    <w:name w:val="Char Char Char Char Char Char1 Char Char Char1"/>
    <w:basedOn w:val="a"/>
    <w:uiPriority w:val="99"/>
    <w:rsid w:val="005B7476"/>
    <w:pPr>
      <w:autoSpaceDE w:val="0"/>
      <w:autoSpaceDN w:val="0"/>
      <w:adjustRightInd w:val="0"/>
      <w:jc w:val="left"/>
      <w:textAlignment w:val="baseline"/>
    </w:pPr>
    <w:rPr>
      <w:rFonts w:ascii="宋体"/>
      <w:kern w:val="0"/>
      <w:sz w:val="34"/>
      <w:szCs w:val="20"/>
    </w:rPr>
  </w:style>
  <w:style w:type="numbering" w:customStyle="1" w:styleId="5">
    <w:name w:val="样式5"/>
    <w:rsid w:val="004878C2"/>
    <w:pPr>
      <w:numPr>
        <w:numId w:val="8"/>
      </w:numPr>
    </w:pPr>
  </w:style>
  <w:style w:type="numbering" w:customStyle="1" w:styleId="3">
    <w:name w:val="样式3"/>
    <w:rsid w:val="004878C2"/>
    <w:pPr>
      <w:numPr>
        <w:numId w:val="7"/>
      </w:numPr>
    </w:pPr>
  </w:style>
  <w:style w:type="numbering" w:customStyle="1" w:styleId="4">
    <w:name w:val="样式4"/>
    <w:rsid w:val="004878C2"/>
    <w:pPr>
      <w:numPr>
        <w:numId w:val="9"/>
      </w:numPr>
    </w:pPr>
  </w:style>
  <w:style w:type="numbering" w:customStyle="1" w:styleId="2">
    <w:name w:val="样式2"/>
    <w:rsid w:val="004878C2"/>
    <w:pPr>
      <w:numPr>
        <w:numId w:val="16"/>
      </w:numPr>
    </w:pPr>
  </w:style>
  <w:style w:type="paragraph" w:customStyle="1" w:styleId="Default">
    <w:name w:val="Default"/>
    <w:uiPriority w:val="99"/>
    <w:rsid w:val="005D072B"/>
    <w:pPr>
      <w:widowControl w:val="0"/>
      <w:autoSpaceDE w:val="0"/>
      <w:autoSpaceDN w:val="0"/>
      <w:adjustRightInd w:val="0"/>
    </w:pPr>
    <w:rPr>
      <w:rFonts w:ascii="FangSong" w:hAnsi="FangSong" w:cs="FangSong"/>
      <w:color w:val="000000"/>
      <w:sz w:val="24"/>
      <w:szCs w:val="24"/>
    </w:rPr>
  </w:style>
  <w:style w:type="character" w:styleId="af8">
    <w:name w:val="Strong"/>
    <w:basedOn w:val="a1"/>
    <w:uiPriority w:val="22"/>
    <w:qFormat/>
    <w:locked/>
    <w:rsid w:val="006B627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3935">
      <w:bodyDiv w:val="1"/>
      <w:marLeft w:val="0"/>
      <w:marRight w:val="0"/>
      <w:marTop w:val="0"/>
      <w:marBottom w:val="0"/>
      <w:divBdr>
        <w:top w:val="none" w:sz="0" w:space="0" w:color="auto"/>
        <w:left w:val="none" w:sz="0" w:space="0" w:color="auto"/>
        <w:bottom w:val="none" w:sz="0" w:space="0" w:color="auto"/>
        <w:right w:val="none" w:sz="0" w:space="0" w:color="auto"/>
      </w:divBdr>
    </w:div>
    <w:div w:id="316343669">
      <w:bodyDiv w:val="1"/>
      <w:marLeft w:val="0"/>
      <w:marRight w:val="0"/>
      <w:marTop w:val="0"/>
      <w:marBottom w:val="0"/>
      <w:divBdr>
        <w:top w:val="none" w:sz="0" w:space="0" w:color="auto"/>
        <w:left w:val="none" w:sz="0" w:space="0" w:color="auto"/>
        <w:bottom w:val="none" w:sz="0" w:space="0" w:color="auto"/>
        <w:right w:val="none" w:sz="0" w:space="0" w:color="auto"/>
      </w:divBdr>
    </w:div>
    <w:div w:id="362171279">
      <w:bodyDiv w:val="1"/>
      <w:marLeft w:val="0"/>
      <w:marRight w:val="0"/>
      <w:marTop w:val="0"/>
      <w:marBottom w:val="0"/>
      <w:divBdr>
        <w:top w:val="none" w:sz="0" w:space="0" w:color="auto"/>
        <w:left w:val="none" w:sz="0" w:space="0" w:color="auto"/>
        <w:bottom w:val="none" w:sz="0" w:space="0" w:color="auto"/>
        <w:right w:val="none" w:sz="0" w:space="0" w:color="auto"/>
      </w:divBdr>
    </w:div>
    <w:div w:id="643511383">
      <w:bodyDiv w:val="1"/>
      <w:marLeft w:val="0"/>
      <w:marRight w:val="0"/>
      <w:marTop w:val="0"/>
      <w:marBottom w:val="0"/>
      <w:divBdr>
        <w:top w:val="none" w:sz="0" w:space="0" w:color="auto"/>
        <w:left w:val="none" w:sz="0" w:space="0" w:color="auto"/>
        <w:bottom w:val="none" w:sz="0" w:space="0" w:color="auto"/>
        <w:right w:val="none" w:sz="0" w:space="0" w:color="auto"/>
      </w:divBdr>
    </w:div>
    <w:div w:id="861240251">
      <w:bodyDiv w:val="1"/>
      <w:marLeft w:val="0"/>
      <w:marRight w:val="0"/>
      <w:marTop w:val="0"/>
      <w:marBottom w:val="0"/>
      <w:divBdr>
        <w:top w:val="none" w:sz="0" w:space="0" w:color="auto"/>
        <w:left w:val="none" w:sz="0" w:space="0" w:color="auto"/>
        <w:bottom w:val="none" w:sz="0" w:space="0" w:color="auto"/>
        <w:right w:val="none" w:sz="0" w:space="0" w:color="auto"/>
      </w:divBdr>
    </w:div>
    <w:div w:id="1551767477">
      <w:bodyDiv w:val="1"/>
      <w:marLeft w:val="0"/>
      <w:marRight w:val="0"/>
      <w:marTop w:val="0"/>
      <w:marBottom w:val="0"/>
      <w:divBdr>
        <w:top w:val="none" w:sz="0" w:space="0" w:color="auto"/>
        <w:left w:val="none" w:sz="0" w:space="0" w:color="auto"/>
        <w:bottom w:val="none" w:sz="0" w:space="0" w:color="auto"/>
        <w:right w:val="none" w:sz="0" w:space="0" w:color="auto"/>
      </w:divBdr>
      <w:divsChild>
        <w:div w:id="1983386177">
          <w:marLeft w:val="0"/>
          <w:marRight w:val="0"/>
          <w:marTop w:val="0"/>
          <w:marBottom w:val="0"/>
          <w:divBdr>
            <w:top w:val="none" w:sz="0" w:space="0" w:color="auto"/>
            <w:left w:val="none" w:sz="0" w:space="0" w:color="auto"/>
            <w:bottom w:val="none" w:sz="0" w:space="0" w:color="auto"/>
            <w:right w:val="none" w:sz="0" w:space="0" w:color="auto"/>
          </w:divBdr>
        </w:div>
      </w:divsChild>
    </w:div>
    <w:div w:id="2063090621">
      <w:marLeft w:val="0"/>
      <w:marRight w:val="0"/>
      <w:marTop w:val="0"/>
      <w:marBottom w:val="0"/>
      <w:divBdr>
        <w:top w:val="none" w:sz="0" w:space="0" w:color="auto"/>
        <w:left w:val="none" w:sz="0" w:space="0" w:color="auto"/>
        <w:bottom w:val="none" w:sz="0" w:space="0" w:color="auto"/>
        <w:right w:val="none" w:sz="0" w:space="0" w:color="auto"/>
      </w:divBdr>
    </w:div>
    <w:div w:id="2063090622">
      <w:marLeft w:val="0"/>
      <w:marRight w:val="0"/>
      <w:marTop w:val="0"/>
      <w:marBottom w:val="0"/>
      <w:divBdr>
        <w:top w:val="none" w:sz="0" w:space="0" w:color="auto"/>
        <w:left w:val="none" w:sz="0" w:space="0" w:color="auto"/>
        <w:bottom w:val="none" w:sz="0" w:space="0" w:color="auto"/>
        <w:right w:val="none" w:sz="0" w:space="0" w:color="auto"/>
      </w:divBdr>
    </w:div>
    <w:div w:id="2063090623">
      <w:marLeft w:val="0"/>
      <w:marRight w:val="0"/>
      <w:marTop w:val="0"/>
      <w:marBottom w:val="0"/>
      <w:divBdr>
        <w:top w:val="none" w:sz="0" w:space="0" w:color="auto"/>
        <w:left w:val="none" w:sz="0" w:space="0" w:color="auto"/>
        <w:bottom w:val="none" w:sz="0" w:space="0" w:color="auto"/>
        <w:right w:val="none" w:sz="0" w:space="0" w:color="auto"/>
      </w:divBdr>
    </w:div>
    <w:div w:id="2063090624">
      <w:marLeft w:val="0"/>
      <w:marRight w:val="0"/>
      <w:marTop w:val="0"/>
      <w:marBottom w:val="0"/>
      <w:divBdr>
        <w:top w:val="none" w:sz="0" w:space="0" w:color="auto"/>
        <w:left w:val="none" w:sz="0" w:space="0" w:color="auto"/>
        <w:bottom w:val="none" w:sz="0" w:space="0" w:color="auto"/>
        <w:right w:val="none" w:sz="0" w:space="0" w:color="auto"/>
      </w:divBdr>
    </w:div>
    <w:div w:id="2063090625">
      <w:marLeft w:val="0"/>
      <w:marRight w:val="0"/>
      <w:marTop w:val="0"/>
      <w:marBottom w:val="0"/>
      <w:divBdr>
        <w:top w:val="none" w:sz="0" w:space="0" w:color="auto"/>
        <w:left w:val="none" w:sz="0" w:space="0" w:color="auto"/>
        <w:bottom w:val="none" w:sz="0" w:space="0" w:color="auto"/>
        <w:right w:val="none" w:sz="0" w:space="0" w:color="auto"/>
      </w:divBdr>
    </w:div>
    <w:div w:id="2063090626">
      <w:marLeft w:val="0"/>
      <w:marRight w:val="0"/>
      <w:marTop w:val="0"/>
      <w:marBottom w:val="0"/>
      <w:divBdr>
        <w:top w:val="none" w:sz="0" w:space="0" w:color="auto"/>
        <w:left w:val="none" w:sz="0" w:space="0" w:color="auto"/>
        <w:bottom w:val="none" w:sz="0" w:space="0" w:color="auto"/>
        <w:right w:val="none" w:sz="0" w:space="0" w:color="auto"/>
      </w:divBdr>
    </w:div>
    <w:div w:id="2063090627">
      <w:marLeft w:val="0"/>
      <w:marRight w:val="0"/>
      <w:marTop w:val="0"/>
      <w:marBottom w:val="0"/>
      <w:divBdr>
        <w:top w:val="none" w:sz="0" w:space="0" w:color="auto"/>
        <w:left w:val="none" w:sz="0" w:space="0" w:color="auto"/>
        <w:bottom w:val="none" w:sz="0" w:space="0" w:color="auto"/>
        <w:right w:val="none" w:sz="0" w:space="0" w:color="auto"/>
      </w:divBdr>
    </w:div>
    <w:div w:id="2063090628">
      <w:marLeft w:val="0"/>
      <w:marRight w:val="0"/>
      <w:marTop w:val="0"/>
      <w:marBottom w:val="0"/>
      <w:divBdr>
        <w:top w:val="none" w:sz="0" w:space="0" w:color="auto"/>
        <w:left w:val="none" w:sz="0" w:space="0" w:color="auto"/>
        <w:bottom w:val="none" w:sz="0" w:space="0" w:color="auto"/>
        <w:right w:val="none" w:sz="0" w:space="0" w:color="auto"/>
      </w:divBdr>
    </w:div>
    <w:div w:id="2063090629">
      <w:marLeft w:val="0"/>
      <w:marRight w:val="0"/>
      <w:marTop w:val="0"/>
      <w:marBottom w:val="0"/>
      <w:divBdr>
        <w:top w:val="none" w:sz="0" w:space="0" w:color="auto"/>
        <w:left w:val="none" w:sz="0" w:space="0" w:color="auto"/>
        <w:bottom w:val="none" w:sz="0" w:space="0" w:color="auto"/>
        <w:right w:val="none" w:sz="0" w:space="0" w:color="auto"/>
      </w:divBdr>
      <w:divsChild>
        <w:div w:id="2063090688">
          <w:marLeft w:val="0"/>
          <w:marRight w:val="0"/>
          <w:marTop w:val="0"/>
          <w:marBottom w:val="0"/>
          <w:divBdr>
            <w:top w:val="none" w:sz="0" w:space="0" w:color="auto"/>
            <w:left w:val="none" w:sz="0" w:space="0" w:color="auto"/>
            <w:bottom w:val="none" w:sz="0" w:space="0" w:color="auto"/>
            <w:right w:val="none" w:sz="0" w:space="0" w:color="auto"/>
          </w:divBdr>
        </w:div>
      </w:divsChild>
    </w:div>
    <w:div w:id="2063090630">
      <w:marLeft w:val="0"/>
      <w:marRight w:val="0"/>
      <w:marTop w:val="0"/>
      <w:marBottom w:val="0"/>
      <w:divBdr>
        <w:top w:val="none" w:sz="0" w:space="0" w:color="auto"/>
        <w:left w:val="none" w:sz="0" w:space="0" w:color="auto"/>
        <w:bottom w:val="none" w:sz="0" w:space="0" w:color="auto"/>
        <w:right w:val="none" w:sz="0" w:space="0" w:color="auto"/>
      </w:divBdr>
    </w:div>
    <w:div w:id="2063090631">
      <w:marLeft w:val="0"/>
      <w:marRight w:val="0"/>
      <w:marTop w:val="0"/>
      <w:marBottom w:val="0"/>
      <w:divBdr>
        <w:top w:val="none" w:sz="0" w:space="0" w:color="auto"/>
        <w:left w:val="none" w:sz="0" w:space="0" w:color="auto"/>
        <w:bottom w:val="none" w:sz="0" w:space="0" w:color="auto"/>
        <w:right w:val="none" w:sz="0" w:space="0" w:color="auto"/>
      </w:divBdr>
    </w:div>
    <w:div w:id="2063090632">
      <w:marLeft w:val="0"/>
      <w:marRight w:val="0"/>
      <w:marTop w:val="0"/>
      <w:marBottom w:val="0"/>
      <w:divBdr>
        <w:top w:val="none" w:sz="0" w:space="0" w:color="auto"/>
        <w:left w:val="none" w:sz="0" w:space="0" w:color="auto"/>
        <w:bottom w:val="none" w:sz="0" w:space="0" w:color="auto"/>
        <w:right w:val="none" w:sz="0" w:space="0" w:color="auto"/>
      </w:divBdr>
    </w:div>
    <w:div w:id="2063090633">
      <w:marLeft w:val="0"/>
      <w:marRight w:val="0"/>
      <w:marTop w:val="0"/>
      <w:marBottom w:val="0"/>
      <w:divBdr>
        <w:top w:val="none" w:sz="0" w:space="0" w:color="auto"/>
        <w:left w:val="none" w:sz="0" w:space="0" w:color="auto"/>
        <w:bottom w:val="none" w:sz="0" w:space="0" w:color="auto"/>
        <w:right w:val="none" w:sz="0" w:space="0" w:color="auto"/>
      </w:divBdr>
    </w:div>
    <w:div w:id="2063090634">
      <w:marLeft w:val="0"/>
      <w:marRight w:val="0"/>
      <w:marTop w:val="0"/>
      <w:marBottom w:val="0"/>
      <w:divBdr>
        <w:top w:val="none" w:sz="0" w:space="0" w:color="auto"/>
        <w:left w:val="none" w:sz="0" w:space="0" w:color="auto"/>
        <w:bottom w:val="none" w:sz="0" w:space="0" w:color="auto"/>
        <w:right w:val="none" w:sz="0" w:space="0" w:color="auto"/>
      </w:divBdr>
    </w:div>
    <w:div w:id="2063090635">
      <w:marLeft w:val="0"/>
      <w:marRight w:val="0"/>
      <w:marTop w:val="0"/>
      <w:marBottom w:val="0"/>
      <w:divBdr>
        <w:top w:val="none" w:sz="0" w:space="0" w:color="auto"/>
        <w:left w:val="none" w:sz="0" w:space="0" w:color="auto"/>
        <w:bottom w:val="none" w:sz="0" w:space="0" w:color="auto"/>
        <w:right w:val="none" w:sz="0" w:space="0" w:color="auto"/>
      </w:divBdr>
    </w:div>
    <w:div w:id="2063090636">
      <w:marLeft w:val="0"/>
      <w:marRight w:val="0"/>
      <w:marTop w:val="0"/>
      <w:marBottom w:val="0"/>
      <w:divBdr>
        <w:top w:val="none" w:sz="0" w:space="0" w:color="auto"/>
        <w:left w:val="none" w:sz="0" w:space="0" w:color="auto"/>
        <w:bottom w:val="none" w:sz="0" w:space="0" w:color="auto"/>
        <w:right w:val="none" w:sz="0" w:space="0" w:color="auto"/>
      </w:divBdr>
    </w:div>
    <w:div w:id="2063090637">
      <w:marLeft w:val="0"/>
      <w:marRight w:val="0"/>
      <w:marTop w:val="0"/>
      <w:marBottom w:val="0"/>
      <w:divBdr>
        <w:top w:val="none" w:sz="0" w:space="0" w:color="auto"/>
        <w:left w:val="none" w:sz="0" w:space="0" w:color="auto"/>
        <w:bottom w:val="none" w:sz="0" w:space="0" w:color="auto"/>
        <w:right w:val="none" w:sz="0" w:space="0" w:color="auto"/>
      </w:divBdr>
    </w:div>
    <w:div w:id="2063090638">
      <w:marLeft w:val="0"/>
      <w:marRight w:val="0"/>
      <w:marTop w:val="0"/>
      <w:marBottom w:val="0"/>
      <w:divBdr>
        <w:top w:val="none" w:sz="0" w:space="0" w:color="auto"/>
        <w:left w:val="none" w:sz="0" w:space="0" w:color="auto"/>
        <w:bottom w:val="none" w:sz="0" w:space="0" w:color="auto"/>
        <w:right w:val="none" w:sz="0" w:space="0" w:color="auto"/>
      </w:divBdr>
    </w:div>
    <w:div w:id="2063090639">
      <w:marLeft w:val="0"/>
      <w:marRight w:val="0"/>
      <w:marTop w:val="0"/>
      <w:marBottom w:val="0"/>
      <w:divBdr>
        <w:top w:val="none" w:sz="0" w:space="0" w:color="auto"/>
        <w:left w:val="none" w:sz="0" w:space="0" w:color="auto"/>
        <w:bottom w:val="none" w:sz="0" w:space="0" w:color="auto"/>
        <w:right w:val="none" w:sz="0" w:space="0" w:color="auto"/>
      </w:divBdr>
    </w:div>
    <w:div w:id="2063090640">
      <w:marLeft w:val="0"/>
      <w:marRight w:val="0"/>
      <w:marTop w:val="0"/>
      <w:marBottom w:val="0"/>
      <w:divBdr>
        <w:top w:val="none" w:sz="0" w:space="0" w:color="auto"/>
        <w:left w:val="none" w:sz="0" w:space="0" w:color="auto"/>
        <w:bottom w:val="none" w:sz="0" w:space="0" w:color="auto"/>
        <w:right w:val="none" w:sz="0" w:space="0" w:color="auto"/>
      </w:divBdr>
    </w:div>
    <w:div w:id="2063090641">
      <w:marLeft w:val="0"/>
      <w:marRight w:val="0"/>
      <w:marTop w:val="0"/>
      <w:marBottom w:val="0"/>
      <w:divBdr>
        <w:top w:val="none" w:sz="0" w:space="0" w:color="auto"/>
        <w:left w:val="none" w:sz="0" w:space="0" w:color="auto"/>
        <w:bottom w:val="none" w:sz="0" w:space="0" w:color="auto"/>
        <w:right w:val="none" w:sz="0" w:space="0" w:color="auto"/>
      </w:divBdr>
    </w:div>
    <w:div w:id="2063090642">
      <w:marLeft w:val="0"/>
      <w:marRight w:val="0"/>
      <w:marTop w:val="0"/>
      <w:marBottom w:val="0"/>
      <w:divBdr>
        <w:top w:val="none" w:sz="0" w:space="0" w:color="auto"/>
        <w:left w:val="none" w:sz="0" w:space="0" w:color="auto"/>
        <w:bottom w:val="none" w:sz="0" w:space="0" w:color="auto"/>
        <w:right w:val="none" w:sz="0" w:space="0" w:color="auto"/>
      </w:divBdr>
    </w:div>
    <w:div w:id="2063090643">
      <w:marLeft w:val="0"/>
      <w:marRight w:val="0"/>
      <w:marTop w:val="0"/>
      <w:marBottom w:val="0"/>
      <w:divBdr>
        <w:top w:val="none" w:sz="0" w:space="0" w:color="auto"/>
        <w:left w:val="none" w:sz="0" w:space="0" w:color="auto"/>
        <w:bottom w:val="none" w:sz="0" w:space="0" w:color="auto"/>
        <w:right w:val="none" w:sz="0" w:space="0" w:color="auto"/>
      </w:divBdr>
    </w:div>
    <w:div w:id="2063090644">
      <w:marLeft w:val="0"/>
      <w:marRight w:val="0"/>
      <w:marTop w:val="0"/>
      <w:marBottom w:val="0"/>
      <w:divBdr>
        <w:top w:val="none" w:sz="0" w:space="0" w:color="auto"/>
        <w:left w:val="none" w:sz="0" w:space="0" w:color="auto"/>
        <w:bottom w:val="none" w:sz="0" w:space="0" w:color="auto"/>
        <w:right w:val="none" w:sz="0" w:space="0" w:color="auto"/>
      </w:divBdr>
    </w:div>
    <w:div w:id="2063090645">
      <w:marLeft w:val="0"/>
      <w:marRight w:val="0"/>
      <w:marTop w:val="0"/>
      <w:marBottom w:val="0"/>
      <w:divBdr>
        <w:top w:val="none" w:sz="0" w:space="0" w:color="auto"/>
        <w:left w:val="none" w:sz="0" w:space="0" w:color="auto"/>
        <w:bottom w:val="none" w:sz="0" w:space="0" w:color="auto"/>
        <w:right w:val="none" w:sz="0" w:space="0" w:color="auto"/>
      </w:divBdr>
    </w:div>
    <w:div w:id="2063090646">
      <w:marLeft w:val="0"/>
      <w:marRight w:val="0"/>
      <w:marTop w:val="0"/>
      <w:marBottom w:val="0"/>
      <w:divBdr>
        <w:top w:val="none" w:sz="0" w:space="0" w:color="auto"/>
        <w:left w:val="none" w:sz="0" w:space="0" w:color="auto"/>
        <w:bottom w:val="none" w:sz="0" w:space="0" w:color="auto"/>
        <w:right w:val="none" w:sz="0" w:space="0" w:color="auto"/>
      </w:divBdr>
    </w:div>
    <w:div w:id="2063090647">
      <w:marLeft w:val="0"/>
      <w:marRight w:val="0"/>
      <w:marTop w:val="0"/>
      <w:marBottom w:val="0"/>
      <w:divBdr>
        <w:top w:val="none" w:sz="0" w:space="0" w:color="auto"/>
        <w:left w:val="none" w:sz="0" w:space="0" w:color="auto"/>
        <w:bottom w:val="none" w:sz="0" w:space="0" w:color="auto"/>
        <w:right w:val="none" w:sz="0" w:space="0" w:color="auto"/>
      </w:divBdr>
    </w:div>
    <w:div w:id="2063090648">
      <w:marLeft w:val="0"/>
      <w:marRight w:val="0"/>
      <w:marTop w:val="0"/>
      <w:marBottom w:val="0"/>
      <w:divBdr>
        <w:top w:val="none" w:sz="0" w:space="0" w:color="auto"/>
        <w:left w:val="none" w:sz="0" w:space="0" w:color="auto"/>
        <w:bottom w:val="none" w:sz="0" w:space="0" w:color="auto"/>
        <w:right w:val="none" w:sz="0" w:space="0" w:color="auto"/>
      </w:divBdr>
    </w:div>
    <w:div w:id="2063090649">
      <w:marLeft w:val="0"/>
      <w:marRight w:val="0"/>
      <w:marTop w:val="0"/>
      <w:marBottom w:val="0"/>
      <w:divBdr>
        <w:top w:val="none" w:sz="0" w:space="0" w:color="auto"/>
        <w:left w:val="none" w:sz="0" w:space="0" w:color="auto"/>
        <w:bottom w:val="none" w:sz="0" w:space="0" w:color="auto"/>
        <w:right w:val="none" w:sz="0" w:space="0" w:color="auto"/>
      </w:divBdr>
    </w:div>
    <w:div w:id="2063090650">
      <w:marLeft w:val="0"/>
      <w:marRight w:val="0"/>
      <w:marTop w:val="0"/>
      <w:marBottom w:val="0"/>
      <w:divBdr>
        <w:top w:val="none" w:sz="0" w:space="0" w:color="auto"/>
        <w:left w:val="none" w:sz="0" w:space="0" w:color="auto"/>
        <w:bottom w:val="none" w:sz="0" w:space="0" w:color="auto"/>
        <w:right w:val="none" w:sz="0" w:space="0" w:color="auto"/>
      </w:divBdr>
    </w:div>
    <w:div w:id="2063090651">
      <w:marLeft w:val="0"/>
      <w:marRight w:val="0"/>
      <w:marTop w:val="0"/>
      <w:marBottom w:val="0"/>
      <w:divBdr>
        <w:top w:val="none" w:sz="0" w:space="0" w:color="auto"/>
        <w:left w:val="none" w:sz="0" w:space="0" w:color="auto"/>
        <w:bottom w:val="none" w:sz="0" w:space="0" w:color="auto"/>
        <w:right w:val="none" w:sz="0" w:space="0" w:color="auto"/>
      </w:divBdr>
    </w:div>
    <w:div w:id="2063090652">
      <w:marLeft w:val="0"/>
      <w:marRight w:val="0"/>
      <w:marTop w:val="0"/>
      <w:marBottom w:val="0"/>
      <w:divBdr>
        <w:top w:val="none" w:sz="0" w:space="0" w:color="auto"/>
        <w:left w:val="none" w:sz="0" w:space="0" w:color="auto"/>
        <w:bottom w:val="none" w:sz="0" w:space="0" w:color="auto"/>
        <w:right w:val="none" w:sz="0" w:space="0" w:color="auto"/>
      </w:divBdr>
    </w:div>
    <w:div w:id="2063090653">
      <w:marLeft w:val="0"/>
      <w:marRight w:val="0"/>
      <w:marTop w:val="0"/>
      <w:marBottom w:val="0"/>
      <w:divBdr>
        <w:top w:val="none" w:sz="0" w:space="0" w:color="auto"/>
        <w:left w:val="none" w:sz="0" w:space="0" w:color="auto"/>
        <w:bottom w:val="none" w:sz="0" w:space="0" w:color="auto"/>
        <w:right w:val="none" w:sz="0" w:space="0" w:color="auto"/>
      </w:divBdr>
    </w:div>
    <w:div w:id="2063090654">
      <w:marLeft w:val="0"/>
      <w:marRight w:val="0"/>
      <w:marTop w:val="0"/>
      <w:marBottom w:val="0"/>
      <w:divBdr>
        <w:top w:val="none" w:sz="0" w:space="0" w:color="auto"/>
        <w:left w:val="none" w:sz="0" w:space="0" w:color="auto"/>
        <w:bottom w:val="none" w:sz="0" w:space="0" w:color="auto"/>
        <w:right w:val="none" w:sz="0" w:space="0" w:color="auto"/>
      </w:divBdr>
    </w:div>
    <w:div w:id="2063090655">
      <w:marLeft w:val="0"/>
      <w:marRight w:val="0"/>
      <w:marTop w:val="0"/>
      <w:marBottom w:val="0"/>
      <w:divBdr>
        <w:top w:val="none" w:sz="0" w:space="0" w:color="auto"/>
        <w:left w:val="none" w:sz="0" w:space="0" w:color="auto"/>
        <w:bottom w:val="none" w:sz="0" w:space="0" w:color="auto"/>
        <w:right w:val="none" w:sz="0" w:space="0" w:color="auto"/>
      </w:divBdr>
    </w:div>
    <w:div w:id="2063090656">
      <w:marLeft w:val="0"/>
      <w:marRight w:val="0"/>
      <w:marTop w:val="0"/>
      <w:marBottom w:val="0"/>
      <w:divBdr>
        <w:top w:val="none" w:sz="0" w:space="0" w:color="auto"/>
        <w:left w:val="none" w:sz="0" w:space="0" w:color="auto"/>
        <w:bottom w:val="none" w:sz="0" w:space="0" w:color="auto"/>
        <w:right w:val="none" w:sz="0" w:space="0" w:color="auto"/>
      </w:divBdr>
    </w:div>
    <w:div w:id="2063090657">
      <w:marLeft w:val="0"/>
      <w:marRight w:val="0"/>
      <w:marTop w:val="0"/>
      <w:marBottom w:val="0"/>
      <w:divBdr>
        <w:top w:val="none" w:sz="0" w:space="0" w:color="auto"/>
        <w:left w:val="none" w:sz="0" w:space="0" w:color="auto"/>
        <w:bottom w:val="none" w:sz="0" w:space="0" w:color="auto"/>
        <w:right w:val="none" w:sz="0" w:space="0" w:color="auto"/>
      </w:divBdr>
    </w:div>
    <w:div w:id="2063090658">
      <w:marLeft w:val="0"/>
      <w:marRight w:val="0"/>
      <w:marTop w:val="0"/>
      <w:marBottom w:val="0"/>
      <w:divBdr>
        <w:top w:val="none" w:sz="0" w:space="0" w:color="auto"/>
        <w:left w:val="none" w:sz="0" w:space="0" w:color="auto"/>
        <w:bottom w:val="none" w:sz="0" w:space="0" w:color="auto"/>
        <w:right w:val="none" w:sz="0" w:space="0" w:color="auto"/>
      </w:divBdr>
    </w:div>
    <w:div w:id="2063090659">
      <w:marLeft w:val="0"/>
      <w:marRight w:val="0"/>
      <w:marTop w:val="0"/>
      <w:marBottom w:val="0"/>
      <w:divBdr>
        <w:top w:val="none" w:sz="0" w:space="0" w:color="auto"/>
        <w:left w:val="none" w:sz="0" w:space="0" w:color="auto"/>
        <w:bottom w:val="none" w:sz="0" w:space="0" w:color="auto"/>
        <w:right w:val="none" w:sz="0" w:space="0" w:color="auto"/>
      </w:divBdr>
    </w:div>
    <w:div w:id="2063090660">
      <w:marLeft w:val="0"/>
      <w:marRight w:val="0"/>
      <w:marTop w:val="0"/>
      <w:marBottom w:val="0"/>
      <w:divBdr>
        <w:top w:val="none" w:sz="0" w:space="0" w:color="auto"/>
        <w:left w:val="none" w:sz="0" w:space="0" w:color="auto"/>
        <w:bottom w:val="none" w:sz="0" w:space="0" w:color="auto"/>
        <w:right w:val="none" w:sz="0" w:space="0" w:color="auto"/>
      </w:divBdr>
    </w:div>
    <w:div w:id="2063090661">
      <w:marLeft w:val="0"/>
      <w:marRight w:val="0"/>
      <w:marTop w:val="0"/>
      <w:marBottom w:val="0"/>
      <w:divBdr>
        <w:top w:val="none" w:sz="0" w:space="0" w:color="auto"/>
        <w:left w:val="none" w:sz="0" w:space="0" w:color="auto"/>
        <w:bottom w:val="none" w:sz="0" w:space="0" w:color="auto"/>
        <w:right w:val="none" w:sz="0" w:space="0" w:color="auto"/>
      </w:divBdr>
    </w:div>
    <w:div w:id="2063090662">
      <w:marLeft w:val="0"/>
      <w:marRight w:val="0"/>
      <w:marTop w:val="0"/>
      <w:marBottom w:val="0"/>
      <w:divBdr>
        <w:top w:val="none" w:sz="0" w:space="0" w:color="auto"/>
        <w:left w:val="none" w:sz="0" w:space="0" w:color="auto"/>
        <w:bottom w:val="none" w:sz="0" w:space="0" w:color="auto"/>
        <w:right w:val="none" w:sz="0" w:space="0" w:color="auto"/>
      </w:divBdr>
    </w:div>
    <w:div w:id="2063090663">
      <w:marLeft w:val="0"/>
      <w:marRight w:val="0"/>
      <w:marTop w:val="0"/>
      <w:marBottom w:val="0"/>
      <w:divBdr>
        <w:top w:val="none" w:sz="0" w:space="0" w:color="auto"/>
        <w:left w:val="none" w:sz="0" w:space="0" w:color="auto"/>
        <w:bottom w:val="none" w:sz="0" w:space="0" w:color="auto"/>
        <w:right w:val="none" w:sz="0" w:space="0" w:color="auto"/>
      </w:divBdr>
    </w:div>
    <w:div w:id="2063090664">
      <w:marLeft w:val="0"/>
      <w:marRight w:val="0"/>
      <w:marTop w:val="0"/>
      <w:marBottom w:val="0"/>
      <w:divBdr>
        <w:top w:val="none" w:sz="0" w:space="0" w:color="auto"/>
        <w:left w:val="none" w:sz="0" w:space="0" w:color="auto"/>
        <w:bottom w:val="none" w:sz="0" w:space="0" w:color="auto"/>
        <w:right w:val="none" w:sz="0" w:space="0" w:color="auto"/>
      </w:divBdr>
    </w:div>
    <w:div w:id="2063090665">
      <w:marLeft w:val="0"/>
      <w:marRight w:val="0"/>
      <w:marTop w:val="0"/>
      <w:marBottom w:val="0"/>
      <w:divBdr>
        <w:top w:val="none" w:sz="0" w:space="0" w:color="auto"/>
        <w:left w:val="none" w:sz="0" w:space="0" w:color="auto"/>
        <w:bottom w:val="none" w:sz="0" w:space="0" w:color="auto"/>
        <w:right w:val="none" w:sz="0" w:space="0" w:color="auto"/>
      </w:divBdr>
    </w:div>
    <w:div w:id="2063090666">
      <w:marLeft w:val="0"/>
      <w:marRight w:val="0"/>
      <w:marTop w:val="0"/>
      <w:marBottom w:val="0"/>
      <w:divBdr>
        <w:top w:val="none" w:sz="0" w:space="0" w:color="auto"/>
        <w:left w:val="none" w:sz="0" w:space="0" w:color="auto"/>
        <w:bottom w:val="none" w:sz="0" w:space="0" w:color="auto"/>
        <w:right w:val="none" w:sz="0" w:space="0" w:color="auto"/>
      </w:divBdr>
    </w:div>
    <w:div w:id="2063090667">
      <w:marLeft w:val="0"/>
      <w:marRight w:val="0"/>
      <w:marTop w:val="0"/>
      <w:marBottom w:val="0"/>
      <w:divBdr>
        <w:top w:val="none" w:sz="0" w:space="0" w:color="auto"/>
        <w:left w:val="none" w:sz="0" w:space="0" w:color="auto"/>
        <w:bottom w:val="none" w:sz="0" w:space="0" w:color="auto"/>
        <w:right w:val="none" w:sz="0" w:space="0" w:color="auto"/>
      </w:divBdr>
    </w:div>
    <w:div w:id="2063090668">
      <w:marLeft w:val="0"/>
      <w:marRight w:val="0"/>
      <w:marTop w:val="0"/>
      <w:marBottom w:val="0"/>
      <w:divBdr>
        <w:top w:val="none" w:sz="0" w:space="0" w:color="auto"/>
        <w:left w:val="none" w:sz="0" w:space="0" w:color="auto"/>
        <w:bottom w:val="none" w:sz="0" w:space="0" w:color="auto"/>
        <w:right w:val="none" w:sz="0" w:space="0" w:color="auto"/>
      </w:divBdr>
    </w:div>
    <w:div w:id="2063090669">
      <w:marLeft w:val="0"/>
      <w:marRight w:val="0"/>
      <w:marTop w:val="0"/>
      <w:marBottom w:val="0"/>
      <w:divBdr>
        <w:top w:val="none" w:sz="0" w:space="0" w:color="auto"/>
        <w:left w:val="none" w:sz="0" w:space="0" w:color="auto"/>
        <w:bottom w:val="none" w:sz="0" w:space="0" w:color="auto"/>
        <w:right w:val="none" w:sz="0" w:space="0" w:color="auto"/>
      </w:divBdr>
    </w:div>
    <w:div w:id="2063090670">
      <w:marLeft w:val="0"/>
      <w:marRight w:val="0"/>
      <w:marTop w:val="0"/>
      <w:marBottom w:val="0"/>
      <w:divBdr>
        <w:top w:val="none" w:sz="0" w:space="0" w:color="auto"/>
        <w:left w:val="none" w:sz="0" w:space="0" w:color="auto"/>
        <w:bottom w:val="none" w:sz="0" w:space="0" w:color="auto"/>
        <w:right w:val="none" w:sz="0" w:space="0" w:color="auto"/>
      </w:divBdr>
    </w:div>
    <w:div w:id="2063090671">
      <w:marLeft w:val="0"/>
      <w:marRight w:val="0"/>
      <w:marTop w:val="0"/>
      <w:marBottom w:val="0"/>
      <w:divBdr>
        <w:top w:val="none" w:sz="0" w:space="0" w:color="auto"/>
        <w:left w:val="none" w:sz="0" w:space="0" w:color="auto"/>
        <w:bottom w:val="none" w:sz="0" w:space="0" w:color="auto"/>
        <w:right w:val="none" w:sz="0" w:space="0" w:color="auto"/>
      </w:divBdr>
    </w:div>
    <w:div w:id="2063090672">
      <w:marLeft w:val="0"/>
      <w:marRight w:val="0"/>
      <w:marTop w:val="0"/>
      <w:marBottom w:val="0"/>
      <w:divBdr>
        <w:top w:val="none" w:sz="0" w:space="0" w:color="auto"/>
        <w:left w:val="none" w:sz="0" w:space="0" w:color="auto"/>
        <w:bottom w:val="none" w:sz="0" w:space="0" w:color="auto"/>
        <w:right w:val="none" w:sz="0" w:space="0" w:color="auto"/>
      </w:divBdr>
    </w:div>
    <w:div w:id="2063090673">
      <w:marLeft w:val="0"/>
      <w:marRight w:val="0"/>
      <w:marTop w:val="0"/>
      <w:marBottom w:val="0"/>
      <w:divBdr>
        <w:top w:val="none" w:sz="0" w:space="0" w:color="auto"/>
        <w:left w:val="none" w:sz="0" w:space="0" w:color="auto"/>
        <w:bottom w:val="none" w:sz="0" w:space="0" w:color="auto"/>
        <w:right w:val="none" w:sz="0" w:space="0" w:color="auto"/>
      </w:divBdr>
    </w:div>
    <w:div w:id="2063090674">
      <w:marLeft w:val="0"/>
      <w:marRight w:val="0"/>
      <w:marTop w:val="0"/>
      <w:marBottom w:val="0"/>
      <w:divBdr>
        <w:top w:val="none" w:sz="0" w:space="0" w:color="auto"/>
        <w:left w:val="none" w:sz="0" w:space="0" w:color="auto"/>
        <w:bottom w:val="none" w:sz="0" w:space="0" w:color="auto"/>
        <w:right w:val="none" w:sz="0" w:space="0" w:color="auto"/>
      </w:divBdr>
    </w:div>
    <w:div w:id="2063090675">
      <w:marLeft w:val="0"/>
      <w:marRight w:val="0"/>
      <w:marTop w:val="0"/>
      <w:marBottom w:val="0"/>
      <w:divBdr>
        <w:top w:val="none" w:sz="0" w:space="0" w:color="auto"/>
        <w:left w:val="none" w:sz="0" w:space="0" w:color="auto"/>
        <w:bottom w:val="none" w:sz="0" w:space="0" w:color="auto"/>
        <w:right w:val="none" w:sz="0" w:space="0" w:color="auto"/>
      </w:divBdr>
    </w:div>
    <w:div w:id="2063090676">
      <w:marLeft w:val="0"/>
      <w:marRight w:val="0"/>
      <w:marTop w:val="0"/>
      <w:marBottom w:val="0"/>
      <w:divBdr>
        <w:top w:val="none" w:sz="0" w:space="0" w:color="auto"/>
        <w:left w:val="none" w:sz="0" w:space="0" w:color="auto"/>
        <w:bottom w:val="none" w:sz="0" w:space="0" w:color="auto"/>
        <w:right w:val="none" w:sz="0" w:space="0" w:color="auto"/>
      </w:divBdr>
    </w:div>
    <w:div w:id="2063090677">
      <w:marLeft w:val="0"/>
      <w:marRight w:val="0"/>
      <w:marTop w:val="0"/>
      <w:marBottom w:val="0"/>
      <w:divBdr>
        <w:top w:val="none" w:sz="0" w:space="0" w:color="auto"/>
        <w:left w:val="none" w:sz="0" w:space="0" w:color="auto"/>
        <w:bottom w:val="none" w:sz="0" w:space="0" w:color="auto"/>
        <w:right w:val="none" w:sz="0" w:space="0" w:color="auto"/>
      </w:divBdr>
    </w:div>
    <w:div w:id="2063090678">
      <w:marLeft w:val="0"/>
      <w:marRight w:val="0"/>
      <w:marTop w:val="0"/>
      <w:marBottom w:val="0"/>
      <w:divBdr>
        <w:top w:val="none" w:sz="0" w:space="0" w:color="auto"/>
        <w:left w:val="none" w:sz="0" w:space="0" w:color="auto"/>
        <w:bottom w:val="none" w:sz="0" w:space="0" w:color="auto"/>
        <w:right w:val="none" w:sz="0" w:space="0" w:color="auto"/>
      </w:divBdr>
    </w:div>
    <w:div w:id="2063090679">
      <w:marLeft w:val="0"/>
      <w:marRight w:val="0"/>
      <w:marTop w:val="0"/>
      <w:marBottom w:val="0"/>
      <w:divBdr>
        <w:top w:val="none" w:sz="0" w:space="0" w:color="auto"/>
        <w:left w:val="none" w:sz="0" w:space="0" w:color="auto"/>
        <w:bottom w:val="none" w:sz="0" w:space="0" w:color="auto"/>
        <w:right w:val="none" w:sz="0" w:space="0" w:color="auto"/>
      </w:divBdr>
    </w:div>
    <w:div w:id="2063090680">
      <w:marLeft w:val="0"/>
      <w:marRight w:val="0"/>
      <w:marTop w:val="0"/>
      <w:marBottom w:val="0"/>
      <w:divBdr>
        <w:top w:val="none" w:sz="0" w:space="0" w:color="auto"/>
        <w:left w:val="none" w:sz="0" w:space="0" w:color="auto"/>
        <w:bottom w:val="none" w:sz="0" w:space="0" w:color="auto"/>
        <w:right w:val="none" w:sz="0" w:space="0" w:color="auto"/>
      </w:divBdr>
    </w:div>
    <w:div w:id="2063090681">
      <w:marLeft w:val="0"/>
      <w:marRight w:val="0"/>
      <w:marTop w:val="0"/>
      <w:marBottom w:val="0"/>
      <w:divBdr>
        <w:top w:val="none" w:sz="0" w:space="0" w:color="auto"/>
        <w:left w:val="none" w:sz="0" w:space="0" w:color="auto"/>
        <w:bottom w:val="none" w:sz="0" w:space="0" w:color="auto"/>
        <w:right w:val="none" w:sz="0" w:space="0" w:color="auto"/>
      </w:divBdr>
    </w:div>
    <w:div w:id="2063090682">
      <w:marLeft w:val="0"/>
      <w:marRight w:val="0"/>
      <w:marTop w:val="0"/>
      <w:marBottom w:val="0"/>
      <w:divBdr>
        <w:top w:val="none" w:sz="0" w:space="0" w:color="auto"/>
        <w:left w:val="none" w:sz="0" w:space="0" w:color="auto"/>
        <w:bottom w:val="none" w:sz="0" w:space="0" w:color="auto"/>
        <w:right w:val="none" w:sz="0" w:space="0" w:color="auto"/>
      </w:divBdr>
    </w:div>
    <w:div w:id="2063090683">
      <w:marLeft w:val="0"/>
      <w:marRight w:val="0"/>
      <w:marTop w:val="0"/>
      <w:marBottom w:val="0"/>
      <w:divBdr>
        <w:top w:val="none" w:sz="0" w:space="0" w:color="auto"/>
        <w:left w:val="none" w:sz="0" w:space="0" w:color="auto"/>
        <w:bottom w:val="none" w:sz="0" w:space="0" w:color="auto"/>
        <w:right w:val="none" w:sz="0" w:space="0" w:color="auto"/>
      </w:divBdr>
    </w:div>
    <w:div w:id="2063090684">
      <w:marLeft w:val="0"/>
      <w:marRight w:val="0"/>
      <w:marTop w:val="0"/>
      <w:marBottom w:val="0"/>
      <w:divBdr>
        <w:top w:val="none" w:sz="0" w:space="0" w:color="auto"/>
        <w:left w:val="none" w:sz="0" w:space="0" w:color="auto"/>
        <w:bottom w:val="none" w:sz="0" w:space="0" w:color="auto"/>
        <w:right w:val="none" w:sz="0" w:space="0" w:color="auto"/>
      </w:divBdr>
    </w:div>
    <w:div w:id="2063090685">
      <w:marLeft w:val="0"/>
      <w:marRight w:val="0"/>
      <w:marTop w:val="0"/>
      <w:marBottom w:val="0"/>
      <w:divBdr>
        <w:top w:val="none" w:sz="0" w:space="0" w:color="auto"/>
        <w:left w:val="none" w:sz="0" w:space="0" w:color="auto"/>
        <w:bottom w:val="none" w:sz="0" w:space="0" w:color="auto"/>
        <w:right w:val="none" w:sz="0" w:space="0" w:color="auto"/>
      </w:divBdr>
    </w:div>
    <w:div w:id="2063090686">
      <w:marLeft w:val="0"/>
      <w:marRight w:val="0"/>
      <w:marTop w:val="0"/>
      <w:marBottom w:val="0"/>
      <w:divBdr>
        <w:top w:val="none" w:sz="0" w:space="0" w:color="auto"/>
        <w:left w:val="none" w:sz="0" w:space="0" w:color="auto"/>
        <w:bottom w:val="none" w:sz="0" w:space="0" w:color="auto"/>
        <w:right w:val="none" w:sz="0" w:space="0" w:color="auto"/>
      </w:divBdr>
    </w:div>
    <w:div w:id="2063090687">
      <w:marLeft w:val="0"/>
      <w:marRight w:val="0"/>
      <w:marTop w:val="0"/>
      <w:marBottom w:val="0"/>
      <w:divBdr>
        <w:top w:val="none" w:sz="0" w:space="0" w:color="auto"/>
        <w:left w:val="none" w:sz="0" w:space="0" w:color="auto"/>
        <w:bottom w:val="none" w:sz="0" w:space="0" w:color="auto"/>
        <w:right w:val="none" w:sz="0" w:space="0" w:color="auto"/>
      </w:divBdr>
    </w:div>
    <w:div w:id="2063090689">
      <w:marLeft w:val="0"/>
      <w:marRight w:val="0"/>
      <w:marTop w:val="0"/>
      <w:marBottom w:val="0"/>
      <w:divBdr>
        <w:top w:val="none" w:sz="0" w:space="0" w:color="auto"/>
        <w:left w:val="none" w:sz="0" w:space="0" w:color="auto"/>
        <w:bottom w:val="none" w:sz="0" w:space="0" w:color="auto"/>
        <w:right w:val="none" w:sz="0" w:space="0" w:color="auto"/>
      </w:divBdr>
    </w:div>
    <w:div w:id="2063090690">
      <w:marLeft w:val="0"/>
      <w:marRight w:val="0"/>
      <w:marTop w:val="0"/>
      <w:marBottom w:val="0"/>
      <w:divBdr>
        <w:top w:val="none" w:sz="0" w:space="0" w:color="auto"/>
        <w:left w:val="none" w:sz="0" w:space="0" w:color="auto"/>
        <w:bottom w:val="none" w:sz="0" w:space="0" w:color="auto"/>
        <w:right w:val="none" w:sz="0" w:space="0" w:color="auto"/>
      </w:divBdr>
    </w:div>
    <w:div w:id="2063090691">
      <w:marLeft w:val="0"/>
      <w:marRight w:val="0"/>
      <w:marTop w:val="0"/>
      <w:marBottom w:val="0"/>
      <w:divBdr>
        <w:top w:val="none" w:sz="0" w:space="0" w:color="auto"/>
        <w:left w:val="none" w:sz="0" w:space="0" w:color="auto"/>
        <w:bottom w:val="none" w:sz="0" w:space="0" w:color="auto"/>
        <w:right w:val="none" w:sz="0" w:space="0" w:color="auto"/>
      </w:divBdr>
    </w:div>
    <w:div w:id="2063090692">
      <w:marLeft w:val="0"/>
      <w:marRight w:val="0"/>
      <w:marTop w:val="0"/>
      <w:marBottom w:val="0"/>
      <w:divBdr>
        <w:top w:val="none" w:sz="0" w:space="0" w:color="auto"/>
        <w:left w:val="none" w:sz="0" w:space="0" w:color="auto"/>
        <w:bottom w:val="none" w:sz="0" w:space="0" w:color="auto"/>
        <w:right w:val="none" w:sz="0" w:space="0" w:color="auto"/>
      </w:divBdr>
    </w:div>
    <w:div w:id="2063090693">
      <w:marLeft w:val="0"/>
      <w:marRight w:val="0"/>
      <w:marTop w:val="0"/>
      <w:marBottom w:val="0"/>
      <w:divBdr>
        <w:top w:val="none" w:sz="0" w:space="0" w:color="auto"/>
        <w:left w:val="none" w:sz="0" w:space="0" w:color="auto"/>
        <w:bottom w:val="none" w:sz="0" w:space="0" w:color="auto"/>
        <w:right w:val="none" w:sz="0" w:space="0" w:color="auto"/>
      </w:divBdr>
    </w:div>
    <w:div w:id="2063090694">
      <w:marLeft w:val="0"/>
      <w:marRight w:val="0"/>
      <w:marTop w:val="0"/>
      <w:marBottom w:val="0"/>
      <w:divBdr>
        <w:top w:val="none" w:sz="0" w:space="0" w:color="auto"/>
        <w:left w:val="none" w:sz="0" w:space="0" w:color="auto"/>
        <w:bottom w:val="none" w:sz="0" w:space="0" w:color="auto"/>
        <w:right w:val="none" w:sz="0" w:space="0" w:color="auto"/>
      </w:divBdr>
    </w:div>
    <w:div w:id="2063090695">
      <w:marLeft w:val="0"/>
      <w:marRight w:val="0"/>
      <w:marTop w:val="0"/>
      <w:marBottom w:val="0"/>
      <w:divBdr>
        <w:top w:val="none" w:sz="0" w:space="0" w:color="auto"/>
        <w:left w:val="none" w:sz="0" w:space="0" w:color="auto"/>
        <w:bottom w:val="none" w:sz="0" w:space="0" w:color="auto"/>
        <w:right w:val="none" w:sz="0" w:space="0" w:color="auto"/>
      </w:divBdr>
    </w:div>
    <w:div w:id="2063090696">
      <w:marLeft w:val="0"/>
      <w:marRight w:val="0"/>
      <w:marTop w:val="0"/>
      <w:marBottom w:val="0"/>
      <w:divBdr>
        <w:top w:val="none" w:sz="0" w:space="0" w:color="auto"/>
        <w:left w:val="none" w:sz="0" w:space="0" w:color="auto"/>
        <w:bottom w:val="none" w:sz="0" w:space="0" w:color="auto"/>
        <w:right w:val="none" w:sz="0" w:space="0" w:color="auto"/>
      </w:divBdr>
    </w:div>
    <w:div w:id="2063090697">
      <w:marLeft w:val="0"/>
      <w:marRight w:val="0"/>
      <w:marTop w:val="0"/>
      <w:marBottom w:val="0"/>
      <w:divBdr>
        <w:top w:val="none" w:sz="0" w:space="0" w:color="auto"/>
        <w:left w:val="none" w:sz="0" w:space="0" w:color="auto"/>
        <w:bottom w:val="none" w:sz="0" w:space="0" w:color="auto"/>
        <w:right w:val="none" w:sz="0" w:space="0" w:color="auto"/>
      </w:divBdr>
    </w:div>
    <w:div w:id="2063090698">
      <w:marLeft w:val="0"/>
      <w:marRight w:val="0"/>
      <w:marTop w:val="0"/>
      <w:marBottom w:val="0"/>
      <w:divBdr>
        <w:top w:val="none" w:sz="0" w:space="0" w:color="auto"/>
        <w:left w:val="none" w:sz="0" w:space="0" w:color="auto"/>
        <w:bottom w:val="none" w:sz="0" w:space="0" w:color="auto"/>
        <w:right w:val="none" w:sz="0" w:space="0" w:color="auto"/>
      </w:divBdr>
    </w:div>
    <w:div w:id="2063090699">
      <w:marLeft w:val="0"/>
      <w:marRight w:val="0"/>
      <w:marTop w:val="0"/>
      <w:marBottom w:val="0"/>
      <w:divBdr>
        <w:top w:val="none" w:sz="0" w:space="0" w:color="auto"/>
        <w:left w:val="none" w:sz="0" w:space="0" w:color="auto"/>
        <w:bottom w:val="none" w:sz="0" w:space="0" w:color="auto"/>
        <w:right w:val="none" w:sz="0" w:space="0" w:color="auto"/>
      </w:divBdr>
    </w:div>
    <w:div w:id="2063090700">
      <w:marLeft w:val="0"/>
      <w:marRight w:val="0"/>
      <w:marTop w:val="0"/>
      <w:marBottom w:val="0"/>
      <w:divBdr>
        <w:top w:val="none" w:sz="0" w:space="0" w:color="auto"/>
        <w:left w:val="none" w:sz="0" w:space="0" w:color="auto"/>
        <w:bottom w:val="none" w:sz="0" w:space="0" w:color="auto"/>
        <w:right w:val="none" w:sz="0" w:space="0" w:color="auto"/>
      </w:divBdr>
    </w:div>
    <w:div w:id="2063090701">
      <w:marLeft w:val="0"/>
      <w:marRight w:val="0"/>
      <w:marTop w:val="0"/>
      <w:marBottom w:val="0"/>
      <w:divBdr>
        <w:top w:val="none" w:sz="0" w:space="0" w:color="auto"/>
        <w:left w:val="none" w:sz="0" w:space="0" w:color="auto"/>
        <w:bottom w:val="none" w:sz="0" w:space="0" w:color="auto"/>
        <w:right w:val="none" w:sz="0" w:space="0" w:color="auto"/>
      </w:divBdr>
    </w:div>
    <w:div w:id="2063090702">
      <w:marLeft w:val="0"/>
      <w:marRight w:val="0"/>
      <w:marTop w:val="0"/>
      <w:marBottom w:val="0"/>
      <w:divBdr>
        <w:top w:val="none" w:sz="0" w:space="0" w:color="auto"/>
        <w:left w:val="none" w:sz="0" w:space="0" w:color="auto"/>
        <w:bottom w:val="none" w:sz="0" w:space="0" w:color="auto"/>
        <w:right w:val="none" w:sz="0" w:space="0" w:color="auto"/>
      </w:divBdr>
    </w:div>
    <w:div w:id="2063090703">
      <w:marLeft w:val="0"/>
      <w:marRight w:val="0"/>
      <w:marTop w:val="0"/>
      <w:marBottom w:val="0"/>
      <w:divBdr>
        <w:top w:val="none" w:sz="0" w:space="0" w:color="auto"/>
        <w:left w:val="none" w:sz="0" w:space="0" w:color="auto"/>
        <w:bottom w:val="none" w:sz="0" w:space="0" w:color="auto"/>
        <w:right w:val="none" w:sz="0" w:space="0" w:color="auto"/>
      </w:divBdr>
    </w:div>
    <w:div w:id="2063090704">
      <w:marLeft w:val="0"/>
      <w:marRight w:val="0"/>
      <w:marTop w:val="0"/>
      <w:marBottom w:val="0"/>
      <w:divBdr>
        <w:top w:val="none" w:sz="0" w:space="0" w:color="auto"/>
        <w:left w:val="none" w:sz="0" w:space="0" w:color="auto"/>
        <w:bottom w:val="none" w:sz="0" w:space="0" w:color="auto"/>
        <w:right w:val="none" w:sz="0" w:space="0" w:color="auto"/>
      </w:divBdr>
    </w:div>
    <w:div w:id="2063090705">
      <w:marLeft w:val="0"/>
      <w:marRight w:val="0"/>
      <w:marTop w:val="0"/>
      <w:marBottom w:val="0"/>
      <w:divBdr>
        <w:top w:val="none" w:sz="0" w:space="0" w:color="auto"/>
        <w:left w:val="none" w:sz="0" w:space="0" w:color="auto"/>
        <w:bottom w:val="none" w:sz="0" w:space="0" w:color="auto"/>
        <w:right w:val="none" w:sz="0" w:space="0" w:color="auto"/>
      </w:divBdr>
    </w:div>
    <w:div w:id="2063090706">
      <w:marLeft w:val="0"/>
      <w:marRight w:val="0"/>
      <w:marTop w:val="0"/>
      <w:marBottom w:val="0"/>
      <w:divBdr>
        <w:top w:val="none" w:sz="0" w:space="0" w:color="auto"/>
        <w:left w:val="none" w:sz="0" w:space="0" w:color="auto"/>
        <w:bottom w:val="none" w:sz="0" w:space="0" w:color="auto"/>
        <w:right w:val="none" w:sz="0" w:space="0" w:color="auto"/>
      </w:divBdr>
    </w:div>
    <w:div w:id="2063090707">
      <w:marLeft w:val="0"/>
      <w:marRight w:val="0"/>
      <w:marTop w:val="0"/>
      <w:marBottom w:val="0"/>
      <w:divBdr>
        <w:top w:val="none" w:sz="0" w:space="0" w:color="auto"/>
        <w:left w:val="none" w:sz="0" w:space="0" w:color="auto"/>
        <w:bottom w:val="none" w:sz="0" w:space="0" w:color="auto"/>
        <w:right w:val="none" w:sz="0" w:space="0" w:color="auto"/>
      </w:divBdr>
    </w:div>
    <w:div w:id="2063090708">
      <w:marLeft w:val="0"/>
      <w:marRight w:val="0"/>
      <w:marTop w:val="0"/>
      <w:marBottom w:val="0"/>
      <w:divBdr>
        <w:top w:val="none" w:sz="0" w:space="0" w:color="auto"/>
        <w:left w:val="none" w:sz="0" w:space="0" w:color="auto"/>
        <w:bottom w:val="none" w:sz="0" w:space="0" w:color="auto"/>
        <w:right w:val="none" w:sz="0" w:space="0" w:color="auto"/>
      </w:divBdr>
    </w:div>
    <w:div w:id="2063090709">
      <w:marLeft w:val="0"/>
      <w:marRight w:val="0"/>
      <w:marTop w:val="0"/>
      <w:marBottom w:val="0"/>
      <w:divBdr>
        <w:top w:val="none" w:sz="0" w:space="0" w:color="auto"/>
        <w:left w:val="none" w:sz="0" w:space="0" w:color="auto"/>
        <w:bottom w:val="none" w:sz="0" w:space="0" w:color="auto"/>
        <w:right w:val="none" w:sz="0" w:space="0" w:color="auto"/>
      </w:divBdr>
    </w:div>
    <w:div w:id="2063090710">
      <w:marLeft w:val="0"/>
      <w:marRight w:val="0"/>
      <w:marTop w:val="0"/>
      <w:marBottom w:val="0"/>
      <w:divBdr>
        <w:top w:val="none" w:sz="0" w:space="0" w:color="auto"/>
        <w:left w:val="none" w:sz="0" w:space="0" w:color="auto"/>
        <w:bottom w:val="none" w:sz="0" w:space="0" w:color="auto"/>
        <w:right w:val="none" w:sz="0" w:space="0" w:color="auto"/>
      </w:divBdr>
    </w:div>
    <w:div w:id="2063090711">
      <w:marLeft w:val="0"/>
      <w:marRight w:val="0"/>
      <w:marTop w:val="0"/>
      <w:marBottom w:val="0"/>
      <w:divBdr>
        <w:top w:val="none" w:sz="0" w:space="0" w:color="auto"/>
        <w:left w:val="none" w:sz="0" w:space="0" w:color="auto"/>
        <w:bottom w:val="none" w:sz="0" w:space="0" w:color="auto"/>
        <w:right w:val="none" w:sz="0" w:space="0" w:color="auto"/>
      </w:divBdr>
    </w:div>
    <w:div w:id="2063090712">
      <w:marLeft w:val="0"/>
      <w:marRight w:val="0"/>
      <w:marTop w:val="0"/>
      <w:marBottom w:val="0"/>
      <w:divBdr>
        <w:top w:val="none" w:sz="0" w:space="0" w:color="auto"/>
        <w:left w:val="none" w:sz="0" w:space="0" w:color="auto"/>
        <w:bottom w:val="none" w:sz="0" w:space="0" w:color="auto"/>
        <w:right w:val="none" w:sz="0" w:space="0" w:color="auto"/>
      </w:divBdr>
    </w:div>
    <w:div w:id="2063090713">
      <w:marLeft w:val="0"/>
      <w:marRight w:val="0"/>
      <w:marTop w:val="0"/>
      <w:marBottom w:val="0"/>
      <w:divBdr>
        <w:top w:val="none" w:sz="0" w:space="0" w:color="auto"/>
        <w:left w:val="none" w:sz="0" w:space="0" w:color="auto"/>
        <w:bottom w:val="none" w:sz="0" w:space="0" w:color="auto"/>
        <w:right w:val="none" w:sz="0" w:space="0" w:color="auto"/>
      </w:divBdr>
    </w:div>
    <w:div w:id="2063090714">
      <w:marLeft w:val="0"/>
      <w:marRight w:val="0"/>
      <w:marTop w:val="0"/>
      <w:marBottom w:val="0"/>
      <w:divBdr>
        <w:top w:val="none" w:sz="0" w:space="0" w:color="auto"/>
        <w:left w:val="none" w:sz="0" w:space="0" w:color="auto"/>
        <w:bottom w:val="none" w:sz="0" w:space="0" w:color="auto"/>
        <w:right w:val="none" w:sz="0" w:space="0" w:color="auto"/>
      </w:divBdr>
    </w:div>
    <w:div w:id="2063090715">
      <w:marLeft w:val="0"/>
      <w:marRight w:val="0"/>
      <w:marTop w:val="0"/>
      <w:marBottom w:val="0"/>
      <w:divBdr>
        <w:top w:val="none" w:sz="0" w:space="0" w:color="auto"/>
        <w:left w:val="none" w:sz="0" w:space="0" w:color="auto"/>
        <w:bottom w:val="none" w:sz="0" w:space="0" w:color="auto"/>
        <w:right w:val="none" w:sz="0" w:space="0" w:color="auto"/>
      </w:divBdr>
    </w:div>
    <w:div w:id="2063090716">
      <w:marLeft w:val="0"/>
      <w:marRight w:val="0"/>
      <w:marTop w:val="0"/>
      <w:marBottom w:val="0"/>
      <w:divBdr>
        <w:top w:val="none" w:sz="0" w:space="0" w:color="auto"/>
        <w:left w:val="none" w:sz="0" w:space="0" w:color="auto"/>
        <w:bottom w:val="none" w:sz="0" w:space="0" w:color="auto"/>
        <w:right w:val="none" w:sz="0" w:space="0" w:color="auto"/>
      </w:divBdr>
    </w:div>
    <w:div w:id="2063090717">
      <w:marLeft w:val="0"/>
      <w:marRight w:val="0"/>
      <w:marTop w:val="0"/>
      <w:marBottom w:val="0"/>
      <w:divBdr>
        <w:top w:val="none" w:sz="0" w:space="0" w:color="auto"/>
        <w:left w:val="none" w:sz="0" w:space="0" w:color="auto"/>
        <w:bottom w:val="none" w:sz="0" w:space="0" w:color="auto"/>
        <w:right w:val="none" w:sz="0" w:space="0" w:color="auto"/>
      </w:divBdr>
    </w:div>
    <w:div w:id="2063090718">
      <w:marLeft w:val="0"/>
      <w:marRight w:val="0"/>
      <w:marTop w:val="0"/>
      <w:marBottom w:val="0"/>
      <w:divBdr>
        <w:top w:val="none" w:sz="0" w:space="0" w:color="auto"/>
        <w:left w:val="none" w:sz="0" w:space="0" w:color="auto"/>
        <w:bottom w:val="none" w:sz="0" w:space="0" w:color="auto"/>
        <w:right w:val="none" w:sz="0" w:space="0" w:color="auto"/>
      </w:divBdr>
    </w:div>
    <w:div w:id="2063090719">
      <w:marLeft w:val="0"/>
      <w:marRight w:val="0"/>
      <w:marTop w:val="0"/>
      <w:marBottom w:val="0"/>
      <w:divBdr>
        <w:top w:val="none" w:sz="0" w:space="0" w:color="auto"/>
        <w:left w:val="none" w:sz="0" w:space="0" w:color="auto"/>
        <w:bottom w:val="none" w:sz="0" w:space="0" w:color="auto"/>
        <w:right w:val="none" w:sz="0" w:space="0" w:color="auto"/>
      </w:divBdr>
    </w:div>
    <w:div w:id="2063090720">
      <w:marLeft w:val="0"/>
      <w:marRight w:val="0"/>
      <w:marTop w:val="0"/>
      <w:marBottom w:val="0"/>
      <w:divBdr>
        <w:top w:val="none" w:sz="0" w:space="0" w:color="auto"/>
        <w:left w:val="none" w:sz="0" w:space="0" w:color="auto"/>
        <w:bottom w:val="none" w:sz="0" w:space="0" w:color="auto"/>
        <w:right w:val="none" w:sz="0" w:space="0" w:color="auto"/>
      </w:divBdr>
    </w:div>
    <w:div w:id="2063090721">
      <w:marLeft w:val="0"/>
      <w:marRight w:val="0"/>
      <w:marTop w:val="0"/>
      <w:marBottom w:val="0"/>
      <w:divBdr>
        <w:top w:val="none" w:sz="0" w:space="0" w:color="auto"/>
        <w:left w:val="none" w:sz="0" w:space="0" w:color="auto"/>
        <w:bottom w:val="none" w:sz="0" w:space="0" w:color="auto"/>
        <w:right w:val="none" w:sz="0" w:space="0" w:color="auto"/>
      </w:divBdr>
    </w:div>
    <w:div w:id="2063090722">
      <w:marLeft w:val="0"/>
      <w:marRight w:val="0"/>
      <w:marTop w:val="0"/>
      <w:marBottom w:val="0"/>
      <w:divBdr>
        <w:top w:val="none" w:sz="0" w:space="0" w:color="auto"/>
        <w:left w:val="none" w:sz="0" w:space="0" w:color="auto"/>
        <w:bottom w:val="none" w:sz="0" w:space="0" w:color="auto"/>
        <w:right w:val="none" w:sz="0" w:space="0" w:color="auto"/>
      </w:divBdr>
    </w:div>
    <w:div w:id="2063090723">
      <w:marLeft w:val="0"/>
      <w:marRight w:val="0"/>
      <w:marTop w:val="0"/>
      <w:marBottom w:val="0"/>
      <w:divBdr>
        <w:top w:val="none" w:sz="0" w:space="0" w:color="auto"/>
        <w:left w:val="none" w:sz="0" w:space="0" w:color="auto"/>
        <w:bottom w:val="none" w:sz="0" w:space="0" w:color="auto"/>
        <w:right w:val="none" w:sz="0" w:space="0" w:color="auto"/>
      </w:divBdr>
    </w:div>
    <w:div w:id="2063090724">
      <w:marLeft w:val="0"/>
      <w:marRight w:val="0"/>
      <w:marTop w:val="0"/>
      <w:marBottom w:val="0"/>
      <w:divBdr>
        <w:top w:val="none" w:sz="0" w:space="0" w:color="auto"/>
        <w:left w:val="none" w:sz="0" w:space="0" w:color="auto"/>
        <w:bottom w:val="none" w:sz="0" w:space="0" w:color="auto"/>
        <w:right w:val="none" w:sz="0" w:space="0" w:color="auto"/>
      </w:divBdr>
    </w:div>
    <w:div w:id="2063090725">
      <w:marLeft w:val="0"/>
      <w:marRight w:val="0"/>
      <w:marTop w:val="0"/>
      <w:marBottom w:val="0"/>
      <w:divBdr>
        <w:top w:val="none" w:sz="0" w:space="0" w:color="auto"/>
        <w:left w:val="none" w:sz="0" w:space="0" w:color="auto"/>
        <w:bottom w:val="none" w:sz="0" w:space="0" w:color="auto"/>
        <w:right w:val="none" w:sz="0" w:space="0" w:color="auto"/>
      </w:divBdr>
    </w:div>
    <w:div w:id="2063090726">
      <w:marLeft w:val="0"/>
      <w:marRight w:val="0"/>
      <w:marTop w:val="0"/>
      <w:marBottom w:val="0"/>
      <w:divBdr>
        <w:top w:val="none" w:sz="0" w:space="0" w:color="auto"/>
        <w:left w:val="none" w:sz="0" w:space="0" w:color="auto"/>
        <w:bottom w:val="none" w:sz="0" w:space="0" w:color="auto"/>
        <w:right w:val="none" w:sz="0" w:space="0" w:color="auto"/>
      </w:divBdr>
    </w:div>
    <w:div w:id="2063090727">
      <w:marLeft w:val="0"/>
      <w:marRight w:val="0"/>
      <w:marTop w:val="0"/>
      <w:marBottom w:val="0"/>
      <w:divBdr>
        <w:top w:val="none" w:sz="0" w:space="0" w:color="auto"/>
        <w:left w:val="none" w:sz="0" w:space="0" w:color="auto"/>
        <w:bottom w:val="none" w:sz="0" w:space="0" w:color="auto"/>
        <w:right w:val="none" w:sz="0" w:space="0" w:color="auto"/>
      </w:divBdr>
    </w:div>
    <w:div w:id="2063090728">
      <w:marLeft w:val="0"/>
      <w:marRight w:val="0"/>
      <w:marTop w:val="0"/>
      <w:marBottom w:val="0"/>
      <w:divBdr>
        <w:top w:val="none" w:sz="0" w:space="0" w:color="auto"/>
        <w:left w:val="none" w:sz="0" w:space="0" w:color="auto"/>
        <w:bottom w:val="none" w:sz="0" w:space="0" w:color="auto"/>
        <w:right w:val="none" w:sz="0" w:space="0" w:color="auto"/>
      </w:divBdr>
    </w:div>
    <w:div w:id="2063090729">
      <w:marLeft w:val="0"/>
      <w:marRight w:val="0"/>
      <w:marTop w:val="0"/>
      <w:marBottom w:val="0"/>
      <w:divBdr>
        <w:top w:val="none" w:sz="0" w:space="0" w:color="auto"/>
        <w:left w:val="none" w:sz="0" w:space="0" w:color="auto"/>
        <w:bottom w:val="none" w:sz="0" w:space="0" w:color="auto"/>
        <w:right w:val="none" w:sz="0" w:space="0" w:color="auto"/>
      </w:divBdr>
    </w:div>
    <w:div w:id="2063090730">
      <w:marLeft w:val="0"/>
      <w:marRight w:val="0"/>
      <w:marTop w:val="0"/>
      <w:marBottom w:val="0"/>
      <w:divBdr>
        <w:top w:val="none" w:sz="0" w:space="0" w:color="auto"/>
        <w:left w:val="none" w:sz="0" w:space="0" w:color="auto"/>
        <w:bottom w:val="none" w:sz="0" w:space="0" w:color="auto"/>
        <w:right w:val="none" w:sz="0" w:space="0" w:color="auto"/>
      </w:divBdr>
    </w:div>
    <w:div w:id="20630907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576</TotalTime>
  <Pages>33</Pages>
  <Words>3289</Words>
  <Characters>18748</Characters>
  <Application>Microsoft Office Word</Application>
  <DocSecurity>0</DocSecurity>
  <Lines>156</Lines>
  <Paragraphs>43</Paragraphs>
  <ScaleCrop>false</ScaleCrop>
  <Company/>
  <LinksUpToDate>false</LinksUpToDate>
  <CharactersWithSpaces>21994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王晚婷</cp:lastModifiedBy>
  <cp:revision>559</cp:revision>
  <cp:lastPrinted>2007-07-19T00:46:00Z</cp:lastPrinted>
  <dcterms:created xsi:type="dcterms:W3CDTF">2013-10-15T01:57:00Z</dcterms:created>
  <dcterms:modified xsi:type="dcterms:W3CDTF">2018-03-26T14:28:00Z</dcterms:modified>
</cp:coreProperties>
</file>