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交银施罗德丰享收益债券型证券投资基金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交银丰享收益债券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519748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契约型，本基金在基金合同生效之日起两年（含两年）的期间内封闭式运作（按照基金合同的约定提前转换基金运作方式的除外），封闭期结束后转为开放式运作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1</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287,409,401.88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交银丰享收益债券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交银丰享收益债券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519746</w:t>
            </w:r>
          </w:p>
        </w:tc>
        <w:tc>
          <w:tcPr>
            <w:tcW w:w="2902" w:type="dxa"/>
            <w:vAlign w:val="center"/>
          </w:tcPr>
          <w:p w:rsidR="009511B7" w:rsidRPr="000E4C40" w:rsidRDefault="009511B7" w:rsidP="00C57BBB">
            <w:pPr>
              <w:spacing w:before="29" w:line="288" w:lineRule="auto"/>
              <w:jc w:val="left"/>
              <w:rPr>
                <w:sz w:val="24"/>
              </w:rPr>
            </w:pPr>
            <w:r w:rsidRPr="000E4C40">
              <w:rPr>
                <w:sz w:val="24"/>
              </w:rPr>
              <w:t>519748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260,425,742.53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26,983,659.35</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20</w:t>
      </w:r>
      <w:r w:rsidRPr="00E25C2A">
        <w:rPr>
          <w:kern w:val="0"/>
          <w:sz w:val="24"/>
        </w:rPr>
        <w:t>日起转为开放式运作，并增加开通</w:t>
      </w:r>
      <w:r w:rsidRPr="00E25C2A">
        <w:rPr>
          <w:kern w:val="0"/>
          <w:sz w:val="24"/>
        </w:rPr>
        <w:t>A</w:t>
      </w:r>
      <w:r w:rsidRPr="00E25C2A">
        <w:rPr>
          <w:kern w:val="0"/>
          <w:sz w:val="24"/>
        </w:rPr>
        <w:t>类基金份额。</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在严格控制风险和追求资产稳健增值的基础上</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8C5924" w:rsidRDefault="00AB551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C5924" w:rsidRDefault="008C5924">
            <w:pPr>
              <w:spacing w:before="29" w:line="288" w:lineRule="auto"/>
              <w:rPr>
                <w:sz w:val="24"/>
              </w:rPr>
            </w:pP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w:t>
            </w:r>
            <w:r w:rsidRPr="00CF0C3D">
              <w:rPr>
                <w:sz w:val="24"/>
              </w:rPr>
              <w:lastRenderedPageBreak/>
              <w:t>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8C5924" w:rsidRDefault="00AB5512">
            <w:pPr>
              <w:spacing w:before="29" w:line="288" w:lineRule="auto"/>
              <w:rPr>
                <w:sz w:val="24"/>
              </w:rPr>
            </w:pPr>
            <w:r>
              <w:rPr>
                <w:sz w:val="24"/>
              </w:rPr>
              <w:t>封闭期内业绩比较基准：两年期银行定期存款税后收益率</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w:t>
            </w:r>
            <w:r w:rsidRPr="00A942AC">
              <w:rPr>
                <w:rFonts w:hint="eastAsia"/>
                <w:b/>
                <w:szCs w:val="21"/>
              </w:rPr>
              <w:lastRenderedPageBreak/>
              <w:t>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lastRenderedPageBreak/>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1</w:t>
            </w:r>
            <w:r w:rsidRPr="00A942AC">
              <w:rPr>
                <w:b/>
                <w:szCs w:val="21"/>
              </w:rPr>
              <w:t>月</w:t>
            </w:r>
            <w:r w:rsidRPr="00A942AC">
              <w:rPr>
                <w:b/>
                <w:szCs w:val="21"/>
              </w:rPr>
              <w:t>19</w:t>
            </w:r>
            <w:r w:rsidRPr="00A942AC">
              <w:rPr>
                <w:b/>
                <w:szCs w:val="21"/>
              </w:rPr>
              <w:t>日（基金合</w:t>
            </w:r>
            <w:r w:rsidRPr="00A942AC">
              <w:rPr>
                <w:b/>
                <w:szCs w:val="21"/>
              </w:rPr>
              <w:lastRenderedPageBreak/>
              <w:t>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8,084,958.99</w:t>
            </w:r>
          </w:p>
        </w:tc>
        <w:tc>
          <w:tcPr>
            <w:tcW w:w="688" w:type="pct"/>
            <w:vAlign w:val="center"/>
          </w:tcPr>
          <w:p w:rsidR="00B44DBC" w:rsidRPr="00A942AC" w:rsidRDefault="00B44DBC" w:rsidP="00674CBD">
            <w:pPr>
              <w:spacing w:before="29" w:line="288" w:lineRule="auto"/>
              <w:jc w:val="right"/>
              <w:rPr>
                <w:szCs w:val="21"/>
              </w:rPr>
            </w:pPr>
            <w:r w:rsidRPr="00A942AC">
              <w:rPr>
                <w:szCs w:val="21"/>
              </w:rPr>
              <w:t>1,006,093.38</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8" w:type="pct"/>
            <w:vAlign w:val="center"/>
          </w:tcPr>
          <w:p w:rsidR="00B44DBC" w:rsidRPr="00A942AC" w:rsidRDefault="00B44DBC" w:rsidP="00674CBD">
            <w:pPr>
              <w:spacing w:before="29" w:line="288" w:lineRule="auto"/>
              <w:jc w:val="right"/>
              <w:rPr>
                <w:szCs w:val="21"/>
              </w:rPr>
            </w:pPr>
            <w:r w:rsidRPr="00A942AC">
              <w:rPr>
                <w:szCs w:val="21"/>
              </w:rPr>
              <w:t>15,304,125.81</w:t>
            </w:r>
          </w:p>
        </w:tc>
        <w:tc>
          <w:tcPr>
            <w:tcW w:w="762" w:type="pct"/>
            <w:vAlign w:val="center"/>
          </w:tcPr>
          <w:p w:rsidR="00B44DBC" w:rsidRPr="00A942AC" w:rsidRDefault="00B44DBC" w:rsidP="00674CBD">
            <w:pPr>
              <w:spacing w:before="29" w:line="288" w:lineRule="auto"/>
              <w:jc w:val="right"/>
              <w:rPr>
                <w:szCs w:val="21"/>
              </w:rPr>
            </w:pPr>
            <w:r w:rsidRPr="00A942AC">
              <w:rPr>
                <w:szCs w:val="21"/>
              </w:rPr>
              <w:t>-</w:t>
            </w:r>
          </w:p>
        </w:tc>
        <w:tc>
          <w:tcPr>
            <w:tcW w:w="666" w:type="pct"/>
            <w:vAlign w:val="center"/>
          </w:tcPr>
          <w:p w:rsidR="00B44DBC" w:rsidRPr="00A942AC" w:rsidRDefault="00B44DBC" w:rsidP="00674CBD">
            <w:pPr>
              <w:spacing w:before="29" w:line="288" w:lineRule="auto"/>
              <w:jc w:val="right"/>
              <w:rPr>
                <w:szCs w:val="21"/>
              </w:rPr>
            </w:pPr>
            <w:r w:rsidRPr="00A942AC">
              <w:rPr>
                <w:szCs w:val="21"/>
              </w:rPr>
              <w:t>18,543,493.13</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7,638,456.88</w:t>
            </w:r>
          </w:p>
        </w:tc>
        <w:tc>
          <w:tcPr>
            <w:tcW w:w="688" w:type="pct"/>
            <w:vAlign w:val="center"/>
          </w:tcPr>
          <w:p w:rsidR="00B44DBC" w:rsidRPr="00A942AC" w:rsidRDefault="00B44DBC" w:rsidP="00674CBD">
            <w:pPr>
              <w:spacing w:before="29" w:line="288" w:lineRule="auto"/>
              <w:jc w:val="right"/>
              <w:rPr>
                <w:szCs w:val="21"/>
              </w:rPr>
            </w:pPr>
            <w:r w:rsidRPr="00A942AC">
              <w:rPr>
                <w:szCs w:val="21"/>
              </w:rPr>
              <w:t>1,216,976.38</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8" w:type="pct"/>
            <w:vAlign w:val="center"/>
          </w:tcPr>
          <w:p w:rsidR="00B44DBC" w:rsidRPr="00A942AC" w:rsidRDefault="00B44DBC" w:rsidP="00674CBD">
            <w:pPr>
              <w:spacing w:before="29" w:line="288" w:lineRule="auto"/>
              <w:jc w:val="right"/>
              <w:rPr>
                <w:szCs w:val="21"/>
              </w:rPr>
            </w:pPr>
            <w:r w:rsidRPr="00A942AC">
              <w:rPr>
                <w:szCs w:val="21"/>
              </w:rPr>
              <w:t>6,634,285.44</w:t>
            </w:r>
          </w:p>
        </w:tc>
        <w:tc>
          <w:tcPr>
            <w:tcW w:w="762" w:type="pct"/>
            <w:vAlign w:val="center"/>
          </w:tcPr>
          <w:p w:rsidR="00B44DBC" w:rsidRPr="00A942AC" w:rsidRDefault="00B44DBC" w:rsidP="00674CBD">
            <w:pPr>
              <w:spacing w:before="29" w:line="288" w:lineRule="auto"/>
              <w:jc w:val="right"/>
              <w:rPr>
                <w:szCs w:val="21"/>
              </w:rPr>
            </w:pPr>
            <w:r w:rsidRPr="00A942AC">
              <w:rPr>
                <w:szCs w:val="21"/>
              </w:rPr>
              <w:t>-</w:t>
            </w:r>
          </w:p>
        </w:tc>
        <w:tc>
          <w:tcPr>
            <w:tcW w:w="666" w:type="pct"/>
            <w:vAlign w:val="center"/>
          </w:tcPr>
          <w:p w:rsidR="00B44DBC" w:rsidRPr="00A942AC" w:rsidRDefault="00B44DBC" w:rsidP="00674CBD">
            <w:pPr>
              <w:spacing w:before="29" w:line="288" w:lineRule="auto"/>
              <w:jc w:val="right"/>
              <w:rPr>
                <w:szCs w:val="21"/>
              </w:rPr>
            </w:pPr>
            <w:r w:rsidRPr="00A942AC">
              <w:rPr>
                <w:szCs w:val="21"/>
              </w:rPr>
              <w:t>27,308,616.58</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0.0282</w:t>
            </w:r>
          </w:p>
        </w:tc>
        <w:tc>
          <w:tcPr>
            <w:tcW w:w="688" w:type="pct"/>
            <w:vAlign w:val="center"/>
          </w:tcPr>
          <w:p w:rsidR="008C42FD" w:rsidRPr="00E52F9F" w:rsidRDefault="008C42FD" w:rsidP="00AF7CB5">
            <w:pPr>
              <w:spacing w:before="29" w:line="288" w:lineRule="auto"/>
              <w:jc w:val="right"/>
              <w:rPr>
                <w:szCs w:val="21"/>
              </w:rPr>
            </w:pPr>
            <w:r w:rsidRPr="00E52F9F">
              <w:rPr>
                <w:szCs w:val="21"/>
              </w:rPr>
              <w:t>0.0175</w:t>
            </w:r>
          </w:p>
        </w:tc>
        <w:tc>
          <w:tcPr>
            <w:tcW w:w="687" w:type="pct"/>
            <w:vAlign w:val="center"/>
          </w:tcPr>
          <w:p w:rsidR="008C42FD" w:rsidRPr="00E52F9F" w:rsidRDefault="008C42FD" w:rsidP="00AF7CB5">
            <w:pPr>
              <w:spacing w:before="29" w:line="288" w:lineRule="auto"/>
              <w:jc w:val="right"/>
              <w:rPr>
                <w:szCs w:val="21"/>
              </w:rPr>
            </w:pPr>
            <w:r w:rsidRPr="00E52F9F">
              <w:rPr>
                <w:szCs w:val="21"/>
              </w:rPr>
              <w:t>-</w:t>
            </w:r>
          </w:p>
        </w:tc>
        <w:tc>
          <w:tcPr>
            <w:tcW w:w="688" w:type="pct"/>
            <w:vAlign w:val="center"/>
          </w:tcPr>
          <w:p w:rsidR="008C42FD" w:rsidRPr="00E52F9F" w:rsidRDefault="008C42FD" w:rsidP="00AF7CB5">
            <w:pPr>
              <w:spacing w:before="29" w:line="288" w:lineRule="auto"/>
              <w:jc w:val="right"/>
              <w:rPr>
                <w:szCs w:val="21"/>
              </w:rPr>
            </w:pPr>
            <w:r w:rsidRPr="00E52F9F">
              <w:rPr>
                <w:szCs w:val="21"/>
              </w:rPr>
              <w:t>0.0256</w:t>
            </w:r>
          </w:p>
        </w:tc>
        <w:tc>
          <w:tcPr>
            <w:tcW w:w="762" w:type="pct"/>
            <w:vAlign w:val="center"/>
          </w:tcPr>
          <w:p w:rsidR="008C42FD" w:rsidRPr="00E52F9F" w:rsidRDefault="008C42FD" w:rsidP="00AF7CB5">
            <w:pPr>
              <w:spacing w:before="29" w:line="288" w:lineRule="auto"/>
              <w:jc w:val="right"/>
              <w:rPr>
                <w:szCs w:val="21"/>
              </w:rPr>
            </w:pPr>
            <w:r w:rsidRPr="00E52F9F">
              <w:rPr>
                <w:szCs w:val="21"/>
              </w:rPr>
              <w:t>-</w:t>
            </w:r>
          </w:p>
        </w:tc>
        <w:tc>
          <w:tcPr>
            <w:tcW w:w="666" w:type="pct"/>
            <w:vAlign w:val="center"/>
          </w:tcPr>
          <w:p w:rsidR="008C42FD" w:rsidRPr="00E52F9F" w:rsidRDefault="008C42FD" w:rsidP="00AF7CB5">
            <w:pPr>
              <w:spacing w:before="29" w:line="288" w:lineRule="auto"/>
              <w:jc w:val="right"/>
              <w:rPr>
                <w:szCs w:val="21"/>
              </w:rPr>
            </w:pPr>
            <w:r w:rsidRPr="00E52F9F">
              <w:rPr>
                <w:szCs w:val="21"/>
              </w:rPr>
              <w:t>0.1053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101.09%</w:t>
            </w:r>
          </w:p>
        </w:tc>
        <w:tc>
          <w:tcPr>
            <w:tcW w:w="688" w:type="pct"/>
            <w:vAlign w:val="center"/>
          </w:tcPr>
          <w:p w:rsidR="00A62AD8" w:rsidRPr="00A942AC" w:rsidRDefault="00A62AD8" w:rsidP="00674CBD">
            <w:pPr>
              <w:spacing w:before="29" w:line="288" w:lineRule="auto"/>
              <w:jc w:val="right"/>
              <w:rPr>
                <w:szCs w:val="21"/>
              </w:rPr>
            </w:pPr>
            <w:r w:rsidRPr="00A942AC">
              <w:rPr>
                <w:szCs w:val="21"/>
              </w:rPr>
              <w:t>2.20%</w:t>
            </w:r>
          </w:p>
        </w:tc>
        <w:tc>
          <w:tcPr>
            <w:tcW w:w="687" w:type="pct"/>
            <w:vAlign w:val="center"/>
          </w:tcPr>
          <w:p w:rsidR="00A62AD8" w:rsidRPr="00A942AC" w:rsidRDefault="00A62AD8" w:rsidP="00674CBD">
            <w:pPr>
              <w:spacing w:before="29" w:line="288" w:lineRule="auto"/>
              <w:jc w:val="right"/>
              <w:rPr>
                <w:szCs w:val="21"/>
              </w:rPr>
            </w:pPr>
            <w:r w:rsidRPr="00A942AC">
              <w:rPr>
                <w:szCs w:val="21"/>
              </w:rPr>
              <w:t>-</w:t>
            </w:r>
          </w:p>
        </w:tc>
        <w:tc>
          <w:tcPr>
            <w:tcW w:w="688" w:type="pct"/>
            <w:vAlign w:val="center"/>
          </w:tcPr>
          <w:p w:rsidR="00A62AD8" w:rsidRPr="00A942AC" w:rsidRDefault="00A62AD8" w:rsidP="00674CBD">
            <w:pPr>
              <w:spacing w:before="29" w:line="288" w:lineRule="auto"/>
              <w:jc w:val="right"/>
              <w:rPr>
                <w:szCs w:val="21"/>
              </w:rPr>
            </w:pPr>
            <w:r w:rsidRPr="00A942AC">
              <w:rPr>
                <w:szCs w:val="21"/>
              </w:rPr>
              <w:t>2.46%</w:t>
            </w:r>
          </w:p>
        </w:tc>
        <w:tc>
          <w:tcPr>
            <w:tcW w:w="762" w:type="pct"/>
            <w:vAlign w:val="center"/>
          </w:tcPr>
          <w:p w:rsidR="00A62AD8" w:rsidRPr="00A942AC" w:rsidRDefault="00A62AD8" w:rsidP="00674CBD">
            <w:pPr>
              <w:spacing w:before="29" w:line="288" w:lineRule="auto"/>
              <w:jc w:val="right"/>
              <w:rPr>
                <w:szCs w:val="21"/>
              </w:rPr>
            </w:pPr>
            <w:r w:rsidRPr="00A942AC">
              <w:rPr>
                <w:szCs w:val="21"/>
              </w:rPr>
              <w:t>-</w:t>
            </w:r>
          </w:p>
        </w:tc>
        <w:tc>
          <w:tcPr>
            <w:tcW w:w="666" w:type="pct"/>
            <w:vAlign w:val="center"/>
          </w:tcPr>
          <w:p w:rsidR="00A62AD8" w:rsidRPr="00A942AC" w:rsidRDefault="00A62AD8" w:rsidP="00674CBD">
            <w:pPr>
              <w:spacing w:before="29" w:line="288" w:lineRule="auto"/>
              <w:jc w:val="right"/>
              <w:rPr>
                <w:szCs w:val="21"/>
              </w:rPr>
            </w:pPr>
            <w:r w:rsidRPr="00A942AC">
              <w:rPr>
                <w:szCs w:val="21"/>
              </w:rPr>
              <w:t>10.50%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1.002</w:t>
            </w:r>
          </w:p>
        </w:tc>
        <w:tc>
          <w:tcPr>
            <w:tcW w:w="687" w:type="pct"/>
            <w:vAlign w:val="center"/>
          </w:tcPr>
          <w:p w:rsidR="00B44DBC" w:rsidRPr="00A942AC" w:rsidRDefault="00B44DBC" w:rsidP="00674CBD">
            <w:pPr>
              <w:spacing w:before="29" w:line="288" w:lineRule="auto"/>
              <w:jc w:val="right"/>
              <w:rPr>
                <w:szCs w:val="21"/>
              </w:rPr>
            </w:pPr>
            <w:r w:rsidRPr="00A942AC">
              <w:rPr>
                <w:szCs w:val="21"/>
              </w:rPr>
              <w:t>0.017</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7" w:type="pct"/>
            <w:vAlign w:val="center"/>
          </w:tcPr>
          <w:p w:rsidR="00B44DBC" w:rsidRPr="00A942AC" w:rsidRDefault="00B44DBC" w:rsidP="00674CBD">
            <w:pPr>
              <w:spacing w:before="29" w:line="288" w:lineRule="auto"/>
              <w:jc w:val="right"/>
              <w:rPr>
                <w:szCs w:val="21"/>
              </w:rPr>
            </w:pPr>
            <w:r w:rsidRPr="00A942AC">
              <w:rPr>
                <w:szCs w:val="21"/>
              </w:rPr>
              <w:t>0.007</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0.071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523,127,548.32</w:t>
            </w:r>
          </w:p>
        </w:tc>
        <w:tc>
          <w:tcPr>
            <w:tcW w:w="687" w:type="pct"/>
            <w:vAlign w:val="center"/>
          </w:tcPr>
          <w:p w:rsidR="00B44DBC" w:rsidRPr="00A942AC" w:rsidRDefault="00B44DBC" w:rsidP="00674CBD">
            <w:pPr>
              <w:spacing w:before="29" w:line="288" w:lineRule="auto"/>
              <w:jc w:val="right"/>
              <w:rPr>
                <w:szCs w:val="21"/>
              </w:rPr>
            </w:pPr>
            <w:r w:rsidRPr="00A942AC">
              <w:rPr>
                <w:szCs w:val="21"/>
              </w:rPr>
              <w:t>27,557,300.93</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7" w:type="pct"/>
            <w:vAlign w:val="center"/>
          </w:tcPr>
          <w:p w:rsidR="00B44DBC" w:rsidRPr="00A942AC" w:rsidRDefault="00B44DBC" w:rsidP="00674CBD">
            <w:pPr>
              <w:spacing w:before="29" w:line="288" w:lineRule="auto"/>
              <w:jc w:val="right"/>
              <w:rPr>
                <w:szCs w:val="21"/>
              </w:rPr>
            </w:pPr>
            <w:r w:rsidRPr="00A942AC">
              <w:rPr>
                <w:szCs w:val="21"/>
              </w:rPr>
              <w:t>261,424,852.85</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286,695,107.53</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2.009</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7" w:type="pct"/>
            <w:vAlign w:val="center"/>
          </w:tcPr>
          <w:p w:rsidR="00B44DBC" w:rsidRPr="00A942AC" w:rsidRDefault="00B44DBC" w:rsidP="00674CBD">
            <w:pPr>
              <w:spacing w:before="29" w:line="288" w:lineRule="auto"/>
              <w:jc w:val="right"/>
              <w:rPr>
                <w:szCs w:val="21"/>
              </w:rPr>
            </w:pPr>
            <w:r w:rsidRPr="00A942AC">
              <w:rPr>
                <w:szCs w:val="21"/>
              </w:rPr>
              <w:t>1.008</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1.105</w:t>
            </w:r>
          </w:p>
        </w:tc>
      </w:tr>
    </w:tbl>
    <w:p w:rsidR="008C5924" w:rsidRDefault="00AB551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8C5924" w:rsidRDefault="00AB551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交银丰享收益债券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8C5924">
        <w:tc>
          <w:tcPr>
            <w:tcW w:w="1286" w:type="dxa"/>
            <w:vAlign w:val="center"/>
          </w:tcPr>
          <w:p w:rsidR="008C5924" w:rsidRDefault="00AB5512">
            <w:pPr>
              <w:jc w:val="left"/>
            </w:pPr>
            <w:r>
              <w:rPr>
                <w:color w:val="000000"/>
                <w:sz w:val="24"/>
              </w:rPr>
              <w:t>过去三个</w:t>
            </w:r>
            <w:r>
              <w:rPr>
                <w:color w:val="000000"/>
                <w:sz w:val="24"/>
              </w:rPr>
              <w:lastRenderedPageBreak/>
              <w:t>月</w:t>
            </w:r>
          </w:p>
        </w:tc>
        <w:tc>
          <w:tcPr>
            <w:tcW w:w="1286" w:type="dxa"/>
            <w:vAlign w:val="center"/>
          </w:tcPr>
          <w:p w:rsidR="008C5924" w:rsidRDefault="00AB5512">
            <w:pPr>
              <w:jc w:val="center"/>
            </w:pPr>
            <w:r>
              <w:rPr>
                <w:color w:val="000000"/>
                <w:sz w:val="24"/>
              </w:rPr>
              <w:lastRenderedPageBreak/>
              <w:t>0.80%</w:t>
            </w:r>
          </w:p>
        </w:tc>
        <w:tc>
          <w:tcPr>
            <w:tcW w:w="1286" w:type="dxa"/>
            <w:vAlign w:val="center"/>
          </w:tcPr>
          <w:p w:rsidR="008C5924" w:rsidRDefault="00AB5512">
            <w:pPr>
              <w:jc w:val="center"/>
            </w:pPr>
            <w:r>
              <w:rPr>
                <w:color w:val="000000"/>
                <w:sz w:val="24"/>
              </w:rPr>
              <w:t>0.03%</w:t>
            </w:r>
          </w:p>
        </w:tc>
        <w:tc>
          <w:tcPr>
            <w:tcW w:w="1285" w:type="dxa"/>
            <w:vAlign w:val="center"/>
          </w:tcPr>
          <w:p w:rsidR="008C5924" w:rsidRDefault="00AB5512">
            <w:pPr>
              <w:jc w:val="center"/>
            </w:pPr>
            <w:r>
              <w:rPr>
                <w:color w:val="000000"/>
                <w:sz w:val="24"/>
              </w:rPr>
              <w:t>-1.15%</w:t>
            </w:r>
          </w:p>
        </w:tc>
        <w:tc>
          <w:tcPr>
            <w:tcW w:w="1285"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1.95%</w:t>
            </w:r>
          </w:p>
        </w:tc>
        <w:tc>
          <w:tcPr>
            <w:tcW w:w="1285" w:type="dxa"/>
            <w:vAlign w:val="center"/>
          </w:tcPr>
          <w:p w:rsidR="008C5924" w:rsidRDefault="00AB5512">
            <w:pPr>
              <w:jc w:val="center"/>
            </w:pPr>
            <w:r>
              <w:rPr>
                <w:color w:val="000000"/>
                <w:sz w:val="24"/>
              </w:rPr>
              <w:t>-0.03%</w:t>
            </w:r>
          </w:p>
        </w:tc>
      </w:tr>
      <w:tr w:rsidR="008C5924">
        <w:tc>
          <w:tcPr>
            <w:tcW w:w="1286" w:type="dxa"/>
            <w:vAlign w:val="center"/>
          </w:tcPr>
          <w:p w:rsidR="008C5924" w:rsidRDefault="00AB5512">
            <w:pPr>
              <w:jc w:val="left"/>
            </w:pPr>
            <w:r>
              <w:rPr>
                <w:color w:val="000000"/>
                <w:sz w:val="24"/>
              </w:rPr>
              <w:t>过去六个月</w:t>
            </w:r>
          </w:p>
        </w:tc>
        <w:tc>
          <w:tcPr>
            <w:tcW w:w="1286" w:type="dxa"/>
            <w:vAlign w:val="center"/>
          </w:tcPr>
          <w:p w:rsidR="008C5924" w:rsidRDefault="00AB5512">
            <w:pPr>
              <w:jc w:val="center"/>
            </w:pPr>
            <w:r>
              <w:rPr>
                <w:color w:val="000000"/>
                <w:sz w:val="24"/>
              </w:rPr>
              <w:t>1.52%</w:t>
            </w:r>
          </w:p>
        </w:tc>
        <w:tc>
          <w:tcPr>
            <w:tcW w:w="1286" w:type="dxa"/>
            <w:vAlign w:val="center"/>
          </w:tcPr>
          <w:p w:rsidR="008C5924" w:rsidRDefault="00AB5512">
            <w:pPr>
              <w:jc w:val="center"/>
            </w:pPr>
            <w:r>
              <w:rPr>
                <w:color w:val="000000"/>
                <w:sz w:val="24"/>
              </w:rPr>
              <w:t>0.03%</w:t>
            </w:r>
          </w:p>
        </w:tc>
        <w:tc>
          <w:tcPr>
            <w:tcW w:w="1285" w:type="dxa"/>
            <w:vAlign w:val="center"/>
          </w:tcPr>
          <w:p w:rsidR="008C5924" w:rsidRDefault="00AB5512">
            <w:pPr>
              <w:jc w:val="center"/>
            </w:pPr>
            <w:r>
              <w:rPr>
                <w:color w:val="000000"/>
                <w:sz w:val="24"/>
              </w:rPr>
              <w:t>-1.31%</w:t>
            </w:r>
          </w:p>
        </w:tc>
        <w:tc>
          <w:tcPr>
            <w:tcW w:w="1285" w:type="dxa"/>
            <w:vAlign w:val="center"/>
          </w:tcPr>
          <w:p w:rsidR="008C5924" w:rsidRDefault="00AB5512">
            <w:pPr>
              <w:jc w:val="center"/>
            </w:pPr>
            <w:r>
              <w:rPr>
                <w:color w:val="000000"/>
                <w:sz w:val="24"/>
              </w:rPr>
              <w:t>0.05%</w:t>
            </w:r>
          </w:p>
        </w:tc>
        <w:tc>
          <w:tcPr>
            <w:tcW w:w="1285" w:type="dxa"/>
            <w:vAlign w:val="center"/>
          </w:tcPr>
          <w:p w:rsidR="008C5924" w:rsidRDefault="00AB5512">
            <w:pPr>
              <w:jc w:val="center"/>
            </w:pPr>
            <w:r>
              <w:rPr>
                <w:color w:val="000000"/>
                <w:sz w:val="24"/>
              </w:rPr>
              <w:t>2.83%</w:t>
            </w:r>
          </w:p>
        </w:tc>
        <w:tc>
          <w:tcPr>
            <w:tcW w:w="1285" w:type="dxa"/>
            <w:vAlign w:val="center"/>
          </w:tcPr>
          <w:p w:rsidR="008C5924" w:rsidRDefault="00AB5512">
            <w:pPr>
              <w:jc w:val="center"/>
            </w:pPr>
            <w:r>
              <w:rPr>
                <w:color w:val="000000"/>
                <w:sz w:val="24"/>
              </w:rPr>
              <w:t>-0.02%</w:t>
            </w:r>
          </w:p>
        </w:tc>
      </w:tr>
      <w:tr w:rsidR="008C5924">
        <w:tc>
          <w:tcPr>
            <w:tcW w:w="1286" w:type="dxa"/>
            <w:vAlign w:val="center"/>
          </w:tcPr>
          <w:p w:rsidR="008C5924" w:rsidRDefault="00AB5512">
            <w:pPr>
              <w:jc w:val="left"/>
            </w:pPr>
            <w:r>
              <w:rPr>
                <w:color w:val="000000"/>
                <w:sz w:val="24"/>
              </w:rPr>
              <w:t>自基金合同生效起至今</w:t>
            </w:r>
          </w:p>
        </w:tc>
        <w:tc>
          <w:tcPr>
            <w:tcW w:w="1286" w:type="dxa"/>
            <w:vAlign w:val="center"/>
          </w:tcPr>
          <w:p w:rsidR="008C5924" w:rsidRDefault="00AB5512">
            <w:pPr>
              <w:jc w:val="center"/>
            </w:pPr>
            <w:r>
              <w:rPr>
                <w:color w:val="000000"/>
                <w:sz w:val="24"/>
              </w:rPr>
              <w:t>101.09%</w:t>
            </w:r>
          </w:p>
        </w:tc>
        <w:tc>
          <w:tcPr>
            <w:tcW w:w="1286" w:type="dxa"/>
            <w:vAlign w:val="center"/>
          </w:tcPr>
          <w:p w:rsidR="008C5924" w:rsidRDefault="00AB5512">
            <w:pPr>
              <w:jc w:val="center"/>
            </w:pPr>
            <w:r>
              <w:rPr>
                <w:color w:val="000000"/>
                <w:sz w:val="24"/>
              </w:rPr>
              <w:t>6.42%</w:t>
            </w:r>
          </w:p>
        </w:tc>
        <w:tc>
          <w:tcPr>
            <w:tcW w:w="1285" w:type="dxa"/>
            <w:vAlign w:val="center"/>
          </w:tcPr>
          <w:p w:rsidR="008C5924" w:rsidRDefault="00AB5512">
            <w:pPr>
              <w:jc w:val="center"/>
            </w:pPr>
            <w:r>
              <w:rPr>
                <w:color w:val="000000"/>
                <w:sz w:val="24"/>
              </w:rPr>
              <w:t>-3.08%</w:t>
            </w:r>
          </w:p>
        </w:tc>
        <w:tc>
          <w:tcPr>
            <w:tcW w:w="1285"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104.17%</w:t>
            </w:r>
          </w:p>
        </w:tc>
        <w:tc>
          <w:tcPr>
            <w:tcW w:w="1285" w:type="dxa"/>
            <w:vAlign w:val="center"/>
          </w:tcPr>
          <w:p w:rsidR="008C5924" w:rsidRDefault="00AB5512">
            <w:pPr>
              <w:jc w:val="center"/>
            </w:pPr>
            <w:r>
              <w:rPr>
                <w:color w:val="000000"/>
                <w:sz w:val="24"/>
              </w:rPr>
              <w:t>6.36%</w:t>
            </w:r>
          </w:p>
        </w:tc>
      </w:tr>
    </w:tbl>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交银丰享收益债券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8C5924">
        <w:tc>
          <w:tcPr>
            <w:tcW w:w="1286" w:type="dxa"/>
            <w:vAlign w:val="center"/>
          </w:tcPr>
          <w:p w:rsidR="008C5924" w:rsidRDefault="00AB5512">
            <w:pPr>
              <w:jc w:val="left"/>
            </w:pPr>
            <w:r>
              <w:rPr>
                <w:color w:val="000000"/>
                <w:sz w:val="24"/>
              </w:rPr>
              <w:t>过去三个月</w:t>
            </w:r>
          </w:p>
        </w:tc>
        <w:tc>
          <w:tcPr>
            <w:tcW w:w="1286" w:type="dxa"/>
            <w:vAlign w:val="center"/>
          </w:tcPr>
          <w:p w:rsidR="008C5924" w:rsidRDefault="00AB5512">
            <w:pPr>
              <w:jc w:val="center"/>
            </w:pPr>
            <w:r>
              <w:rPr>
                <w:color w:val="000000"/>
                <w:sz w:val="24"/>
              </w:rPr>
              <w:t>0.69%</w:t>
            </w:r>
          </w:p>
        </w:tc>
        <w:tc>
          <w:tcPr>
            <w:tcW w:w="1286" w:type="dxa"/>
            <w:vAlign w:val="center"/>
          </w:tcPr>
          <w:p w:rsidR="008C5924" w:rsidRDefault="00AB5512">
            <w:pPr>
              <w:jc w:val="center"/>
            </w:pPr>
            <w:r>
              <w:rPr>
                <w:color w:val="000000"/>
                <w:sz w:val="24"/>
              </w:rPr>
              <w:t>0.04%</w:t>
            </w:r>
          </w:p>
        </w:tc>
        <w:tc>
          <w:tcPr>
            <w:tcW w:w="1285" w:type="dxa"/>
            <w:vAlign w:val="center"/>
          </w:tcPr>
          <w:p w:rsidR="008C5924" w:rsidRDefault="00AB5512">
            <w:pPr>
              <w:jc w:val="center"/>
            </w:pPr>
            <w:r>
              <w:rPr>
                <w:color w:val="000000"/>
                <w:sz w:val="24"/>
              </w:rPr>
              <w:t>-1.15%</w:t>
            </w:r>
          </w:p>
        </w:tc>
        <w:tc>
          <w:tcPr>
            <w:tcW w:w="1285"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1.84%</w:t>
            </w:r>
          </w:p>
        </w:tc>
        <w:tc>
          <w:tcPr>
            <w:tcW w:w="1285" w:type="dxa"/>
            <w:vAlign w:val="center"/>
          </w:tcPr>
          <w:p w:rsidR="008C5924" w:rsidRDefault="00AB5512">
            <w:pPr>
              <w:jc w:val="center"/>
            </w:pPr>
            <w:r>
              <w:rPr>
                <w:color w:val="000000"/>
                <w:sz w:val="24"/>
              </w:rPr>
              <w:t>-0.02%</w:t>
            </w:r>
          </w:p>
        </w:tc>
      </w:tr>
      <w:tr w:rsidR="008C5924">
        <w:tc>
          <w:tcPr>
            <w:tcW w:w="1286" w:type="dxa"/>
            <w:vAlign w:val="center"/>
          </w:tcPr>
          <w:p w:rsidR="008C5924" w:rsidRDefault="00AB5512">
            <w:pPr>
              <w:jc w:val="left"/>
            </w:pPr>
            <w:r>
              <w:rPr>
                <w:color w:val="000000"/>
                <w:sz w:val="24"/>
              </w:rPr>
              <w:t>过去六个月</w:t>
            </w:r>
          </w:p>
        </w:tc>
        <w:tc>
          <w:tcPr>
            <w:tcW w:w="1286" w:type="dxa"/>
            <w:vAlign w:val="center"/>
          </w:tcPr>
          <w:p w:rsidR="008C5924" w:rsidRDefault="00AB5512">
            <w:pPr>
              <w:jc w:val="center"/>
            </w:pPr>
            <w:r>
              <w:rPr>
                <w:color w:val="000000"/>
                <w:sz w:val="24"/>
              </w:rPr>
              <w:t>1.79%</w:t>
            </w:r>
          </w:p>
        </w:tc>
        <w:tc>
          <w:tcPr>
            <w:tcW w:w="1286"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-1.31%</w:t>
            </w:r>
          </w:p>
        </w:tc>
        <w:tc>
          <w:tcPr>
            <w:tcW w:w="1285" w:type="dxa"/>
            <w:vAlign w:val="center"/>
          </w:tcPr>
          <w:p w:rsidR="008C5924" w:rsidRDefault="00AB5512">
            <w:pPr>
              <w:jc w:val="center"/>
            </w:pPr>
            <w:r>
              <w:rPr>
                <w:color w:val="000000"/>
                <w:sz w:val="24"/>
              </w:rPr>
              <w:t>0.05%</w:t>
            </w:r>
          </w:p>
        </w:tc>
        <w:tc>
          <w:tcPr>
            <w:tcW w:w="1285" w:type="dxa"/>
            <w:vAlign w:val="center"/>
          </w:tcPr>
          <w:p w:rsidR="008C5924" w:rsidRDefault="00AB5512">
            <w:pPr>
              <w:jc w:val="center"/>
            </w:pPr>
            <w:r>
              <w:rPr>
                <w:color w:val="000000"/>
                <w:sz w:val="24"/>
              </w:rPr>
              <w:t>3.10%</w:t>
            </w:r>
          </w:p>
        </w:tc>
        <w:tc>
          <w:tcPr>
            <w:tcW w:w="1285" w:type="dxa"/>
            <w:vAlign w:val="center"/>
          </w:tcPr>
          <w:p w:rsidR="008C5924" w:rsidRDefault="00AB5512">
            <w:pPr>
              <w:jc w:val="center"/>
            </w:pPr>
            <w:r>
              <w:rPr>
                <w:color w:val="000000"/>
                <w:sz w:val="24"/>
              </w:rPr>
              <w:t>0.01%</w:t>
            </w:r>
          </w:p>
        </w:tc>
      </w:tr>
      <w:tr w:rsidR="008C5924">
        <w:tc>
          <w:tcPr>
            <w:tcW w:w="1286" w:type="dxa"/>
            <w:vAlign w:val="center"/>
          </w:tcPr>
          <w:p w:rsidR="008C5924" w:rsidRDefault="00AB5512">
            <w:pPr>
              <w:jc w:val="left"/>
            </w:pPr>
            <w:r>
              <w:rPr>
                <w:color w:val="000000"/>
                <w:sz w:val="24"/>
              </w:rPr>
              <w:t>过去一年</w:t>
            </w:r>
          </w:p>
        </w:tc>
        <w:tc>
          <w:tcPr>
            <w:tcW w:w="1286" w:type="dxa"/>
            <w:vAlign w:val="center"/>
          </w:tcPr>
          <w:p w:rsidR="008C5924" w:rsidRDefault="00AB5512">
            <w:pPr>
              <w:jc w:val="center"/>
            </w:pPr>
            <w:r>
              <w:rPr>
                <w:color w:val="000000"/>
                <w:sz w:val="24"/>
              </w:rPr>
              <w:t>2.20%</w:t>
            </w:r>
          </w:p>
        </w:tc>
        <w:tc>
          <w:tcPr>
            <w:tcW w:w="1286"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-2.96%</w:t>
            </w:r>
          </w:p>
        </w:tc>
        <w:tc>
          <w:tcPr>
            <w:tcW w:w="1285" w:type="dxa"/>
            <w:vAlign w:val="center"/>
          </w:tcPr>
          <w:p w:rsidR="008C5924" w:rsidRDefault="00AB5512">
            <w:pPr>
              <w:jc w:val="center"/>
            </w:pPr>
            <w:r>
              <w:rPr>
                <w:color w:val="000000"/>
                <w:sz w:val="24"/>
              </w:rPr>
              <w:t>0.06%</w:t>
            </w:r>
          </w:p>
        </w:tc>
        <w:tc>
          <w:tcPr>
            <w:tcW w:w="1285" w:type="dxa"/>
            <w:vAlign w:val="center"/>
          </w:tcPr>
          <w:p w:rsidR="008C5924" w:rsidRDefault="00AB5512">
            <w:pPr>
              <w:jc w:val="center"/>
            </w:pPr>
            <w:r>
              <w:rPr>
                <w:color w:val="000000"/>
                <w:sz w:val="24"/>
              </w:rPr>
              <w:t>5.16%</w:t>
            </w:r>
          </w:p>
        </w:tc>
        <w:tc>
          <w:tcPr>
            <w:tcW w:w="1285" w:type="dxa"/>
            <w:vAlign w:val="center"/>
          </w:tcPr>
          <w:p w:rsidR="008C5924" w:rsidRDefault="00AB5512">
            <w:pPr>
              <w:jc w:val="center"/>
            </w:pPr>
            <w:r>
              <w:rPr>
                <w:color w:val="000000"/>
                <w:sz w:val="24"/>
              </w:rPr>
              <w:t>0.00%</w:t>
            </w:r>
          </w:p>
        </w:tc>
      </w:tr>
      <w:tr w:rsidR="008C5924">
        <w:tc>
          <w:tcPr>
            <w:tcW w:w="1286" w:type="dxa"/>
            <w:vAlign w:val="center"/>
          </w:tcPr>
          <w:p w:rsidR="008C5924" w:rsidRDefault="00AB5512">
            <w:pPr>
              <w:jc w:val="left"/>
            </w:pPr>
            <w:r>
              <w:rPr>
                <w:color w:val="000000"/>
                <w:sz w:val="24"/>
              </w:rPr>
              <w:t>自基金合同生效起至今</w:t>
            </w:r>
          </w:p>
        </w:tc>
        <w:tc>
          <w:tcPr>
            <w:tcW w:w="1286" w:type="dxa"/>
            <w:vAlign w:val="center"/>
          </w:tcPr>
          <w:p w:rsidR="008C5924" w:rsidRDefault="00AB5512">
            <w:pPr>
              <w:jc w:val="center"/>
            </w:pPr>
            <w:r>
              <w:rPr>
                <w:color w:val="000000"/>
                <w:sz w:val="24"/>
              </w:rPr>
              <w:t>15.71%</w:t>
            </w:r>
          </w:p>
        </w:tc>
        <w:tc>
          <w:tcPr>
            <w:tcW w:w="1286" w:type="dxa"/>
            <w:vAlign w:val="center"/>
          </w:tcPr>
          <w:p w:rsidR="008C5924" w:rsidRDefault="00AB5512">
            <w:pPr>
              <w:jc w:val="center"/>
            </w:pPr>
            <w:r>
              <w:rPr>
                <w:color w:val="000000"/>
                <w:sz w:val="24"/>
              </w:rPr>
              <w:t>0.07%</w:t>
            </w:r>
          </w:p>
        </w:tc>
        <w:tc>
          <w:tcPr>
            <w:tcW w:w="1285" w:type="dxa"/>
            <w:vAlign w:val="center"/>
          </w:tcPr>
          <w:p w:rsidR="008C5924" w:rsidRDefault="00AB5512">
            <w:pPr>
              <w:jc w:val="center"/>
            </w:pPr>
            <w:r>
              <w:rPr>
                <w:color w:val="000000"/>
                <w:sz w:val="24"/>
              </w:rPr>
              <w:t>1.76%</w:t>
            </w:r>
          </w:p>
        </w:tc>
        <w:tc>
          <w:tcPr>
            <w:tcW w:w="1285" w:type="dxa"/>
            <w:vAlign w:val="center"/>
          </w:tcPr>
          <w:p w:rsidR="008C5924" w:rsidRDefault="00AB5512">
            <w:pPr>
              <w:jc w:val="center"/>
            </w:pPr>
            <w:r>
              <w:rPr>
                <w:color w:val="000000"/>
                <w:sz w:val="24"/>
              </w:rPr>
              <w:t>0.04%</w:t>
            </w:r>
          </w:p>
        </w:tc>
        <w:tc>
          <w:tcPr>
            <w:tcW w:w="1285" w:type="dxa"/>
            <w:vAlign w:val="center"/>
          </w:tcPr>
          <w:p w:rsidR="008C5924" w:rsidRDefault="00AB5512">
            <w:pPr>
              <w:jc w:val="center"/>
            </w:pPr>
            <w:r>
              <w:rPr>
                <w:color w:val="000000"/>
                <w:sz w:val="24"/>
              </w:rPr>
              <w:t>13.95%</w:t>
            </w:r>
          </w:p>
        </w:tc>
        <w:tc>
          <w:tcPr>
            <w:tcW w:w="1285" w:type="dxa"/>
            <w:vAlign w:val="center"/>
          </w:tcPr>
          <w:p w:rsidR="008C5924" w:rsidRDefault="00AB5512">
            <w:pPr>
              <w:jc w:val="center"/>
            </w:pPr>
            <w:r>
              <w:rPr>
                <w:color w:val="000000"/>
                <w:sz w:val="24"/>
              </w:rPr>
              <w:t>0.03%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本基金自</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20</w:t>
      </w:r>
      <w:r w:rsidRPr="00E25C2A">
        <w:rPr>
          <w:kern w:val="0"/>
          <w:sz w:val="24"/>
        </w:rPr>
        <w:t>日起转为开放式运作，本基金的业绩比较基准由</w:t>
      </w:r>
      <w:r w:rsidRPr="00E25C2A">
        <w:rPr>
          <w:kern w:val="0"/>
          <w:sz w:val="24"/>
        </w:rPr>
        <w:t>“</w:t>
      </w:r>
      <w:r w:rsidRPr="00E25C2A">
        <w:rPr>
          <w:kern w:val="0"/>
          <w:sz w:val="24"/>
        </w:rPr>
        <w:t>两年期银行定期存款税后收益率</w:t>
      </w:r>
      <w:r w:rsidRPr="00E25C2A">
        <w:rPr>
          <w:kern w:val="0"/>
          <w:sz w:val="24"/>
        </w:rPr>
        <w:t>”</w:t>
      </w:r>
      <w:r w:rsidRPr="00E25C2A">
        <w:rPr>
          <w:kern w:val="0"/>
          <w:sz w:val="24"/>
        </w:rPr>
        <w:t>变更为</w:t>
      </w:r>
      <w:r w:rsidRPr="00E25C2A">
        <w:rPr>
          <w:kern w:val="0"/>
          <w:sz w:val="24"/>
        </w:rPr>
        <w:t>“</w:t>
      </w:r>
      <w:r w:rsidRPr="00E25C2A">
        <w:rPr>
          <w:kern w:val="0"/>
          <w:sz w:val="24"/>
        </w:rPr>
        <w:t>中债综合全价指数</w:t>
      </w:r>
      <w:r w:rsidRPr="00E25C2A">
        <w:rPr>
          <w:kern w:val="0"/>
          <w:sz w:val="24"/>
        </w:rPr>
        <w:t>”,3.2.2</w:t>
      </w:r>
      <w:r w:rsidRPr="00E25C2A">
        <w:rPr>
          <w:kern w:val="0"/>
          <w:sz w:val="24"/>
        </w:rPr>
        <w:t>同。</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交银丰享收益债券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20</w:t>
      </w:r>
      <w:r w:rsidRPr="00E25C2A">
        <w:rPr>
          <w:kern w:val="0"/>
          <w:sz w:val="24"/>
        </w:rPr>
        <w:t>日起，开始销售</w:t>
      </w:r>
      <w:r w:rsidRPr="00E25C2A">
        <w:rPr>
          <w:kern w:val="0"/>
          <w:sz w:val="24"/>
        </w:rPr>
        <w:t>A</w:t>
      </w:r>
      <w:r w:rsidRPr="00E25C2A">
        <w:rPr>
          <w:kern w:val="0"/>
          <w:sz w:val="24"/>
        </w:rPr>
        <w:t>类份额，投资者提交的申购申请于</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日被确认并将有效份额登记在册。图示日期为</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交银丰享收益债券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w:t>
      </w:r>
      <w:r w:rsidRPr="00E25C2A">
        <w:rPr>
          <w:kern w:val="0"/>
          <w:sz w:val="24"/>
        </w:rPr>
        <w:t>月</w:t>
      </w:r>
      <w:r w:rsidRPr="00E25C2A">
        <w:rPr>
          <w:kern w:val="0"/>
          <w:sz w:val="24"/>
        </w:rPr>
        <w:t>19</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交银丰享收益债券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Default="00177BDC" w:rsidP="00E25C2A">
      <w:pPr>
        <w:tabs>
          <w:tab w:val="left" w:pos="426"/>
        </w:tabs>
        <w:spacing w:before="29" w:line="288" w:lineRule="auto"/>
        <w:jc w:val="left"/>
        <w:rPr>
          <w:kern w:val="0"/>
          <w:sz w:val="24"/>
        </w:rPr>
      </w:pPr>
    </w:p>
    <w:p w:rsidR="00747706" w:rsidRPr="00D564C7" w:rsidRDefault="00747706" w:rsidP="00747706">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交银丰享收益债券</w:t>
      </w:r>
      <w:r w:rsidRPr="00E62358">
        <w:rPr>
          <w:rFonts w:ascii="Times New Roman" w:hAnsi="Times New Roman"/>
          <w:color w:val="auto"/>
        </w:rPr>
        <w:t>C</w:t>
      </w:r>
    </w:p>
    <w:p w:rsidR="00747706" w:rsidRPr="00E25C2A" w:rsidRDefault="00747706" w:rsidP="00E25C2A">
      <w:pPr>
        <w:tabs>
          <w:tab w:val="left" w:pos="426"/>
        </w:tabs>
        <w:spacing w:before="29" w:line="288" w:lineRule="auto"/>
        <w:jc w:val="left"/>
        <w:rPr>
          <w:kern w:val="0"/>
          <w:sz w:val="24"/>
        </w:rPr>
      </w:pPr>
      <w:r>
        <w:rPr>
          <w:rFonts w:asciiTheme="minorEastAsia" w:eastAsiaTheme="minorEastAsia" w:hAnsiTheme="minorEastAsia"/>
          <w:noProof/>
          <w:color w:val="000000"/>
          <w:szCs w:val="21"/>
        </w:rPr>
        <w:drawing>
          <wp:inline distT="0" distB="0" distL="0" distR="0" wp14:anchorId="59011EC9" wp14:editId="1B06FBC9">
            <wp:extent cx="5724525" cy="33520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191" cy="3355938"/>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2015</w:t>
      </w:r>
      <w:r w:rsidRPr="00E25C2A">
        <w:rPr>
          <w:kern w:val="0"/>
          <w:sz w:val="24"/>
        </w:rPr>
        <w:t>年</w:t>
      </w:r>
      <w:r w:rsidRPr="00E25C2A">
        <w:rPr>
          <w:kern w:val="0"/>
          <w:sz w:val="24"/>
        </w:rPr>
        <w:t>1</w:t>
      </w:r>
      <w:r w:rsidRPr="00E25C2A">
        <w:rPr>
          <w:kern w:val="0"/>
          <w:sz w:val="24"/>
        </w:rPr>
        <w:t>月</w:t>
      </w:r>
      <w:r w:rsidRPr="00E25C2A">
        <w:rPr>
          <w:kern w:val="0"/>
          <w:sz w:val="24"/>
        </w:rPr>
        <w:t>19</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747706" w:rsidRPr="00E25C2A" w:rsidRDefault="00747706"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交银丰享收益债券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8C5924">
        <w:tc>
          <w:tcPr>
            <w:tcW w:w="1276" w:type="dxa"/>
            <w:vAlign w:val="center"/>
          </w:tcPr>
          <w:p w:rsidR="008C5924" w:rsidRDefault="00AB5512">
            <w:pPr>
              <w:jc w:val="center"/>
            </w:pPr>
            <w:r>
              <w:rPr>
                <w:color w:val="000000"/>
                <w:sz w:val="24"/>
              </w:rPr>
              <w:t>2017</w:t>
            </w:r>
            <w:r>
              <w:rPr>
                <w:color w:val="000000"/>
                <w:sz w:val="24"/>
              </w:rPr>
              <w:t>年</w:t>
            </w:r>
          </w:p>
        </w:tc>
        <w:tc>
          <w:tcPr>
            <w:tcW w:w="1701" w:type="dxa"/>
            <w:vAlign w:val="center"/>
          </w:tcPr>
          <w:p w:rsidR="008C5924" w:rsidRDefault="00AB5512">
            <w:pPr>
              <w:jc w:val="right"/>
            </w:pPr>
            <w:r>
              <w:rPr>
                <w:color w:val="000000"/>
                <w:sz w:val="24"/>
              </w:rPr>
              <w:t>0.110</w:t>
            </w:r>
          </w:p>
        </w:tc>
        <w:tc>
          <w:tcPr>
            <w:tcW w:w="1701" w:type="dxa"/>
            <w:vAlign w:val="center"/>
          </w:tcPr>
          <w:p w:rsidR="008C5924" w:rsidRDefault="00AB5512">
            <w:pPr>
              <w:jc w:val="right"/>
            </w:pPr>
            <w:r>
              <w:rPr>
                <w:color w:val="000000"/>
                <w:sz w:val="24"/>
              </w:rPr>
              <w:t>4,358,459.34</w:t>
            </w:r>
          </w:p>
        </w:tc>
        <w:tc>
          <w:tcPr>
            <w:tcW w:w="1701" w:type="dxa"/>
            <w:vAlign w:val="center"/>
          </w:tcPr>
          <w:p w:rsidR="008C5924" w:rsidRDefault="00AB5512">
            <w:pPr>
              <w:jc w:val="right"/>
            </w:pPr>
            <w:r>
              <w:rPr>
                <w:color w:val="000000"/>
                <w:sz w:val="24"/>
              </w:rPr>
              <w:t>108.42</w:t>
            </w:r>
          </w:p>
        </w:tc>
        <w:tc>
          <w:tcPr>
            <w:tcW w:w="1559" w:type="dxa"/>
            <w:vAlign w:val="center"/>
          </w:tcPr>
          <w:p w:rsidR="008C5924" w:rsidRDefault="00AB5512">
            <w:pPr>
              <w:jc w:val="right"/>
            </w:pPr>
            <w:r>
              <w:rPr>
                <w:color w:val="000000"/>
                <w:sz w:val="24"/>
              </w:rPr>
              <w:t>4,358,567.76</w:t>
            </w:r>
          </w:p>
        </w:tc>
        <w:tc>
          <w:tcPr>
            <w:tcW w:w="1060" w:type="dxa"/>
            <w:vAlign w:val="center"/>
          </w:tcPr>
          <w:p w:rsidR="008C5924" w:rsidRDefault="00AB5512" w:rsidP="00437F83">
            <w:pPr>
              <w:jc w:val="center"/>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0.110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4,358,459.34</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108.42</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4,358,567.76</w:t>
            </w:r>
          </w:p>
        </w:tc>
        <w:tc>
          <w:tcPr>
            <w:tcW w:w="1060" w:type="dxa"/>
            <w:vAlign w:val="center"/>
          </w:tcPr>
          <w:p w:rsidR="006C3415" w:rsidRPr="00755904" w:rsidRDefault="00FB72AB" w:rsidP="00437F83">
            <w:pPr>
              <w:spacing w:before="29" w:line="288" w:lineRule="auto"/>
              <w:ind w:leftChars="-51" w:left="-107" w:rightChars="-51" w:right="-107"/>
              <w:jc w:val="center"/>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交银丰享收益债券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757"/>
        <w:gridCol w:w="1755"/>
        <w:gridCol w:w="1755"/>
        <w:gridCol w:w="1608"/>
        <w:gridCol w:w="1092"/>
      </w:tblGrid>
      <w:tr w:rsidR="000525D9" w:rsidRPr="008B2C7A" w:rsidTr="00CF5CA1">
        <w:tc>
          <w:tcPr>
            <w:tcW w:w="710" w:type="pct"/>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946" w:type="pct"/>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945" w:type="pct"/>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945" w:type="pct"/>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866" w:type="pct"/>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588" w:type="pct"/>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8C5924" w:rsidTr="00CF5CA1">
        <w:tc>
          <w:tcPr>
            <w:tcW w:w="710" w:type="pct"/>
            <w:vAlign w:val="center"/>
          </w:tcPr>
          <w:p w:rsidR="008C5924" w:rsidRDefault="00AB5512">
            <w:pPr>
              <w:jc w:val="center"/>
            </w:pPr>
            <w:r>
              <w:rPr>
                <w:color w:val="000000"/>
                <w:sz w:val="24"/>
              </w:rPr>
              <w:t>2017</w:t>
            </w:r>
            <w:r>
              <w:rPr>
                <w:color w:val="000000"/>
                <w:sz w:val="24"/>
              </w:rPr>
              <w:t>年</w:t>
            </w:r>
          </w:p>
        </w:tc>
        <w:tc>
          <w:tcPr>
            <w:tcW w:w="946" w:type="pct"/>
            <w:vAlign w:val="center"/>
          </w:tcPr>
          <w:p w:rsidR="008C5924" w:rsidRDefault="00AB5512">
            <w:pPr>
              <w:jc w:val="right"/>
            </w:pPr>
            <w:r>
              <w:rPr>
                <w:color w:val="000000"/>
                <w:sz w:val="24"/>
              </w:rPr>
              <w:t>0.090</w:t>
            </w:r>
          </w:p>
        </w:tc>
        <w:tc>
          <w:tcPr>
            <w:tcW w:w="945" w:type="pct"/>
            <w:vAlign w:val="center"/>
          </w:tcPr>
          <w:p w:rsidR="008C5924" w:rsidRDefault="00AB5512">
            <w:pPr>
              <w:jc w:val="right"/>
            </w:pPr>
            <w:r>
              <w:rPr>
                <w:color w:val="000000"/>
                <w:sz w:val="24"/>
              </w:rPr>
              <w:t>405,769.01</w:t>
            </w:r>
          </w:p>
        </w:tc>
        <w:tc>
          <w:tcPr>
            <w:tcW w:w="945" w:type="pct"/>
            <w:vAlign w:val="center"/>
          </w:tcPr>
          <w:p w:rsidR="008C5924" w:rsidRDefault="00AB5512">
            <w:pPr>
              <w:jc w:val="right"/>
            </w:pPr>
            <w:r>
              <w:rPr>
                <w:color w:val="000000"/>
                <w:sz w:val="24"/>
              </w:rPr>
              <w:t>3,748.36</w:t>
            </w:r>
          </w:p>
        </w:tc>
        <w:tc>
          <w:tcPr>
            <w:tcW w:w="866" w:type="pct"/>
            <w:vAlign w:val="center"/>
          </w:tcPr>
          <w:p w:rsidR="008C5924" w:rsidRDefault="00AB5512">
            <w:pPr>
              <w:jc w:val="right"/>
            </w:pPr>
            <w:r>
              <w:rPr>
                <w:color w:val="000000"/>
                <w:sz w:val="24"/>
              </w:rPr>
              <w:t>409,517.37</w:t>
            </w:r>
          </w:p>
        </w:tc>
        <w:tc>
          <w:tcPr>
            <w:tcW w:w="588" w:type="pct"/>
            <w:vAlign w:val="center"/>
          </w:tcPr>
          <w:p w:rsidR="008C5924" w:rsidRDefault="00AB5512" w:rsidP="00437F83">
            <w:pPr>
              <w:jc w:val="center"/>
            </w:pPr>
            <w:r>
              <w:rPr>
                <w:color w:val="000000"/>
                <w:sz w:val="24"/>
              </w:rPr>
              <w:t>-</w:t>
            </w:r>
          </w:p>
        </w:tc>
      </w:tr>
      <w:tr w:rsidR="00CF5CA1" w:rsidTr="00CF5CA1">
        <w:tc>
          <w:tcPr>
            <w:tcW w:w="710" w:type="pct"/>
            <w:vAlign w:val="center"/>
          </w:tcPr>
          <w:p w:rsidR="00CF5CA1" w:rsidRDefault="00CF5CA1" w:rsidP="00CF5CA1">
            <w:pPr>
              <w:jc w:val="center"/>
            </w:pPr>
            <w:r>
              <w:rPr>
                <w:color w:val="000000"/>
                <w:sz w:val="24"/>
              </w:rPr>
              <w:t>2016</w:t>
            </w:r>
            <w:r>
              <w:rPr>
                <w:color w:val="000000"/>
                <w:sz w:val="24"/>
              </w:rPr>
              <w:t>年</w:t>
            </w:r>
          </w:p>
        </w:tc>
        <w:tc>
          <w:tcPr>
            <w:tcW w:w="946" w:type="pct"/>
            <w:vAlign w:val="center"/>
          </w:tcPr>
          <w:p w:rsidR="00CF5CA1" w:rsidRDefault="00CF5CA1" w:rsidP="00CF5CA1">
            <w:pPr>
              <w:jc w:val="right"/>
            </w:pPr>
            <w:r>
              <w:rPr>
                <w:color w:val="000000"/>
                <w:sz w:val="24"/>
              </w:rPr>
              <w:t>1.230</w:t>
            </w:r>
          </w:p>
        </w:tc>
        <w:tc>
          <w:tcPr>
            <w:tcW w:w="945" w:type="pct"/>
            <w:vAlign w:val="center"/>
          </w:tcPr>
          <w:p w:rsidR="00CF5CA1" w:rsidRDefault="00CF5CA1" w:rsidP="00CF5CA1">
            <w:pPr>
              <w:jc w:val="right"/>
            </w:pPr>
            <w:r>
              <w:rPr>
                <w:color w:val="000000"/>
                <w:sz w:val="24"/>
              </w:rPr>
              <w:t>31,904,540.12</w:t>
            </w:r>
          </w:p>
        </w:tc>
        <w:tc>
          <w:tcPr>
            <w:tcW w:w="945" w:type="pct"/>
            <w:vAlign w:val="center"/>
          </w:tcPr>
          <w:p w:rsidR="00CF5CA1" w:rsidRDefault="00CF5CA1" w:rsidP="00CF5CA1">
            <w:pPr>
              <w:jc w:val="right"/>
            </w:pPr>
            <w:r>
              <w:rPr>
                <w:color w:val="000000"/>
                <w:sz w:val="24"/>
              </w:rPr>
              <w:t>-</w:t>
            </w:r>
          </w:p>
        </w:tc>
        <w:tc>
          <w:tcPr>
            <w:tcW w:w="866" w:type="pct"/>
            <w:vAlign w:val="center"/>
          </w:tcPr>
          <w:p w:rsidR="00CF5CA1" w:rsidRDefault="00CF5CA1" w:rsidP="00CF5CA1">
            <w:pPr>
              <w:jc w:val="right"/>
            </w:pPr>
            <w:r>
              <w:rPr>
                <w:color w:val="000000"/>
                <w:sz w:val="24"/>
              </w:rPr>
              <w:t>31,904,540.12</w:t>
            </w:r>
          </w:p>
        </w:tc>
        <w:tc>
          <w:tcPr>
            <w:tcW w:w="588" w:type="pct"/>
            <w:vAlign w:val="center"/>
          </w:tcPr>
          <w:p w:rsidR="00CF5CA1" w:rsidRDefault="00CF5CA1" w:rsidP="00437F83">
            <w:pPr>
              <w:jc w:val="center"/>
            </w:pPr>
            <w:r>
              <w:rPr>
                <w:color w:val="000000"/>
                <w:sz w:val="24"/>
              </w:rPr>
              <w:t>-</w:t>
            </w:r>
          </w:p>
        </w:tc>
      </w:tr>
      <w:tr w:rsidR="00CF5CA1" w:rsidRPr="00755904" w:rsidTr="00CF5CA1">
        <w:tc>
          <w:tcPr>
            <w:tcW w:w="710" w:type="pct"/>
            <w:vAlign w:val="center"/>
          </w:tcPr>
          <w:p w:rsidR="00CF5CA1" w:rsidRPr="00755904" w:rsidRDefault="00CF5CA1" w:rsidP="00CF5CA1">
            <w:pPr>
              <w:spacing w:before="29" w:line="288" w:lineRule="auto"/>
              <w:ind w:leftChars="-51" w:left="-107" w:rightChars="-51" w:right="-107"/>
              <w:jc w:val="center"/>
              <w:rPr>
                <w:color w:val="000000"/>
                <w:sz w:val="24"/>
              </w:rPr>
            </w:pPr>
            <w:r w:rsidRPr="00755904">
              <w:rPr>
                <w:rFonts w:hint="eastAsia"/>
                <w:color w:val="000000"/>
                <w:sz w:val="24"/>
              </w:rPr>
              <w:t>合计</w:t>
            </w:r>
          </w:p>
        </w:tc>
        <w:tc>
          <w:tcPr>
            <w:tcW w:w="946" w:type="pct"/>
            <w:vAlign w:val="center"/>
          </w:tcPr>
          <w:p w:rsidR="00CF5CA1" w:rsidRPr="00755904" w:rsidRDefault="00CF5CA1" w:rsidP="00CF5CA1">
            <w:pPr>
              <w:spacing w:before="29" w:line="288" w:lineRule="auto"/>
              <w:ind w:leftChars="-51" w:left="-107" w:rightChars="-51" w:right="-107"/>
              <w:jc w:val="right"/>
              <w:rPr>
                <w:color w:val="000000"/>
                <w:sz w:val="24"/>
              </w:rPr>
            </w:pPr>
            <w:r w:rsidRPr="00755904">
              <w:rPr>
                <w:rFonts w:hint="eastAsia"/>
                <w:color w:val="000000"/>
                <w:sz w:val="24"/>
              </w:rPr>
              <w:t>1.320</w:t>
            </w:r>
          </w:p>
        </w:tc>
        <w:tc>
          <w:tcPr>
            <w:tcW w:w="945" w:type="pct"/>
            <w:vAlign w:val="center"/>
          </w:tcPr>
          <w:p w:rsidR="00CF5CA1" w:rsidRPr="00755904" w:rsidRDefault="00CF5CA1" w:rsidP="00CF5CA1">
            <w:pPr>
              <w:spacing w:before="29" w:line="288" w:lineRule="auto"/>
              <w:ind w:leftChars="-51" w:left="-107" w:rightChars="-51" w:right="-107"/>
              <w:jc w:val="right"/>
              <w:rPr>
                <w:color w:val="000000"/>
                <w:sz w:val="24"/>
              </w:rPr>
            </w:pPr>
            <w:r w:rsidRPr="00755904">
              <w:rPr>
                <w:rFonts w:hint="eastAsia"/>
                <w:color w:val="000000"/>
                <w:sz w:val="24"/>
              </w:rPr>
              <w:t>32,310,309.13</w:t>
            </w:r>
          </w:p>
        </w:tc>
        <w:tc>
          <w:tcPr>
            <w:tcW w:w="945" w:type="pct"/>
            <w:vAlign w:val="center"/>
          </w:tcPr>
          <w:p w:rsidR="00CF5CA1" w:rsidRPr="00755904" w:rsidRDefault="00CF5CA1" w:rsidP="00CF5CA1">
            <w:pPr>
              <w:spacing w:before="29" w:line="288" w:lineRule="auto"/>
              <w:ind w:leftChars="-51" w:left="-107" w:rightChars="-51" w:right="-107"/>
              <w:jc w:val="right"/>
              <w:rPr>
                <w:color w:val="000000"/>
                <w:sz w:val="24"/>
              </w:rPr>
            </w:pPr>
            <w:r w:rsidRPr="00755904">
              <w:rPr>
                <w:rFonts w:hint="eastAsia"/>
                <w:color w:val="000000"/>
                <w:sz w:val="24"/>
              </w:rPr>
              <w:t>3,748.36</w:t>
            </w:r>
          </w:p>
        </w:tc>
        <w:tc>
          <w:tcPr>
            <w:tcW w:w="866" w:type="pct"/>
            <w:vAlign w:val="center"/>
          </w:tcPr>
          <w:p w:rsidR="00CF5CA1" w:rsidRPr="00755904" w:rsidRDefault="00CF5CA1" w:rsidP="00CF5CA1">
            <w:pPr>
              <w:spacing w:before="29" w:line="288" w:lineRule="auto"/>
              <w:ind w:leftChars="-51" w:left="-107" w:rightChars="-51" w:right="-107"/>
              <w:jc w:val="right"/>
              <w:rPr>
                <w:color w:val="000000"/>
                <w:sz w:val="24"/>
              </w:rPr>
            </w:pPr>
            <w:r w:rsidRPr="00755904">
              <w:rPr>
                <w:rFonts w:hint="eastAsia"/>
                <w:color w:val="000000"/>
                <w:sz w:val="24"/>
              </w:rPr>
              <w:t>32,314,057.49</w:t>
            </w:r>
          </w:p>
        </w:tc>
        <w:tc>
          <w:tcPr>
            <w:tcW w:w="588" w:type="pct"/>
            <w:vAlign w:val="center"/>
          </w:tcPr>
          <w:p w:rsidR="00CF5CA1" w:rsidRPr="00755904" w:rsidRDefault="00CF5CA1" w:rsidP="00437F83">
            <w:pPr>
              <w:spacing w:before="29" w:line="288" w:lineRule="auto"/>
              <w:ind w:leftChars="-51" w:left="-107" w:rightChars="-51" w:right="-107"/>
              <w:jc w:val="center"/>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8C5924" w:rsidRDefault="00AB551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8C5924">
        <w:tc>
          <w:tcPr>
            <w:tcW w:w="1499" w:type="dxa"/>
            <w:vAlign w:val="center"/>
          </w:tcPr>
          <w:p w:rsidR="008C5924" w:rsidRDefault="00AB5512">
            <w:pPr>
              <w:jc w:val="center"/>
            </w:pPr>
            <w:r>
              <w:rPr>
                <w:color w:val="000000"/>
                <w:sz w:val="24"/>
              </w:rPr>
              <w:t>黄莹洁</w:t>
            </w:r>
          </w:p>
        </w:tc>
        <w:tc>
          <w:tcPr>
            <w:tcW w:w="1499" w:type="dxa"/>
            <w:vAlign w:val="center"/>
          </w:tcPr>
          <w:p w:rsidR="008C5924" w:rsidRDefault="00AB5512">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55" w:type="dxa"/>
            <w:vAlign w:val="center"/>
          </w:tcPr>
          <w:p w:rsidR="008C5924" w:rsidRDefault="00AB5512">
            <w:pPr>
              <w:jc w:val="center"/>
            </w:pPr>
            <w:r>
              <w:rPr>
                <w:color w:val="000000"/>
                <w:sz w:val="24"/>
              </w:rPr>
              <w:t>2015-07-25</w:t>
            </w:r>
          </w:p>
        </w:tc>
        <w:tc>
          <w:tcPr>
            <w:tcW w:w="1276" w:type="dxa"/>
            <w:vAlign w:val="center"/>
          </w:tcPr>
          <w:p w:rsidR="008C5924" w:rsidRDefault="00AB5512">
            <w:pPr>
              <w:jc w:val="center"/>
            </w:pPr>
            <w:r>
              <w:rPr>
                <w:color w:val="000000"/>
                <w:sz w:val="24"/>
              </w:rPr>
              <w:t>-</w:t>
            </w:r>
          </w:p>
        </w:tc>
        <w:tc>
          <w:tcPr>
            <w:tcW w:w="992" w:type="dxa"/>
            <w:vAlign w:val="center"/>
          </w:tcPr>
          <w:p w:rsidR="008C5924" w:rsidRDefault="00AB5512">
            <w:pPr>
              <w:jc w:val="center"/>
            </w:pPr>
            <w:r>
              <w:rPr>
                <w:color w:val="000000"/>
                <w:sz w:val="24"/>
              </w:rPr>
              <w:t>9</w:t>
            </w:r>
            <w:r>
              <w:rPr>
                <w:color w:val="000000"/>
                <w:sz w:val="24"/>
              </w:rPr>
              <w:t>年</w:t>
            </w:r>
          </w:p>
        </w:tc>
        <w:tc>
          <w:tcPr>
            <w:tcW w:w="2477" w:type="dxa"/>
            <w:vAlign w:val="center"/>
          </w:tcPr>
          <w:p w:rsidR="008C5924" w:rsidRDefault="00AB551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8C5924">
        <w:tc>
          <w:tcPr>
            <w:tcW w:w="1499" w:type="dxa"/>
            <w:vAlign w:val="center"/>
          </w:tcPr>
          <w:p w:rsidR="008C5924" w:rsidRDefault="00AB5512">
            <w:pPr>
              <w:jc w:val="center"/>
            </w:pPr>
            <w:r>
              <w:rPr>
                <w:color w:val="000000"/>
                <w:sz w:val="24"/>
              </w:rPr>
              <w:t>孙超</w:t>
            </w:r>
          </w:p>
        </w:tc>
        <w:tc>
          <w:tcPr>
            <w:tcW w:w="1499" w:type="dxa"/>
            <w:vAlign w:val="center"/>
          </w:tcPr>
          <w:p w:rsidR="008C5924" w:rsidRDefault="00AB5512">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w:t>
            </w:r>
            <w:r>
              <w:rPr>
                <w:color w:val="000000"/>
                <w:sz w:val="24"/>
              </w:rPr>
              <w:lastRenderedPageBreak/>
              <w:t>理，公司固定收益部助理总经理</w:t>
            </w:r>
          </w:p>
        </w:tc>
        <w:tc>
          <w:tcPr>
            <w:tcW w:w="1255" w:type="dxa"/>
            <w:vAlign w:val="center"/>
          </w:tcPr>
          <w:p w:rsidR="008C5924" w:rsidRDefault="00AB5512">
            <w:pPr>
              <w:jc w:val="center"/>
            </w:pPr>
            <w:r>
              <w:rPr>
                <w:color w:val="000000"/>
                <w:sz w:val="24"/>
              </w:rPr>
              <w:lastRenderedPageBreak/>
              <w:t>2015-01-19</w:t>
            </w:r>
          </w:p>
        </w:tc>
        <w:tc>
          <w:tcPr>
            <w:tcW w:w="1276" w:type="dxa"/>
            <w:vAlign w:val="center"/>
          </w:tcPr>
          <w:p w:rsidR="008C5924" w:rsidRDefault="00AB5512">
            <w:pPr>
              <w:jc w:val="center"/>
            </w:pPr>
            <w:r>
              <w:rPr>
                <w:color w:val="000000"/>
                <w:sz w:val="24"/>
              </w:rPr>
              <w:t>2017-02-28</w:t>
            </w:r>
          </w:p>
        </w:tc>
        <w:tc>
          <w:tcPr>
            <w:tcW w:w="992" w:type="dxa"/>
            <w:vAlign w:val="center"/>
          </w:tcPr>
          <w:p w:rsidR="008C5924" w:rsidRDefault="00AB5512">
            <w:pPr>
              <w:jc w:val="center"/>
            </w:pPr>
            <w:r>
              <w:rPr>
                <w:color w:val="000000"/>
                <w:sz w:val="24"/>
              </w:rPr>
              <w:t>6</w:t>
            </w:r>
            <w:r>
              <w:rPr>
                <w:color w:val="000000"/>
                <w:sz w:val="24"/>
              </w:rPr>
              <w:t>年</w:t>
            </w:r>
          </w:p>
        </w:tc>
        <w:tc>
          <w:tcPr>
            <w:tcW w:w="2477" w:type="dxa"/>
            <w:vAlign w:val="center"/>
          </w:tcPr>
          <w:p w:rsidR="008C5924" w:rsidRDefault="00AB551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lastRenderedPageBreak/>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8C5924" w:rsidRDefault="00AB551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C5924" w:rsidRDefault="00AB551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8C5924" w:rsidRDefault="00AB551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8C5924" w:rsidRDefault="00AB551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C5924" w:rsidRDefault="00AB551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rsidR="008C5924" w:rsidRDefault="00AB551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5924" w:rsidRDefault="00AB551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C5924" w:rsidRDefault="00AB551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8C5924" w:rsidRDefault="00AB5512">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w:t>
      </w:r>
      <w:r>
        <w:rPr>
          <w:color w:val="000000"/>
          <w:sz w:val="24"/>
        </w:rPr>
        <w:lastRenderedPageBreak/>
        <w:t>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基金操作方面，从绝对收益率、期限利差和金融去杠杆角度看，目前中短端仍是较好的选择，本基金以配置短久期的信用债为主。</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日，交银丰享收益债券</w:t>
      </w:r>
      <w:r w:rsidRPr="001358D2">
        <w:rPr>
          <w:color w:val="000000"/>
          <w:sz w:val="24"/>
        </w:rPr>
        <w:t>A</w:t>
      </w:r>
      <w:r w:rsidRPr="001358D2">
        <w:rPr>
          <w:color w:val="000000"/>
          <w:sz w:val="24"/>
        </w:rPr>
        <w:t>份额净值为</w:t>
      </w:r>
      <w:r w:rsidRPr="001358D2">
        <w:rPr>
          <w:color w:val="000000"/>
          <w:sz w:val="24"/>
        </w:rPr>
        <w:t>2.009</w:t>
      </w:r>
      <w:r w:rsidRPr="001358D2">
        <w:rPr>
          <w:color w:val="000000"/>
          <w:sz w:val="24"/>
        </w:rPr>
        <w:t>元，本报告期份额净值增长率为</w:t>
      </w:r>
      <w:r w:rsidRPr="001358D2">
        <w:rPr>
          <w:color w:val="000000"/>
          <w:sz w:val="24"/>
        </w:rPr>
        <w:t>103.11%</w:t>
      </w:r>
      <w:r w:rsidRPr="001358D2">
        <w:rPr>
          <w:color w:val="000000"/>
          <w:sz w:val="24"/>
        </w:rPr>
        <w:t>，同期业绩比较基准增长率为</w:t>
      </w:r>
      <w:r w:rsidRPr="001358D2">
        <w:rPr>
          <w:color w:val="000000"/>
          <w:sz w:val="24"/>
        </w:rPr>
        <w:t>-3.08%</w:t>
      </w:r>
      <w:r w:rsidRPr="001358D2">
        <w:rPr>
          <w:color w:val="000000"/>
          <w:sz w:val="24"/>
        </w:rPr>
        <w:t>；交银丰享收益债券</w:t>
      </w:r>
      <w:r w:rsidRPr="001358D2">
        <w:rPr>
          <w:color w:val="000000"/>
          <w:sz w:val="24"/>
        </w:rPr>
        <w:t>C</w:t>
      </w:r>
      <w:r w:rsidRPr="001358D2">
        <w:rPr>
          <w:color w:val="000000"/>
          <w:sz w:val="24"/>
        </w:rPr>
        <w:t>份额净值为</w:t>
      </w:r>
      <w:r w:rsidRPr="001358D2">
        <w:rPr>
          <w:color w:val="000000"/>
          <w:sz w:val="24"/>
        </w:rPr>
        <w:t>1.021</w:t>
      </w:r>
      <w:r w:rsidRPr="001358D2">
        <w:rPr>
          <w:color w:val="000000"/>
          <w:sz w:val="24"/>
        </w:rPr>
        <w:t>元，本报告期份额净值增长率为</w:t>
      </w:r>
      <w:r w:rsidRPr="001358D2">
        <w:rPr>
          <w:color w:val="000000"/>
          <w:sz w:val="24"/>
        </w:rPr>
        <w:t>2.2%</w:t>
      </w:r>
      <w:r w:rsidRPr="001358D2">
        <w:rPr>
          <w:color w:val="000000"/>
          <w:sz w:val="24"/>
        </w:rPr>
        <w:t>，同期业绩比较基准增长率为</w:t>
      </w:r>
      <w:r w:rsidRPr="001358D2">
        <w:rPr>
          <w:color w:val="000000"/>
          <w:sz w:val="24"/>
        </w:rPr>
        <w:t>-2.96%</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在春节期间的触顶回调幅度值得观察，宏观经济对债市影响的增强仍需要时间演化。在货币政策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基调下，利率或处于高位震荡格局之中，但长端收益率上行空间有限，或可能具备一定配置价值。我们将密切关注金融监管政策的落地实施、供给侧等改革推进、通胀预期变化、海外货币政策变化等因素对市场的影响。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8C5924" w:rsidRDefault="00AB5512">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C5924" w:rsidRDefault="00AB5512">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根据相关法律法规和基金合同的规定，本基金对本年度应分配的可供分配利润进行了收益分配，具体情况参见</w:t>
      </w:r>
      <w:r w:rsidR="00AB5512" w:rsidRPr="00AB5512">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作为本基金的托管人，中信银行严格遵守了《证券投资基金法》及其他有关法律法规、基金合同和托管协议的规定，对交银施罗德丰享收益债券证券投资基金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w:t>
      </w:r>
      <w:r w:rsidRPr="005A1E76">
        <w:rPr>
          <w:color w:val="000000"/>
          <w:sz w:val="24"/>
        </w:rPr>
        <w:lastRenderedPageBreak/>
        <w:t>德丰享收益债券证券投资基金年度报告中的财务指标、净值表现、收益分配情况、财务会计报告、投资组合报告等信息真实、准确、完整，未发现有损害基金持有人利益的行为。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交银施罗德丰享收益债券型证券投资基金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21966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交银施罗德丰享收益债券型证券投资基金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287,954.04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141,901,656.34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3,188,554.17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5,628.74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8,013.44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640,745,500.00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114,703,950.00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640,745,500.00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114,703,950.00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10,209,188.48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2,102,098.77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20,456.70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651,268,727.96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261,904,272.72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99,989,530.01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136,656.66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140,544.88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179,336.66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46,848.32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33,625.61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9,813.54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134,502.51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8,738.55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1,955.09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61,668.52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190,078.23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100,583,878.71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479,419.87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287,409,401.88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259,386,490.95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263,275,447.37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2,038,361.90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550,684,849.25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261,424,852.85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651,268,727.96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261,904,272.72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2.009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1.021</w:t>
      </w:r>
      <w:r w:rsidR="001A59F9" w:rsidRPr="00E25C2A">
        <w:rPr>
          <w:kern w:val="0"/>
          <w:sz w:val="24"/>
        </w:rPr>
        <w:t>元，基金份额总额</w:t>
      </w:r>
      <w:r w:rsidR="001A59F9" w:rsidRPr="00E25C2A">
        <w:rPr>
          <w:kern w:val="0"/>
          <w:sz w:val="24"/>
        </w:rPr>
        <w:t>287,409,401.88</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260,425,742.53</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26,983,659.35</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w:t>
      </w:r>
      <w:r w:rsidRPr="00F3632F">
        <w:rPr>
          <w:rFonts w:hint="eastAsia"/>
          <w:kern w:val="0"/>
          <w:sz w:val="24"/>
        </w:rPr>
        <w:lastRenderedPageBreak/>
        <w:t>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交银施罗德丰享收益债券型证券投资基金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13,451,660.01</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13,186,115.33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18,231,646.17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16,684,739.79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1,006,207.64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327,898.98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16,408,840.27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15,737,578.63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531,200.00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816,598.26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88,062.18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-4,653,146.22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5,171,215.91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-4,653,146.22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4,191,187.96</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980,027.95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-235,619.11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-8,669,840.37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108,779.17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4,596,226.75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6,551,829.89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2,431,207.59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2,186,393.87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497,046.54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409,948.84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310,508.34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1,639,795.40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16,052.47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6,126.84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1,040,901.71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2,127,043.76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1,040,901.71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2,127,043.76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300,510.10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182,521.18</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8,855,433.26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6,634,285.44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8,855,433.26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6,634,285.44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交银施罗德丰享收益债券型证券投资基金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259,386,490.95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2,038,361.90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261,424,852.85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8,855,433.26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8,855,433.26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28,022,910.93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257,149,737.34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285,172,648.27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1,176,055,836.74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281,774,771.92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1,457,830,608.66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-1,148,032,925.81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-24,625,034.58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-1,172,657,960.39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-4,768,085.13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-4,768,085.13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287,409,401.88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263,275,447.37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550,684,849.25</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259,386,490.95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27,308,616.58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286,695,107.53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6,634,285.44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6,634,285.44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-31,904,540.12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-31,904,540.12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259,386,490.95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2,038,361.90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261,424,852.85</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8C5924" w:rsidRDefault="00AB5512">
      <w:pPr>
        <w:spacing w:before="29" w:line="288" w:lineRule="auto"/>
        <w:ind w:firstLineChars="200" w:firstLine="480"/>
        <w:rPr>
          <w:color w:val="000000"/>
          <w:sz w:val="24"/>
        </w:rPr>
      </w:pPr>
      <w:r>
        <w:rPr>
          <w:color w:val="000000"/>
          <w:sz w:val="24"/>
        </w:rPr>
        <w:t>交银施罗德丰享收益债券型证券投资基金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，封闭期满后转为开放式基金。本基金首次设立募集不包括认购资金利息共募集人民币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w:t>
      </w:r>
      <w:r>
        <w:rPr>
          <w:color w:val="000000"/>
          <w:sz w:val="24"/>
        </w:rPr>
        <w:lastRenderedPageBreak/>
        <w:t>公司。</w:t>
      </w:r>
    </w:p>
    <w:p w:rsidR="008C5924" w:rsidRDefault="00AB5512">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类基金份额的申购。根据《关于交银施罗德丰享收益债券型证券投资基金封闭期结束转为开放式运作并同时增加开通</w:t>
      </w:r>
      <w:r>
        <w:rPr>
          <w:color w:val="000000"/>
          <w:sz w:val="24"/>
        </w:rPr>
        <w:t>A</w:t>
      </w:r>
      <w:r>
        <w:rPr>
          <w:color w:val="000000"/>
          <w:sz w:val="24"/>
        </w:rPr>
        <w:t>类基金份额暨开放基金日常申购、赎回、定期定额投资业务并参与部分销售机构申购费率优惠活动的公告》的相关规定，本基金封闭期自</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w:t>
      </w:r>
      <w:r>
        <w:rPr>
          <w:color w:val="000000"/>
          <w:sz w:val="24"/>
        </w:rPr>
        <w:t>月</w:t>
      </w:r>
      <w:r>
        <w:rPr>
          <w:color w:val="000000"/>
          <w:sz w:val="24"/>
        </w:rPr>
        <w:t>19</w:t>
      </w:r>
      <w:r>
        <w:rPr>
          <w:color w:val="000000"/>
          <w:sz w:val="24"/>
        </w:rPr>
        <w:t>日止，自</w:t>
      </w:r>
      <w:r>
        <w:rPr>
          <w:color w:val="000000"/>
          <w:sz w:val="24"/>
        </w:rPr>
        <w:t>2017</w:t>
      </w:r>
      <w:r>
        <w:rPr>
          <w:color w:val="000000"/>
          <w:sz w:val="24"/>
        </w:rPr>
        <w:t>年</w:t>
      </w:r>
      <w:r>
        <w:rPr>
          <w:color w:val="000000"/>
          <w:sz w:val="24"/>
        </w:rPr>
        <w:t>1</w:t>
      </w:r>
      <w:r>
        <w:rPr>
          <w:color w:val="000000"/>
          <w:sz w:val="24"/>
        </w:rPr>
        <w:t>月</w:t>
      </w:r>
      <w:r>
        <w:rPr>
          <w:color w:val="000000"/>
          <w:sz w:val="24"/>
        </w:rPr>
        <w:t>20</w:t>
      </w:r>
      <w:r>
        <w:rPr>
          <w:color w:val="000000"/>
          <w:sz w:val="24"/>
        </w:rPr>
        <w:t>日起转为开放式运作，自该日起开始办理日常申购、赎回业务，并同时增加开通</w:t>
      </w:r>
      <w:r>
        <w:rPr>
          <w:color w:val="000000"/>
          <w:sz w:val="24"/>
        </w:rPr>
        <w:t>A</w:t>
      </w:r>
      <w:r>
        <w:rPr>
          <w:color w:val="000000"/>
          <w:sz w:val="24"/>
        </w:rPr>
        <w:t>类基金份额。</w:t>
      </w:r>
    </w:p>
    <w:p w:rsidR="008C5924" w:rsidRDefault="00AB5512">
      <w:pPr>
        <w:spacing w:before="29" w:line="288" w:lineRule="auto"/>
        <w:ind w:firstLineChars="200" w:firstLine="480"/>
        <w:rPr>
          <w:color w:val="000000"/>
          <w:sz w:val="24"/>
        </w:rPr>
      </w:pPr>
      <w:r>
        <w:rPr>
          <w:color w:val="00000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color w:val="000000"/>
          <w:sz w:val="24"/>
        </w:rPr>
        <w:t>80%</w:t>
      </w:r>
      <w:r>
        <w:rPr>
          <w:color w:val="000000"/>
          <w:sz w:val="24"/>
        </w:rPr>
        <w:t>，但在封闭期结束转开放的前后三个月内，基金投资不受上述债券资产投资比例限制。本基金在开放期内，现金或到期日在一年以内的政府债券的比例合计不低于基金资产净值的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。本基金封闭期内投资的业绩比较基准为两年期银行定期存款税后收益率，转为开放式运作后业绩比较基准为中债综合全价指数。</w:t>
      </w:r>
    </w:p>
    <w:p w:rsidR="008C5924" w:rsidRDefault="008C5924">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8C5924" w:rsidRDefault="00AB551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w:t>
      </w:r>
      <w:r>
        <w:rPr>
          <w:color w:val="000000"/>
          <w:sz w:val="24"/>
        </w:rPr>
        <w:lastRenderedPageBreak/>
        <w:t>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颁布的《证券投资基金会计核算业务指引》、《交银施罗德丰享收益债券型证券投资基金基金合同》和在财务报表附注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047409" w:rsidRPr="0086614D" w:rsidRDefault="00047409" w:rsidP="0086614D">
      <w:pPr>
        <w:spacing w:before="29" w:line="288" w:lineRule="auto"/>
        <w:ind w:firstLineChars="200" w:firstLine="480"/>
        <w:rPr>
          <w:rFonts w:hint="eastAsia"/>
          <w:color w:val="000000"/>
          <w:sz w:val="24"/>
        </w:rPr>
      </w:pPr>
      <w:bookmarkStart w:id="60" w:name="_GoBack"/>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8C5924" w:rsidRDefault="00AB551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C5924" w:rsidRDefault="008C5924">
      <w:pPr>
        <w:spacing w:before="29" w:line="288" w:lineRule="auto"/>
        <w:ind w:firstLineChars="200" w:firstLine="480"/>
        <w:rPr>
          <w:color w:val="000000"/>
          <w:sz w:val="24"/>
        </w:rPr>
      </w:pPr>
    </w:p>
    <w:p w:rsidR="008C5924" w:rsidRDefault="00AB551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w:t>
      </w:r>
      <w:r>
        <w:rPr>
          <w:color w:val="000000"/>
          <w:sz w:val="24"/>
        </w:rPr>
        <w:lastRenderedPageBreak/>
        <w:t>征增值税。</w:t>
      </w:r>
    </w:p>
    <w:p w:rsidR="008C5924" w:rsidRDefault="008C5924">
      <w:pPr>
        <w:spacing w:before="29" w:line="288" w:lineRule="auto"/>
        <w:ind w:firstLineChars="200" w:firstLine="480"/>
        <w:rPr>
          <w:color w:val="000000"/>
          <w:sz w:val="24"/>
        </w:rPr>
      </w:pPr>
    </w:p>
    <w:p w:rsidR="008C5924" w:rsidRDefault="00AB551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8C5924" w:rsidRDefault="008C5924">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8C5924">
        <w:tc>
          <w:tcPr>
            <w:tcW w:w="5219" w:type="dxa"/>
            <w:vAlign w:val="center"/>
          </w:tcPr>
          <w:p w:rsidR="008C5924" w:rsidRDefault="00AB551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C5924" w:rsidRDefault="00AB5512">
            <w:pPr>
              <w:jc w:val="center"/>
            </w:pPr>
            <w:r>
              <w:rPr>
                <w:color w:val="000000"/>
                <w:sz w:val="24"/>
              </w:rPr>
              <w:t>基金管理人、基金销售机构</w:t>
            </w:r>
          </w:p>
        </w:tc>
      </w:tr>
      <w:tr w:rsidR="008C5924">
        <w:tc>
          <w:tcPr>
            <w:tcW w:w="5219" w:type="dxa"/>
            <w:vAlign w:val="center"/>
          </w:tcPr>
          <w:p w:rsidR="008C5924" w:rsidRDefault="00AB551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C5924" w:rsidRDefault="00AB5512">
            <w:pPr>
              <w:jc w:val="center"/>
            </w:pPr>
            <w:r>
              <w:rPr>
                <w:color w:val="000000"/>
                <w:sz w:val="24"/>
              </w:rPr>
              <w:t>基金托管人、基金销售机构</w:t>
            </w:r>
          </w:p>
        </w:tc>
      </w:tr>
      <w:tr w:rsidR="008C5924">
        <w:tc>
          <w:tcPr>
            <w:tcW w:w="5219" w:type="dxa"/>
            <w:vAlign w:val="center"/>
          </w:tcPr>
          <w:p w:rsidR="008C5924" w:rsidRDefault="00AB551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C5924" w:rsidRDefault="00AB5512">
            <w:pPr>
              <w:jc w:val="center"/>
            </w:pPr>
            <w:r>
              <w:rPr>
                <w:color w:val="000000"/>
                <w:sz w:val="24"/>
              </w:rPr>
              <w:t>基金管理人的股东、基金销售机构</w:t>
            </w:r>
          </w:p>
        </w:tc>
      </w:tr>
      <w:tr w:rsidR="008C5924">
        <w:tc>
          <w:tcPr>
            <w:tcW w:w="5219" w:type="dxa"/>
            <w:vAlign w:val="center"/>
          </w:tcPr>
          <w:p w:rsidR="008C5924" w:rsidRDefault="00AB5512">
            <w:pPr>
              <w:jc w:val="left"/>
            </w:pPr>
            <w:r>
              <w:rPr>
                <w:color w:val="000000"/>
                <w:sz w:val="24"/>
              </w:rPr>
              <w:t>施罗德投资管理有限公司</w:t>
            </w:r>
          </w:p>
        </w:tc>
        <w:tc>
          <w:tcPr>
            <w:tcW w:w="3779" w:type="dxa"/>
            <w:vAlign w:val="center"/>
          </w:tcPr>
          <w:p w:rsidR="008C5924" w:rsidRDefault="00AB5512">
            <w:pPr>
              <w:jc w:val="center"/>
            </w:pPr>
            <w:r>
              <w:rPr>
                <w:color w:val="000000"/>
                <w:sz w:val="24"/>
              </w:rPr>
              <w:t>基金管理人的股东</w:t>
            </w:r>
          </w:p>
        </w:tc>
      </w:tr>
      <w:tr w:rsidR="008C5924">
        <w:tc>
          <w:tcPr>
            <w:tcW w:w="5219" w:type="dxa"/>
            <w:vAlign w:val="center"/>
          </w:tcPr>
          <w:p w:rsidR="008C5924" w:rsidRDefault="00AB551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8C5924" w:rsidRDefault="00AB5512">
            <w:pPr>
              <w:jc w:val="center"/>
            </w:pPr>
            <w:r>
              <w:rPr>
                <w:color w:val="000000"/>
                <w:sz w:val="24"/>
              </w:rPr>
              <w:t>基金管理人的股东</w:t>
            </w:r>
          </w:p>
        </w:tc>
      </w:tr>
      <w:tr w:rsidR="008C5924">
        <w:tc>
          <w:tcPr>
            <w:tcW w:w="5219" w:type="dxa"/>
            <w:vAlign w:val="center"/>
          </w:tcPr>
          <w:p w:rsidR="008C5924" w:rsidRDefault="00AB5512">
            <w:pPr>
              <w:jc w:val="left"/>
            </w:pPr>
            <w:r>
              <w:rPr>
                <w:color w:val="000000"/>
                <w:sz w:val="24"/>
              </w:rPr>
              <w:t>交银施罗德资产管理有限公司</w:t>
            </w:r>
          </w:p>
        </w:tc>
        <w:tc>
          <w:tcPr>
            <w:tcW w:w="3779" w:type="dxa"/>
            <w:vAlign w:val="center"/>
          </w:tcPr>
          <w:p w:rsidR="008C5924" w:rsidRDefault="00AB5512">
            <w:pPr>
              <w:jc w:val="center"/>
            </w:pPr>
            <w:r>
              <w:rPr>
                <w:color w:val="000000"/>
                <w:sz w:val="24"/>
              </w:rPr>
              <w:t>基金管理人的子公司</w:t>
            </w:r>
          </w:p>
        </w:tc>
      </w:tr>
      <w:tr w:rsidR="008C5924">
        <w:tc>
          <w:tcPr>
            <w:tcW w:w="5219" w:type="dxa"/>
            <w:vAlign w:val="center"/>
          </w:tcPr>
          <w:p w:rsidR="008C5924" w:rsidRDefault="00AB5512">
            <w:pPr>
              <w:jc w:val="left"/>
            </w:pPr>
            <w:r>
              <w:rPr>
                <w:color w:val="000000"/>
                <w:sz w:val="24"/>
              </w:rPr>
              <w:t>上海直源投资管理有限公司</w:t>
            </w:r>
          </w:p>
        </w:tc>
        <w:tc>
          <w:tcPr>
            <w:tcW w:w="3779" w:type="dxa"/>
            <w:vAlign w:val="center"/>
          </w:tcPr>
          <w:p w:rsidR="008C5924" w:rsidRDefault="00AB5512">
            <w:pPr>
              <w:jc w:val="center"/>
            </w:pPr>
            <w:r>
              <w:rPr>
                <w:color w:val="000000"/>
                <w:sz w:val="24"/>
              </w:rPr>
              <w:t>受基金管理人控制的公司</w:t>
            </w:r>
          </w:p>
        </w:tc>
      </w:tr>
      <w:tr w:rsidR="008C5924">
        <w:tc>
          <w:tcPr>
            <w:tcW w:w="5219" w:type="dxa"/>
            <w:vAlign w:val="center"/>
          </w:tcPr>
          <w:p w:rsidR="008C5924" w:rsidRDefault="00AB551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8C5924" w:rsidRDefault="00AB5512">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2,431,207.59</w:t>
            </w:r>
          </w:p>
        </w:tc>
        <w:tc>
          <w:tcPr>
            <w:tcW w:w="2657" w:type="dxa"/>
            <w:vAlign w:val="center"/>
          </w:tcPr>
          <w:p w:rsidR="001A59F9" w:rsidRPr="00817316" w:rsidRDefault="001A59F9" w:rsidP="00817316">
            <w:pPr>
              <w:spacing w:before="29" w:line="288" w:lineRule="auto"/>
              <w:jc w:val="right"/>
              <w:rPr>
                <w:sz w:val="24"/>
              </w:rPr>
            </w:pPr>
            <w:r w:rsidRPr="00817316">
              <w:rPr>
                <w:sz w:val="24"/>
              </w:rPr>
              <w:t>2,186,393.87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779,278.45</w:t>
            </w:r>
          </w:p>
        </w:tc>
        <w:tc>
          <w:tcPr>
            <w:tcW w:w="2657" w:type="dxa"/>
            <w:vAlign w:val="center"/>
          </w:tcPr>
          <w:p w:rsidR="001A59F9" w:rsidRPr="00817316" w:rsidRDefault="001A59F9" w:rsidP="00817316">
            <w:pPr>
              <w:spacing w:before="29" w:line="288" w:lineRule="auto"/>
              <w:jc w:val="right"/>
              <w:rPr>
                <w:sz w:val="24"/>
              </w:rPr>
            </w:pPr>
            <w:r w:rsidRPr="00817316">
              <w:rPr>
                <w:sz w:val="24"/>
              </w:rPr>
              <w:t>1,136,919.77</w:t>
            </w:r>
          </w:p>
        </w:tc>
      </w:tr>
    </w:tbl>
    <w:p w:rsidR="008C5924" w:rsidRDefault="00AB5512">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日，支付基金管理人交银施罗德基金公司的管理人报酬按前一日基金资产净值</w:t>
      </w:r>
      <w:r>
        <w:rPr>
          <w:kern w:val="0"/>
          <w:sz w:val="24"/>
        </w:rPr>
        <w:t>0.80%</w:t>
      </w:r>
      <w:r>
        <w:rPr>
          <w:kern w:val="0"/>
          <w:sz w:val="24"/>
        </w:rPr>
        <w:t>的年费率计提，逐日累计至每月月底，按月支付。其计算公式为：</w:t>
      </w:r>
    </w:p>
    <w:p w:rsidR="008C5924" w:rsidRDefault="00AB5512">
      <w:pPr>
        <w:tabs>
          <w:tab w:val="left" w:pos="426"/>
        </w:tabs>
        <w:spacing w:before="29" w:line="288" w:lineRule="auto"/>
        <w:jc w:val="left"/>
        <w:rPr>
          <w:kern w:val="0"/>
          <w:sz w:val="24"/>
        </w:rPr>
      </w:pPr>
      <w:r>
        <w:rPr>
          <w:kern w:val="0"/>
          <w:sz w:val="24"/>
        </w:rPr>
        <w:lastRenderedPageBreak/>
        <w:t>日管理人报酬＝前一日基金资产净值</w:t>
      </w:r>
      <w:r>
        <w:rPr>
          <w:kern w:val="0"/>
          <w:sz w:val="24"/>
        </w:rPr>
        <w:t xml:space="preserve"> × 0.80%/ </w:t>
      </w:r>
      <w:r>
        <w:rPr>
          <w:kern w:val="0"/>
          <w:sz w:val="24"/>
        </w:rPr>
        <w:t>当年天数。</w:t>
      </w:r>
    </w:p>
    <w:p w:rsidR="008C5924" w:rsidRDefault="008C5924">
      <w:pPr>
        <w:tabs>
          <w:tab w:val="left" w:pos="426"/>
        </w:tabs>
        <w:spacing w:before="29" w:line="288" w:lineRule="auto"/>
        <w:jc w:val="left"/>
        <w:rPr>
          <w:kern w:val="0"/>
          <w:sz w:val="24"/>
        </w:rPr>
      </w:pPr>
    </w:p>
    <w:p w:rsidR="008C5924" w:rsidRDefault="00AB551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日起，支付基金管理人交银施罗德基金公司的管理人报酬按前一日基金资产净值</w:t>
      </w:r>
      <w:r>
        <w:rPr>
          <w:kern w:val="0"/>
          <w:sz w:val="24"/>
        </w:rPr>
        <w:t>0.50%</w:t>
      </w:r>
      <w:r>
        <w:rPr>
          <w:kern w:val="0"/>
          <w:sz w:val="24"/>
        </w:rPr>
        <w:t>的年费率计提，逐日累计至每月月底，按月支付。其计算公式为：</w:t>
      </w:r>
    </w:p>
    <w:p w:rsidR="008C5924" w:rsidRDefault="00AB5512">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0.50%/ </w:t>
      </w:r>
      <w:r>
        <w:rPr>
          <w:kern w:val="0"/>
          <w:sz w:val="24"/>
        </w:rPr>
        <w:t>当年天数。</w:t>
      </w:r>
    </w:p>
    <w:p w:rsidR="008C5924" w:rsidRDefault="008C5924">
      <w:pPr>
        <w:tabs>
          <w:tab w:val="left" w:pos="426"/>
        </w:tabs>
        <w:spacing w:before="29" w:line="288" w:lineRule="auto"/>
        <w:jc w:val="left"/>
        <w:rPr>
          <w:kern w:val="0"/>
          <w:sz w:val="24"/>
        </w:rPr>
      </w:pPr>
    </w:p>
    <w:p w:rsidR="008C5924" w:rsidRDefault="00AB551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根据基金份额持有人大会表决通过的《关于交银施罗德丰享收益债券型证券投资基金调整管理费率及基金合同修改有关事项的议案》，自</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日起，支付基金管理人交银施罗德基金公司的管理人报酬按前一日基金资产净值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497,046.54</w:t>
            </w:r>
          </w:p>
        </w:tc>
        <w:tc>
          <w:tcPr>
            <w:tcW w:w="2657" w:type="dxa"/>
            <w:vAlign w:val="center"/>
          </w:tcPr>
          <w:p w:rsidR="001A59F9" w:rsidRPr="00817316" w:rsidRDefault="001A59F9" w:rsidP="00817316">
            <w:pPr>
              <w:spacing w:before="29" w:line="288" w:lineRule="auto"/>
              <w:jc w:val="right"/>
              <w:rPr>
                <w:sz w:val="24"/>
              </w:rPr>
            </w:pPr>
            <w:r w:rsidRPr="00817316">
              <w:rPr>
                <w:sz w:val="24"/>
              </w:rPr>
              <w:t>409,948.84</w:t>
            </w:r>
          </w:p>
        </w:tc>
      </w:tr>
    </w:tbl>
    <w:p w:rsidR="008C5924" w:rsidRDefault="00AB5512">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日，支付基金托管人中信银行的托管费按前一日基金资产净值</w:t>
      </w:r>
      <w:r>
        <w:rPr>
          <w:kern w:val="0"/>
          <w:sz w:val="24"/>
        </w:rPr>
        <w:t>0.15%</w:t>
      </w:r>
      <w:r>
        <w:rPr>
          <w:kern w:val="0"/>
          <w:sz w:val="24"/>
        </w:rPr>
        <w:t>的年费率计提，逐日累计至每月月底，按月支付。其计算公式为：</w:t>
      </w:r>
    </w:p>
    <w:p w:rsidR="008C5924" w:rsidRDefault="00AB5512">
      <w:pPr>
        <w:tabs>
          <w:tab w:val="left" w:pos="426"/>
        </w:tabs>
        <w:spacing w:before="29" w:line="288" w:lineRule="auto"/>
        <w:jc w:val="left"/>
        <w:rPr>
          <w:kern w:val="0"/>
          <w:sz w:val="24"/>
        </w:rPr>
      </w:pPr>
      <w:r>
        <w:rPr>
          <w:kern w:val="0"/>
          <w:sz w:val="24"/>
        </w:rPr>
        <w:t>日托管费＝前一日基金资产净值</w:t>
      </w:r>
      <w:r>
        <w:rPr>
          <w:kern w:val="0"/>
          <w:sz w:val="24"/>
        </w:rPr>
        <w:t xml:space="preserve"> × 0.15%/ </w:t>
      </w:r>
      <w:r>
        <w:rPr>
          <w:kern w:val="0"/>
          <w:sz w:val="24"/>
        </w:rPr>
        <w:t>当年天数。</w:t>
      </w:r>
    </w:p>
    <w:p w:rsidR="008C5924" w:rsidRDefault="008C5924">
      <w:pPr>
        <w:tabs>
          <w:tab w:val="left" w:pos="426"/>
        </w:tabs>
        <w:spacing w:before="29" w:line="288" w:lineRule="auto"/>
        <w:jc w:val="left"/>
        <w:rPr>
          <w:kern w:val="0"/>
          <w:sz w:val="24"/>
        </w:rPr>
      </w:pPr>
    </w:p>
    <w:p w:rsidR="008C5924" w:rsidRDefault="00AB551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日起，支付基金托管人中信银行的托管费按前一日基金资产净值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0.10%/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C5924">
        <w:tc>
          <w:tcPr>
            <w:tcW w:w="2045" w:type="dxa"/>
            <w:vAlign w:val="center"/>
          </w:tcPr>
          <w:p w:rsidR="008C5924" w:rsidRDefault="00AB5512">
            <w:pPr>
              <w:jc w:val="left"/>
            </w:pPr>
            <w:r>
              <w:rPr>
                <w:sz w:val="24"/>
              </w:rPr>
              <w:t>中信银行</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21,323.14</w:t>
            </w:r>
          </w:p>
        </w:tc>
        <w:tc>
          <w:tcPr>
            <w:tcW w:w="1889" w:type="dxa"/>
            <w:vAlign w:val="center"/>
          </w:tcPr>
          <w:p w:rsidR="008C5924" w:rsidRDefault="00AB5512">
            <w:pPr>
              <w:jc w:val="right"/>
            </w:pPr>
            <w:r>
              <w:rPr>
                <w:sz w:val="24"/>
              </w:rPr>
              <w:t>21,323.14</w:t>
            </w:r>
          </w:p>
        </w:tc>
      </w:tr>
      <w:tr w:rsidR="008C5924">
        <w:tc>
          <w:tcPr>
            <w:tcW w:w="2045" w:type="dxa"/>
            <w:vAlign w:val="center"/>
          </w:tcPr>
          <w:p w:rsidR="008C5924" w:rsidRDefault="00AB5512">
            <w:pPr>
              <w:jc w:val="left"/>
            </w:pPr>
            <w:r>
              <w:rPr>
                <w:sz w:val="24"/>
              </w:rPr>
              <w:t>交通银行</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8,688.72</w:t>
            </w:r>
          </w:p>
        </w:tc>
        <w:tc>
          <w:tcPr>
            <w:tcW w:w="1889" w:type="dxa"/>
            <w:vAlign w:val="center"/>
          </w:tcPr>
          <w:p w:rsidR="008C5924" w:rsidRDefault="00AB5512">
            <w:pPr>
              <w:jc w:val="right"/>
            </w:pPr>
            <w:r>
              <w:rPr>
                <w:sz w:val="24"/>
              </w:rPr>
              <w:t>8,688.72</w:t>
            </w:r>
          </w:p>
        </w:tc>
      </w:tr>
      <w:tr w:rsidR="008C5924">
        <w:tc>
          <w:tcPr>
            <w:tcW w:w="2045" w:type="dxa"/>
            <w:vAlign w:val="center"/>
          </w:tcPr>
          <w:p w:rsidR="008C5924" w:rsidRDefault="00AB5512">
            <w:pPr>
              <w:jc w:val="left"/>
            </w:pPr>
            <w:r>
              <w:rPr>
                <w:sz w:val="24"/>
              </w:rPr>
              <w:t>交银施罗德基金公司</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38,835.46</w:t>
            </w:r>
          </w:p>
        </w:tc>
        <w:tc>
          <w:tcPr>
            <w:tcW w:w="1889" w:type="dxa"/>
            <w:vAlign w:val="center"/>
          </w:tcPr>
          <w:p w:rsidR="008C5924" w:rsidRDefault="00AB5512">
            <w:pPr>
              <w:jc w:val="right"/>
            </w:pPr>
            <w:r>
              <w:rPr>
                <w:sz w:val="24"/>
              </w:rPr>
              <w:t>38,835.46</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68,847.32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68,847.32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C5924">
        <w:tc>
          <w:tcPr>
            <w:tcW w:w="2045" w:type="dxa"/>
            <w:vAlign w:val="center"/>
          </w:tcPr>
          <w:p w:rsidR="008C5924" w:rsidRDefault="00AB5512">
            <w:pPr>
              <w:jc w:val="left"/>
            </w:pPr>
            <w:r>
              <w:rPr>
                <w:sz w:val="24"/>
              </w:rPr>
              <w:t>中信银行</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137,330.07</w:t>
            </w:r>
          </w:p>
        </w:tc>
        <w:tc>
          <w:tcPr>
            <w:tcW w:w="1889" w:type="dxa"/>
            <w:vAlign w:val="center"/>
          </w:tcPr>
          <w:p w:rsidR="008C5924" w:rsidRDefault="00AB5512">
            <w:pPr>
              <w:jc w:val="right"/>
            </w:pPr>
            <w:r>
              <w:rPr>
                <w:sz w:val="24"/>
              </w:rPr>
              <w:t>137,330.07</w:t>
            </w:r>
          </w:p>
        </w:tc>
      </w:tr>
      <w:tr w:rsidR="008C5924">
        <w:tc>
          <w:tcPr>
            <w:tcW w:w="2045" w:type="dxa"/>
            <w:vAlign w:val="center"/>
          </w:tcPr>
          <w:p w:rsidR="008C5924" w:rsidRDefault="00AB5512">
            <w:pPr>
              <w:jc w:val="left"/>
            </w:pPr>
            <w:r>
              <w:rPr>
                <w:sz w:val="24"/>
              </w:rPr>
              <w:t>交通银行</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13,012.87</w:t>
            </w:r>
          </w:p>
        </w:tc>
        <w:tc>
          <w:tcPr>
            <w:tcW w:w="1889" w:type="dxa"/>
            <w:vAlign w:val="center"/>
          </w:tcPr>
          <w:p w:rsidR="008C5924" w:rsidRDefault="00AB5512">
            <w:pPr>
              <w:jc w:val="right"/>
            </w:pPr>
            <w:r>
              <w:rPr>
                <w:sz w:val="24"/>
              </w:rPr>
              <w:t>13,012.87</w:t>
            </w:r>
          </w:p>
        </w:tc>
      </w:tr>
      <w:tr w:rsidR="008C5924">
        <w:tc>
          <w:tcPr>
            <w:tcW w:w="2045" w:type="dxa"/>
            <w:vAlign w:val="center"/>
          </w:tcPr>
          <w:p w:rsidR="008C5924" w:rsidRDefault="00AB5512">
            <w:pPr>
              <w:jc w:val="left"/>
            </w:pPr>
            <w:r>
              <w:rPr>
                <w:sz w:val="24"/>
              </w:rPr>
              <w:t>交银施罗德基金公司</w:t>
            </w:r>
          </w:p>
        </w:tc>
        <w:tc>
          <w:tcPr>
            <w:tcW w:w="2455" w:type="dxa"/>
            <w:vAlign w:val="center"/>
          </w:tcPr>
          <w:p w:rsidR="008C5924" w:rsidRDefault="00AB5512">
            <w:pPr>
              <w:jc w:val="right"/>
            </w:pPr>
            <w:r>
              <w:rPr>
                <w:sz w:val="24"/>
              </w:rPr>
              <w:t>-</w:t>
            </w:r>
          </w:p>
        </w:tc>
        <w:tc>
          <w:tcPr>
            <w:tcW w:w="2609" w:type="dxa"/>
            <w:vAlign w:val="center"/>
          </w:tcPr>
          <w:p w:rsidR="008C5924" w:rsidRDefault="00AB5512">
            <w:pPr>
              <w:jc w:val="right"/>
            </w:pPr>
            <w:r>
              <w:rPr>
                <w:sz w:val="24"/>
              </w:rPr>
              <w:t>2,913.57</w:t>
            </w:r>
          </w:p>
        </w:tc>
        <w:tc>
          <w:tcPr>
            <w:tcW w:w="1889" w:type="dxa"/>
            <w:vAlign w:val="center"/>
          </w:tcPr>
          <w:p w:rsidR="008C5924" w:rsidRDefault="00AB5512">
            <w:pPr>
              <w:jc w:val="right"/>
            </w:pPr>
            <w:r>
              <w:rPr>
                <w:sz w:val="24"/>
              </w:rPr>
              <w:t>2,913.57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153,256.51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153,256.51</w:t>
            </w:r>
          </w:p>
        </w:tc>
      </w:tr>
    </w:tbl>
    <w:p w:rsidR="008C5924" w:rsidRDefault="00AB5512">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8C5924" w:rsidRDefault="00AB5512">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8C5924" w:rsidRDefault="008C5924">
      <w:pPr>
        <w:tabs>
          <w:tab w:val="left" w:pos="426"/>
        </w:tabs>
        <w:spacing w:before="29" w:line="288" w:lineRule="auto"/>
        <w:jc w:val="left"/>
        <w:rPr>
          <w:kern w:val="0"/>
          <w:sz w:val="24"/>
        </w:rPr>
      </w:pPr>
    </w:p>
    <w:p w:rsidR="008C5924" w:rsidRDefault="00AB5512">
      <w:pPr>
        <w:tabs>
          <w:tab w:val="left" w:pos="426"/>
        </w:tabs>
        <w:spacing w:before="29" w:line="288" w:lineRule="auto"/>
        <w:jc w:val="left"/>
        <w:rPr>
          <w:kern w:val="0"/>
          <w:sz w:val="24"/>
        </w:rPr>
      </w:pP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8C5924">
        <w:tc>
          <w:tcPr>
            <w:tcW w:w="2266" w:type="dxa"/>
            <w:vAlign w:val="center"/>
          </w:tcPr>
          <w:p w:rsidR="008C5924" w:rsidRDefault="00AB5512">
            <w:pPr>
              <w:jc w:val="left"/>
            </w:pPr>
            <w:r>
              <w:rPr>
                <w:szCs w:val="21"/>
              </w:rPr>
              <w:t>中信银行</w:t>
            </w:r>
          </w:p>
        </w:tc>
        <w:tc>
          <w:tcPr>
            <w:tcW w:w="1683" w:type="dxa"/>
            <w:vAlign w:val="center"/>
          </w:tcPr>
          <w:p w:rsidR="008C5924" w:rsidRDefault="00AB5512">
            <w:pPr>
              <w:jc w:val="right"/>
            </w:pPr>
            <w:r>
              <w:rPr>
                <w:szCs w:val="21"/>
              </w:rPr>
              <w:t>287,954.04</w:t>
            </w:r>
          </w:p>
        </w:tc>
        <w:tc>
          <w:tcPr>
            <w:tcW w:w="1683" w:type="dxa"/>
            <w:vAlign w:val="center"/>
          </w:tcPr>
          <w:p w:rsidR="008C5924" w:rsidRDefault="00AB5512">
            <w:pPr>
              <w:jc w:val="right"/>
            </w:pPr>
            <w:r>
              <w:rPr>
                <w:szCs w:val="21"/>
              </w:rPr>
              <w:t>149,267.79</w:t>
            </w:r>
          </w:p>
        </w:tc>
        <w:tc>
          <w:tcPr>
            <w:tcW w:w="1683" w:type="dxa"/>
            <w:vAlign w:val="center"/>
          </w:tcPr>
          <w:p w:rsidR="008C5924" w:rsidRDefault="00AB5512">
            <w:pPr>
              <w:jc w:val="right"/>
            </w:pPr>
            <w:r>
              <w:rPr>
                <w:szCs w:val="21"/>
              </w:rPr>
              <w:t>101,901,656.34</w:t>
            </w:r>
          </w:p>
        </w:tc>
        <w:tc>
          <w:tcPr>
            <w:tcW w:w="1683" w:type="dxa"/>
            <w:vAlign w:val="center"/>
          </w:tcPr>
          <w:p w:rsidR="008C5924" w:rsidRDefault="00AB5512">
            <w:pPr>
              <w:jc w:val="right"/>
            </w:pPr>
            <w:r>
              <w:rPr>
                <w:szCs w:val="21"/>
              </w:rPr>
              <w:t>38,937.76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99,989,530.01</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8C5924">
        <w:tc>
          <w:tcPr>
            <w:tcW w:w="1493" w:type="dxa"/>
            <w:vAlign w:val="center"/>
          </w:tcPr>
          <w:p w:rsidR="008C5924" w:rsidRDefault="00AB5512">
            <w:pPr>
              <w:jc w:val="center"/>
            </w:pPr>
            <w:r>
              <w:rPr>
                <w:color w:val="000000"/>
                <w:kern w:val="0"/>
                <w:sz w:val="24"/>
              </w:rPr>
              <w:t>11751074</w:t>
            </w:r>
          </w:p>
        </w:tc>
        <w:tc>
          <w:tcPr>
            <w:tcW w:w="1494" w:type="dxa"/>
            <w:vAlign w:val="center"/>
          </w:tcPr>
          <w:p w:rsidR="008C5924" w:rsidRDefault="00AB5512">
            <w:pPr>
              <w:jc w:val="center"/>
            </w:pPr>
            <w:r>
              <w:rPr>
                <w:color w:val="000000"/>
                <w:kern w:val="0"/>
                <w:sz w:val="24"/>
              </w:rPr>
              <w:t>17</w:t>
            </w:r>
            <w:r>
              <w:rPr>
                <w:color w:val="000000"/>
                <w:kern w:val="0"/>
                <w:sz w:val="24"/>
              </w:rPr>
              <w:t>大唐集</w:t>
            </w:r>
            <w:r>
              <w:rPr>
                <w:color w:val="000000"/>
                <w:kern w:val="0"/>
                <w:sz w:val="24"/>
              </w:rPr>
              <w:t>SCP006</w:t>
            </w:r>
          </w:p>
        </w:tc>
        <w:tc>
          <w:tcPr>
            <w:tcW w:w="1494" w:type="dxa"/>
            <w:vAlign w:val="center"/>
          </w:tcPr>
          <w:p w:rsidR="008C5924" w:rsidRDefault="00AB5512">
            <w:pPr>
              <w:jc w:val="center"/>
            </w:pPr>
            <w:r>
              <w:rPr>
                <w:color w:val="000000"/>
                <w:kern w:val="0"/>
                <w:sz w:val="24"/>
              </w:rPr>
              <w:t>2018-01-03</w:t>
            </w:r>
          </w:p>
        </w:tc>
        <w:tc>
          <w:tcPr>
            <w:tcW w:w="1255" w:type="dxa"/>
            <w:vAlign w:val="center"/>
          </w:tcPr>
          <w:p w:rsidR="008C5924" w:rsidRDefault="00AB5512">
            <w:pPr>
              <w:jc w:val="right"/>
            </w:pPr>
            <w:r>
              <w:rPr>
                <w:color w:val="000000"/>
                <w:kern w:val="0"/>
                <w:sz w:val="24"/>
              </w:rPr>
              <w:t>100.28</w:t>
            </w:r>
          </w:p>
        </w:tc>
        <w:tc>
          <w:tcPr>
            <w:tcW w:w="1434" w:type="dxa"/>
            <w:vAlign w:val="center"/>
          </w:tcPr>
          <w:p w:rsidR="008C5924" w:rsidRDefault="00AB5512">
            <w:pPr>
              <w:jc w:val="right"/>
            </w:pPr>
            <w:r>
              <w:rPr>
                <w:color w:val="000000"/>
                <w:kern w:val="0"/>
                <w:sz w:val="24"/>
              </w:rPr>
              <w:t>500,000</w:t>
            </w:r>
          </w:p>
        </w:tc>
        <w:tc>
          <w:tcPr>
            <w:tcW w:w="1828" w:type="dxa"/>
            <w:vAlign w:val="center"/>
          </w:tcPr>
          <w:p w:rsidR="008C5924" w:rsidRDefault="00AB5512">
            <w:pPr>
              <w:jc w:val="right"/>
            </w:pPr>
            <w:r>
              <w:rPr>
                <w:color w:val="000000"/>
                <w:kern w:val="0"/>
                <w:sz w:val="24"/>
              </w:rPr>
              <w:t>50,140,000.00</w:t>
            </w:r>
          </w:p>
        </w:tc>
      </w:tr>
      <w:tr w:rsidR="008C5924">
        <w:tc>
          <w:tcPr>
            <w:tcW w:w="1493" w:type="dxa"/>
            <w:vAlign w:val="center"/>
          </w:tcPr>
          <w:p w:rsidR="008C5924" w:rsidRDefault="00AB5512">
            <w:pPr>
              <w:jc w:val="center"/>
            </w:pPr>
            <w:r>
              <w:rPr>
                <w:color w:val="000000"/>
                <w:kern w:val="0"/>
                <w:sz w:val="24"/>
              </w:rPr>
              <w:t>11754110</w:t>
            </w:r>
          </w:p>
        </w:tc>
        <w:tc>
          <w:tcPr>
            <w:tcW w:w="1494" w:type="dxa"/>
            <w:vAlign w:val="center"/>
          </w:tcPr>
          <w:p w:rsidR="008C5924" w:rsidRDefault="00AB5512">
            <w:pPr>
              <w:jc w:val="center"/>
            </w:pPr>
            <w:r>
              <w:rPr>
                <w:color w:val="000000"/>
                <w:kern w:val="0"/>
                <w:sz w:val="24"/>
              </w:rPr>
              <w:t>17</w:t>
            </w:r>
            <w:r>
              <w:rPr>
                <w:color w:val="000000"/>
                <w:kern w:val="0"/>
                <w:sz w:val="24"/>
              </w:rPr>
              <w:t>龙源电力</w:t>
            </w:r>
            <w:r>
              <w:rPr>
                <w:color w:val="000000"/>
                <w:kern w:val="0"/>
                <w:sz w:val="24"/>
              </w:rPr>
              <w:t>SCP004</w:t>
            </w:r>
          </w:p>
        </w:tc>
        <w:tc>
          <w:tcPr>
            <w:tcW w:w="1494" w:type="dxa"/>
            <w:vAlign w:val="center"/>
          </w:tcPr>
          <w:p w:rsidR="008C5924" w:rsidRDefault="00AB5512">
            <w:pPr>
              <w:jc w:val="center"/>
            </w:pPr>
            <w:r>
              <w:rPr>
                <w:color w:val="000000"/>
                <w:kern w:val="0"/>
                <w:sz w:val="24"/>
              </w:rPr>
              <w:t>2018-01-03</w:t>
            </w:r>
          </w:p>
        </w:tc>
        <w:tc>
          <w:tcPr>
            <w:tcW w:w="1255" w:type="dxa"/>
            <w:vAlign w:val="center"/>
          </w:tcPr>
          <w:p w:rsidR="008C5924" w:rsidRDefault="00AB5512">
            <w:pPr>
              <w:jc w:val="right"/>
            </w:pPr>
            <w:r>
              <w:rPr>
                <w:color w:val="000000"/>
                <w:kern w:val="0"/>
                <w:sz w:val="24"/>
              </w:rPr>
              <w:t>100.05</w:t>
            </w:r>
          </w:p>
        </w:tc>
        <w:tc>
          <w:tcPr>
            <w:tcW w:w="1434" w:type="dxa"/>
            <w:vAlign w:val="center"/>
          </w:tcPr>
          <w:p w:rsidR="008C5924" w:rsidRDefault="00AB5512">
            <w:pPr>
              <w:jc w:val="right"/>
            </w:pPr>
            <w:r>
              <w:rPr>
                <w:color w:val="000000"/>
                <w:kern w:val="0"/>
                <w:sz w:val="24"/>
              </w:rPr>
              <w:t>210,000</w:t>
            </w:r>
          </w:p>
        </w:tc>
        <w:tc>
          <w:tcPr>
            <w:tcW w:w="1828" w:type="dxa"/>
            <w:vAlign w:val="center"/>
          </w:tcPr>
          <w:p w:rsidR="008C5924" w:rsidRDefault="00AB5512">
            <w:pPr>
              <w:jc w:val="right"/>
            </w:pPr>
            <w:r>
              <w:rPr>
                <w:color w:val="000000"/>
                <w:kern w:val="0"/>
                <w:sz w:val="24"/>
              </w:rPr>
              <w:t>21,010,500.00</w:t>
            </w:r>
          </w:p>
        </w:tc>
      </w:tr>
      <w:tr w:rsidR="008C5924">
        <w:tc>
          <w:tcPr>
            <w:tcW w:w="1493" w:type="dxa"/>
            <w:vAlign w:val="center"/>
          </w:tcPr>
          <w:p w:rsidR="008C5924" w:rsidRDefault="00AB5512">
            <w:pPr>
              <w:jc w:val="center"/>
            </w:pPr>
            <w:r>
              <w:rPr>
                <w:color w:val="000000"/>
                <w:kern w:val="0"/>
                <w:sz w:val="24"/>
              </w:rPr>
              <w:t>01170408</w:t>
            </w:r>
          </w:p>
        </w:tc>
        <w:tc>
          <w:tcPr>
            <w:tcW w:w="1494" w:type="dxa"/>
            <w:vAlign w:val="center"/>
          </w:tcPr>
          <w:p w:rsidR="008C5924" w:rsidRDefault="00AB5512">
            <w:pPr>
              <w:jc w:val="center"/>
            </w:pPr>
            <w:r>
              <w:rPr>
                <w:color w:val="000000"/>
                <w:kern w:val="0"/>
                <w:sz w:val="24"/>
              </w:rPr>
              <w:t>17</w:t>
            </w:r>
            <w:r>
              <w:rPr>
                <w:color w:val="000000"/>
                <w:kern w:val="0"/>
                <w:sz w:val="24"/>
              </w:rPr>
              <w:t>农发</w:t>
            </w:r>
            <w:r>
              <w:rPr>
                <w:color w:val="000000"/>
                <w:kern w:val="0"/>
                <w:sz w:val="24"/>
              </w:rPr>
              <w:t>08</w:t>
            </w:r>
          </w:p>
        </w:tc>
        <w:tc>
          <w:tcPr>
            <w:tcW w:w="1494" w:type="dxa"/>
            <w:vAlign w:val="center"/>
          </w:tcPr>
          <w:p w:rsidR="008C5924" w:rsidRDefault="00AB5512">
            <w:pPr>
              <w:jc w:val="center"/>
            </w:pPr>
            <w:r>
              <w:rPr>
                <w:color w:val="000000"/>
                <w:kern w:val="0"/>
                <w:sz w:val="24"/>
              </w:rPr>
              <w:t>2018-01-04</w:t>
            </w:r>
          </w:p>
        </w:tc>
        <w:tc>
          <w:tcPr>
            <w:tcW w:w="1255" w:type="dxa"/>
            <w:vAlign w:val="center"/>
          </w:tcPr>
          <w:p w:rsidR="008C5924" w:rsidRDefault="00AB5512">
            <w:pPr>
              <w:jc w:val="right"/>
            </w:pPr>
            <w:r>
              <w:rPr>
                <w:color w:val="000000"/>
                <w:kern w:val="0"/>
                <w:sz w:val="24"/>
              </w:rPr>
              <w:t>99.70</w:t>
            </w:r>
          </w:p>
        </w:tc>
        <w:tc>
          <w:tcPr>
            <w:tcW w:w="1434" w:type="dxa"/>
            <w:vAlign w:val="center"/>
          </w:tcPr>
          <w:p w:rsidR="008C5924" w:rsidRDefault="00AB5512">
            <w:pPr>
              <w:jc w:val="right"/>
            </w:pPr>
            <w:r>
              <w:rPr>
                <w:color w:val="000000"/>
                <w:kern w:val="0"/>
                <w:sz w:val="24"/>
              </w:rPr>
              <w:t>300,000</w:t>
            </w:r>
          </w:p>
        </w:tc>
        <w:tc>
          <w:tcPr>
            <w:tcW w:w="1828" w:type="dxa"/>
            <w:vAlign w:val="center"/>
          </w:tcPr>
          <w:p w:rsidR="008C5924" w:rsidRDefault="00AB5512">
            <w:pPr>
              <w:jc w:val="right"/>
            </w:pPr>
            <w:r>
              <w:rPr>
                <w:color w:val="000000"/>
                <w:kern w:val="0"/>
                <w:sz w:val="24"/>
              </w:rPr>
              <w:t>29,910,000.00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1,010,000</w:t>
            </w:r>
          </w:p>
        </w:tc>
        <w:tc>
          <w:tcPr>
            <w:tcW w:w="1836" w:type="dxa"/>
            <w:vAlign w:val="center"/>
          </w:tcPr>
          <w:p w:rsidR="001A59F9" w:rsidRPr="00AA721C" w:rsidRDefault="001A59F9" w:rsidP="00AA721C">
            <w:pPr>
              <w:spacing w:before="29" w:line="288" w:lineRule="auto"/>
              <w:jc w:val="right"/>
              <w:rPr>
                <w:sz w:val="24"/>
              </w:rPr>
            </w:pPr>
            <w:r w:rsidRPr="00AA721C">
              <w:rPr>
                <w:sz w:val="24"/>
              </w:rPr>
              <w:t>101,060,500.00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本基金本报告期末无从事交易所市场债券正回购交易形成的卖出回购证券款余额。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8C5924" w:rsidRDefault="00AB5512">
      <w:pPr>
        <w:spacing w:before="29" w:line="288" w:lineRule="auto"/>
        <w:ind w:firstLineChars="200" w:firstLine="480"/>
        <w:rPr>
          <w:color w:val="000000"/>
          <w:sz w:val="24"/>
        </w:rPr>
      </w:pPr>
      <w:r>
        <w:rPr>
          <w:color w:val="000000"/>
          <w:sz w:val="24"/>
        </w:rPr>
        <w:t>(1)</w:t>
      </w:r>
      <w:r>
        <w:rPr>
          <w:color w:val="000000"/>
          <w:sz w:val="24"/>
        </w:rPr>
        <w:t>公允价值</w:t>
      </w:r>
    </w:p>
    <w:p w:rsidR="008C5924" w:rsidRDefault="00AB5512">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8C5924" w:rsidRDefault="00AB551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C5924" w:rsidRDefault="00AB5512">
      <w:pPr>
        <w:spacing w:before="29" w:line="288" w:lineRule="auto"/>
        <w:ind w:firstLineChars="200" w:firstLine="480"/>
        <w:rPr>
          <w:color w:val="000000"/>
          <w:sz w:val="24"/>
        </w:rPr>
      </w:pPr>
      <w:r>
        <w:rPr>
          <w:color w:val="000000"/>
          <w:sz w:val="24"/>
        </w:rPr>
        <w:t>第一层次：相同资产或负债在活跃市场上未经调整的报价。</w:t>
      </w:r>
    </w:p>
    <w:p w:rsidR="008C5924" w:rsidRDefault="00AB551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C5924" w:rsidRDefault="00AB5512">
      <w:pPr>
        <w:spacing w:before="29" w:line="288" w:lineRule="auto"/>
        <w:ind w:firstLineChars="200" w:firstLine="480"/>
        <w:rPr>
          <w:color w:val="000000"/>
          <w:sz w:val="24"/>
        </w:rPr>
      </w:pPr>
      <w:r>
        <w:rPr>
          <w:color w:val="000000"/>
          <w:sz w:val="24"/>
        </w:rPr>
        <w:t>第三层次：相关资产或负债的不可观察输入值。</w:t>
      </w:r>
    </w:p>
    <w:p w:rsidR="008C5924" w:rsidRDefault="00AB5512">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8C5924" w:rsidRDefault="00AB5512">
      <w:pPr>
        <w:spacing w:before="29" w:line="288" w:lineRule="auto"/>
        <w:ind w:firstLineChars="200" w:firstLine="480"/>
        <w:rPr>
          <w:color w:val="000000"/>
          <w:sz w:val="24"/>
        </w:rPr>
      </w:pPr>
      <w:r>
        <w:rPr>
          <w:color w:val="000000"/>
          <w:sz w:val="24"/>
        </w:rPr>
        <w:t>(i)</w:t>
      </w:r>
      <w:r>
        <w:rPr>
          <w:color w:val="000000"/>
          <w:sz w:val="24"/>
        </w:rPr>
        <w:t>各层次金融工具公允价值</w:t>
      </w:r>
    </w:p>
    <w:p w:rsidR="008C5924" w:rsidRDefault="00AB551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640,745,500.00</w:t>
      </w:r>
      <w:r>
        <w:rPr>
          <w:color w:val="000000"/>
          <w:sz w:val="24"/>
        </w:rPr>
        <w:t>元，无属于第一层次及第三层次的余额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114,703,950.00</w:t>
      </w:r>
      <w:r>
        <w:rPr>
          <w:color w:val="000000"/>
          <w:sz w:val="24"/>
        </w:rPr>
        <w:t>元，无属于第一层次及第三层次的余额</w:t>
      </w:r>
      <w:r>
        <w:rPr>
          <w:color w:val="000000"/>
          <w:sz w:val="24"/>
        </w:rPr>
        <w:t>)</w:t>
      </w:r>
      <w:r>
        <w:rPr>
          <w:color w:val="000000"/>
          <w:sz w:val="24"/>
        </w:rPr>
        <w:t>。</w:t>
      </w:r>
      <w:r>
        <w:rPr>
          <w:color w:val="000000"/>
          <w:sz w:val="24"/>
        </w:rPr>
        <w:t>(ii)</w:t>
      </w:r>
      <w:r>
        <w:rPr>
          <w:color w:val="000000"/>
          <w:sz w:val="24"/>
        </w:rPr>
        <w:t>公允价值所属层次间的重大变动</w:t>
      </w:r>
    </w:p>
    <w:p w:rsidR="008C5924" w:rsidRDefault="00AB5512">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8C5924" w:rsidRDefault="00AB5512">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8C5924" w:rsidRDefault="00AB5512">
      <w:pPr>
        <w:spacing w:before="29" w:line="288" w:lineRule="auto"/>
        <w:ind w:firstLineChars="200" w:firstLine="480"/>
        <w:rPr>
          <w:color w:val="000000"/>
          <w:sz w:val="24"/>
        </w:rPr>
      </w:pPr>
      <w:r>
        <w:rPr>
          <w:color w:val="000000"/>
          <w:sz w:val="24"/>
        </w:rPr>
        <w:t>无。</w:t>
      </w:r>
    </w:p>
    <w:p w:rsidR="008C5924" w:rsidRDefault="00AB5512">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8C5924" w:rsidRDefault="00AB551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C5924" w:rsidRDefault="00AB5512">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8C5924" w:rsidRDefault="00AB551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C5924" w:rsidRDefault="00AB5512">
      <w:pPr>
        <w:spacing w:before="29" w:line="288" w:lineRule="auto"/>
        <w:ind w:firstLineChars="200" w:firstLine="480"/>
        <w:rPr>
          <w:color w:val="000000"/>
          <w:sz w:val="24"/>
        </w:rPr>
      </w:pPr>
      <w:r>
        <w:rPr>
          <w:color w:val="000000"/>
          <w:sz w:val="24"/>
        </w:rPr>
        <w:t>(2)</w:t>
      </w:r>
      <w:r>
        <w:rPr>
          <w:color w:val="000000"/>
          <w:sz w:val="24"/>
        </w:rPr>
        <w:t>增值税</w:t>
      </w:r>
    </w:p>
    <w:p w:rsidR="008C5924" w:rsidRDefault="00AB5512">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8C5924" w:rsidRDefault="008C5924">
      <w:pPr>
        <w:spacing w:before="29" w:line="288" w:lineRule="auto"/>
        <w:ind w:firstLineChars="200" w:firstLine="480"/>
        <w:rPr>
          <w:color w:val="000000"/>
          <w:sz w:val="24"/>
        </w:rPr>
      </w:pPr>
    </w:p>
    <w:p w:rsidR="008C5924" w:rsidRDefault="00AB5512">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w:t>
      </w:r>
      <w:r>
        <w:rPr>
          <w:color w:val="000000"/>
          <w:sz w:val="24"/>
        </w:rPr>
        <w:lastRenderedPageBreak/>
        <w:t>增值税的，已纳税额从资管产品管理人以后月份的增值税应纳税额中抵减。</w:t>
      </w:r>
    </w:p>
    <w:p w:rsidR="008C5924" w:rsidRDefault="008C5924">
      <w:pPr>
        <w:spacing w:before="29" w:line="288" w:lineRule="auto"/>
        <w:ind w:firstLineChars="200" w:firstLine="480"/>
        <w:rPr>
          <w:color w:val="000000"/>
          <w:sz w:val="24"/>
        </w:rPr>
      </w:pPr>
    </w:p>
    <w:p w:rsidR="008C5924" w:rsidRDefault="00AB5512">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8C5924" w:rsidRDefault="008C5924">
      <w:pPr>
        <w:spacing w:before="29" w:line="288" w:lineRule="auto"/>
        <w:ind w:firstLineChars="200" w:firstLine="480"/>
        <w:rPr>
          <w:color w:val="000000"/>
          <w:sz w:val="24"/>
        </w:rPr>
      </w:pPr>
    </w:p>
    <w:p w:rsidR="008C5924" w:rsidRDefault="00AB5512">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8C5924" w:rsidRDefault="008C5924">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640,745,500.00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640,745,500.00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287,954.04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10,235,273.92</w:t>
            </w:r>
          </w:p>
        </w:tc>
        <w:tc>
          <w:tcPr>
            <w:tcW w:w="1980" w:type="dxa"/>
            <w:vAlign w:val="center"/>
          </w:tcPr>
          <w:p w:rsidR="001E6CEE" w:rsidRPr="000008D1" w:rsidRDefault="001E6CEE" w:rsidP="00026C9C">
            <w:pPr>
              <w:spacing w:line="360" w:lineRule="auto"/>
              <w:jc w:val="right"/>
              <w:rPr>
                <w:sz w:val="24"/>
              </w:rPr>
            </w:pPr>
            <w:r w:rsidRPr="000008D1">
              <w:rPr>
                <w:sz w:val="24"/>
              </w:rPr>
              <w:t>1.57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651,268,727.96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400,757,000.00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72.77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29,239,000.00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5.31</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180,839,500.00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32.84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640,745,500.00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116.35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w:t>
            </w:r>
            <w:r w:rsidRPr="00010407">
              <w:rPr>
                <w:rFonts w:hint="eastAsia"/>
                <w:color w:val="000000"/>
                <w:sz w:val="24"/>
              </w:rPr>
              <w:lastRenderedPageBreak/>
              <w:t>值比例</w:t>
            </w:r>
            <w:r w:rsidRPr="00010407">
              <w:rPr>
                <w:color w:val="000000"/>
                <w:sz w:val="24"/>
              </w:rPr>
              <w:t>(</w:t>
            </w:r>
            <w:r w:rsidRPr="00010407">
              <w:rPr>
                <w:rFonts w:hint="eastAsia"/>
                <w:color w:val="000000"/>
                <w:sz w:val="24"/>
              </w:rPr>
              <w:t>％</w:t>
            </w:r>
            <w:r w:rsidRPr="00010407">
              <w:rPr>
                <w:color w:val="000000"/>
                <w:sz w:val="24"/>
              </w:rPr>
              <w:t>)</w:t>
            </w:r>
          </w:p>
        </w:tc>
      </w:tr>
      <w:tr w:rsidR="008C5924">
        <w:tc>
          <w:tcPr>
            <w:tcW w:w="1320" w:type="dxa"/>
            <w:vAlign w:val="center"/>
          </w:tcPr>
          <w:p w:rsidR="008C5924" w:rsidRDefault="00AB5512">
            <w:pPr>
              <w:jc w:val="center"/>
            </w:pPr>
            <w:r>
              <w:rPr>
                <w:color w:val="000000"/>
                <w:sz w:val="24"/>
              </w:rPr>
              <w:lastRenderedPageBreak/>
              <w:t>1</w:t>
            </w:r>
          </w:p>
        </w:tc>
        <w:tc>
          <w:tcPr>
            <w:tcW w:w="1382" w:type="dxa"/>
            <w:vAlign w:val="center"/>
          </w:tcPr>
          <w:p w:rsidR="008C5924" w:rsidRDefault="00AB5512">
            <w:pPr>
              <w:jc w:val="center"/>
            </w:pPr>
            <w:r>
              <w:rPr>
                <w:color w:val="000000"/>
                <w:sz w:val="24"/>
              </w:rPr>
              <w:t>011751074</w:t>
            </w:r>
          </w:p>
        </w:tc>
        <w:tc>
          <w:tcPr>
            <w:tcW w:w="1353" w:type="dxa"/>
            <w:vAlign w:val="center"/>
          </w:tcPr>
          <w:p w:rsidR="008C5924" w:rsidRDefault="00AB5512">
            <w:pPr>
              <w:jc w:val="center"/>
            </w:pPr>
            <w:r>
              <w:rPr>
                <w:color w:val="000000"/>
                <w:sz w:val="24"/>
              </w:rPr>
              <w:t>17</w:t>
            </w:r>
            <w:r>
              <w:rPr>
                <w:color w:val="000000"/>
                <w:sz w:val="24"/>
              </w:rPr>
              <w:t>大唐集</w:t>
            </w:r>
            <w:r>
              <w:rPr>
                <w:color w:val="000000"/>
                <w:sz w:val="24"/>
              </w:rPr>
              <w:t>SCP006</w:t>
            </w:r>
          </w:p>
        </w:tc>
        <w:tc>
          <w:tcPr>
            <w:tcW w:w="1505" w:type="dxa"/>
            <w:vAlign w:val="center"/>
          </w:tcPr>
          <w:p w:rsidR="008C5924" w:rsidRDefault="00AB5512">
            <w:pPr>
              <w:jc w:val="right"/>
            </w:pPr>
            <w:r>
              <w:rPr>
                <w:color w:val="000000"/>
                <w:sz w:val="24"/>
              </w:rPr>
              <w:t>500,000</w:t>
            </w:r>
          </w:p>
        </w:tc>
        <w:tc>
          <w:tcPr>
            <w:tcW w:w="1737" w:type="dxa"/>
            <w:vAlign w:val="center"/>
          </w:tcPr>
          <w:p w:rsidR="008C5924" w:rsidRDefault="00AB5512">
            <w:pPr>
              <w:jc w:val="right"/>
            </w:pPr>
            <w:r>
              <w:rPr>
                <w:color w:val="000000"/>
                <w:sz w:val="24"/>
              </w:rPr>
              <w:t>50,140,000.00</w:t>
            </w:r>
          </w:p>
        </w:tc>
        <w:tc>
          <w:tcPr>
            <w:tcW w:w="1701" w:type="dxa"/>
            <w:vAlign w:val="center"/>
          </w:tcPr>
          <w:p w:rsidR="008C5924" w:rsidRDefault="00AB5512">
            <w:pPr>
              <w:jc w:val="right"/>
            </w:pPr>
            <w:r>
              <w:rPr>
                <w:color w:val="000000"/>
                <w:sz w:val="24"/>
              </w:rPr>
              <w:t>9.11</w:t>
            </w:r>
          </w:p>
        </w:tc>
      </w:tr>
      <w:tr w:rsidR="008C5924">
        <w:tc>
          <w:tcPr>
            <w:tcW w:w="1320" w:type="dxa"/>
            <w:vAlign w:val="center"/>
          </w:tcPr>
          <w:p w:rsidR="008C5924" w:rsidRDefault="00AB5512">
            <w:pPr>
              <w:jc w:val="center"/>
            </w:pPr>
            <w:r>
              <w:rPr>
                <w:color w:val="000000"/>
                <w:sz w:val="24"/>
              </w:rPr>
              <w:t>2</w:t>
            </w:r>
          </w:p>
        </w:tc>
        <w:tc>
          <w:tcPr>
            <w:tcW w:w="1382" w:type="dxa"/>
            <w:vAlign w:val="center"/>
          </w:tcPr>
          <w:p w:rsidR="008C5924" w:rsidRDefault="00AB5512">
            <w:pPr>
              <w:jc w:val="center"/>
            </w:pPr>
            <w:r>
              <w:rPr>
                <w:color w:val="000000"/>
                <w:sz w:val="24"/>
              </w:rPr>
              <w:t>011751061</w:t>
            </w:r>
          </w:p>
        </w:tc>
        <w:tc>
          <w:tcPr>
            <w:tcW w:w="1353" w:type="dxa"/>
            <w:vAlign w:val="center"/>
          </w:tcPr>
          <w:p w:rsidR="008C5924" w:rsidRDefault="00AB5512">
            <w:pPr>
              <w:jc w:val="center"/>
            </w:pPr>
            <w:r>
              <w:rPr>
                <w:color w:val="000000"/>
                <w:sz w:val="24"/>
              </w:rPr>
              <w:t>17</w:t>
            </w:r>
            <w:r>
              <w:rPr>
                <w:color w:val="000000"/>
                <w:sz w:val="24"/>
              </w:rPr>
              <w:t>华能集</w:t>
            </w:r>
            <w:r>
              <w:rPr>
                <w:color w:val="000000"/>
                <w:sz w:val="24"/>
              </w:rPr>
              <w:t>SCP002BC</w:t>
            </w:r>
          </w:p>
        </w:tc>
        <w:tc>
          <w:tcPr>
            <w:tcW w:w="1505" w:type="dxa"/>
            <w:vAlign w:val="center"/>
          </w:tcPr>
          <w:p w:rsidR="008C5924" w:rsidRDefault="00AB5512">
            <w:pPr>
              <w:jc w:val="right"/>
            </w:pPr>
            <w:r>
              <w:rPr>
                <w:color w:val="000000"/>
                <w:sz w:val="24"/>
              </w:rPr>
              <w:t>500,000</w:t>
            </w:r>
          </w:p>
        </w:tc>
        <w:tc>
          <w:tcPr>
            <w:tcW w:w="1737" w:type="dxa"/>
            <w:vAlign w:val="center"/>
          </w:tcPr>
          <w:p w:rsidR="008C5924" w:rsidRDefault="00AB5512">
            <w:pPr>
              <w:jc w:val="right"/>
            </w:pPr>
            <w:r>
              <w:rPr>
                <w:color w:val="000000"/>
                <w:sz w:val="24"/>
              </w:rPr>
              <w:t>50,135,000.00</w:t>
            </w:r>
          </w:p>
        </w:tc>
        <w:tc>
          <w:tcPr>
            <w:tcW w:w="1701" w:type="dxa"/>
            <w:vAlign w:val="center"/>
          </w:tcPr>
          <w:p w:rsidR="008C5924" w:rsidRDefault="00AB5512">
            <w:pPr>
              <w:jc w:val="right"/>
            </w:pPr>
            <w:r>
              <w:rPr>
                <w:color w:val="000000"/>
                <w:sz w:val="24"/>
              </w:rPr>
              <w:t>9.10</w:t>
            </w:r>
          </w:p>
        </w:tc>
      </w:tr>
      <w:tr w:rsidR="008C5924">
        <w:tc>
          <w:tcPr>
            <w:tcW w:w="1320" w:type="dxa"/>
            <w:vAlign w:val="center"/>
          </w:tcPr>
          <w:p w:rsidR="008C5924" w:rsidRDefault="00AB5512">
            <w:pPr>
              <w:jc w:val="center"/>
            </w:pPr>
            <w:r>
              <w:rPr>
                <w:color w:val="000000"/>
                <w:sz w:val="24"/>
              </w:rPr>
              <w:t>3</w:t>
            </w:r>
          </w:p>
        </w:tc>
        <w:tc>
          <w:tcPr>
            <w:tcW w:w="1382" w:type="dxa"/>
            <w:vAlign w:val="center"/>
          </w:tcPr>
          <w:p w:rsidR="008C5924" w:rsidRDefault="00AB5512">
            <w:pPr>
              <w:jc w:val="center"/>
            </w:pPr>
            <w:r>
              <w:rPr>
                <w:color w:val="000000"/>
                <w:sz w:val="24"/>
              </w:rPr>
              <w:t>011752061</w:t>
            </w:r>
          </w:p>
        </w:tc>
        <w:tc>
          <w:tcPr>
            <w:tcW w:w="1353" w:type="dxa"/>
            <w:vAlign w:val="center"/>
          </w:tcPr>
          <w:p w:rsidR="008C5924" w:rsidRDefault="00AB5512">
            <w:pPr>
              <w:jc w:val="center"/>
            </w:pPr>
            <w:r>
              <w:rPr>
                <w:color w:val="000000"/>
                <w:sz w:val="24"/>
              </w:rPr>
              <w:t>17</w:t>
            </w:r>
            <w:r>
              <w:rPr>
                <w:color w:val="000000"/>
                <w:sz w:val="24"/>
              </w:rPr>
              <w:t>国电集</w:t>
            </w:r>
            <w:r>
              <w:rPr>
                <w:color w:val="000000"/>
                <w:sz w:val="24"/>
              </w:rPr>
              <w:t>SCP006BC</w:t>
            </w:r>
          </w:p>
        </w:tc>
        <w:tc>
          <w:tcPr>
            <w:tcW w:w="1505" w:type="dxa"/>
            <w:vAlign w:val="center"/>
          </w:tcPr>
          <w:p w:rsidR="008C5924" w:rsidRDefault="00AB5512">
            <w:pPr>
              <w:jc w:val="right"/>
            </w:pPr>
            <w:r>
              <w:rPr>
                <w:color w:val="000000"/>
                <w:sz w:val="24"/>
              </w:rPr>
              <w:t>500,000</w:t>
            </w:r>
          </w:p>
        </w:tc>
        <w:tc>
          <w:tcPr>
            <w:tcW w:w="1737" w:type="dxa"/>
            <w:vAlign w:val="center"/>
          </w:tcPr>
          <w:p w:rsidR="008C5924" w:rsidRDefault="00AB5512">
            <w:pPr>
              <w:jc w:val="right"/>
            </w:pPr>
            <w:r>
              <w:rPr>
                <w:color w:val="000000"/>
                <w:sz w:val="24"/>
              </w:rPr>
              <w:t>50,085,000.00</w:t>
            </w:r>
          </w:p>
        </w:tc>
        <w:tc>
          <w:tcPr>
            <w:tcW w:w="1701" w:type="dxa"/>
            <w:vAlign w:val="center"/>
          </w:tcPr>
          <w:p w:rsidR="008C5924" w:rsidRDefault="00AB5512">
            <w:pPr>
              <w:jc w:val="right"/>
            </w:pPr>
            <w:r>
              <w:rPr>
                <w:color w:val="000000"/>
                <w:sz w:val="24"/>
              </w:rPr>
              <w:t>9.10</w:t>
            </w:r>
          </w:p>
        </w:tc>
      </w:tr>
      <w:tr w:rsidR="008C5924">
        <w:tc>
          <w:tcPr>
            <w:tcW w:w="1320" w:type="dxa"/>
            <w:vAlign w:val="center"/>
          </w:tcPr>
          <w:p w:rsidR="008C5924" w:rsidRDefault="00AB5512">
            <w:pPr>
              <w:jc w:val="center"/>
            </w:pPr>
            <w:r>
              <w:rPr>
                <w:color w:val="000000"/>
                <w:sz w:val="24"/>
              </w:rPr>
              <w:t>4</w:t>
            </w:r>
          </w:p>
        </w:tc>
        <w:tc>
          <w:tcPr>
            <w:tcW w:w="1382" w:type="dxa"/>
            <w:vAlign w:val="center"/>
          </w:tcPr>
          <w:p w:rsidR="008C5924" w:rsidRDefault="00AB5512">
            <w:pPr>
              <w:jc w:val="center"/>
            </w:pPr>
            <w:r>
              <w:rPr>
                <w:color w:val="000000"/>
                <w:sz w:val="24"/>
              </w:rPr>
              <w:t>011754110</w:t>
            </w:r>
          </w:p>
        </w:tc>
        <w:tc>
          <w:tcPr>
            <w:tcW w:w="1353" w:type="dxa"/>
            <w:vAlign w:val="center"/>
          </w:tcPr>
          <w:p w:rsidR="008C5924" w:rsidRDefault="00AB5512">
            <w:pPr>
              <w:jc w:val="center"/>
            </w:pPr>
            <w:r>
              <w:rPr>
                <w:color w:val="000000"/>
                <w:sz w:val="24"/>
              </w:rPr>
              <w:t>17</w:t>
            </w:r>
            <w:r>
              <w:rPr>
                <w:color w:val="000000"/>
                <w:sz w:val="24"/>
              </w:rPr>
              <w:t>龙源电力</w:t>
            </w:r>
            <w:r>
              <w:rPr>
                <w:color w:val="000000"/>
                <w:sz w:val="24"/>
              </w:rPr>
              <w:t>SCP004</w:t>
            </w:r>
          </w:p>
        </w:tc>
        <w:tc>
          <w:tcPr>
            <w:tcW w:w="1505" w:type="dxa"/>
            <w:vAlign w:val="center"/>
          </w:tcPr>
          <w:p w:rsidR="008C5924" w:rsidRDefault="00AB5512">
            <w:pPr>
              <w:jc w:val="right"/>
            </w:pPr>
            <w:r>
              <w:rPr>
                <w:color w:val="000000"/>
                <w:sz w:val="24"/>
              </w:rPr>
              <w:t>500,000</w:t>
            </w:r>
          </w:p>
        </w:tc>
        <w:tc>
          <w:tcPr>
            <w:tcW w:w="1737" w:type="dxa"/>
            <w:vAlign w:val="center"/>
          </w:tcPr>
          <w:p w:rsidR="008C5924" w:rsidRDefault="00AB5512">
            <w:pPr>
              <w:jc w:val="right"/>
            </w:pPr>
            <w:r>
              <w:rPr>
                <w:color w:val="000000"/>
                <w:sz w:val="24"/>
              </w:rPr>
              <w:t>50,025,000.00</w:t>
            </w:r>
          </w:p>
        </w:tc>
        <w:tc>
          <w:tcPr>
            <w:tcW w:w="1701" w:type="dxa"/>
            <w:vAlign w:val="center"/>
          </w:tcPr>
          <w:p w:rsidR="008C5924" w:rsidRDefault="00AB5512">
            <w:pPr>
              <w:jc w:val="right"/>
            </w:pPr>
            <w:r>
              <w:rPr>
                <w:color w:val="000000"/>
                <w:sz w:val="24"/>
              </w:rPr>
              <w:t>9.08</w:t>
            </w:r>
          </w:p>
        </w:tc>
      </w:tr>
      <w:tr w:rsidR="008C5924">
        <w:tc>
          <w:tcPr>
            <w:tcW w:w="1320" w:type="dxa"/>
            <w:vAlign w:val="center"/>
          </w:tcPr>
          <w:p w:rsidR="008C5924" w:rsidRDefault="00AB5512">
            <w:pPr>
              <w:jc w:val="center"/>
            </w:pPr>
            <w:r>
              <w:rPr>
                <w:color w:val="000000"/>
                <w:sz w:val="24"/>
              </w:rPr>
              <w:t>5</w:t>
            </w:r>
          </w:p>
        </w:tc>
        <w:tc>
          <w:tcPr>
            <w:tcW w:w="1382" w:type="dxa"/>
            <w:vAlign w:val="center"/>
          </w:tcPr>
          <w:p w:rsidR="008C5924" w:rsidRDefault="00AB5512">
            <w:pPr>
              <w:jc w:val="center"/>
            </w:pPr>
            <w:r>
              <w:rPr>
                <w:color w:val="000000"/>
                <w:sz w:val="24"/>
              </w:rPr>
              <w:t>011754128</w:t>
            </w:r>
          </w:p>
        </w:tc>
        <w:tc>
          <w:tcPr>
            <w:tcW w:w="1353" w:type="dxa"/>
            <w:vAlign w:val="center"/>
          </w:tcPr>
          <w:p w:rsidR="008C5924" w:rsidRDefault="00AB5512">
            <w:pPr>
              <w:jc w:val="center"/>
            </w:pPr>
            <w:r>
              <w:rPr>
                <w:color w:val="000000"/>
                <w:sz w:val="24"/>
              </w:rPr>
              <w:t>17</w:t>
            </w:r>
            <w:r>
              <w:rPr>
                <w:color w:val="000000"/>
                <w:sz w:val="24"/>
              </w:rPr>
              <w:t>珠海华发</w:t>
            </w:r>
            <w:r>
              <w:rPr>
                <w:color w:val="000000"/>
                <w:sz w:val="24"/>
              </w:rPr>
              <w:t>SCP008</w:t>
            </w:r>
          </w:p>
        </w:tc>
        <w:tc>
          <w:tcPr>
            <w:tcW w:w="1505" w:type="dxa"/>
            <w:vAlign w:val="center"/>
          </w:tcPr>
          <w:p w:rsidR="008C5924" w:rsidRDefault="00AB5512">
            <w:pPr>
              <w:jc w:val="right"/>
            </w:pPr>
            <w:r>
              <w:rPr>
                <w:color w:val="000000"/>
                <w:sz w:val="24"/>
              </w:rPr>
              <w:t>500,000</w:t>
            </w:r>
          </w:p>
        </w:tc>
        <w:tc>
          <w:tcPr>
            <w:tcW w:w="1737" w:type="dxa"/>
            <w:vAlign w:val="center"/>
          </w:tcPr>
          <w:p w:rsidR="008C5924" w:rsidRDefault="00AB5512">
            <w:pPr>
              <w:jc w:val="right"/>
            </w:pPr>
            <w:r>
              <w:rPr>
                <w:color w:val="000000"/>
                <w:sz w:val="24"/>
              </w:rPr>
              <w:t>50,005,000.00</w:t>
            </w:r>
          </w:p>
        </w:tc>
        <w:tc>
          <w:tcPr>
            <w:tcW w:w="1701" w:type="dxa"/>
            <w:vAlign w:val="center"/>
          </w:tcPr>
          <w:p w:rsidR="008C5924" w:rsidRDefault="00AB5512">
            <w:pPr>
              <w:jc w:val="right"/>
            </w:pPr>
            <w:r>
              <w:rPr>
                <w:color w:val="000000"/>
                <w:sz w:val="24"/>
              </w:rPr>
              <w:t>9.08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5,628.74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10,209,188.48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20,456.70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10,235,273.92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交银丰享收益债券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2,679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97,210.06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251,888,664.99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96.72%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8,537,077.54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3.28%</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交银丰享收益债券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289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93,369.06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26,983,659.35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2,968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96,836.05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251,888,664.99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87.64%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35,520,736.89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12.36%</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25.27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25.27</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交银丰享收益债券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交银丰享收益债券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1</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w:t>
            </w:r>
          </w:p>
        </w:tc>
        <w:tc>
          <w:tcPr>
            <w:tcW w:w="1615" w:type="pct"/>
            <w:vAlign w:val="center"/>
          </w:tcPr>
          <w:p w:rsidR="00703495" w:rsidRPr="009440E4" w:rsidRDefault="00703495" w:rsidP="009440E4">
            <w:pPr>
              <w:spacing w:before="29" w:line="288" w:lineRule="auto"/>
              <w:jc w:val="center"/>
              <w:rPr>
                <w:sz w:val="24"/>
              </w:rPr>
            </w:pPr>
            <w:r w:rsidRPr="009440E4">
              <w:rPr>
                <w:sz w:val="24"/>
              </w:rPr>
              <w:t>259,386,490.95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259,386,490.95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675,709,092.47</w:t>
            </w:r>
          </w:p>
        </w:tc>
        <w:tc>
          <w:tcPr>
            <w:tcW w:w="1615" w:type="pct"/>
            <w:vAlign w:val="bottom"/>
          </w:tcPr>
          <w:p w:rsidR="00703495" w:rsidRPr="009440E4" w:rsidRDefault="00703495" w:rsidP="009440E4">
            <w:pPr>
              <w:spacing w:before="29" w:line="288" w:lineRule="auto"/>
              <w:jc w:val="center"/>
              <w:rPr>
                <w:sz w:val="24"/>
              </w:rPr>
            </w:pPr>
            <w:r w:rsidRPr="009440E4">
              <w:rPr>
                <w:sz w:val="24"/>
              </w:rPr>
              <w:t>500,346,744.27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415,283,349.94</w:t>
            </w:r>
          </w:p>
        </w:tc>
        <w:tc>
          <w:tcPr>
            <w:tcW w:w="1615" w:type="pct"/>
            <w:vAlign w:val="bottom"/>
          </w:tcPr>
          <w:p w:rsidR="00703495" w:rsidRPr="009440E4" w:rsidRDefault="00703495" w:rsidP="009440E4">
            <w:pPr>
              <w:spacing w:before="29" w:line="288" w:lineRule="auto"/>
              <w:jc w:val="center"/>
              <w:rPr>
                <w:sz w:val="24"/>
              </w:rPr>
            </w:pPr>
            <w:r w:rsidRPr="009440E4">
              <w:rPr>
                <w:sz w:val="24"/>
              </w:rPr>
              <w:t>732,749,575.87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260,425,742.53</w:t>
            </w:r>
          </w:p>
        </w:tc>
        <w:tc>
          <w:tcPr>
            <w:tcW w:w="1615" w:type="pct"/>
            <w:vAlign w:val="center"/>
          </w:tcPr>
          <w:p w:rsidR="00703495" w:rsidRPr="009440E4" w:rsidRDefault="00703495" w:rsidP="009440E4">
            <w:pPr>
              <w:spacing w:before="29" w:line="288" w:lineRule="auto"/>
              <w:jc w:val="center"/>
              <w:rPr>
                <w:sz w:val="24"/>
              </w:rPr>
            </w:pPr>
            <w:r w:rsidRPr="009440E4">
              <w:rPr>
                <w:sz w:val="24"/>
              </w:rPr>
              <w:t>26,983,659.35</w:t>
            </w:r>
          </w:p>
        </w:tc>
      </w:tr>
    </w:tbl>
    <w:p w:rsidR="008C5924" w:rsidRDefault="00AB551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lastRenderedPageBreak/>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8C5924" w:rsidRDefault="00AB5512">
      <w:pPr>
        <w:spacing w:before="29" w:line="288" w:lineRule="auto"/>
        <w:ind w:firstLineChars="200" w:firstLine="480"/>
        <w:rPr>
          <w:color w:val="000000"/>
          <w:sz w:val="24"/>
        </w:rPr>
      </w:pPr>
      <w:r>
        <w:rPr>
          <w:color w:val="000000"/>
          <w:sz w:val="24"/>
        </w:rPr>
        <w:t>1</w:t>
      </w:r>
      <w:r>
        <w:rPr>
          <w:color w:val="000000"/>
          <w:sz w:val="24"/>
        </w:rPr>
        <w:t>、本基金本报告期内已于</w:t>
      </w:r>
      <w:r>
        <w:rPr>
          <w:color w:val="000000"/>
          <w:sz w:val="24"/>
        </w:rPr>
        <w:t>2017</w:t>
      </w:r>
      <w:r>
        <w:rPr>
          <w:color w:val="000000"/>
          <w:sz w:val="24"/>
        </w:rPr>
        <w:t>年</w:t>
      </w:r>
      <w:r>
        <w:rPr>
          <w:color w:val="000000"/>
          <w:sz w:val="24"/>
        </w:rPr>
        <w:t>4</w:t>
      </w:r>
      <w:r>
        <w:rPr>
          <w:color w:val="000000"/>
          <w:sz w:val="24"/>
        </w:rPr>
        <w:t>月</w:t>
      </w:r>
      <w:r>
        <w:rPr>
          <w:color w:val="000000"/>
          <w:sz w:val="24"/>
        </w:rPr>
        <w:t>1</w:t>
      </w:r>
      <w:r>
        <w:rPr>
          <w:color w:val="000000"/>
          <w:sz w:val="24"/>
        </w:rPr>
        <w:t>日起至</w:t>
      </w:r>
      <w:r>
        <w:rPr>
          <w:color w:val="000000"/>
          <w:sz w:val="24"/>
        </w:rPr>
        <w:t>2017</w:t>
      </w:r>
      <w:r>
        <w:rPr>
          <w:color w:val="000000"/>
          <w:sz w:val="24"/>
        </w:rPr>
        <w:t>年</w:t>
      </w:r>
      <w:r>
        <w:rPr>
          <w:color w:val="000000"/>
          <w:sz w:val="24"/>
        </w:rPr>
        <w:t>4</w:t>
      </w:r>
      <w:r>
        <w:rPr>
          <w:color w:val="000000"/>
          <w:sz w:val="24"/>
        </w:rPr>
        <w:t>月</w:t>
      </w:r>
      <w:r>
        <w:rPr>
          <w:color w:val="000000"/>
          <w:sz w:val="24"/>
        </w:rPr>
        <w:t>24</w:t>
      </w:r>
      <w:r>
        <w:rPr>
          <w:color w:val="000000"/>
          <w:sz w:val="24"/>
        </w:rPr>
        <w:t>日以通讯方式召开了本基金的基金份额持有人大会，就本基金调整管理费率、托管费率、</w:t>
      </w:r>
      <w:r>
        <w:rPr>
          <w:color w:val="000000"/>
          <w:sz w:val="24"/>
        </w:rPr>
        <w:t>A</w:t>
      </w:r>
      <w:r>
        <w:rPr>
          <w:color w:val="000000"/>
          <w:sz w:val="24"/>
        </w:rPr>
        <w:t>类基金份额的赎回费率及基金合同修改事宜进行表决。根据基金份额持有人大会的决议，本基金的管理费由</w:t>
      </w:r>
      <w:r>
        <w:rPr>
          <w:color w:val="000000"/>
          <w:sz w:val="24"/>
        </w:rPr>
        <w:t>0.8%</w:t>
      </w:r>
      <w:r>
        <w:rPr>
          <w:color w:val="000000"/>
          <w:sz w:val="24"/>
        </w:rPr>
        <w:t>调整为</w:t>
      </w:r>
      <w:r>
        <w:rPr>
          <w:color w:val="000000"/>
          <w:sz w:val="24"/>
        </w:rPr>
        <w:t>0.5%</w:t>
      </w:r>
      <w:r>
        <w:rPr>
          <w:color w:val="000000"/>
          <w:sz w:val="24"/>
        </w:rPr>
        <w:t>，托管费由</w:t>
      </w:r>
      <w:r>
        <w:rPr>
          <w:color w:val="000000"/>
          <w:sz w:val="24"/>
        </w:rPr>
        <w:t>0.15%</w:t>
      </w:r>
      <w:r>
        <w:rPr>
          <w:color w:val="000000"/>
          <w:sz w:val="24"/>
        </w:rPr>
        <w:t>调整为</w:t>
      </w:r>
      <w:r>
        <w:rPr>
          <w:color w:val="000000"/>
          <w:sz w:val="24"/>
        </w:rPr>
        <w:t>0.1%</w:t>
      </w:r>
      <w:r>
        <w:rPr>
          <w:color w:val="000000"/>
          <w:sz w:val="24"/>
        </w:rPr>
        <w:t>，并相应修改基金合同和托管协议，同时调整本基金</w:t>
      </w:r>
      <w:r>
        <w:rPr>
          <w:color w:val="000000"/>
          <w:sz w:val="24"/>
        </w:rPr>
        <w:t>A</w:t>
      </w:r>
      <w:r>
        <w:rPr>
          <w:color w:val="000000"/>
          <w:sz w:val="24"/>
        </w:rPr>
        <w:t>类基金份额的赎回费率。本次基金份额持有人大会决议于</w:t>
      </w:r>
      <w:r>
        <w:rPr>
          <w:color w:val="000000"/>
          <w:sz w:val="24"/>
        </w:rPr>
        <w:t>2017</w:t>
      </w:r>
      <w:r>
        <w:rPr>
          <w:color w:val="000000"/>
          <w:sz w:val="24"/>
        </w:rPr>
        <w:t>年</w:t>
      </w:r>
      <w:r>
        <w:rPr>
          <w:color w:val="000000"/>
          <w:sz w:val="24"/>
        </w:rPr>
        <w:t>4</w:t>
      </w:r>
      <w:r>
        <w:rPr>
          <w:color w:val="000000"/>
          <w:sz w:val="24"/>
        </w:rPr>
        <w:t>月</w:t>
      </w:r>
      <w:r>
        <w:rPr>
          <w:color w:val="000000"/>
          <w:sz w:val="24"/>
        </w:rPr>
        <w:t>25</w:t>
      </w:r>
      <w:r>
        <w:rPr>
          <w:color w:val="000000"/>
          <w:sz w:val="24"/>
        </w:rPr>
        <w:t>日生效，自本次基金份额持有人大会决议公告之日即</w:t>
      </w:r>
      <w:r>
        <w:rPr>
          <w:color w:val="000000"/>
          <w:sz w:val="24"/>
        </w:rPr>
        <w:t>2017</w:t>
      </w:r>
      <w:r>
        <w:rPr>
          <w:color w:val="000000"/>
          <w:sz w:val="24"/>
        </w:rPr>
        <w:t>年</w:t>
      </w:r>
      <w:r>
        <w:rPr>
          <w:color w:val="000000"/>
          <w:sz w:val="24"/>
        </w:rPr>
        <w:t>4</w:t>
      </w:r>
      <w:r>
        <w:rPr>
          <w:color w:val="000000"/>
          <w:sz w:val="24"/>
        </w:rPr>
        <w:t>月</w:t>
      </w:r>
      <w:r>
        <w:rPr>
          <w:color w:val="000000"/>
          <w:sz w:val="24"/>
        </w:rPr>
        <w:t>26</w:t>
      </w:r>
      <w:r>
        <w:rPr>
          <w:color w:val="000000"/>
          <w:sz w:val="24"/>
        </w:rPr>
        <w:t>日起，本基金执行调整后的管理费率、托管费率、</w:t>
      </w:r>
      <w:r>
        <w:rPr>
          <w:color w:val="000000"/>
          <w:sz w:val="24"/>
        </w:rPr>
        <w:t>A</w:t>
      </w:r>
      <w:r>
        <w:rPr>
          <w:color w:val="000000"/>
          <w:sz w:val="24"/>
        </w:rPr>
        <w:t>类基金份额的赎回费率。</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、本基金管理人于</w:t>
      </w:r>
      <w:r w:rsidRPr="00FF415B">
        <w:rPr>
          <w:color w:val="000000"/>
          <w:sz w:val="24"/>
        </w:rPr>
        <w:t>2017</w:t>
      </w:r>
      <w:r w:rsidRPr="00FF415B">
        <w:rPr>
          <w:color w:val="000000"/>
          <w:sz w:val="24"/>
        </w:rPr>
        <w:t>年</w:t>
      </w:r>
      <w:r w:rsidRPr="00FF415B">
        <w:rPr>
          <w:color w:val="000000"/>
          <w:sz w:val="24"/>
        </w:rPr>
        <w:t>10</w:t>
      </w:r>
      <w:r w:rsidRPr="00FF415B">
        <w:rPr>
          <w:color w:val="000000"/>
          <w:sz w:val="24"/>
        </w:rPr>
        <w:t>月</w:t>
      </w:r>
      <w:r w:rsidRPr="00FF415B">
        <w:rPr>
          <w:color w:val="000000"/>
          <w:sz w:val="24"/>
        </w:rPr>
        <w:t>28</w:t>
      </w:r>
      <w:r w:rsidRPr="00FF415B">
        <w:rPr>
          <w:color w:val="000000"/>
          <w:sz w:val="24"/>
        </w:rPr>
        <w:t>日起至</w:t>
      </w:r>
      <w:r w:rsidRPr="00FF415B">
        <w:rPr>
          <w:color w:val="000000"/>
          <w:sz w:val="24"/>
        </w:rPr>
        <w:t>2017</w:t>
      </w:r>
      <w:r w:rsidRPr="00FF415B">
        <w:rPr>
          <w:color w:val="000000"/>
          <w:sz w:val="24"/>
        </w:rPr>
        <w:t>年</w:t>
      </w:r>
      <w:r w:rsidRPr="00FF415B">
        <w:rPr>
          <w:color w:val="000000"/>
          <w:sz w:val="24"/>
        </w:rPr>
        <w:t>11</w:t>
      </w:r>
      <w:r w:rsidRPr="00FF415B">
        <w:rPr>
          <w:color w:val="000000"/>
          <w:sz w:val="24"/>
        </w:rPr>
        <w:t>月</w:t>
      </w:r>
      <w:r w:rsidRPr="00FF415B">
        <w:rPr>
          <w:color w:val="000000"/>
          <w:sz w:val="24"/>
        </w:rPr>
        <w:t>20</w:t>
      </w:r>
      <w:r w:rsidRPr="00FF415B">
        <w:rPr>
          <w:color w:val="000000"/>
          <w:sz w:val="24"/>
        </w:rPr>
        <w:t>日</w:t>
      </w:r>
      <w:r w:rsidRPr="00FF415B">
        <w:rPr>
          <w:color w:val="000000"/>
          <w:sz w:val="24"/>
        </w:rPr>
        <w:t>17</w:t>
      </w:r>
      <w:r w:rsidRPr="00FF415B">
        <w:rPr>
          <w:color w:val="000000"/>
          <w:sz w:val="24"/>
        </w:rPr>
        <w:t>：</w:t>
      </w:r>
      <w:r w:rsidRPr="00FF415B">
        <w:rPr>
          <w:color w:val="000000"/>
          <w:sz w:val="24"/>
        </w:rPr>
        <w:t>00</w:t>
      </w:r>
      <w:r w:rsidRPr="00FF415B">
        <w:rPr>
          <w:color w:val="000000"/>
          <w:sz w:val="24"/>
        </w:rPr>
        <w:t>止以通讯方式召开本基金的基金份额持有人大会，就本基金调整管理费率及基金合同修改有关事项的议案进行表决。根据基金份额持有人大会的决议，本基金的管理费由</w:t>
      </w:r>
      <w:r w:rsidRPr="00FF415B">
        <w:rPr>
          <w:color w:val="000000"/>
          <w:sz w:val="24"/>
        </w:rPr>
        <w:t>0.5%</w:t>
      </w:r>
      <w:r w:rsidRPr="00FF415B">
        <w:rPr>
          <w:color w:val="000000"/>
          <w:sz w:val="24"/>
        </w:rPr>
        <w:t>调整为</w:t>
      </w:r>
      <w:r w:rsidRPr="00FF415B">
        <w:rPr>
          <w:color w:val="000000"/>
          <w:sz w:val="24"/>
        </w:rPr>
        <w:t>0.3%</w:t>
      </w:r>
      <w:r w:rsidRPr="00FF415B">
        <w:rPr>
          <w:color w:val="000000"/>
          <w:sz w:val="24"/>
        </w:rPr>
        <w:t>，并相应修改基金合同和托管协议。本次基金份额持有人大会决议于</w:t>
      </w:r>
      <w:r w:rsidRPr="00FF415B">
        <w:rPr>
          <w:color w:val="000000"/>
          <w:sz w:val="24"/>
        </w:rPr>
        <w:t>2017</w:t>
      </w:r>
      <w:r w:rsidRPr="00FF415B">
        <w:rPr>
          <w:color w:val="000000"/>
          <w:sz w:val="24"/>
        </w:rPr>
        <w:t>年</w:t>
      </w:r>
      <w:r w:rsidRPr="00FF415B">
        <w:rPr>
          <w:color w:val="000000"/>
          <w:sz w:val="24"/>
        </w:rPr>
        <w:t>11</w:t>
      </w:r>
      <w:r w:rsidRPr="00FF415B">
        <w:rPr>
          <w:color w:val="000000"/>
          <w:sz w:val="24"/>
        </w:rPr>
        <w:t>月</w:t>
      </w:r>
      <w:r w:rsidRPr="00FF415B">
        <w:rPr>
          <w:color w:val="000000"/>
          <w:sz w:val="24"/>
        </w:rPr>
        <w:t>21</w:t>
      </w:r>
      <w:r w:rsidRPr="00FF415B">
        <w:rPr>
          <w:color w:val="000000"/>
          <w:sz w:val="24"/>
        </w:rPr>
        <w:t>日生效，自本次基金份额持有人大会决议公告之日即</w:t>
      </w:r>
      <w:r w:rsidRPr="00FF415B">
        <w:rPr>
          <w:color w:val="000000"/>
          <w:sz w:val="24"/>
        </w:rPr>
        <w:t>2017</w:t>
      </w:r>
      <w:r w:rsidRPr="00FF415B">
        <w:rPr>
          <w:color w:val="000000"/>
          <w:sz w:val="24"/>
        </w:rPr>
        <w:t>年</w:t>
      </w:r>
      <w:r w:rsidRPr="00FF415B">
        <w:rPr>
          <w:color w:val="000000"/>
          <w:sz w:val="24"/>
        </w:rPr>
        <w:t>11</w:t>
      </w:r>
      <w:r w:rsidRPr="00FF415B">
        <w:rPr>
          <w:color w:val="000000"/>
          <w:sz w:val="24"/>
        </w:rPr>
        <w:t>月</w:t>
      </w:r>
      <w:r w:rsidRPr="00FF415B">
        <w:rPr>
          <w:color w:val="000000"/>
          <w:sz w:val="24"/>
        </w:rPr>
        <w:t>22</w:t>
      </w:r>
      <w:r w:rsidRPr="00FF415B">
        <w:rPr>
          <w:color w:val="000000"/>
          <w:sz w:val="24"/>
        </w:rPr>
        <w:t>日起，本基金执行调整后的管理费率。</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8C5924" w:rsidRDefault="00AB551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交银施罗德丰享收益债券型证券投资基金的封闭期自</w:t>
      </w:r>
      <w:r w:rsidRPr="00FF415B">
        <w:rPr>
          <w:color w:val="000000"/>
          <w:sz w:val="24"/>
        </w:rPr>
        <w:t>2015</w:t>
      </w:r>
      <w:r w:rsidRPr="00FF415B">
        <w:rPr>
          <w:color w:val="000000"/>
          <w:sz w:val="24"/>
        </w:rPr>
        <w:t>年</w:t>
      </w:r>
      <w:r w:rsidRPr="00FF415B">
        <w:rPr>
          <w:color w:val="000000"/>
          <w:sz w:val="24"/>
        </w:rPr>
        <w:t>1</w:t>
      </w:r>
      <w:r w:rsidRPr="00FF415B">
        <w:rPr>
          <w:color w:val="000000"/>
          <w:sz w:val="24"/>
        </w:rPr>
        <w:t>月</w:t>
      </w:r>
      <w:r w:rsidRPr="00FF415B">
        <w:rPr>
          <w:color w:val="000000"/>
          <w:sz w:val="24"/>
        </w:rPr>
        <w:t>19</w:t>
      </w:r>
      <w:r w:rsidRPr="00FF415B">
        <w:rPr>
          <w:color w:val="000000"/>
          <w:sz w:val="24"/>
        </w:rPr>
        <w:t>日开始至</w:t>
      </w:r>
      <w:r w:rsidRPr="00FF415B">
        <w:rPr>
          <w:color w:val="000000"/>
          <w:sz w:val="24"/>
        </w:rPr>
        <w:t>2017</w:t>
      </w:r>
      <w:r w:rsidRPr="00FF415B">
        <w:rPr>
          <w:color w:val="000000"/>
          <w:sz w:val="24"/>
        </w:rPr>
        <w:t>年</w:t>
      </w:r>
      <w:r w:rsidRPr="00FF415B">
        <w:rPr>
          <w:color w:val="000000"/>
          <w:sz w:val="24"/>
        </w:rPr>
        <w:t>1</w:t>
      </w:r>
      <w:r w:rsidRPr="00FF415B">
        <w:rPr>
          <w:color w:val="000000"/>
          <w:sz w:val="24"/>
        </w:rPr>
        <w:t>月</w:t>
      </w:r>
      <w:r w:rsidRPr="00FF415B">
        <w:rPr>
          <w:color w:val="000000"/>
          <w:sz w:val="24"/>
        </w:rPr>
        <w:t>19</w:t>
      </w:r>
      <w:r w:rsidRPr="00FF415B">
        <w:rPr>
          <w:color w:val="000000"/>
          <w:sz w:val="24"/>
        </w:rPr>
        <w:t>日止，自</w:t>
      </w:r>
      <w:r w:rsidRPr="00FF415B">
        <w:rPr>
          <w:color w:val="000000"/>
          <w:sz w:val="24"/>
        </w:rPr>
        <w:t>2017</w:t>
      </w:r>
      <w:r w:rsidRPr="00FF415B">
        <w:rPr>
          <w:color w:val="000000"/>
          <w:sz w:val="24"/>
        </w:rPr>
        <w:t>年</w:t>
      </w:r>
      <w:r w:rsidRPr="00FF415B">
        <w:rPr>
          <w:color w:val="000000"/>
          <w:sz w:val="24"/>
        </w:rPr>
        <w:t>1</w:t>
      </w:r>
      <w:r w:rsidRPr="00FF415B">
        <w:rPr>
          <w:color w:val="000000"/>
          <w:sz w:val="24"/>
        </w:rPr>
        <w:t>月</w:t>
      </w:r>
      <w:r w:rsidRPr="00FF415B">
        <w:rPr>
          <w:color w:val="000000"/>
          <w:sz w:val="24"/>
        </w:rPr>
        <w:t>20</w:t>
      </w:r>
      <w:r w:rsidRPr="00FF415B">
        <w:rPr>
          <w:color w:val="000000"/>
          <w:sz w:val="24"/>
        </w:rPr>
        <w:t>日起转为开放式运作，并自该日起适用《交银施罗德丰享收益债券型证券投资基金基金合同》中关于</w:t>
      </w:r>
      <w:r w:rsidRPr="00FF415B">
        <w:rPr>
          <w:color w:val="000000"/>
          <w:sz w:val="24"/>
        </w:rPr>
        <w:t>“</w:t>
      </w:r>
      <w:r w:rsidRPr="00FF415B">
        <w:rPr>
          <w:color w:val="000000"/>
          <w:sz w:val="24"/>
        </w:rPr>
        <w:t>转为开放式运作后的投资</w:t>
      </w:r>
      <w:r w:rsidRPr="00FF415B">
        <w:rPr>
          <w:color w:val="000000"/>
          <w:sz w:val="24"/>
        </w:rPr>
        <w:t>”</w:t>
      </w:r>
      <w:r w:rsidRPr="00FF415B">
        <w:rPr>
          <w:color w:val="000000"/>
          <w:sz w:val="24"/>
        </w:rPr>
        <w:t>的相关规定进行运作。</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r w:rsidRPr="00C2179A">
        <w:rPr>
          <w:rFonts w:ascii="Times New Roman" w:hAnsi="Times New Roman"/>
          <w:kern w:val="0"/>
          <w:szCs w:val="24"/>
        </w:rPr>
        <w:lastRenderedPageBreak/>
        <w:t xml:space="preserve">11.6 </w:t>
      </w:r>
      <w:r w:rsidRPr="00C2179A">
        <w:rPr>
          <w:rFonts w:ascii="Times New Roman" w:hAnsi="Times New Roman" w:hint="eastAsia"/>
          <w:kern w:val="0"/>
          <w:szCs w:val="24"/>
        </w:rPr>
        <w:t>管理人、托管人及其高级管理人员受稽查或处罚等情况</w:t>
      </w:r>
      <w:bookmarkEnd w:id="91"/>
    </w:p>
    <w:p w:rsidR="008C5924" w:rsidRDefault="00AB551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C5924" w:rsidRDefault="00AB551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C5924" w:rsidRDefault="00AB551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8C5924">
        <w:tc>
          <w:tcPr>
            <w:tcW w:w="1559" w:type="dxa"/>
            <w:vAlign w:val="center"/>
          </w:tcPr>
          <w:p w:rsidR="008C5924" w:rsidRDefault="00AB5512">
            <w:pPr>
              <w:jc w:val="left"/>
            </w:pPr>
            <w:r>
              <w:rPr>
                <w:color w:val="000000"/>
                <w:szCs w:val="21"/>
              </w:rPr>
              <w:t>安信证券股份有限公司</w:t>
            </w:r>
          </w:p>
        </w:tc>
        <w:tc>
          <w:tcPr>
            <w:tcW w:w="779" w:type="dxa"/>
            <w:vAlign w:val="center"/>
          </w:tcPr>
          <w:p w:rsidR="008C5924" w:rsidRDefault="00AB5512">
            <w:pPr>
              <w:jc w:val="right"/>
            </w:pPr>
            <w:r>
              <w:rPr>
                <w:color w:val="000000"/>
                <w:szCs w:val="21"/>
              </w:rPr>
              <w:t>2</w:t>
            </w:r>
          </w:p>
        </w:tc>
        <w:tc>
          <w:tcPr>
            <w:tcW w:w="180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62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080" w:type="dxa"/>
            <w:vAlign w:val="center"/>
          </w:tcPr>
          <w:p w:rsidR="008C5924" w:rsidRDefault="00AB5512">
            <w:pPr>
              <w:jc w:val="left"/>
            </w:pPr>
            <w:r>
              <w:rPr>
                <w:color w:val="000000"/>
                <w:szCs w:val="21"/>
              </w:rPr>
              <w:t>-</w:t>
            </w:r>
          </w:p>
        </w:tc>
      </w:tr>
      <w:tr w:rsidR="008C5924">
        <w:tc>
          <w:tcPr>
            <w:tcW w:w="1559" w:type="dxa"/>
            <w:vAlign w:val="center"/>
          </w:tcPr>
          <w:p w:rsidR="008C5924" w:rsidRDefault="00AB5512">
            <w:pPr>
              <w:jc w:val="left"/>
            </w:pPr>
            <w:r>
              <w:rPr>
                <w:color w:val="000000"/>
                <w:szCs w:val="21"/>
              </w:rPr>
              <w:t>国金证券股份有限公司</w:t>
            </w:r>
          </w:p>
        </w:tc>
        <w:tc>
          <w:tcPr>
            <w:tcW w:w="779" w:type="dxa"/>
            <w:vAlign w:val="center"/>
          </w:tcPr>
          <w:p w:rsidR="008C5924" w:rsidRDefault="00AB5512">
            <w:pPr>
              <w:jc w:val="right"/>
            </w:pPr>
            <w:r>
              <w:rPr>
                <w:color w:val="000000"/>
                <w:szCs w:val="21"/>
              </w:rPr>
              <w:t>2</w:t>
            </w:r>
          </w:p>
        </w:tc>
        <w:tc>
          <w:tcPr>
            <w:tcW w:w="180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62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080" w:type="dxa"/>
            <w:vAlign w:val="center"/>
          </w:tcPr>
          <w:p w:rsidR="008C5924" w:rsidRDefault="00AB5512">
            <w:pPr>
              <w:jc w:val="left"/>
            </w:pPr>
            <w:r>
              <w:rPr>
                <w:color w:val="000000"/>
                <w:szCs w:val="21"/>
              </w:rPr>
              <w:t>-</w:t>
            </w:r>
          </w:p>
        </w:tc>
      </w:tr>
      <w:tr w:rsidR="008C5924">
        <w:tc>
          <w:tcPr>
            <w:tcW w:w="1559" w:type="dxa"/>
            <w:vAlign w:val="center"/>
          </w:tcPr>
          <w:p w:rsidR="008C5924" w:rsidRDefault="00AB5512">
            <w:pPr>
              <w:jc w:val="left"/>
            </w:pPr>
            <w:r>
              <w:rPr>
                <w:color w:val="000000"/>
                <w:szCs w:val="21"/>
              </w:rPr>
              <w:t>中泰证券股份有限公司</w:t>
            </w:r>
          </w:p>
        </w:tc>
        <w:tc>
          <w:tcPr>
            <w:tcW w:w="779" w:type="dxa"/>
            <w:vAlign w:val="center"/>
          </w:tcPr>
          <w:p w:rsidR="008C5924" w:rsidRDefault="00AB5512">
            <w:pPr>
              <w:jc w:val="right"/>
            </w:pPr>
            <w:r>
              <w:rPr>
                <w:color w:val="000000"/>
                <w:szCs w:val="21"/>
              </w:rPr>
              <w:t>2</w:t>
            </w:r>
          </w:p>
        </w:tc>
        <w:tc>
          <w:tcPr>
            <w:tcW w:w="180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620" w:type="dxa"/>
            <w:vAlign w:val="center"/>
          </w:tcPr>
          <w:p w:rsidR="008C5924" w:rsidRDefault="00AB5512">
            <w:pPr>
              <w:jc w:val="right"/>
            </w:pPr>
            <w:r>
              <w:rPr>
                <w:color w:val="000000"/>
                <w:szCs w:val="21"/>
              </w:rPr>
              <w:t>-</w:t>
            </w:r>
          </w:p>
        </w:tc>
        <w:tc>
          <w:tcPr>
            <w:tcW w:w="1080" w:type="dxa"/>
            <w:vAlign w:val="center"/>
          </w:tcPr>
          <w:p w:rsidR="008C5924" w:rsidRDefault="00AB5512">
            <w:pPr>
              <w:jc w:val="right"/>
            </w:pPr>
            <w:r>
              <w:rPr>
                <w:color w:val="000000"/>
                <w:szCs w:val="21"/>
              </w:rPr>
              <w:t>-</w:t>
            </w:r>
          </w:p>
        </w:tc>
        <w:tc>
          <w:tcPr>
            <w:tcW w:w="1080" w:type="dxa"/>
            <w:vAlign w:val="center"/>
          </w:tcPr>
          <w:p w:rsidR="008C5924" w:rsidRDefault="00AB5512">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8C5924">
        <w:tc>
          <w:tcPr>
            <w:tcW w:w="1559" w:type="dxa"/>
            <w:vAlign w:val="center"/>
          </w:tcPr>
          <w:p w:rsidR="008C5924" w:rsidRDefault="00AB5512">
            <w:pPr>
              <w:jc w:val="left"/>
            </w:pPr>
            <w:r>
              <w:rPr>
                <w:szCs w:val="21"/>
              </w:rPr>
              <w:t>安信证券股份有限公司</w:t>
            </w:r>
          </w:p>
        </w:tc>
        <w:tc>
          <w:tcPr>
            <w:tcW w:w="1319" w:type="dxa"/>
            <w:vAlign w:val="center"/>
          </w:tcPr>
          <w:p w:rsidR="008C5924" w:rsidRDefault="00AB5512">
            <w:pPr>
              <w:jc w:val="right"/>
            </w:pPr>
            <w:r>
              <w:rPr>
                <w:szCs w:val="21"/>
              </w:rPr>
              <w:t>136,107,564.42</w:t>
            </w:r>
          </w:p>
        </w:tc>
        <w:tc>
          <w:tcPr>
            <w:tcW w:w="1080" w:type="dxa"/>
            <w:vAlign w:val="center"/>
          </w:tcPr>
          <w:p w:rsidR="008C5924" w:rsidRDefault="00AB5512">
            <w:pPr>
              <w:jc w:val="right"/>
            </w:pPr>
            <w:r>
              <w:rPr>
                <w:szCs w:val="21"/>
              </w:rPr>
              <w:t>100.00%</w:t>
            </w:r>
          </w:p>
        </w:tc>
        <w:tc>
          <w:tcPr>
            <w:tcW w:w="1080" w:type="dxa"/>
            <w:vAlign w:val="center"/>
          </w:tcPr>
          <w:p w:rsidR="008C5924" w:rsidRDefault="00AB5512">
            <w:pPr>
              <w:jc w:val="right"/>
            </w:pPr>
            <w:r>
              <w:rPr>
                <w:szCs w:val="21"/>
              </w:rPr>
              <w:t>1,968,300,000.00</w:t>
            </w:r>
          </w:p>
        </w:tc>
        <w:tc>
          <w:tcPr>
            <w:tcW w:w="1260" w:type="dxa"/>
            <w:vAlign w:val="center"/>
          </w:tcPr>
          <w:p w:rsidR="008C5924" w:rsidRDefault="00AB5512">
            <w:pPr>
              <w:jc w:val="right"/>
            </w:pPr>
            <w:r>
              <w:rPr>
                <w:szCs w:val="21"/>
              </w:rPr>
              <w:t>100.00%</w:t>
            </w:r>
          </w:p>
        </w:tc>
        <w:tc>
          <w:tcPr>
            <w:tcW w:w="1260" w:type="dxa"/>
            <w:vAlign w:val="center"/>
          </w:tcPr>
          <w:p w:rsidR="008C5924" w:rsidRDefault="00AB5512">
            <w:pPr>
              <w:jc w:val="right"/>
            </w:pPr>
            <w:r>
              <w:rPr>
                <w:szCs w:val="21"/>
              </w:rPr>
              <w:t>-</w:t>
            </w:r>
          </w:p>
        </w:tc>
        <w:tc>
          <w:tcPr>
            <w:tcW w:w="1440" w:type="dxa"/>
            <w:vAlign w:val="center"/>
          </w:tcPr>
          <w:p w:rsidR="008C5924" w:rsidRDefault="00AB5512">
            <w:pPr>
              <w:jc w:val="right"/>
            </w:pPr>
            <w:r>
              <w:rPr>
                <w:szCs w:val="21"/>
              </w:rPr>
              <w:t>-</w:t>
            </w:r>
          </w:p>
        </w:tc>
      </w:tr>
    </w:tbl>
    <w:p w:rsidR="008C5924" w:rsidRDefault="00AB551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6"/>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C5924">
        <w:tc>
          <w:tcPr>
            <w:tcW w:w="993" w:type="dxa"/>
            <w:vMerge w:val="restart"/>
          </w:tcPr>
          <w:p w:rsidR="008C5924" w:rsidRDefault="008C5924"/>
          <w:p w:rsidR="008C5924" w:rsidRDefault="00AB5512">
            <w:r>
              <w:rPr>
                <w:rFonts w:ascii="宋体" w:hAnsi="宋体" w:hint="eastAsia"/>
                <w:bCs/>
                <w:color w:val="000000"/>
                <w:kern w:val="0"/>
                <w:szCs w:val="21"/>
              </w:rPr>
              <w:t>机构</w:t>
            </w:r>
          </w:p>
        </w:tc>
        <w:tc>
          <w:tcPr>
            <w:tcW w:w="992" w:type="dxa"/>
            <w:vAlign w:val="center"/>
          </w:tcPr>
          <w:p w:rsidR="008C5924" w:rsidRDefault="00AB5512">
            <w:pPr>
              <w:jc w:val="center"/>
            </w:pPr>
            <w:r>
              <w:rPr>
                <w:rFonts w:ascii="宋体" w:hAnsi="宋体"/>
                <w:color w:val="000000"/>
                <w:kern w:val="0"/>
                <w:szCs w:val="21"/>
              </w:rPr>
              <w:t>1</w:t>
            </w:r>
          </w:p>
        </w:tc>
        <w:tc>
          <w:tcPr>
            <w:tcW w:w="1843" w:type="dxa"/>
            <w:vAlign w:val="center"/>
          </w:tcPr>
          <w:p w:rsidR="008C5924" w:rsidRDefault="00AB5512">
            <w:pPr>
              <w:jc w:val="center"/>
            </w:pPr>
            <w:r>
              <w:rPr>
                <w:rFonts w:ascii="宋体" w:hAnsi="宋体"/>
                <w:color w:val="000000"/>
                <w:kern w:val="0"/>
                <w:szCs w:val="21"/>
              </w:rPr>
              <w:t>2017/1/1-2017/12/31</w:t>
            </w:r>
          </w:p>
        </w:tc>
        <w:tc>
          <w:tcPr>
            <w:tcW w:w="851" w:type="dxa"/>
            <w:vAlign w:val="center"/>
          </w:tcPr>
          <w:p w:rsidR="008C5924" w:rsidRDefault="00AB5512">
            <w:pPr>
              <w:jc w:val="center"/>
            </w:pPr>
            <w:r>
              <w:rPr>
                <w:rFonts w:ascii="宋体" w:hAnsi="宋体"/>
                <w:color w:val="000000"/>
                <w:kern w:val="0"/>
                <w:szCs w:val="21"/>
              </w:rPr>
              <w:t>-</w:t>
            </w:r>
          </w:p>
        </w:tc>
        <w:tc>
          <w:tcPr>
            <w:tcW w:w="850" w:type="dxa"/>
            <w:vAlign w:val="center"/>
          </w:tcPr>
          <w:p w:rsidR="008C5924" w:rsidRDefault="00AB5512">
            <w:pPr>
              <w:jc w:val="center"/>
            </w:pPr>
            <w:r>
              <w:rPr>
                <w:rFonts w:ascii="宋体" w:hAnsi="宋体"/>
                <w:color w:val="000000"/>
                <w:kern w:val="0"/>
                <w:szCs w:val="21"/>
              </w:rPr>
              <w:t>497,512,437.81</w:t>
            </w:r>
          </w:p>
        </w:tc>
        <w:tc>
          <w:tcPr>
            <w:tcW w:w="1134" w:type="dxa"/>
            <w:vAlign w:val="center"/>
          </w:tcPr>
          <w:p w:rsidR="008C5924" w:rsidRDefault="00AB5512">
            <w:pPr>
              <w:jc w:val="center"/>
            </w:pPr>
            <w:r>
              <w:rPr>
                <w:rFonts w:ascii="宋体" w:hAnsi="宋体"/>
                <w:color w:val="000000"/>
                <w:kern w:val="0"/>
                <w:szCs w:val="21"/>
              </w:rPr>
              <w:t>497,512,437.81</w:t>
            </w:r>
          </w:p>
        </w:tc>
        <w:tc>
          <w:tcPr>
            <w:tcW w:w="1419" w:type="dxa"/>
            <w:vAlign w:val="center"/>
          </w:tcPr>
          <w:p w:rsidR="008C5924" w:rsidRDefault="00AB5512">
            <w:pPr>
              <w:jc w:val="center"/>
            </w:pPr>
            <w:r>
              <w:rPr>
                <w:rFonts w:ascii="宋体" w:hAnsi="宋体"/>
                <w:color w:val="000000"/>
                <w:kern w:val="0"/>
                <w:szCs w:val="21"/>
              </w:rPr>
              <w:t>-</w:t>
            </w:r>
          </w:p>
        </w:tc>
        <w:tc>
          <w:tcPr>
            <w:tcW w:w="1130" w:type="dxa"/>
            <w:vAlign w:val="center"/>
          </w:tcPr>
          <w:p w:rsidR="008C5924" w:rsidRDefault="00AB5512">
            <w:pPr>
              <w:jc w:val="center"/>
            </w:pPr>
            <w:r>
              <w:rPr>
                <w:rFonts w:ascii="宋体" w:hAnsi="宋体"/>
                <w:color w:val="000000"/>
                <w:kern w:val="0"/>
                <w:szCs w:val="21"/>
              </w:rPr>
              <w:t>-</w:t>
            </w:r>
          </w:p>
        </w:tc>
      </w:tr>
      <w:tr w:rsidR="008C5924">
        <w:tc>
          <w:tcPr>
            <w:tcW w:w="993" w:type="dxa"/>
            <w:vMerge/>
          </w:tcPr>
          <w:p w:rsidR="008C5924" w:rsidRDefault="008C5924"/>
        </w:tc>
        <w:tc>
          <w:tcPr>
            <w:tcW w:w="992" w:type="dxa"/>
            <w:vAlign w:val="center"/>
          </w:tcPr>
          <w:p w:rsidR="008C5924" w:rsidRDefault="00AB5512">
            <w:pPr>
              <w:jc w:val="center"/>
            </w:pPr>
            <w:r>
              <w:rPr>
                <w:rFonts w:ascii="宋体" w:hAnsi="宋体"/>
                <w:color w:val="000000"/>
                <w:kern w:val="0"/>
                <w:szCs w:val="21"/>
              </w:rPr>
              <w:t>2</w:t>
            </w:r>
          </w:p>
        </w:tc>
        <w:tc>
          <w:tcPr>
            <w:tcW w:w="1843" w:type="dxa"/>
            <w:vAlign w:val="center"/>
          </w:tcPr>
          <w:p w:rsidR="008C5924" w:rsidRDefault="00AB5512">
            <w:pPr>
              <w:jc w:val="center"/>
            </w:pPr>
            <w:r>
              <w:rPr>
                <w:rFonts w:ascii="宋体" w:hAnsi="宋体"/>
                <w:color w:val="000000"/>
                <w:kern w:val="0"/>
                <w:szCs w:val="21"/>
              </w:rPr>
              <w:t>2017/1/1-2017/12/31</w:t>
            </w:r>
          </w:p>
        </w:tc>
        <w:tc>
          <w:tcPr>
            <w:tcW w:w="851" w:type="dxa"/>
            <w:vAlign w:val="center"/>
          </w:tcPr>
          <w:p w:rsidR="008C5924" w:rsidRDefault="00AB5512">
            <w:pPr>
              <w:jc w:val="center"/>
            </w:pPr>
            <w:r>
              <w:rPr>
                <w:rFonts w:ascii="宋体" w:hAnsi="宋体"/>
                <w:color w:val="000000"/>
                <w:kern w:val="0"/>
                <w:szCs w:val="21"/>
              </w:rPr>
              <w:t>-</w:t>
            </w:r>
          </w:p>
        </w:tc>
        <w:tc>
          <w:tcPr>
            <w:tcW w:w="850" w:type="dxa"/>
            <w:vAlign w:val="center"/>
          </w:tcPr>
          <w:p w:rsidR="008C5924" w:rsidRDefault="00AB5512">
            <w:pPr>
              <w:jc w:val="center"/>
            </w:pPr>
            <w:r>
              <w:rPr>
                <w:rFonts w:ascii="宋体" w:hAnsi="宋体"/>
                <w:color w:val="000000"/>
                <w:kern w:val="0"/>
                <w:szCs w:val="21"/>
              </w:rPr>
              <w:t>251,888,664.99</w:t>
            </w:r>
          </w:p>
        </w:tc>
        <w:tc>
          <w:tcPr>
            <w:tcW w:w="1134" w:type="dxa"/>
            <w:vAlign w:val="center"/>
          </w:tcPr>
          <w:p w:rsidR="008C5924" w:rsidRDefault="00AB5512">
            <w:pPr>
              <w:jc w:val="center"/>
            </w:pPr>
            <w:r>
              <w:rPr>
                <w:rFonts w:ascii="宋体" w:hAnsi="宋体"/>
                <w:color w:val="000000"/>
                <w:kern w:val="0"/>
                <w:szCs w:val="21"/>
              </w:rPr>
              <w:t>-</w:t>
            </w:r>
          </w:p>
        </w:tc>
        <w:tc>
          <w:tcPr>
            <w:tcW w:w="1419" w:type="dxa"/>
            <w:vAlign w:val="center"/>
          </w:tcPr>
          <w:p w:rsidR="008C5924" w:rsidRDefault="00AB5512">
            <w:pPr>
              <w:jc w:val="center"/>
            </w:pPr>
            <w:r>
              <w:rPr>
                <w:rFonts w:ascii="宋体" w:hAnsi="宋体"/>
                <w:color w:val="000000"/>
                <w:kern w:val="0"/>
                <w:szCs w:val="21"/>
              </w:rPr>
              <w:t>251,888,664.99</w:t>
            </w:r>
          </w:p>
        </w:tc>
        <w:tc>
          <w:tcPr>
            <w:tcW w:w="1130" w:type="dxa"/>
            <w:vAlign w:val="center"/>
          </w:tcPr>
          <w:p w:rsidR="008C5924" w:rsidRDefault="00AB5512">
            <w:pPr>
              <w:jc w:val="center"/>
            </w:pPr>
            <w:r>
              <w:rPr>
                <w:rFonts w:ascii="宋体" w:hAnsi="宋体"/>
                <w:color w:val="000000"/>
                <w:kern w:val="0"/>
                <w:szCs w:val="21"/>
              </w:rPr>
              <w:t>87.64%</w:t>
            </w:r>
          </w:p>
        </w:tc>
      </w:tr>
      <w:tr w:rsidR="008C5924">
        <w:tc>
          <w:tcPr>
            <w:tcW w:w="993" w:type="dxa"/>
            <w:vMerge/>
          </w:tcPr>
          <w:p w:rsidR="008C5924" w:rsidRDefault="008C5924"/>
        </w:tc>
        <w:tc>
          <w:tcPr>
            <w:tcW w:w="992" w:type="dxa"/>
            <w:vAlign w:val="center"/>
          </w:tcPr>
          <w:p w:rsidR="008C5924" w:rsidRDefault="00AB5512">
            <w:pPr>
              <w:jc w:val="center"/>
            </w:pPr>
            <w:r>
              <w:rPr>
                <w:rFonts w:ascii="宋体" w:hAnsi="宋体"/>
                <w:color w:val="000000"/>
                <w:kern w:val="0"/>
                <w:szCs w:val="21"/>
              </w:rPr>
              <w:t>3</w:t>
            </w:r>
          </w:p>
        </w:tc>
        <w:tc>
          <w:tcPr>
            <w:tcW w:w="1843" w:type="dxa"/>
            <w:vAlign w:val="center"/>
          </w:tcPr>
          <w:p w:rsidR="008C5924" w:rsidRDefault="00AB5512">
            <w:pPr>
              <w:jc w:val="center"/>
            </w:pPr>
            <w:r>
              <w:rPr>
                <w:rFonts w:ascii="宋体" w:hAnsi="宋体"/>
                <w:color w:val="000000"/>
                <w:kern w:val="0"/>
                <w:szCs w:val="21"/>
              </w:rPr>
              <w:t>2017/1/1-2017/12/31</w:t>
            </w:r>
          </w:p>
        </w:tc>
        <w:tc>
          <w:tcPr>
            <w:tcW w:w="851" w:type="dxa"/>
            <w:vAlign w:val="center"/>
          </w:tcPr>
          <w:p w:rsidR="008C5924" w:rsidRDefault="00AB5512">
            <w:pPr>
              <w:jc w:val="center"/>
            </w:pPr>
            <w:r>
              <w:rPr>
                <w:rFonts w:ascii="宋体" w:hAnsi="宋体"/>
                <w:color w:val="000000"/>
                <w:kern w:val="0"/>
                <w:szCs w:val="21"/>
              </w:rPr>
              <w:t>-</w:t>
            </w:r>
          </w:p>
        </w:tc>
        <w:tc>
          <w:tcPr>
            <w:tcW w:w="850" w:type="dxa"/>
            <w:vAlign w:val="center"/>
          </w:tcPr>
          <w:p w:rsidR="008C5924" w:rsidRDefault="00AB5512">
            <w:pPr>
              <w:jc w:val="center"/>
            </w:pPr>
            <w:r>
              <w:rPr>
                <w:rFonts w:ascii="宋体" w:hAnsi="宋体"/>
                <w:color w:val="000000"/>
                <w:kern w:val="0"/>
                <w:szCs w:val="21"/>
              </w:rPr>
              <w:t>396,038,613.86</w:t>
            </w:r>
          </w:p>
        </w:tc>
        <w:tc>
          <w:tcPr>
            <w:tcW w:w="1134" w:type="dxa"/>
            <w:vAlign w:val="center"/>
          </w:tcPr>
          <w:p w:rsidR="008C5924" w:rsidRDefault="00AB5512">
            <w:pPr>
              <w:jc w:val="center"/>
            </w:pPr>
            <w:r>
              <w:rPr>
                <w:rFonts w:ascii="宋体" w:hAnsi="宋体"/>
                <w:color w:val="000000"/>
                <w:kern w:val="0"/>
                <w:szCs w:val="21"/>
              </w:rPr>
              <w:t>396,038,613.86</w:t>
            </w:r>
          </w:p>
        </w:tc>
        <w:tc>
          <w:tcPr>
            <w:tcW w:w="1419" w:type="dxa"/>
            <w:vAlign w:val="center"/>
          </w:tcPr>
          <w:p w:rsidR="008C5924" w:rsidRDefault="00AB5512">
            <w:pPr>
              <w:jc w:val="center"/>
            </w:pPr>
            <w:r>
              <w:rPr>
                <w:rFonts w:ascii="宋体" w:hAnsi="宋体"/>
                <w:color w:val="000000"/>
                <w:kern w:val="0"/>
                <w:szCs w:val="21"/>
              </w:rPr>
              <w:t>-</w:t>
            </w:r>
          </w:p>
        </w:tc>
        <w:tc>
          <w:tcPr>
            <w:tcW w:w="1130" w:type="dxa"/>
            <w:vAlign w:val="center"/>
          </w:tcPr>
          <w:p w:rsidR="008C5924" w:rsidRDefault="00AB5512">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8C5924" w:rsidRDefault="00AB5512">
      <w:pPr>
        <w:spacing w:line="360" w:lineRule="auto"/>
        <w:ind w:firstLineChars="200" w:firstLine="420"/>
        <w:rPr>
          <w:rFonts w:ascii="宋体" w:hAnsi="宋体"/>
          <w:color w:val="000000"/>
          <w:szCs w:val="21"/>
        </w:rPr>
      </w:pPr>
      <w:r>
        <w:rPr>
          <w:rFonts w:ascii="宋体" w:hAnsi="宋体"/>
          <w:color w:val="000000"/>
          <w:szCs w:val="21"/>
        </w:rPr>
        <w:t>1、根据本基金基金合同的规定，本基金在基金合同生效之日起两年（含两年）的期间内封闭式运作（按照基金合同的约定提前转换基金运作方式的除外），封闭期结束后转为开放式运作。本基金的封闭期自2015年1月19日开始至2017年1月19日止，自2017年1月20日起转为开放式运作。本基金在转为开放式运作后，同时增加开通A类基金份额，并自2017年1月20日起开始办理A类基金份额和C类基金份额的日常申购、赎回、定期定额投资等业务，并适用基金合同中关于转为开放式运作后的有关规定。详情请查阅本基金管理人于2017年1月13日发布的《交银施罗德基金管理有限公司关于交银施罗德丰享收益债券型证券投资基金封闭期结束转为开放式运作并同时增加开通A类基金份额的提示性公告》以及2017年1月18日发布的《交银施罗德基金管理有限公司关于交银施罗德丰享收益债券型证券投资基金封闭期结束转为开放式运作并同时增加开通A类基金份额暨开放基金日常申购、赎回、定期定额投资业务并参与部分销售机构申购费率优惠活动的公告》。</w:t>
      </w:r>
    </w:p>
    <w:p w:rsidR="008C5924" w:rsidRDefault="00AB5512">
      <w:pPr>
        <w:spacing w:line="360" w:lineRule="auto"/>
        <w:ind w:firstLineChars="200" w:firstLine="420"/>
        <w:rPr>
          <w:rFonts w:ascii="宋体" w:hAnsi="宋体"/>
          <w:color w:val="000000"/>
          <w:szCs w:val="21"/>
        </w:rPr>
      </w:pPr>
      <w:r>
        <w:rPr>
          <w:rFonts w:ascii="宋体" w:hAnsi="宋体"/>
          <w:color w:val="000000"/>
          <w:szCs w:val="21"/>
        </w:rPr>
        <w:t>2、本基金管理人于2017年4月1日起至2017年4月24日止以通讯方式召开本基金的基金份额持有人大会，就本基金调整管理费率、托管费率、A类基金份额的赎回费率及基金合同修改事宜进行表决。根据基金份额持有人大会的决议，本基金的管理费由0.8%调整为0.5%，托管费由0.15%</w:t>
      </w:r>
      <w:r>
        <w:rPr>
          <w:rFonts w:ascii="宋体" w:hAnsi="宋体"/>
          <w:color w:val="000000"/>
          <w:szCs w:val="21"/>
        </w:rPr>
        <w:lastRenderedPageBreak/>
        <w:t>调整为0.1%，并相应修改基金合同和托管协议，同时调整本基金A类基金份额的赎回费率。本次基金份额持有人大会决议于2017年4月25日生效，自本次基金份额持有人大会决议公告之日即2017年4月26日起，本基金执行调整后的管理费率、托管费率、A类基金份额的赎回费率。详情请查阅本基金管理人于2017年4月26日发布的《交银施罗德基金管理有限公司关于交银施罗德丰享收益债券型证券投资基金基金份额持有人大会表决结果暨决议生效的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3、本基金管理人于2017年10月28日起至2017年11月20日17：00止以通讯方式召开本基金的基金份额持有人大会，就本基金调整管理费率及基金合同修改有关事项的议案进行表决。根据基金份额持有人大会的决议，本基金的管理费由0.5%调整为0.3%，并相应修改基金合同和托管协议。本基金管理人将在更新基金招募说明书时，对上述相关内容进行相应修订。本次基金份额持有人大会决议于2017年11月21日生效，自本次基金份额持有人大会决议公告之日即2017年11月22日起，本基金执行调整后的管理费率。详情请查阅本基金管理人于2017年11月22日发布的《交银施罗德基金管理有限公司关于交银施罗德丰享收益债券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2D" w:rsidRDefault="0060372D">
      <w:r>
        <w:separator/>
      </w:r>
    </w:p>
  </w:endnote>
  <w:endnote w:type="continuationSeparator" w:id="0">
    <w:p w:rsidR="0060372D" w:rsidRDefault="006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047409">
      <w:rPr>
        <w:noProof/>
        <w:kern w:val="0"/>
        <w:szCs w:val="21"/>
      </w:rPr>
      <w:t>20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047409">
      <w:rPr>
        <w:noProof/>
        <w:kern w:val="0"/>
        <w:szCs w:val="21"/>
      </w:rPr>
      <w:t>35</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2D" w:rsidRDefault="0060372D">
      <w:r>
        <w:separator/>
      </w:r>
    </w:p>
  </w:footnote>
  <w:footnote w:type="continuationSeparator" w:id="0">
    <w:p w:rsidR="0060372D" w:rsidRDefault="0060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409"/>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37F83"/>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195C"/>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339"/>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372D"/>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47706"/>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5924"/>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512"/>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5CA1"/>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853F5D-960C-4F58-B666-F4A3C58C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3885</Words>
  <Characters>22148</Characters>
  <Application>Microsoft Office Word</Application>
  <DocSecurity>0</DocSecurity>
  <Lines>184</Lines>
  <Paragraphs>51</Paragraphs>
  <ScaleCrop>false</ScaleCrop>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631</cp:revision>
  <cp:lastPrinted>2007-07-19T00:46:00Z</cp:lastPrinted>
  <dcterms:created xsi:type="dcterms:W3CDTF">2013-08-19T02:39:00Z</dcterms:created>
  <dcterms:modified xsi:type="dcterms:W3CDTF">2018-03-26T14:25:00Z</dcterms:modified>
</cp:coreProperties>
</file>