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交银施罗德丰盈收益债券型证券投资基金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交银丰盈收益债券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519740</w:t>
            </w:r>
          </w:p>
        </w:tc>
      </w:tr>
      <w:tr w:rsidR="009403CE" w:rsidRPr="008B2C7A" w:rsidTr="00380F23">
        <w:tc>
          <w:tcPr>
            <w:tcW w:w="3119" w:type="dxa"/>
            <w:vAlign w:val="center"/>
          </w:tcPr>
          <w:p w:rsidR="009403CE" w:rsidRPr="00E25C2A" w:rsidRDefault="009403CE" w:rsidP="00E25C2A">
            <w:pPr>
              <w:spacing w:before="29" w:line="288" w:lineRule="auto"/>
              <w:rPr>
                <w:sz w:val="24"/>
              </w:rPr>
            </w:pPr>
            <w:r w:rsidRPr="00E25C2A">
              <w:rPr>
                <w:rFonts w:hint="eastAsia"/>
                <w:sz w:val="24"/>
              </w:rPr>
              <w:t>交易代码</w:t>
            </w:r>
          </w:p>
        </w:tc>
        <w:tc>
          <w:tcPr>
            <w:tcW w:w="5879" w:type="dxa"/>
            <w:gridSpan w:val="2"/>
            <w:vAlign w:val="center"/>
          </w:tcPr>
          <w:p w:rsidR="009403CE" w:rsidRPr="00E25C2A" w:rsidRDefault="009403CE" w:rsidP="009403CE">
            <w:pPr>
              <w:spacing w:before="29" w:line="288" w:lineRule="auto"/>
              <w:jc w:val="center"/>
              <w:rPr>
                <w:sz w:val="24"/>
              </w:rPr>
            </w:pPr>
            <w:r w:rsidRPr="00E25C2A">
              <w:rPr>
                <w:rFonts w:hint="eastAsia"/>
                <w:sz w:val="24"/>
              </w:rPr>
              <w:t xml:space="preserve"> 519740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契约型，本基金在基金合同生效之日起三年（含三年）的期间内封闭式运作（按照基金合同的约定提前转换基金运作方式的除外），封闭期结束后转为开放式运作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8</w:t>
            </w:r>
            <w:r w:rsidRPr="00E25C2A">
              <w:rPr>
                <w:sz w:val="24"/>
              </w:rPr>
              <w:t>月</w:t>
            </w:r>
            <w:r w:rsidRPr="00E25C2A">
              <w:rPr>
                <w:sz w:val="24"/>
              </w:rPr>
              <w:t>11</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61,181,140.97</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交银丰盈收益债券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交银丰盈收益债券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519740</w:t>
            </w:r>
          </w:p>
        </w:tc>
        <w:tc>
          <w:tcPr>
            <w:tcW w:w="2902" w:type="dxa"/>
            <w:vAlign w:val="center"/>
          </w:tcPr>
          <w:p w:rsidR="009511B7" w:rsidRPr="000E4C40" w:rsidRDefault="009511B7" w:rsidP="00C57BBB">
            <w:pPr>
              <w:spacing w:before="29" w:line="288" w:lineRule="auto"/>
              <w:jc w:val="left"/>
              <w:rPr>
                <w:sz w:val="24"/>
              </w:rPr>
            </w:pPr>
            <w:r w:rsidRPr="000E4C40">
              <w:rPr>
                <w:sz w:val="24"/>
              </w:rPr>
              <w:t>005025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61,158,325.15</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22,815.82</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日起转为开放式运作。</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追求在有效控制风险的前提下，力争为基金资产获得稳健的投资收益和超额回报。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A10E78" w:rsidRDefault="002230E9">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10E78" w:rsidRDefault="00A10E78">
            <w:pPr>
              <w:spacing w:before="29" w:line="288" w:lineRule="auto"/>
              <w:rPr>
                <w:sz w:val="24"/>
              </w:rPr>
            </w:pPr>
          </w:p>
          <w:p w:rsidR="001A59F9" w:rsidRPr="00CF0C3D" w:rsidRDefault="001A59F9" w:rsidP="00CF0C3D">
            <w:pPr>
              <w:spacing w:before="29" w:line="288" w:lineRule="auto"/>
              <w:rPr>
                <w:sz w:val="24"/>
              </w:rPr>
            </w:pPr>
            <w:r w:rsidRPr="00CF0C3D">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A10E78" w:rsidRDefault="002230E9">
            <w:pPr>
              <w:spacing w:before="29" w:line="288" w:lineRule="auto"/>
              <w:rPr>
                <w:sz w:val="24"/>
              </w:rPr>
            </w:pPr>
            <w:r>
              <w:rPr>
                <w:sz w:val="24"/>
              </w:rPr>
              <w:t>封闭期内业绩比较基准：三年期银行定期存款税后收益率</w:t>
            </w:r>
          </w:p>
          <w:p w:rsidR="001A59F9" w:rsidRPr="00CF0C3D" w:rsidRDefault="001A59F9" w:rsidP="00CF0C3D">
            <w:pPr>
              <w:spacing w:before="29" w:line="288" w:lineRule="auto"/>
              <w:rPr>
                <w:sz w:val="24"/>
              </w:rPr>
            </w:pPr>
            <w:r w:rsidRPr="00CF0C3D">
              <w:rPr>
                <w:sz w:val="24"/>
              </w:rPr>
              <w:t>开放期内业绩比较基准：中债综合全价指数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7,200,032.84</w:t>
            </w:r>
          </w:p>
        </w:tc>
        <w:tc>
          <w:tcPr>
            <w:tcW w:w="688" w:type="pct"/>
            <w:vAlign w:val="center"/>
          </w:tcPr>
          <w:p w:rsidR="00B44DBC" w:rsidRPr="00A942AC" w:rsidRDefault="00B44DBC" w:rsidP="00674CBD">
            <w:pPr>
              <w:spacing w:before="29" w:line="288" w:lineRule="auto"/>
              <w:jc w:val="right"/>
              <w:rPr>
                <w:szCs w:val="21"/>
              </w:rPr>
            </w:pPr>
            <w:r w:rsidRPr="00A942AC">
              <w:rPr>
                <w:szCs w:val="21"/>
              </w:rPr>
              <w:t>206.16</w:t>
            </w:r>
          </w:p>
        </w:tc>
        <w:tc>
          <w:tcPr>
            <w:tcW w:w="687" w:type="pct"/>
            <w:vAlign w:val="center"/>
          </w:tcPr>
          <w:p w:rsidR="00B44DBC" w:rsidRPr="00A942AC" w:rsidRDefault="00B44DBC" w:rsidP="00674CBD">
            <w:pPr>
              <w:spacing w:before="29" w:line="288" w:lineRule="auto"/>
              <w:jc w:val="right"/>
              <w:rPr>
                <w:szCs w:val="21"/>
              </w:rPr>
            </w:pPr>
            <w:r w:rsidRPr="00A942AC">
              <w:rPr>
                <w:szCs w:val="21"/>
              </w:rPr>
              <w:t>43,325,313.03</w:t>
            </w:r>
          </w:p>
        </w:tc>
        <w:tc>
          <w:tcPr>
            <w:tcW w:w="688" w:type="pct"/>
            <w:vAlign w:val="center"/>
          </w:tcPr>
          <w:p w:rsidR="00B44DBC" w:rsidRPr="00A942AC" w:rsidRDefault="00B44DBC" w:rsidP="00674CBD">
            <w:pPr>
              <w:spacing w:before="29" w:line="288" w:lineRule="auto"/>
              <w:jc w:val="right"/>
              <w:rPr>
                <w:szCs w:val="21"/>
              </w:rPr>
            </w:pPr>
            <w:r w:rsidRPr="00A942AC">
              <w:rPr>
                <w:szCs w:val="21"/>
              </w:rPr>
              <w:t>-</w:t>
            </w:r>
          </w:p>
        </w:tc>
        <w:tc>
          <w:tcPr>
            <w:tcW w:w="762" w:type="pct"/>
            <w:vAlign w:val="center"/>
          </w:tcPr>
          <w:p w:rsidR="00B44DBC" w:rsidRPr="00A942AC" w:rsidRDefault="00B44DBC" w:rsidP="00674CBD">
            <w:pPr>
              <w:spacing w:before="29" w:line="288" w:lineRule="auto"/>
              <w:jc w:val="right"/>
              <w:rPr>
                <w:szCs w:val="21"/>
              </w:rPr>
            </w:pPr>
            <w:r w:rsidRPr="00A942AC">
              <w:rPr>
                <w:szCs w:val="21"/>
              </w:rPr>
              <w:t>44,178,338.59</w:t>
            </w:r>
          </w:p>
        </w:tc>
        <w:tc>
          <w:tcPr>
            <w:tcW w:w="666" w:type="pct"/>
            <w:vAlign w:val="center"/>
          </w:tcPr>
          <w:p w:rsidR="00B44DBC" w:rsidRPr="00A942AC" w:rsidRDefault="00B44DBC" w:rsidP="00674CBD">
            <w:pPr>
              <w:spacing w:before="29" w:line="288" w:lineRule="auto"/>
              <w:jc w:val="right"/>
              <w:rPr>
                <w:szCs w:val="21"/>
              </w:rPr>
            </w:pPr>
            <w:r w:rsidRPr="00A942AC">
              <w:rPr>
                <w:szCs w:val="21"/>
              </w:rPr>
              <w:t>-</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8,391,293.50</w:t>
            </w:r>
          </w:p>
        </w:tc>
        <w:tc>
          <w:tcPr>
            <w:tcW w:w="688" w:type="pct"/>
            <w:vAlign w:val="center"/>
          </w:tcPr>
          <w:p w:rsidR="00B44DBC" w:rsidRPr="00A942AC" w:rsidRDefault="00B44DBC" w:rsidP="00674CBD">
            <w:pPr>
              <w:spacing w:before="29" w:line="288" w:lineRule="auto"/>
              <w:jc w:val="right"/>
              <w:rPr>
                <w:szCs w:val="21"/>
              </w:rPr>
            </w:pPr>
            <w:r w:rsidRPr="00A942AC">
              <w:rPr>
                <w:szCs w:val="21"/>
              </w:rPr>
              <w:t>144.27</w:t>
            </w:r>
          </w:p>
        </w:tc>
        <w:tc>
          <w:tcPr>
            <w:tcW w:w="687" w:type="pct"/>
            <w:vAlign w:val="center"/>
          </w:tcPr>
          <w:p w:rsidR="00B44DBC" w:rsidRPr="00A942AC" w:rsidRDefault="00B44DBC" w:rsidP="00674CBD">
            <w:pPr>
              <w:spacing w:before="29" w:line="288" w:lineRule="auto"/>
              <w:jc w:val="right"/>
              <w:rPr>
                <w:szCs w:val="21"/>
              </w:rPr>
            </w:pPr>
            <w:r w:rsidRPr="00A942AC">
              <w:rPr>
                <w:szCs w:val="21"/>
              </w:rPr>
              <w:t>18,470,689.60</w:t>
            </w:r>
          </w:p>
        </w:tc>
        <w:tc>
          <w:tcPr>
            <w:tcW w:w="688" w:type="pct"/>
            <w:vAlign w:val="center"/>
          </w:tcPr>
          <w:p w:rsidR="00B44DBC" w:rsidRPr="00A942AC" w:rsidRDefault="00B44DBC" w:rsidP="00674CBD">
            <w:pPr>
              <w:spacing w:before="29" w:line="288" w:lineRule="auto"/>
              <w:jc w:val="right"/>
              <w:rPr>
                <w:szCs w:val="21"/>
              </w:rPr>
            </w:pPr>
            <w:r w:rsidRPr="00A942AC">
              <w:rPr>
                <w:szCs w:val="21"/>
              </w:rPr>
              <w:t>-</w:t>
            </w:r>
          </w:p>
        </w:tc>
        <w:tc>
          <w:tcPr>
            <w:tcW w:w="762" w:type="pct"/>
            <w:vAlign w:val="center"/>
          </w:tcPr>
          <w:p w:rsidR="00B44DBC" w:rsidRPr="00A942AC" w:rsidRDefault="00B44DBC" w:rsidP="00674CBD">
            <w:pPr>
              <w:spacing w:before="29" w:line="288" w:lineRule="auto"/>
              <w:jc w:val="right"/>
              <w:rPr>
                <w:szCs w:val="21"/>
              </w:rPr>
            </w:pPr>
            <w:r w:rsidRPr="00A942AC">
              <w:rPr>
                <w:szCs w:val="21"/>
              </w:rPr>
              <w:t>68,388,176.61</w:t>
            </w:r>
          </w:p>
        </w:tc>
        <w:tc>
          <w:tcPr>
            <w:tcW w:w="666" w:type="pct"/>
            <w:vAlign w:val="center"/>
          </w:tcPr>
          <w:p w:rsidR="00B44DBC" w:rsidRPr="00A942AC" w:rsidRDefault="00B44DBC" w:rsidP="00674CBD">
            <w:pPr>
              <w:spacing w:before="29" w:line="288" w:lineRule="auto"/>
              <w:jc w:val="right"/>
              <w:rPr>
                <w:szCs w:val="21"/>
              </w:rPr>
            </w:pPr>
            <w:r w:rsidRPr="00A942AC">
              <w:rPr>
                <w:szCs w:val="21"/>
              </w:rPr>
              <w:t>-</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0.0239</w:t>
            </w:r>
          </w:p>
        </w:tc>
        <w:tc>
          <w:tcPr>
            <w:tcW w:w="688" w:type="pct"/>
            <w:vAlign w:val="center"/>
          </w:tcPr>
          <w:p w:rsidR="008C42FD" w:rsidRPr="00E52F9F" w:rsidRDefault="008C42FD" w:rsidP="00AF7CB5">
            <w:pPr>
              <w:spacing w:before="29" w:line="288" w:lineRule="auto"/>
              <w:jc w:val="right"/>
              <w:rPr>
                <w:szCs w:val="21"/>
              </w:rPr>
            </w:pPr>
            <w:r w:rsidRPr="00E52F9F">
              <w:rPr>
                <w:szCs w:val="21"/>
              </w:rPr>
              <w:t>0.0057</w:t>
            </w:r>
          </w:p>
        </w:tc>
        <w:tc>
          <w:tcPr>
            <w:tcW w:w="687" w:type="pct"/>
            <w:vAlign w:val="center"/>
          </w:tcPr>
          <w:p w:rsidR="008C42FD" w:rsidRPr="00E52F9F" w:rsidRDefault="008C42FD" w:rsidP="00AF7CB5">
            <w:pPr>
              <w:spacing w:before="29" w:line="288" w:lineRule="auto"/>
              <w:jc w:val="right"/>
              <w:rPr>
                <w:szCs w:val="21"/>
              </w:rPr>
            </w:pPr>
            <w:r w:rsidRPr="00E52F9F">
              <w:rPr>
                <w:szCs w:val="21"/>
              </w:rPr>
              <w:t>0.0362</w:t>
            </w:r>
          </w:p>
        </w:tc>
        <w:tc>
          <w:tcPr>
            <w:tcW w:w="688" w:type="pct"/>
            <w:vAlign w:val="center"/>
          </w:tcPr>
          <w:p w:rsidR="008C42FD" w:rsidRPr="00E52F9F" w:rsidRDefault="008C42FD" w:rsidP="00AF7CB5">
            <w:pPr>
              <w:spacing w:before="29" w:line="288" w:lineRule="auto"/>
              <w:jc w:val="right"/>
              <w:rPr>
                <w:szCs w:val="21"/>
              </w:rPr>
            </w:pPr>
            <w:r w:rsidRPr="00E52F9F">
              <w:rPr>
                <w:szCs w:val="21"/>
              </w:rPr>
              <w:t>-</w:t>
            </w:r>
          </w:p>
        </w:tc>
        <w:tc>
          <w:tcPr>
            <w:tcW w:w="762" w:type="pct"/>
            <w:vAlign w:val="center"/>
          </w:tcPr>
          <w:p w:rsidR="008C42FD" w:rsidRPr="00E52F9F" w:rsidRDefault="008C42FD" w:rsidP="00AF7CB5">
            <w:pPr>
              <w:spacing w:before="29" w:line="288" w:lineRule="auto"/>
              <w:jc w:val="right"/>
              <w:rPr>
                <w:szCs w:val="21"/>
              </w:rPr>
            </w:pPr>
            <w:r w:rsidRPr="00E52F9F">
              <w:rPr>
                <w:szCs w:val="21"/>
              </w:rPr>
              <w:t>0.1339</w:t>
            </w:r>
          </w:p>
        </w:tc>
        <w:tc>
          <w:tcPr>
            <w:tcW w:w="666" w:type="pct"/>
            <w:vAlign w:val="center"/>
          </w:tcPr>
          <w:p w:rsidR="008C42FD" w:rsidRPr="00E52F9F" w:rsidRDefault="008C42FD" w:rsidP="00AF7CB5">
            <w:pPr>
              <w:spacing w:before="29" w:line="288" w:lineRule="auto"/>
              <w:jc w:val="right"/>
              <w:rPr>
                <w:szCs w:val="21"/>
              </w:rPr>
            </w:pPr>
            <w:r w:rsidRPr="00E52F9F">
              <w:rPr>
                <w:szCs w:val="21"/>
              </w:rPr>
              <w:t>-</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2.18%</w:t>
            </w:r>
          </w:p>
        </w:tc>
        <w:tc>
          <w:tcPr>
            <w:tcW w:w="688" w:type="pct"/>
            <w:vAlign w:val="center"/>
          </w:tcPr>
          <w:p w:rsidR="00A62AD8" w:rsidRPr="00A942AC" w:rsidRDefault="00A62AD8" w:rsidP="00674CBD">
            <w:pPr>
              <w:spacing w:before="29" w:line="288" w:lineRule="auto"/>
              <w:jc w:val="right"/>
              <w:rPr>
                <w:szCs w:val="21"/>
              </w:rPr>
            </w:pPr>
            <w:r w:rsidRPr="00A942AC">
              <w:rPr>
                <w:szCs w:val="21"/>
              </w:rPr>
              <w:t>3.10%</w:t>
            </w:r>
          </w:p>
        </w:tc>
        <w:tc>
          <w:tcPr>
            <w:tcW w:w="687" w:type="pct"/>
            <w:vAlign w:val="center"/>
          </w:tcPr>
          <w:p w:rsidR="00A62AD8" w:rsidRPr="00A942AC" w:rsidRDefault="00A62AD8" w:rsidP="00674CBD">
            <w:pPr>
              <w:spacing w:before="29" w:line="288" w:lineRule="auto"/>
              <w:jc w:val="right"/>
              <w:rPr>
                <w:szCs w:val="21"/>
              </w:rPr>
            </w:pPr>
            <w:r w:rsidRPr="00A942AC">
              <w:rPr>
                <w:szCs w:val="21"/>
              </w:rPr>
              <w:t>3.42%</w:t>
            </w:r>
          </w:p>
        </w:tc>
        <w:tc>
          <w:tcPr>
            <w:tcW w:w="688" w:type="pct"/>
            <w:vAlign w:val="center"/>
          </w:tcPr>
          <w:p w:rsidR="00A62AD8" w:rsidRPr="00A942AC" w:rsidRDefault="00A62AD8" w:rsidP="00674CBD">
            <w:pPr>
              <w:spacing w:before="29" w:line="288" w:lineRule="auto"/>
              <w:jc w:val="right"/>
              <w:rPr>
                <w:szCs w:val="21"/>
              </w:rPr>
            </w:pPr>
            <w:r w:rsidRPr="00A942AC">
              <w:rPr>
                <w:szCs w:val="21"/>
              </w:rPr>
              <w:t>-</w:t>
            </w:r>
          </w:p>
        </w:tc>
        <w:tc>
          <w:tcPr>
            <w:tcW w:w="762" w:type="pct"/>
            <w:vAlign w:val="center"/>
          </w:tcPr>
          <w:p w:rsidR="00A62AD8" w:rsidRPr="00A942AC" w:rsidRDefault="00A62AD8" w:rsidP="00674CBD">
            <w:pPr>
              <w:spacing w:before="29" w:line="288" w:lineRule="auto"/>
              <w:jc w:val="right"/>
              <w:rPr>
                <w:szCs w:val="21"/>
              </w:rPr>
            </w:pPr>
            <w:r w:rsidRPr="00A942AC">
              <w:rPr>
                <w:szCs w:val="21"/>
              </w:rPr>
              <w:t>13.25%</w:t>
            </w:r>
          </w:p>
        </w:tc>
        <w:tc>
          <w:tcPr>
            <w:tcW w:w="666" w:type="pct"/>
            <w:vAlign w:val="center"/>
          </w:tcPr>
          <w:p w:rsidR="00A62AD8" w:rsidRPr="00A942AC" w:rsidRDefault="00A62AD8" w:rsidP="00674CBD">
            <w:pPr>
              <w:spacing w:before="29" w:line="288" w:lineRule="auto"/>
              <w:jc w:val="right"/>
              <w:rPr>
                <w:szCs w:val="21"/>
              </w:rPr>
            </w:pPr>
            <w:r w:rsidRPr="00A942AC">
              <w:rPr>
                <w:szCs w:val="21"/>
              </w:rPr>
              <w:t>-</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0.032</w:t>
            </w:r>
          </w:p>
        </w:tc>
        <w:tc>
          <w:tcPr>
            <w:tcW w:w="687" w:type="pct"/>
            <w:vAlign w:val="center"/>
          </w:tcPr>
          <w:p w:rsidR="00B44DBC" w:rsidRPr="00A942AC" w:rsidRDefault="00B44DBC" w:rsidP="00674CBD">
            <w:pPr>
              <w:spacing w:before="29" w:line="288" w:lineRule="auto"/>
              <w:jc w:val="right"/>
              <w:rPr>
                <w:szCs w:val="21"/>
              </w:rPr>
            </w:pPr>
            <w:r w:rsidRPr="00A942AC">
              <w:rPr>
                <w:szCs w:val="21"/>
              </w:rPr>
              <w:t>0.031</w:t>
            </w:r>
          </w:p>
        </w:tc>
        <w:tc>
          <w:tcPr>
            <w:tcW w:w="687" w:type="pct"/>
            <w:vAlign w:val="center"/>
          </w:tcPr>
          <w:p w:rsidR="00B44DBC" w:rsidRPr="00A942AC" w:rsidRDefault="00B44DBC" w:rsidP="00674CBD">
            <w:pPr>
              <w:spacing w:before="29" w:line="288" w:lineRule="auto"/>
              <w:jc w:val="right"/>
              <w:rPr>
                <w:szCs w:val="21"/>
              </w:rPr>
            </w:pPr>
            <w:r w:rsidRPr="00A942AC">
              <w:rPr>
                <w:szCs w:val="21"/>
              </w:rPr>
              <w:t>0.010</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764" w:type="pct"/>
            <w:vAlign w:val="center"/>
          </w:tcPr>
          <w:p w:rsidR="00B44DBC" w:rsidRPr="00A942AC" w:rsidRDefault="00B44DBC" w:rsidP="00674CBD">
            <w:pPr>
              <w:spacing w:before="29" w:line="288" w:lineRule="auto"/>
              <w:jc w:val="right"/>
              <w:rPr>
                <w:szCs w:val="21"/>
              </w:rPr>
            </w:pPr>
            <w:r w:rsidRPr="00A942AC">
              <w:rPr>
                <w:szCs w:val="21"/>
              </w:rPr>
              <w:t>0.090</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63,101,918.66</w:t>
            </w:r>
          </w:p>
        </w:tc>
        <w:tc>
          <w:tcPr>
            <w:tcW w:w="687" w:type="pct"/>
            <w:vAlign w:val="center"/>
          </w:tcPr>
          <w:p w:rsidR="00B44DBC" w:rsidRPr="00A942AC" w:rsidRDefault="00B44DBC" w:rsidP="00674CBD">
            <w:pPr>
              <w:spacing w:before="29" w:line="288" w:lineRule="auto"/>
              <w:jc w:val="right"/>
              <w:rPr>
                <w:szCs w:val="21"/>
              </w:rPr>
            </w:pPr>
            <w:r w:rsidRPr="00A942AC">
              <w:rPr>
                <w:szCs w:val="21"/>
              </w:rPr>
              <w:t>23,517.85</w:t>
            </w:r>
          </w:p>
        </w:tc>
        <w:tc>
          <w:tcPr>
            <w:tcW w:w="687" w:type="pct"/>
            <w:vAlign w:val="center"/>
          </w:tcPr>
          <w:p w:rsidR="00B44DBC" w:rsidRPr="00A942AC" w:rsidRDefault="00B44DBC" w:rsidP="00674CBD">
            <w:pPr>
              <w:spacing w:before="29" w:line="288" w:lineRule="auto"/>
              <w:jc w:val="right"/>
              <w:rPr>
                <w:szCs w:val="21"/>
              </w:rPr>
            </w:pPr>
            <w:r w:rsidRPr="00A942AC">
              <w:rPr>
                <w:szCs w:val="21"/>
              </w:rPr>
              <w:t>515,584,299.28</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764" w:type="pct"/>
            <w:vAlign w:val="center"/>
          </w:tcPr>
          <w:p w:rsidR="00B44DBC" w:rsidRPr="00A942AC" w:rsidRDefault="00B44DBC" w:rsidP="00674CBD">
            <w:pPr>
              <w:spacing w:before="29" w:line="288" w:lineRule="auto"/>
              <w:jc w:val="right"/>
              <w:rPr>
                <w:szCs w:val="21"/>
              </w:rPr>
            </w:pPr>
            <w:r w:rsidRPr="00A942AC">
              <w:rPr>
                <w:szCs w:val="21"/>
              </w:rPr>
              <w:t>579,840,224.38</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1.032</w:t>
            </w:r>
          </w:p>
        </w:tc>
        <w:tc>
          <w:tcPr>
            <w:tcW w:w="687" w:type="pct"/>
            <w:vAlign w:val="center"/>
          </w:tcPr>
          <w:p w:rsidR="00B44DBC" w:rsidRPr="00A942AC" w:rsidRDefault="00B44DBC" w:rsidP="00674CBD">
            <w:pPr>
              <w:spacing w:before="29" w:line="288" w:lineRule="auto"/>
              <w:jc w:val="right"/>
              <w:rPr>
                <w:szCs w:val="21"/>
              </w:rPr>
            </w:pPr>
            <w:r w:rsidRPr="00A942AC">
              <w:rPr>
                <w:szCs w:val="21"/>
              </w:rPr>
              <w:t>1.031</w:t>
            </w:r>
          </w:p>
        </w:tc>
        <w:tc>
          <w:tcPr>
            <w:tcW w:w="687" w:type="pct"/>
            <w:vAlign w:val="center"/>
          </w:tcPr>
          <w:p w:rsidR="00B44DBC" w:rsidRPr="00A942AC" w:rsidRDefault="00B44DBC" w:rsidP="00674CBD">
            <w:pPr>
              <w:spacing w:before="29" w:line="288" w:lineRule="auto"/>
              <w:jc w:val="right"/>
              <w:rPr>
                <w:szCs w:val="21"/>
              </w:rPr>
            </w:pPr>
            <w:r w:rsidRPr="00A942AC">
              <w:rPr>
                <w:szCs w:val="21"/>
              </w:rPr>
              <w:t>1.010</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764" w:type="pct"/>
            <w:vAlign w:val="center"/>
          </w:tcPr>
          <w:p w:rsidR="00B44DBC" w:rsidRPr="00A942AC" w:rsidRDefault="00B44DBC" w:rsidP="00674CBD">
            <w:pPr>
              <w:spacing w:before="29" w:line="288" w:lineRule="auto"/>
              <w:jc w:val="right"/>
              <w:rPr>
                <w:szCs w:val="21"/>
              </w:rPr>
            </w:pPr>
            <w:r w:rsidRPr="00A942AC">
              <w:rPr>
                <w:szCs w:val="21"/>
              </w:rPr>
              <w:t>1.135</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bl>
    <w:p w:rsidR="00A10E78" w:rsidRDefault="002230E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交银丰盈收益债券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A10E78">
        <w:tc>
          <w:tcPr>
            <w:tcW w:w="1286" w:type="dxa"/>
            <w:vAlign w:val="center"/>
          </w:tcPr>
          <w:p w:rsidR="00A10E78" w:rsidRDefault="002230E9">
            <w:pPr>
              <w:jc w:val="left"/>
            </w:pPr>
            <w:r>
              <w:rPr>
                <w:color w:val="000000"/>
                <w:sz w:val="24"/>
              </w:rPr>
              <w:t>过去三个月</w:t>
            </w:r>
          </w:p>
        </w:tc>
        <w:tc>
          <w:tcPr>
            <w:tcW w:w="1286" w:type="dxa"/>
            <w:vAlign w:val="center"/>
          </w:tcPr>
          <w:p w:rsidR="00A10E78" w:rsidRDefault="002230E9">
            <w:pPr>
              <w:jc w:val="center"/>
            </w:pPr>
            <w:r>
              <w:rPr>
                <w:color w:val="000000"/>
                <w:sz w:val="24"/>
              </w:rPr>
              <w:t>0.39%</w:t>
            </w:r>
          </w:p>
        </w:tc>
        <w:tc>
          <w:tcPr>
            <w:tcW w:w="1286" w:type="dxa"/>
            <w:vAlign w:val="center"/>
          </w:tcPr>
          <w:p w:rsidR="00A10E78" w:rsidRDefault="002230E9">
            <w:pPr>
              <w:jc w:val="center"/>
            </w:pPr>
            <w:r>
              <w:rPr>
                <w:color w:val="000000"/>
                <w:sz w:val="24"/>
              </w:rPr>
              <w:t>0.04%</w:t>
            </w:r>
          </w:p>
        </w:tc>
        <w:tc>
          <w:tcPr>
            <w:tcW w:w="1285" w:type="dxa"/>
            <w:vAlign w:val="center"/>
          </w:tcPr>
          <w:p w:rsidR="00A10E78" w:rsidRDefault="002230E9">
            <w:pPr>
              <w:jc w:val="center"/>
            </w:pPr>
            <w:r>
              <w:rPr>
                <w:color w:val="000000"/>
                <w:sz w:val="24"/>
              </w:rPr>
              <w:t>-1.16%</w:t>
            </w:r>
          </w:p>
        </w:tc>
        <w:tc>
          <w:tcPr>
            <w:tcW w:w="1285" w:type="dxa"/>
            <w:vAlign w:val="center"/>
          </w:tcPr>
          <w:p w:rsidR="00A10E78" w:rsidRDefault="002230E9">
            <w:pPr>
              <w:jc w:val="center"/>
            </w:pPr>
            <w:r>
              <w:rPr>
                <w:color w:val="000000"/>
                <w:sz w:val="24"/>
              </w:rPr>
              <w:t>0.06%</w:t>
            </w:r>
          </w:p>
        </w:tc>
        <w:tc>
          <w:tcPr>
            <w:tcW w:w="1285" w:type="dxa"/>
            <w:vAlign w:val="center"/>
          </w:tcPr>
          <w:p w:rsidR="00A10E78" w:rsidRDefault="002230E9">
            <w:pPr>
              <w:jc w:val="center"/>
            </w:pPr>
            <w:r>
              <w:rPr>
                <w:color w:val="000000"/>
                <w:sz w:val="24"/>
              </w:rPr>
              <w:t>1.55%</w:t>
            </w:r>
          </w:p>
        </w:tc>
        <w:tc>
          <w:tcPr>
            <w:tcW w:w="1285" w:type="dxa"/>
            <w:vAlign w:val="center"/>
          </w:tcPr>
          <w:p w:rsidR="00A10E78" w:rsidRDefault="002230E9">
            <w:pPr>
              <w:jc w:val="center"/>
            </w:pPr>
            <w:r>
              <w:rPr>
                <w:color w:val="000000"/>
                <w:sz w:val="24"/>
              </w:rPr>
              <w:t>-0.02%</w:t>
            </w:r>
          </w:p>
        </w:tc>
      </w:tr>
      <w:tr w:rsidR="00A10E78">
        <w:tc>
          <w:tcPr>
            <w:tcW w:w="1286" w:type="dxa"/>
            <w:vAlign w:val="center"/>
          </w:tcPr>
          <w:p w:rsidR="00A10E78" w:rsidRDefault="002230E9">
            <w:pPr>
              <w:jc w:val="left"/>
            </w:pPr>
            <w:r>
              <w:rPr>
                <w:color w:val="000000"/>
                <w:sz w:val="24"/>
              </w:rPr>
              <w:t>过去六个月</w:t>
            </w:r>
          </w:p>
        </w:tc>
        <w:tc>
          <w:tcPr>
            <w:tcW w:w="1286" w:type="dxa"/>
            <w:vAlign w:val="center"/>
          </w:tcPr>
          <w:p w:rsidR="00A10E78" w:rsidRDefault="002230E9">
            <w:pPr>
              <w:jc w:val="center"/>
            </w:pPr>
            <w:r>
              <w:rPr>
                <w:color w:val="000000"/>
                <w:sz w:val="24"/>
              </w:rPr>
              <w:t>0.88%</w:t>
            </w:r>
          </w:p>
        </w:tc>
        <w:tc>
          <w:tcPr>
            <w:tcW w:w="1286" w:type="dxa"/>
            <w:vAlign w:val="center"/>
          </w:tcPr>
          <w:p w:rsidR="00A10E78" w:rsidRDefault="002230E9">
            <w:pPr>
              <w:jc w:val="center"/>
            </w:pPr>
            <w:r>
              <w:rPr>
                <w:color w:val="000000"/>
                <w:sz w:val="24"/>
              </w:rPr>
              <w:t>0.04%</w:t>
            </w:r>
          </w:p>
        </w:tc>
        <w:tc>
          <w:tcPr>
            <w:tcW w:w="1285" w:type="dxa"/>
            <w:vAlign w:val="center"/>
          </w:tcPr>
          <w:p w:rsidR="00A10E78" w:rsidRDefault="002230E9">
            <w:pPr>
              <w:jc w:val="center"/>
            </w:pPr>
            <w:r>
              <w:rPr>
                <w:color w:val="000000"/>
                <w:sz w:val="24"/>
              </w:rPr>
              <w:t>-1.00%</w:t>
            </w:r>
          </w:p>
        </w:tc>
        <w:tc>
          <w:tcPr>
            <w:tcW w:w="1285" w:type="dxa"/>
            <w:vAlign w:val="center"/>
          </w:tcPr>
          <w:p w:rsidR="00A10E78" w:rsidRDefault="002230E9">
            <w:pPr>
              <w:jc w:val="center"/>
            </w:pPr>
            <w:r>
              <w:rPr>
                <w:color w:val="000000"/>
                <w:sz w:val="24"/>
              </w:rPr>
              <w:t>0.05%</w:t>
            </w:r>
          </w:p>
        </w:tc>
        <w:tc>
          <w:tcPr>
            <w:tcW w:w="1285" w:type="dxa"/>
            <w:vAlign w:val="center"/>
          </w:tcPr>
          <w:p w:rsidR="00A10E78" w:rsidRDefault="002230E9">
            <w:pPr>
              <w:jc w:val="center"/>
            </w:pPr>
            <w:r>
              <w:rPr>
                <w:color w:val="000000"/>
                <w:sz w:val="24"/>
              </w:rPr>
              <w:t>1.88%</w:t>
            </w:r>
          </w:p>
        </w:tc>
        <w:tc>
          <w:tcPr>
            <w:tcW w:w="1285" w:type="dxa"/>
            <w:vAlign w:val="center"/>
          </w:tcPr>
          <w:p w:rsidR="00A10E78" w:rsidRDefault="002230E9">
            <w:pPr>
              <w:jc w:val="center"/>
            </w:pPr>
            <w:r>
              <w:rPr>
                <w:color w:val="000000"/>
                <w:sz w:val="24"/>
              </w:rPr>
              <w:t>-0.01%</w:t>
            </w:r>
          </w:p>
        </w:tc>
      </w:tr>
      <w:tr w:rsidR="00A10E78">
        <w:tc>
          <w:tcPr>
            <w:tcW w:w="1286" w:type="dxa"/>
            <w:vAlign w:val="center"/>
          </w:tcPr>
          <w:p w:rsidR="00A10E78" w:rsidRDefault="002230E9">
            <w:pPr>
              <w:jc w:val="left"/>
            </w:pPr>
            <w:r>
              <w:rPr>
                <w:color w:val="000000"/>
                <w:sz w:val="24"/>
              </w:rPr>
              <w:t>过去一年</w:t>
            </w:r>
          </w:p>
        </w:tc>
        <w:tc>
          <w:tcPr>
            <w:tcW w:w="1286" w:type="dxa"/>
            <w:vAlign w:val="center"/>
          </w:tcPr>
          <w:p w:rsidR="00A10E78" w:rsidRDefault="002230E9">
            <w:pPr>
              <w:jc w:val="center"/>
            </w:pPr>
            <w:r>
              <w:rPr>
                <w:color w:val="000000"/>
                <w:sz w:val="24"/>
              </w:rPr>
              <w:t>2.18%</w:t>
            </w:r>
          </w:p>
        </w:tc>
        <w:tc>
          <w:tcPr>
            <w:tcW w:w="1286" w:type="dxa"/>
            <w:vAlign w:val="center"/>
          </w:tcPr>
          <w:p w:rsidR="00A10E78" w:rsidRDefault="002230E9">
            <w:pPr>
              <w:jc w:val="center"/>
            </w:pPr>
            <w:r>
              <w:rPr>
                <w:color w:val="000000"/>
                <w:sz w:val="24"/>
              </w:rPr>
              <w:t>0.05%</w:t>
            </w:r>
          </w:p>
        </w:tc>
        <w:tc>
          <w:tcPr>
            <w:tcW w:w="1285" w:type="dxa"/>
            <w:vAlign w:val="center"/>
          </w:tcPr>
          <w:p w:rsidR="00A10E78" w:rsidRDefault="002230E9">
            <w:pPr>
              <w:jc w:val="center"/>
            </w:pPr>
            <w:r>
              <w:rPr>
                <w:color w:val="000000"/>
                <w:sz w:val="24"/>
              </w:rPr>
              <w:t>0.39%</w:t>
            </w:r>
          </w:p>
        </w:tc>
        <w:tc>
          <w:tcPr>
            <w:tcW w:w="1285" w:type="dxa"/>
            <w:vAlign w:val="center"/>
          </w:tcPr>
          <w:p w:rsidR="00A10E78" w:rsidRDefault="002230E9">
            <w:pPr>
              <w:jc w:val="center"/>
            </w:pPr>
            <w:r>
              <w:rPr>
                <w:color w:val="000000"/>
                <w:sz w:val="24"/>
              </w:rPr>
              <w:t>0.04%</w:t>
            </w:r>
          </w:p>
        </w:tc>
        <w:tc>
          <w:tcPr>
            <w:tcW w:w="1285" w:type="dxa"/>
            <w:vAlign w:val="center"/>
          </w:tcPr>
          <w:p w:rsidR="00A10E78" w:rsidRDefault="002230E9">
            <w:pPr>
              <w:jc w:val="center"/>
            </w:pPr>
            <w:r>
              <w:rPr>
                <w:color w:val="000000"/>
                <w:sz w:val="24"/>
              </w:rPr>
              <w:t>1.79%</w:t>
            </w:r>
          </w:p>
        </w:tc>
        <w:tc>
          <w:tcPr>
            <w:tcW w:w="1285" w:type="dxa"/>
            <w:vAlign w:val="center"/>
          </w:tcPr>
          <w:p w:rsidR="00A10E78" w:rsidRDefault="002230E9">
            <w:pPr>
              <w:jc w:val="center"/>
            </w:pPr>
            <w:r>
              <w:rPr>
                <w:color w:val="000000"/>
                <w:sz w:val="24"/>
              </w:rPr>
              <w:t>0.01%</w:t>
            </w:r>
          </w:p>
        </w:tc>
      </w:tr>
      <w:tr w:rsidR="00A10E78">
        <w:tc>
          <w:tcPr>
            <w:tcW w:w="1286" w:type="dxa"/>
            <w:vAlign w:val="center"/>
          </w:tcPr>
          <w:p w:rsidR="00A10E78" w:rsidRDefault="002230E9">
            <w:pPr>
              <w:jc w:val="left"/>
            </w:pPr>
            <w:r>
              <w:rPr>
                <w:color w:val="000000"/>
                <w:sz w:val="24"/>
              </w:rPr>
              <w:t>过去三年</w:t>
            </w:r>
          </w:p>
        </w:tc>
        <w:tc>
          <w:tcPr>
            <w:tcW w:w="1286" w:type="dxa"/>
            <w:vAlign w:val="center"/>
          </w:tcPr>
          <w:p w:rsidR="00A10E78" w:rsidRDefault="002230E9">
            <w:pPr>
              <w:jc w:val="center"/>
            </w:pPr>
            <w:r>
              <w:rPr>
                <w:color w:val="000000"/>
                <w:sz w:val="24"/>
              </w:rPr>
              <w:t>19.68%</w:t>
            </w:r>
          </w:p>
        </w:tc>
        <w:tc>
          <w:tcPr>
            <w:tcW w:w="1286" w:type="dxa"/>
            <w:vAlign w:val="center"/>
          </w:tcPr>
          <w:p w:rsidR="00A10E78" w:rsidRDefault="002230E9">
            <w:pPr>
              <w:jc w:val="center"/>
            </w:pPr>
            <w:r>
              <w:rPr>
                <w:color w:val="000000"/>
                <w:sz w:val="24"/>
              </w:rPr>
              <w:t>0.08%</w:t>
            </w:r>
          </w:p>
        </w:tc>
        <w:tc>
          <w:tcPr>
            <w:tcW w:w="1285" w:type="dxa"/>
            <w:vAlign w:val="center"/>
          </w:tcPr>
          <w:p w:rsidR="00A10E78" w:rsidRDefault="002230E9">
            <w:pPr>
              <w:jc w:val="center"/>
            </w:pPr>
            <w:r>
              <w:rPr>
                <w:color w:val="000000"/>
                <w:sz w:val="24"/>
              </w:rPr>
              <w:t>6.59%</w:t>
            </w:r>
          </w:p>
        </w:tc>
        <w:tc>
          <w:tcPr>
            <w:tcW w:w="1285" w:type="dxa"/>
            <w:vAlign w:val="center"/>
          </w:tcPr>
          <w:p w:rsidR="00A10E78" w:rsidRDefault="002230E9">
            <w:pPr>
              <w:jc w:val="center"/>
            </w:pPr>
            <w:r>
              <w:rPr>
                <w:color w:val="000000"/>
                <w:sz w:val="24"/>
              </w:rPr>
              <w:t>0.02%</w:t>
            </w:r>
          </w:p>
        </w:tc>
        <w:tc>
          <w:tcPr>
            <w:tcW w:w="1285" w:type="dxa"/>
            <w:vAlign w:val="center"/>
          </w:tcPr>
          <w:p w:rsidR="00A10E78" w:rsidRDefault="002230E9">
            <w:pPr>
              <w:jc w:val="center"/>
            </w:pPr>
            <w:r>
              <w:rPr>
                <w:color w:val="000000"/>
                <w:sz w:val="24"/>
              </w:rPr>
              <w:t>13.09%</w:t>
            </w:r>
          </w:p>
        </w:tc>
        <w:tc>
          <w:tcPr>
            <w:tcW w:w="1285" w:type="dxa"/>
            <w:vAlign w:val="center"/>
          </w:tcPr>
          <w:p w:rsidR="00A10E78" w:rsidRDefault="002230E9">
            <w:pPr>
              <w:jc w:val="center"/>
            </w:pPr>
            <w:r>
              <w:rPr>
                <w:color w:val="000000"/>
                <w:sz w:val="24"/>
              </w:rPr>
              <w:t>0.06%</w:t>
            </w:r>
          </w:p>
        </w:tc>
      </w:tr>
      <w:tr w:rsidR="00A10E78">
        <w:tc>
          <w:tcPr>
            <w:tcW w:w="1286" w:type="dxa"/>
            <w:vAlign w:val="center"/>
          </w:tcPr>
          <w:p w:rsidR="00A10E78" w:rsidRDefault="002230E9">
            <w:pPr>
              <w:jc w:val="left"/>
            </w:pPr>
            <w:r>
              <w:rPr>
                <w:color w:val="000000"/>
                <w:sz w:val="24"/>
              </w:rPr>
              <w:t>自基金合同生效起至今</w:t>
            </w:r>
          </w:p>
        </w:tc>
        <w:tc>
          <w:tcPr>
            <w:tcW w:w="1286" w:type="dxa"/>
            <w:vAlign w:val="center"/>
          </w:tcPr>
          <w:p w:rsidR="00A10E78" w:rsidRDefault="002230E9">
            <w:pPr>
              <w:jc w:val="center"/>
            </w:pPr>
            <w:r>
              <w:rPr>
                <w:color w:val="000000"/>
                <w:sz w:val="24"/>
              </w:rPr>
              <w:t>22.31%</w:t>
            </w:r>
          </w:p>
        </w:tc>
        <w:tc>
          <w:tcPr>
            <w:tcW w:w="1286" w:type="dxa"/>
            <w:vAlign w:val="center"/>
          </w:tcPr>
          <w:p w:rsidR="00A10E78" w:rsidRDefault="002230E9">
            <w:pPr>
              <w:jc w:val="center"/>
            </w:pPr>
            <w:r>
              <w:rPr>
                <w:color w:val="000000"/>
                <w:sz w:val="24"/>
              </w:rPr>
              <w:t>0.11%</w:t>
            </w:r>
          </w:p>
        </w:tc>
        <w:tc>
          <w:tcPr>
            <w:tcW w:w="1285" w:type="dxa"/>
            <w:vAlign w:val="center"/>
          </w:tcPr>
          <w:p w:rsidR="00A10E78" w:rsidRDefault="002230E9">
            <w:pPr>
              <w:jc w:val="center"/>
            </w:pPr>
            <w:r>
              <w:rPr>
                <w:color w:val="000000"/>
                <w:sz w:val="24"/>
              </w:rPr>
              <w:t>8.25%</w:t>
            </w:r>
          </w:p>
        </w:tc>
        <w:tc>
          <w:tcPr>
            <w:tcW w:w="1285" w:type="dxa"/>
            <w:vAlign w:val="center"/>
          </w:tcPr>
          <w:p w:rsidR="00A10E78" w:rsidRDefault="002230E9">
            <w:pPr>
              <w:jc w:val="center"/>
            </w:pPr>
            <w:r>
              <w:rPr>
                <w:color w:val="000000"/>
                <w:sz w:val="24"/>
              </w:rPr>
              <w:t>0.02%</w:t>
            </w:r>
          </w:p>
        </w:tc>
        <w:tc>
          <w:tcPr>
            <w:tcW w:w="1285" w:type="dxa"/>
            <w:vAlign w:val="center"/>
          </w:tcPr>
          <w:p w:rsidR="00A10E78" w:rsidRDefault="002230E9">
            <w:pPr>
              <w:jc w:val="center"/>
            </w:pPr>
            <w:r>
              <w:rPr>
                <w:color w:val="000000"/>
                <w:sz w:val="24"/>
              </w:rPr>
              <w:t>14.06%</w:t>
            </w:r>
          </w:p>
        </w:tc>
        <w:tc>
          <w:tcPr>
            <w:tcW w:w="1285" w:type="dxa"/>
            <w:vAlign w:val="center"/>
          </w:tcPr>
          <w:p w:rsidR="00A10E78" w:rsidRDefault="002230E9">
            <w:pPr>
              <w:jc w:val="center"/>
            </w:pPr>
            <w:r>
              <w:rPr>
                <w:color w:val="000000"/>
                <w:sz w:val="24"/>
              </w:rPr>
              <w:t>0.09%</w:t>
            </w:r>
          </w:p>
        </w:tc>
      </w:tr>
    </w:tbl>
    <w:p w:rsidR="001A59F9"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日起转为开放式运作，封闭期内业绩比较基准：三年期银行定期存款税后收益率；开放期内业绩比较基准：中债综合全价指数；</w:t>
      </w:r>
      <w:r w:rsidRPr="00E25C2A">
        <w:rPr>
          <w:kern w:val="0"/>
          <w:sz w:val="24"/>
        </w:rPr>
        <w:t>3.2.2</w:t>
      </w:r>
      <w:r w:rsidRPr="00E25C2A">
        <w:rPr>
          <w:kern w:val="0"/>
          <w:sz w:val="24"/>
        </w:rPr>
        <w:t>同。</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交银丰盈收益债券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A10E78">
        <w:tc>
          <w:tcPr>
            <w:tcW w:w="1286" w:type="dxa"/>
            <w:vAlign w:val="center"/>
          </w:tcPr>
          <w:p w:rsidR="00A10E78" w:rsidRDefault="002230E9">
            <w:pPr>
              <w:jc w:val="left"/>
            </w:pPr>
            <w:r>
              <w:rPr>
                <w:color w:val="000000"/>
                <w:sz w:val="24"/>
              </w:rPr>
              <w:t>过去三个月</w:t>
            </w:r>
          </w:p>
        </w:tc>
        <w:tc>
          <w:tcPr>
            <w:tcW w:w="1286" w:type="dxa"/>
            <w:vAlign w:val="center"/>
          </w:tcPr>
          <w:p w:rsidR="00A10E78" w:rsidRDefault="002230E9">
            <w:pPr>
              <w:jc w:val="center"/>
            </w:pPr>
            <w:r>
              <w:rPr>
                <w:color w:val="000000"/>
                <w:sz w:val="24"/>
              </w:rPr>
              <w:t>0.29%</w:t>
            </w:r>
          </w:p>
        </w:tc>
        <w:tc>
          <w:tcPr>
            <w:tcW w:w="1286" w:type="dxa"/>
            <w:vAlign w:val="center"/>
          </w:tcPr>
          <w:p w:rsidR="00A10E78" w:rsidRDefault="002230E9">
            <w:pPr>
              <w:jc w:val="center"/>
            </w:pPr>
            <w:r>
              <w:rPr>
                <w:color w:val="000000"/>
                <w:sz w:val="24"/>
              </w:rPr>
              <w:t>0.04%</w:t>
            </w:r>
          </w:p>
        </w:tc>
        <w:tc>
          <w:tcPr>
            <w:tcW w:w="1285" w:type="dxa"/>
            <w:vAlign w:val="center"/>
          </w:tcPr>
          <w:p w:rsidR="00A10E78" w:rsidRDefault="002230E9">
            <w:pPr>
              <w:jc w:val="center"/>
            </w:pPr>
            <w:r>
              <w:rPr>
                <w:color w:val="000000"/>
                <w:sz w:val="24"/>
              </w:rPr>
              <w:t>-1.16%</w:t>
            </w:r>
          </w:p>
        </w:tc>
        <w:tc>
          <w:tcPr>
            <w:tcW w:w="1285" w:type="dxa"/>
            <w:vAlign w:val="center"/>
          </w:tcPr>
          <w:p w:rsidR="00A10E78" w:rsidRDefault="002230E9">
            <w:pPr>
              <w:jc w:val="center"/>
            </w:pPr>
            <w:r>
              <w:rPr>
                <w:color w:val="000000"/>
                <w:sz w:val="24"/>
              </w:rPr>
              <w:t>0.06%</w:t>
            </w:r>
          </w:p>
        </w:tc>
        <w:tc>
          <w:tcPr>
            <w:tcW w:w="1285" w:type="dxa"/>
            <w:vAlign w:val="center"/>
          </w:tcPr>
          <w:p w:rsidR="00A10E78" w:rsidRDefault="002230E9">
            <w:pPr>
              <w:jc w:val="center"/>
            </w:pPr>
            <w:r>
              <w:rPr>
                <w:color w:val="000000"/>
                <w:sz w:val="24"/>
              </w:rPr>
              <w:t>1.45%</w:t>
            </w:r>
          </w:p>
        </w:tc>
        <w:tc>
          <w:tcPr>
            <w:tcW w:w="1285" w:type="dxa"/>
            <w:vAlign w:val="center"/>
          </w:tcPr>
          <w:p w:rsidR="00A10E78" w:rsidRDefault="002230E9">
            <w:pPr>
              <w:jc w:val="center"/>
            </w:pPr>
            <w:r>
              <w:rPr>
                <w:color w:val="000000"/>
                <w:sz w:val="24"/>
              </w:rPr>
              <w:t>-0.02%</w:t>
            </w:r>
          </w:p>
        </w:tc>
      </w:tr>
      <w:tr w:rsidR="00A10E78">
        <w:tc>
          <w:tcPr>
            <w:tcW w:w="1286" w:type="dxa"/>
            <w:vAlign w:val="center"/>
          </w:tcPr>
          <w:p w:rsidR="00A10E78" w:rsidRDefault="002230E9">
            <w:pPr>
              <w:jc w:val="left"/>
            </w:pPr>
            <w:r>
              <w:rPr>
                <w:color w:val="000000"/>
                <w:sz w:val="24"/>
              </w:rPr>
              <w:t>自基金合同生效起至今</w:t>
            </w:r>
          </w:p>
        </w:tc>
        <w:tc>
          <w:tcPr>
            <w:tcW w:w="1286" w:type="dxa"/>
            <w:vAlign w:val="center"/>
          </w:tcPr>
          <w:p w:rsidR="00A10E78" w:rsidRDefault="002230E9">
            <w:pPr>
              <w:jc w:val="center"/>
            </w:pPr>
            <w:r>
              <w:rPr>
                <w:color w:val="000000"/>
                <w:sz w:val="24"/>
              </w:rPr>
              <w:t>3.10%</w:t>
            </w:r>
          </w:p>
        </w:tc>
        <w:tc>
          <w:tcPr>
            <w:tcW w:w="1286" w:type="dxa"/>
            <w:vAlign w:val="center"/>
          </w:tcPr>
          <w:p w:rsidR="00A10E78" w:rsidRDefault="002230E9">
            <w:pPr>
              <w:jc w:val="center"/>
            </w:pPr>
            <w:r>
              <w:rPr>
                <w:color w:val="000000"/>
                <w:sz w:val="24"/>
              </w:rPr>
              <w:t>0.26%</w:t>
            </w:r>
          </w:p>
        </w:tc>
        <w:tc>
          <w:tcPr>
            <w:tcW w:w="1285" w:type="dxa"/>
            <w:vAlign w:val="center"/>
          </w:tcPr>
          <w:p w:rsidR="00A10E78" w:rsidRDefault="002230E9">
            <w:pPr>
              <w:jc w:val="center"/>
            </w:pPr>
            <w:r>
              <w:rPr>
                <w:color w:val="000000"/>
                <w:sz w:val="24"/>
              </w:rPr>
              <w:t>-1.34%</w:t>
            </w:r>
          </w:p>
        </w:tc>
        <w:tc>
          <w:tcPr>
            <w:tcW w:w="1285" w:type="dxa"/>
            <w:vAlign w:val="center"/>
          </w:tcPr>
          <w:p w:rsidR="00A10E78" w:rsidRDefault="002230E9">
            <w:pPr>
              <w:jc w:val="center"/>
            </w:pPr>
            <w:r>
              <w:rPr>
                <w:color w:val="000000"/>
                <w:sz w:val="24"/>
              </w:rPr>
              <w:t>0.05%</w:t>
            </w:r>
          </w:p>
        </w:tc>
        <w:tc>
          <w:tcPr>
            <w:tcW w:w="1285" w:type="dxa"/>
            <w:vAlign w:val="center"/>
          </w:tcPr>
          <w:p w:rsidR="00A10E78" w:rsidRDefault="002230E9">
            <w:pPr>
              <w:jc w:val="center"/>
            </w:pPr>
            <w:r>
              <w:rPr>
                <w:color w:val="000000"/>
                <w:sz w:val="24"/>
              </w:rPr>
              <w:t>4.44%</w:t>
            </w:r>
          </w:p>
        </w:tc>
        <w:tc>
          <w:tcPr>
            <w:tcW w:w="1285" w:type="dxa"/>
            <w:vAlign w:val="center"/>
          </w:tcPr>
          <w:p w:rsidR="00A10E78" w:rsidRDefault="002230E9">
            <w:pPr>
              <w:jc w:val="center"/>
            </w:pPr>
            <w:r>
              <w:rPr>
                <w:color w:val="000000"/>
                <w:sz w:val="24"/>
              </w:rPr>
              <w:t>0.21%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日起转为开放式运作，封闭期内业绩比较基准：三年期银行定期存款税后收益率；开放期内业绩比较基准：中债综合全价指数；</w:t>
      </w:r>
      <w:r w:rsidRPr="00E25C2A">
        <w:rPr>
          <w:kern w:val="0"/>
          <w:sz w:val="24"/>
        </w:rPr>
        <w:t>3.2.2</w:t>
      </w:r>
      <w:r w:rsidRPr="00E25C2A">
        <w:rPr>
          <w:kern w:val="0"/>
          <w:sz w:val="24"/>
        </w:rPr>
        <w:t>同。</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交银丰盈收益债券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交银丰盈收益债券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日起增加</w:t>
      </w:r>
      <w:r w:rsidRPr="00E25C2A">
        <w:rPr>
          <w:kern w:val="0"/>
          <w:sz w:val="24"/>
        </w:rPr>
        <w:t>C</w:t>
      </w:r>
      <w:r w:rsidRPr="00E25C2A">
        <w:rPr>
          <w:kern w:val="0"/>
          <w:sz w:val="24"/>
        </w:rPr>
        <w:t>类份额，投资者提交的申购申请于</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15</w:t>
      </w:r>
      <w:r w:rsidRPr="00E25C2A">
        <w:rPr>
          <w:kern w:val="0"/>
          <w:sz w:val="24"/>
        </w:rPr>
        <w:t>日被确认并将有效份额登记在册。图示日期为</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交银丰盈收益债券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8</w:t>
      </w:r>
      <w:r w:rsidRPr="00E25C2A">
        <w:rPr>
          <w:kern w:val="0"/>
          <w:sz w:val="24"/>
        </w:rPr>
        <w:t>月</w:t>
      </w:r>
      <w:r w:rsidRPr="00E25C2A">
        <w:rPr>
          <w:kern w:val="0"/>
          <w:sz w:val="24"/>
        </w:rPr>
        <w:t>11</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交银丰盈收益债券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交银丰盈收益债券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A10E78">
        <w:tc>
          <w:tcPr>
            <w:tcW w:w="1276" w:type="dxa"/>
            <w:vAlign w:val="center"/>
          </w:tcPr>
          <w:p w:rsidR="00A10E78" w:rsidRDefault="002230E9">
            <w:pPr>
              <w:jc w:val="center"/>
            </w:pPr>
            <w:r>
              <w:rPr>
                <w:color w:val="000000"/>
                <w:sz w:val="24"/>
              </w:rPr>
              <w:t>2017</w:t>
            </w:r>
            <w:r>
              <w:rPr>
                <w:color w:val="000000"/>
                <w:sz w:val="24"/>
              </w:rPr>
              <w:t>年</w:t>
            </w:r>
          </w:p>
        </w:tc>
        <w:tc>
          <w:tcPr>
            <w:tcW w:w="1701" w:type="dxa"/>
            <w:vAlign w:val="center"/>
          </w:tcPr>
          <w:p w:rsidR="00A10E78" w:rsidRDefault="002230E9">
            <w:pPr>
              <w:jc w:val="right"/>
            </w:pPr>
            <w:r>
              <w:rPr>
                <w:color w:val="000000"/>
                <w:sz w:val="24"/>
              </w:rPr>
              <w:t>-</w:t>
            </w:r>
          </w:p>
        </w:tc>
        <w:tc>
          <w:tcPr>
            <w:tcW w:w="1701" w:type="dxa"/>
            <w:vAlign w:val="center"/>
          </w:tcPr>
          <w:p w:rsidR="00A10E78" w:rsidRDefault="002230E9">
            <w:pPr>
              <w:jc w:val="right"/>
            </w:pPr>
            <w:r>
              <w:rPr>
                <w:color w:val="000000"/>
                <w:sz w:val="24"/>
              </w:rPr>
              <w:t>-</w:t>
            </w:r>
          </w:p>
        </w:tc>
        <w:tc>
          <w:tcPr>
            <w:tcW w:w="1701" w:type="dxa"/>
            <w:vAlign w:val="center"/>
          </w:tcPr>
          <w:p w:rsidR="00A10E78" w:rsidRDefault="002230E9">
            <w:pPr>
              <w:jc w:val="right"/>
            </w:pPr>
            <w:r>
              <w:rPr>
                <w:color w:val="000000"/>
                <w:sz w:val="24"/>
              </w:rPr>
              <w:t>-</w:t>
            </w:r>
          </w:p>
        </w:tc>
        <w:tc>
          <w:tcPr>
            <w:tcW w:w="1559" w:type="dxa"/>
            <w:vAlign w:val="center"/>
          </w:tcPr>
          <w:p w:rsidR="00A10E78" w:rsidRDefault="002230E9">
            <w:pPr>
              <w:jc w:val="right"/>
            </w:pPr>
            <w:r>
              <w:rPr>
                <w:color w:val="000000"/>
                <w:sz w:val="24"/>
              </w:rPr>
              <w:t>-</w:t>
            </w:r>
          </w:p>
        </w:tc>
        <w:tc>
          <w:tcPr>
            <w:tcW w:w="1060" w:type="dxa"/>
            <w:vAlign w:val="center"/>
          </w:tcPr>
          <w:p w:rsidR="00A10E78" w:rsidRDefault="002230E9">
            <w:pPr>
              <w:jc w:val="left"/>
            </w:pPr>
            <w:r>
              <w:rPr>
                <w:color w:val="000000"/>
                <w:sz w:val="24"/>
              </w:rPr>
              <w:t>-</w:t>
            </w:r>
          </w:p>
        </w:tc>
      </w:tr>
      <w:tr w:rsidR="00A10E78">
        <w:tc>
          <w:tcPr>
            <w:tcW w:w="1276" w:type="dxa"/>
            <w:vAlign w:val="center"/>
          </w:tcPr>
          <w:p w:rsidR="00A10E78" w:rsidRDefault="002230E9">
            <w:pPr>
              <w:jc w:val="center"/>
            </w:pPr>
            <w:r>
              <w:rPr>
                <w:color w:val="000000"/>
                <w:sz w:val="24"/>
              </w:rPr>
              <w:t>2016</w:t>
            </w:r>
            <w:r>
              <w:rPr>
                <w:color w:val="000000"/>
                <w:sz w:val="24"/>
              </w:rPr>
              <w:t>年</w:t>
            </w:r>
          </w:p>
        </w:tc>
        <w:tc>
          <w:tcPr>
            <w:tcW w:w="1701" w:type="dxa"/>
            <w:vAlign w:val="center"/>
          </w:tcPr>
          <w:p w:rsidR="00A10E78" w:rsidRDefault="002230E9">
            <w:pPr>
              <w:jc w:val="right"/>
            </w:pPr>
            <w:r>
              <w:rPr>
                <w:color w:val="000000"/>
                <w:sz w:val="24"/>
              </w:rPr>
              <w:t>1.620</w:t>
            </w:r>
          </w:p>
        </w:tc>
        <w:tc>
          <w:tcPr>
            <w:tcW w:w="1701" w:type="dxa"/>
            <w:vAlign w:val="center"/>
          </w:tcPr>
          <w:p w:rsidR="00A10E78" w:rsidRDefault="002230E9">
            <w:pPr>
              <w:jc w:val="right"/>
            </w:pPr>
            <w:r>
              <w:rPr>
                <w:color w:val="000000"/>
                <w:sz w:val="24"/>
              </w:rPr>
              <w:t>82,726,614.70</w:t>
            </w:r>
          </w:p>
        </w:tc>
        <w:tc>
          <w:tcPr>
            <w:tcW w:w="1701" w:type="dxa"/>
            <w:vAlign w:val="center"/>
          </w:tcPr>
          <w:p w:rsidR="00A10E78" w:rsidRDefault="002230E9">
            <w:pPr>
              <w:jc w:val="right"/>
            </w:pPr>
            <w:r>
              <w:rPr>
                <w:color w:val="000000"/>
                <w:sz w:val="24"/>
              </w:rPr>
              <w:t>-</w:t>
            </w:r>
          </w:p>
        </w:tc>
        <w:tc>
          <w:tcPr>
            <w:tcW w:w="1559" w:type="dxa"/>
            <w:vAlign w:val="center"/>
          </w:tcPr>
          <w:p w:rsidR="00A10E78" w:rsidRDefault="002230E9">
            <w:pPr>
              <w:jc w:val="right"/>
            </w:pPr>
            <w:r>
              <w:rPr>
                <w:color w:val="000000"/>
                <w:sz w:val="24"/>
              </w:rPr>
              <w:t>82,726,614.70</w:t>
            </w:r>
          </w:p>
        </w:tc>
        <w:tc>
          <w:tcPr>
            <w:tcW w:w="1060" w:type="dxa"/>
            <w:vAlign w:val="center"/>
          </w:tcPr>
          <w:p w:rsidR="00A10E78" w:rsidRDefault="002230E9">
            <w:pPr>
              <w:jc w:val="left"/>
            </w:pPr>
            <w:r>
              <w:rPr>
                <w:color w:val="000000"/>
                <w:sz w:val="24"/>
              </w:rPr>
              <w:t>-</w:t>
            </w:r>
          </w:p>
        </w:tc>
      </w:tr>
      <w:tr w:rsidR="00A10E78">
        <w:tc>
          <w:tcPr>
            <w:tcW w:w="1276" w:type="dxa"/>
            <w:vAlign w:val="center"/>
          </w:tcPr>
          <w:p w:rsidR="00A10E78" w:rsidRDefault="002230E9">
            <w:pPr>
              <w:jc w:val="center"/>
            </w:pPr>
            <w:r>
              <w:rPr>
                <w:color w:val="000000"/>
                <w:sz w:val="24"/>
              </w:rPr>
              <w:t>2015</w:t>
            </w:r>
            <w:r>
              <w:rPr>
                <w:color w:val="000000"/>
                <w:sz w:val="24"/>
              </w:rPr>
              <w:t>年</w:t>
            </w:r>
          </w:p>
        </w:tc>
        <w:tc>
          <w:tcPr>
            <w:tcW w:w="1701" w:type="dxa"/>
            <w:vAlign w:val="center"/>
          </w:tcPr>
          <w:p w:rsidR="00A10E78" w:rsidRDefault="002230E9">
            <w:pPr>
              <w:jc w:val="right"/>
            </w:pPr>
            <w:r>
              <w:rPr>
                <w:color w:val="000000"/>
                <w:sz w:val="24"/>
              </w:rPr>
              <w:t>0.200</w:t>
            </w:r>
          </w:p>
        </w:tc>
        <w:tc>
          <w:tcPr>
            <w:tcW w:w="1701" w:type="dxa"/>
            <w:vAlign w:val="center"/>
          </w:tcPr>
          <w:p w:rsidR="00A10E78" w:rsidRDefault="002230E9">
            <w:pPr>
              <w:jc w:val="right"/>
            </w:pPr>
            <w:r>
              <w:rPr>
                <w:color w:val="000000"/>
                <w:sz w:val="24"/>
              </w:rPr>
              <w:t>10,213,160.95</w:t>
            </w:r>
          </w:p>
        </w:tc>
        <w:tc>
          <w:tcPr>
            <w:tcW w:w="1701" w:type="dxa"/>
            <w:vAlign w:val="center"/>
          </w:tcPr>
          <w:p w:rsidR="00A10E78" w:rsidRDefault="002230E9">
            <w:pPr>
              <w:jc w:val="right"/>
            </w:pPr>
            <w:r>
              <w:rPr>
                <w:color w:val="000000"/>
                <w:sz w:val="24"/>
              </w:rPr>
              <w:t>-</w:t>
            </w:r>
          </w:p>
        </w:tc>
        <w:tc>
          <w:tcPr>
            <w:tcW w:w="1559" w:type="dxa"/>
            <w:vAlign w:val="center"/>
          </w:tcPr>
          <w:p w:rsidR="00A10E78" w:rsidRDefault="002230E9">
            <w:pPr>
              <w:jc w:val="right"/>
            </w:pPr>
            <w:r>
              <w:rPr>
                <w:color w:val="000000"/>
                <w:sz w:val="24"/>
              </w:rPr>
              <w:t>10,213,160.95</w:t>
            </w:r>
          </w:p>
        </w:tc>
        <w:tc>
          <w:tcPr>
            <w:tcW w:w="1060" w:type="dxa"/>
            <w:vAlign w:val="center"/>
          </w:tcPr>
          <w:p w:rsidR="00A10E78" w:rsidRDefault="002230E9">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1.820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92,939,775.65</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92,939,775.65</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交银丰盈收益债券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A10E78">
        <w:tc>
          <w:tcPr>
            <w:tcW w:w="1276" w:type="dxa"/>
            <w:vAlign w:val="center"/>
          </w:tcPr>
          <w:p w:rsidR="00A10E78" w:rsidRDefault="002230E9">
            <w:pPr>
              <w:jc w:val="center"/>
            </w:pPr>
            <w:r>
              <w:rPr>
                <w:color w:val="000000"/>
                <w:sz w:val="24"/>
              </w:rPr>
              <w:t>2017</w:t>
            </w:r>
            <w:r>
              <w:rPr>
                <w:color w:val="000000"/>
                <w:sz w:val="24"/>
              </w:rPr>
              <w:t>年</w:t>
            </w:r>
            <w:r>
              <w:rPr>
                <w:color w:val="000000"/>
                <w:sz w:val="24"/>
              </w:rPr>
              <w:t xml:space="preserve"> - - - - -</w:t>
            </w:r>
          </w:p>
        </w:tc>
        <w:tc>
          <w:tcPr>
            <w:tcW w:w="1701" w:type="dxa"/>
            <w:vAlign w:val="center"/>
          </w:tcPr>
          <w:p w:rsidR="00A10E78" w:rsidRDefault="002230E9">
            <w:pPr>
              <w:jc w:val="right"/>
            </w:pPr>
            <w:r>
              <w:rPr>
                <w:color w:val="000000"/>
                <w:sz w:val="24"/>
              </w:rPr>
              <w:t>-</w:t>
            </w:r>
          </w:p>
        </w:tc>
        <w:tc>
          <w:tcPr>
            <w:tcW w:w="1701" w:type="dxa"/>
            <w:vAlign w:val="center"/>
          </w:tcPr>
          <w:p w:rsidR="00A10E78" w:rsidRDefault="002230E9">
            <w:pPr>
              <w:jc w:val="right"/>
            </w:pPr>
            <w:r>
              <w:rPr>
                <w:color w:val="000000"/>
                <w:sz w:val="24"/>
              </w:rPr>
              <w:t>-</w:t>
            </w:r>
          </w:p>
        </w:tc>
        <w:tc>
          <w:tcPr>
            <w:tcW w:w="1701" w:type="dxa"/>
            <w:vAlign w:val="center"/>
          </w:tcPr>
          <w:p w:rsidR="00A10E78" w:rsidRDefault="002230E9">
            <w:pPr>
              <w:jc w:val="right"/>
            </w:pPr>
            <w:r>
              <w:rPr>
                <w:color w:val="000000"/>
                <w:sz w:val="24"/>
              </w:rPr>
              <w:t>-</w:t>
            </w:r>
          </w:p>
        </w:tc>
        <w:tc>
          <w:tcPr>
            <w:tcW w:w="1559" w:type="dxa"/>
            <w:vAlign w:val="center"/>
          </w:tcPr>
          <w:p w:rsidR="00A10E78" w:rsidRDefault="002230E9">
            <w:pPr>
              <w:jc w:val="right"/>
            </w:pPr>
            <w:r>
              <w:rPr>
                <w:color w:val="000000"/>
                <w:sz w:val="24"/>
              </w:rPr>
              <w:t>-</w:t>
            </w:r>
          </w:p>
        </w:tc>
        <w:tc>
          <w:tcPr>
            <w:tcW w:w="1060" w:type="dxa"/>
            <w:vAlign w:val="center"/>
          </w:tcPr>
          <w:p w:rsidR="00A10E78" w:rsidRDefault="002230E9">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A10E78" w:rsidRDefault="002230E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A10E78">
        <w:tc>
          <w:tcPr>
            <w:tcW w:w="1499" w:type="dxa"/>
            <w:vAlign w:val="center"/>
          </w:tcPr>
          <w:p w:rsidR="00A10E78" w:rsidRDefault="002230E9">
            <w:pPr>
              <w:jc w:val="center"/>
            </w:pPr>
            <w:r>
              <w:rPr>
                <w:color w:val="000000"/>
                <w:sz w:val="24"/>
              </w:rPr>
              <w:t>连端清</w:t>
            </w:r>
          </w:p>
        </w:tc>
        <w:tc>
          <w:tcPr>
            <w:tcW w:w="1499" w:type="dxa"/>
            <w:vAlign w:val="center"/>
          </w:tcPr>
          <w:p w:rsidR="00A10E78" w:rsidRDefault="002230E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55" w:type="dxa"/>
            <w:vAlign w:val="center"/>
          </w:tcPr>
          <w:p w:rsidR="00A10E78" w:rsidRDefault="002230E9">
            <w:pPr>
              <w:jc w:val="center"/>
            </w:pPr>
            <w:r>
              <w:rPr>
                <w:color w:val="000000"/>
                <w:sz w:val="24"/>
              </w:rPr>
              <w:t>2015-08-04</w:t>
            </w:r>
          </w:p>
        </w:tc>
        <w:tc>
          <w:tcPr>
            <w:tcW w:w="1276" w:type="dxa"/>
            <w:vAlign w:val="center"/>
          </w:tcPr>
          <w:p w:rsidR="00A10E78" w:rsidRDefault="002230E9">
            <w:pPr>
              <w:jc w:val="center"/>
            </w:pPr>
            <w:r>
              <w:rPr>
                <w:color w:val="000000"/>
                <w:sz w:val="24"/>
              </w:rPr>
              <w:t>-</w:t>
            </w:r>
          </w:p>
        </w:tc>
        <w:tc>
          <w:tcPr>
            <w:tcW w:w="992" w:type="dxa"/>
            <w:vAlign w:val="center"/>
          </w:tcPr>
          <w:p w:rsidR="00A10E78" w:rsidRDefault="002230E9">
            <w:pPr>
              <w:jc w:val="center"/>
            </w:pPr>
            <w:r>
              <w:rPr>
                <w:color w:val="000000"/>
                <w:sz w:val="24"/>
              </w:rPr>
              <w:t>4</w:t>
            </w:r>
            <w:r>
              <w:rPr>
                <w:color w:val="000000"/>
                <w:sz w:val="24"/>
              </w:rPr>
              <w:t>年</w:t>
            </w:r>
          </w:p>
        </w:tc>
        <w:tc>
          <w:tcPr>
            <w:tcW w:w="2477" w:type="dxa"/>
            <w:vAlign w:val="center"/>
          </w:tcPr>
          <w:p w:rsidR="00A10E78" w:rsidRDefault="002230E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A10E78">
        <w:tc>
          <w:tcPr>
            <w:tcW w:w="1499" w:type="dxa"/>
            <w:vAlign w:val="center"/>
          </w:tcPr>
          <w:p w:rsidR="00A10E78" w:rsidRDefault="002230E9">
            <w:pPr>
              <w:jc w:val="center"/>
            </w:pPr>
            <w:r>
              <w:rPr>
                <w:color w:val="000000"/>
                <w:sz w:val="24"/>
              </w:rPr>
              <w:t>于海颖</w:t>
            </w:r>
          </w:p>
        </w:tc>
        <w:tc>
          <w:tcPr>
            <w:tcW w:w="1499" w:type="dxa"/>
            <w:vAlign w:val="center"/>
          </w:tcPr>
          <w:p w:rsidR="00A10E78" w:rsidRDefault="002230E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55" w:type="dxa"/>
            <w:vAlign w:val="center"/>
          </w:tcPr>
          <w:p w:rsidR="00A10E78" w:rsidRDefault="002230E9">
            <w:pPr>
              <w:jc w:val="center"/>
            </w:pPr>
            <w:r>
              <w:rPr>
                <w:color w:val="000000"/>
                <w:sz w:val="24"/>
              </w:rPr>
              <w:t>2016-12-29</w:t>
            </w:r>
          </w:p>
        </w:tc>
        <w:tc>
          <w:tcPr>
            <w:tcW w:w="1276" w:type="dxa"/>
            <w:vAlign w:val="center"/>
          </w:tcPr>
          <w:p w:rsidR="00A10E78" w:rsidRDefault="002230E9">
            <w:pPr>
              <w:jc w:val="center"/>
            </w:pPr>
            <w:r>
              <w:rPr>
                <w:color w:val="000000"/>
                <w:sz w:val="24"/>
              </w:rPr>
              <w:t>-</w:t>
            </w:r>
          </w:p>
        </w:tc>
        <w:tc>
          <w:tcPr>
            <w:tcW w:w="992" w:type="dxa"/>
            <w:vAlign w:val="center"/>
          </w:tcPr>
          <w:p w:rsidR="00A10E78" w:rsidRDefault="002230E9">
            <w:pPr>
              <w:jc w:val="center"/>
            </w:pPr>
            <w:r>
              <w:rPr>
                <w:color w:val="000000"/>
                <w:sz w:val="24"/>
              </w:rPr>
              <w:t>11</w:t>
            </w:r>
            <w:r>
              <w:rPr>
                <w:color w:val="000000"/>
                <w:sz w:val="24"/>
              </w:rPr>
              <w:t>年</w:t>
            </w:r>
          </w:p>
        </w:tc>
        <w:tc>
          <w:tcPr>
            <w:tcW w:w="2477" w:type="dxa"/>
            <w:vAlign w:val="center"/>
          </w:tcPr>
          <w:p w:rsidR="00A10E78" w:rsidRDefault="002230E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A10E78" w:rsidRDefault="002230E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10E78" w:rsidRDefault="002230E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A10E78" w:rsidRDefault="002230E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A10E78" w:rsidRDefault="002230E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10E78" w:rsidRDefault="002230E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10E78" w:rsidRDefault="002230E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0E78" w:rsidRDefault="002230E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10E78" w:rsidRDefault="002230E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A10E78" w:rsidRDefault="002230E9">
      <w:pPr>
        <w:spacing w:before="29" w:line="288" w:lineRule="auto"/>
        <w:ind w:firstLineChars="200" w:firstLine="480"/>
        <w:rPr>
          <w:color w:val="000000"/>
          <w:sz w:val="24"/>
        </w:rPr>
      </w:pPr>
      <w:r>
        <w:rPr>
          <w:color w:val="000000"/>
          <w:sz w:val="24"/>
        </w:rPr>
        <w:t>2017</w:t>
      </w:r>
      <w:r>
        <w:rPr>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color w:val="000000"/>
          <w:sz w:val="24"/>
        </w:rPr>
        <w:t>CPI</w:t>
      </w:r>
      <w:r>
        <w:rPr>
          <w:color w:val="000000"/>
          <w:sz w:val="24"/>
        </w:rPr>
        <w:t>在低位运行。经济结构上，消费对</w:t>
      </w:r>
      <w:r>
        <w:rPr>
          <w:color w:val="000000"/>
          <w:sz w:val="24"/>
        </w:rPr>
        <w:t>GDP</w:t>
      </w:r>
      <w:r>
        <w:rPr>
          <w:color w:val="000000"/>
          <w:sz w:val="24"/>
        </w:rPr>
        <w:t>贡献较高，投资的影响继续减弱。</w:t>
      </w:r>
    </w:p>
    <w:p w:rsidR="00A10E78" w:rsidRDefault="002230E9">
      <w:pPr>
        <w:spacing w:before="29" w:line="288" w:lineRule="auto"/>
        <w:ind w:firstLineChars="200" w:firstLine="480"/>
        <w:rPr>
          <w:color w:val="000000"/>
          <w:sz w:val="24"/>
        </w:rPr>
      </w:pPr>
      <w:r>
        <w:rPr>
          <w:color w:val="000000"/>
          <w:sz w:val="24"/>
        </w:rPr>
        <w:t>相对较好的经济表现显著增强了海内外监管当局推动货币政策回归正常化的决心与力度。尤其在国内，监管当局全面着手清理过去几年出现的金融乱象，</w:t>
      </w:r>
      <w:r>
        <w:rPr>
          <w:color w:val="000000"/>
          <w:sz w:val="24"/>
        </w:rPr>
        <w:t>“</w:t>
      </w:r>
      <w:r>
        <w:rPr>
          <w:color w:val="000000"/>
          <w:sz w:val="24"/>
        </w:rPr>
        <w:t>加强金融监管，严控金融风险</w:t>
      </w:r>
      <w:r>
        <w:rPr>
          <w:color w:val="000000"/>
          <w:sz w:val="24"/>
        </w:rPr>
        <w:t>”</w:t>
      </w:r>
      <w:r>
        <w:rPr>
          <w:color w:val="000000"/>
          <w:sz w:val="24"/>
        </w:rPr>
        <w:t>成为今年金融领域的关键词，监管政策再次成为今年债市波动的核心变量。货币政策上，央行今年通过上调公开市场操作利率，谨慎引导存贷款等资金利率上行，</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日央行两次上调公开市场操作利率及</w:t>
      </w:r>
      <w:r>
        <w:rPr>
          <w:color w:val="000000"/>
          <w:sz w:val="24"/>
        </w:rPr>
        <w:t>SLF</w:t>
      </w:r>
      <w:r>
        <w:rPr>
          <w:color w:val="000000"/>
          <w:sz w:val="24"/>
        </w:rPr>
        <w:t>等定向工具利率，</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。监管政策上，金融监管政策朝着防控金融风险方向持续收紧。四月份银监会政策转向防控风控、加强银行业监管，</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日央行发布《关于规范金融机构资产管理业务的指导意见（征求意见稿）》，资管业务结构重塑大幕开启。</w:t>
      </w:r>
    </w:p>
    <w:p w:rsidR="00A10E78" w:rsidRDefault="002230E9">
      <w:pPr>
        <w:spacing w:before="29" w:line="288" w:lineRule="auto"/>
        <w:ind w:firstLineChars="200" w:firstLine="480"/>
        <w:rPr>
          <w:color w:val="000000"/>
          <w:sz w:val="24"/>
        </w:rPr>
      </w:pPr>
      <w:r>
        <w:rPr>
          <w:color w:val="000000"/>
          <w:sz w:val="24"/>
        </w:rPr>
        <w:t>资金面上，除三季度与年底几个交易日有所趋紧之外，今年市场资金面整体平稳，但是资金价格中枢较去年整体上移，受监管趋严等影响，同业存款与同业存单收益率较去年大幅上行。受经济基本面好于预期，金融监管政策超预期严格等因素影响，今年债券整体上经历大幅调整，银行间市场</w:t>
      </w:r>
      <w:r>
        <w:rPr>
          <w:color w:val="000000"/>
          <w:sz w:val="24"/>
        </w:rPr>
        <w:t>10</w:t>
      </w:r>
      <w:r>
        <w:rPr>
          <w:color w:val="000000"/>
          <w:sz w:val="24"/>
        </w:rPr>
        <w:t>年期国开债年底</w:t>
      </w:r>
      <w:r>
        <w:rPr>
          <w:color w:val="000000"/>
          <w:sz w:val="24"/>
        </w:rPr>
        <w:t>YTM</w:t>
      </w:r>
      <w:r>
        <w:rPr>
          <w:color w:val="000000"/>
          <w:sz w:val="24"/>
        </w:rPr>
        <w:t>较去年末上升</w:t>
      </w:r>
      <w:r>
        <w:rPr>
          <w:color w:val="000000"/>
          <w:sz w:val="24"/>
        </w:rPr>
        <w:t>110BP</w:t>
      </w:r>
      <w:r>
        <w:rPr>
          <w:color w:val="000000"/>
          <w:sz w:val="24"/>
        </w:rPr>
        <w:t>以上。</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基金操作方面，报告期内本基金继续加强信用风险管控，顺应市场走势调整债券持仓，降低组合杠杆与久期，为持有人创造稳健回报。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日，交银丰盈收益债券</w:t>
      </w:r>
      <w:r w:rsidRPr="001358D2">
        <w:rPr>
          <w:color w:val="000000"/>
          <w:sz w:val="24"/>
        </w:rPr>
        <w:t>A</w:t>
      </w:r>
      <w:r w:rsidRPr="001358D2">
        <w:rPr>
          <w:color w:val="000000"/>
          <w:sz w:val="24"/>
        </w:rPr>
        <w:t>份额净值为</w:t>
      </w:r>
      <w:r w:rsidRPr="001358D2">
        <w:rPr>
          <w:color w:val="000000"/>
          <w:sz w:val="24"/>
        </w:rPr>
        <w:t>1.032</w:t>
      </w:r>
      <w:r w:rsidRPr="001358D2">
        <w:rPr>
          <w:color w:val="000000"/>
          <w:sz w:val="24"/>
        </w:rPr>
        <w:t>元，本报告期份额净值增长率为</w:t>
      </w:r>
      <w:r w:rsidRPr="001358D2">
        <w:rPr>
          <w:color w:val="000000"/>
          <w:sz w:val="24"/>
        </w:rPr>
        <w:t>2.18%</w:t>
      </w:r>
      <w:r w:rsidRPr="001358D2">
        <w:rPr>
          <w:color w:val="000000"/>
          <w:sz w:val="24"/>
        </w:rPr>
        <w:t>，同期业绩比较基准增长率为</w:t>
      </w:r>
      <w:r w:rsidRPr="001358D2">
        <w:rPr>
          <w:color w:val="000000"/>
          <w:sz w:val="24"/>
        </w:rPr>
        <w:t>0.39%</w:t>
      </w:r>
      <w:r w:rsidRPr="001358D2">
        <w:rPr>
          <w:color w:val="000000"/>
          <w:sz w:val="24"/>
        </w:rPr>
        <w:t>；交银丰盈收益债券</w:t>
      </w:r>
      <w:r w:rsidRPr="001358D2">
        <w:rPr>
          <w:color w:val="000000"/>
          <w:sz w:val="24"/>
        </w:rPr>
        <w:t>C</w:t>
      </w:r>
      <w:r w:rsidRPr="001358D2">
        <w:rPr>
          <w:color w:val="000000"/>
          <w:sz w:val="24"/>
        </w:rPr>
        <w:t>份额净值为</w:t>
      </w:r>
      <w:r w:rsidRPr="001358D2">
        <w:rPr>
          <w:color w:val="000000"/>
          <w:sz w:val="24"/>
        </w:rPr>
        <w:t>1.031</w:t>
      </w:r>
      <w:r w:rsidRPr="001358D2">
        <w:rPr>
          <w:color w:val="000000"/>
          <w:sz w:val="24"/>
        </w:rPr>
        <w:t>元，本报告期份额净值增长率为</w:t>
      </w:r>
      <w:r w:rsidRPr="001358D2">
        <w:rPr>
          <w:color w:val="000000"/>
          <w:sz w:val="24"/>
        </w:rPr>
        <w:t>3.10%</w:t>
      </w:r>
      <w:r w:rsidRPr="001358D2">
        <w:rPr>
          <w:color w:val="000000"/>
          <w:sz w:val="24"/>
        </w:rPr>
        <w:t>，同期业绩比较基准增长率为</w:t>
      </w:r>
      <w:r w:rsidRPr="001358D2">
        <w:rPr>
          <w:color w:val="000000"/>
          <w:sz w:val="24"/>
        </w:rPr>
        <w:t>-1.34%</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年，国内经济运行可能走出舒适区，从目前的部分指标上看，边际上可能延续下行压力，但短期内压力不大。我们预计短期内央行将以中性货币政策为主，既抑制资产价格泡沫再度膨胀，又配合</w:t>
      </w:r>
      <w:r w:rsidRPr="001358D2">
        <w:rPr>
          <w:color w:val="000000"/>
          <w:sz w:val="24"/>
        </w:rPr>
        <w:t>“</w:t>
      </w:r>
      <w:r w:rsidRPr="001358D2">
        <w:rPr>
          <w:color w:val="000000"/>
          <w:sz w:val="24"/>
        </w:rPr>
        <w:t>三会</w:t>
      </w:r>
      <w:r w:rsidRPr="001358D2">
        <w:rPr>
          <w:color w:val="000000"/>
          <w:sz w:val="24"/>
        </w:rPr>
        <w:t>”</w:t>
      </w:r>
      <w:r w:rsidRPr="001358D2">
        <w:rPr>
          <w:color w:val="000000"/>
          <w:sz w:val="24"/>
        </w:rPr>
        <w:t>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积极跟踪把握市场节奏，调整部分债券，尽力控制信用风险，努力为投资者创造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A10E78" w:rsidRDefault="002230E9">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10E78" w:rsidRDefault="002230E9">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作为本基金的托管人，中信银行严格遵守了《证券投资基金法》及其他有关法律法规、基金合同和托管协议的规定，对交银施罗德丰盈收益债券型证券投资基金</w:t>
      </w:r>
      <w:r w:rsidRPr="005A1E76">
        <w:rPr>
          <w:color w:val="000000"/>
          <w:sz w:val="24"/>
        </w:rPr>
        <w:t>2017</w:t>
      </w:r>
      <w:r w:rsidRPr="005A1E76">
        <w:rPr>
          <w:color w:val="000000"/>
          <w:sz w:val="24"/>
        </w:rPr>
        <w:t>年度的投资运作，进行了认真、独立的会计核算和必要的投资监督，履行了托管人的义务，不存在任何损害基金份额持有人利益的行为。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交银施罗德丰盈收益债券型证券投资基金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21962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交银施罗德丰盈收益债券型证券投资基金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336,809.72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844,886.69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1,440,011.66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19,006,752.02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16,042.54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8,651.11</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61,008,151.50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766,084,757.80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61,008,151.50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766,084,757.80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886,105.23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20,235,564.81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29.98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63,687,150.63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806,180,612.43</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289,799,448.80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203,782.78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47,955.60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356,431.68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8,991.65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66,830.95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8.69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775.40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21,299.60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52,102.12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300,200.00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300,200.00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561,714.12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290,596,313.15</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61,181,140.97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510,658,140.93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1,944,295.54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4,926,158.35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63,125,436.51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515,584,299.28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63,687,150.63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806,180,612.43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1.032</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1.031</w:t>
      </w:r>
      <w:r w:rsidR="001A59F9" w:rsidRPr="00E25C2A">
        <w:rPr>
          <w:kern w:val="0"/>
          <w:sz w:val="24"/>
        </w:rPr>
        <w:t>元，基金份额总额</w:t>
      </w:r>
      <w:r w:rsidR="001A59F9" w:rsidRPr="00E25C2A">
        <w:rPr>
          <w:kern w:val="0"/>
          <w:sz w:val="24"/>
        </w:rPr>
        <w:t>61,181,140.97</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61,158,325.15</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22,815.82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交银施罗德丰盈收益债券型证券投资基金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14,153,362.33</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32,750,800.08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22,488,171.09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53,099,351.04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256,429.74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390,350.88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20,613,663.22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52,700,395.55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1,618,078.13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8,604.61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-9,526,169.48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4,506,072.47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-9,526,169.48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4,506,072.47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1,191,198.77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-24,854,623.43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161.95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5,761,924.56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14,280,110.48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2,880,634.62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4,410,361.10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540,118.99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826,942.64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8,696.05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5,139.79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1,974,000.00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8,681,072.88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1,974,000.00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8,681,072.88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358,434.87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356,594.07</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8,391,437.77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18,470,689.60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8,391,437.77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18,470,689.60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交银施罗德丰盈收益债券型证券投资基金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510,658,140.93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4,926,158.35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515,584,299.28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8,391,437.77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8,391,437.77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-449,476,999.96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-11,373,300.58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-460,850,300.54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851,177.00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23,133.29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874,310.29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-450,328,176.96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-11,396,433.87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-461,724,610.83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61,181,140.97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1,944,295.54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63,125,436.51</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510,658,140.93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69,182,083.45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579,840,224.38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18,470,689.60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18,470,689.60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-82,726,614.70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-82,726,614.70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510,658,140.93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4,926,158.35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515,584,299.28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A10E78" w:rsidRDefault="002230E9">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A10E78" w:rsidRDefault="002230E9">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类基金份额的申购。根据《关于交银施罗德丰盈收益债券型证券投资基金封闭期结束转为开放式运作并同时增加开通</w:t>
      </w:r>
      <w:r>
        <w:rPr>
          <w:color w:val="000000"/>
          <w:sz w:val="24"/>
        </w:rPr>
        <w:t>C</w:t>
      </w:r>
      <w:r>
        <w:rPr>
          <w:color w:val="000000"/>
          <w:sz w:val="24"/>
        </w:rPr>
        <w:t>类基金份额暨开放基金日常申购、赎回、定期定额投资业务并参与部分销售机构申购费率优惠活动的公告》的相关规定，本基金封闭期自</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8</w:t>
      </w:r>
      <w:r>
        <w:rPr>
          <w:color w:val="000000"/>
          <w:sz w:val="24"/>
        </w:rPr>
        <w:t>月</w:t>
      </w:r>
      <w:r>
        <w:rPr>
          <w:color w:val="000000"/>
          <w:sz w:val="24"/>
        </w:rPr>
        <w:t>11</w:t>
      </w:r>
      <w:r>
        <w:rPr>
          <w:color w:val="000000"/>
          <w:sz w:val="24"/>
        </w:rPr>
        <w:t>日止，自</w:t>
      </w:r>
      <w:r>
        <w:rPr>
          <w:color w:val="000000"/>
          <w:sz w:val="24"/>
        </w:rPr>
        <w:t>2017</w:t>
      </w:r>
      <w:r>
        <w:rPr>
          <w:color w:val="000000"/>
          <w:sz w:val="24"/>
        </w:rPr>
        <w:t>年</w:t>
      </w:r>
      <w:r>
        <w:rPr>
          <w:color w:val="000000"/>
          <w:sz w:val="24"/>
        </w:rPr>
        <w:t>8</w:t>
      </w:r>
      <w:r>
        <w:rPr>
          <w:color w:val="000000"/>
          <w:sz w:val="24"/>
        </w:rPr>
        <w:t>月</w:t>
      </w:r>
      <w:r>
        <w:rPr>
          <w:color w:val="000000"/>
          <w:sz w:val="24"/>
        </w:rPr>
        <w:t>14</w:t>
      </w:r>
      <w:r>
        <w:rPr>
          <w:color w:val="000000"/>
          <w:sz w:val="24"/>
        </w:rPr>
        <w:t>日起转为开放式运作，自该日起开始办理日常申购、赎回业务，并同时增加开通</w:t>
      </w:r>
      <w:r>
        <w:rPr>
          <w:color w:val="000000"/>
          <w:sz w:val="24"/>
        </w:rPr>
        <w:t>C</w:t>
      </w:r>
      <w:r>
        <w:rPr>
          <w:color w:val="000000"/>
          <w:sz w:val="24"/>
        </w:rPr>
        <w:t>类基金份额。</w:t>
      </w:r>
    </w:p>
    <w:p w:rsidR="00A10E78" w:rsidRDefault="00A10E78">
      <w:pPr>
        <w:spacing w:before="29" w:line="288" w:lineRule="auto"/>
        <w:ind w:firstLineChars="200" w:firstLine="480"/>
        <w:rPr>
          <w:color w:val="000000"/>
          <w:sz w:val="24"/>
        </w:rPr>
      </w:pPr>
    </w:p>
    <w:p w:rsidR="00A10E78" w:rsidRDefault="002230E9">
      <w:pPr>
        <w:spacing w:before="29" w:line="288" w:lineRule="auto"/>
        <w:ind w:firstLineChars="200" w:firstLine="480"/>
        <w:rPr>
          <w:color w:val="000000"/>
          <w:sz w:val="24"/>
        </w:rPr>
      </w:pPr>
      <w:r>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w:t>
      </w:r>
      <w:r>
        <w:rPr>
          <w:color w:val="000000"/>
          <w:sz w:val="24"/>
        </w:rPr>
        <w:t>(</w:t>
      </w:r>
      <w:r>
        <w:rPr>
          <w:color w:val="000000"/>
          <w:sz w:val="24"/>
        </w:rPr>
        <w:t>含</w:t>
      </w:r>
      <w:r>
        <w:rPr>
          <w:color w:val="000000"/>
          <w:sz w:val="24"/>
        </w:rPr>
        <w:t>)</w:t>
      </w:r>
      <w:r>
        <w:rPr>
          <w:color w:val="000000"/>
          <w:sz w:val="24"/>
        </w:rPr>
        <w:t>以上。本基金不直接在二级市场买入股票、权证等权益类资产，也不参与一级市场新股申购和新股增发。同时本基金不参与可转换债券投资</w:t>
      </w:r>
      <w:r>
        <w:rPr>
          <w:color w:val="000000"/>
          <w:sz w:val="24"/>
        </w:rPr>
        <w:t>(</w:t>
      </w:r>
      <w:r>
        <w:rPr>
          <w:color w:val="000000"/>
          <w:sz w:val="24"/>
        </w:rPr>
        <w:t>分离交易可转债的纯债部分除外</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Pr>
          <w:color w:val="000000"/>
          <w:sz w:val="24"/>
        </w:rPr>
        <w:t>80%</w:t>
      </w:r>
      <w:r>
        <w:rPr>
          <w:color w:val="000000"/>
          <w:sz w:val="24"/>
        </w:rPr>
        <w:t>，但在封闭期结束转开放的前后三个月内，基金投资不受上述债券资产投资比例限制。本基金在开放期内，现金或到期日在一年以内的政府债券的比例合计不低于基金资产净值的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。本基金封闭期内业绩比较基准为三年期银行定期存款税后收益率，转为开放式运作后业绩比较基准为中债综合全价指数。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A10E78" w:rsidRDefault="002230E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颁布的《证券投资基金会计核算业务指引》、《交银施罗德丰盈收益债券型证券投资基金基金合同》和在财务报表附注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A10E78" w:rsidRDefault="002230E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10E78" w:rsidRDefault="002230E9">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p>
    <w:p w:rsidR="00A10E78" w:rsidRDefault="002230E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A10E78">
        <w:tc>
          <w:tcPr>
            <w:tcW w:w="5219" w:type="dxa"/>
            <w:vAlign w:val="center"/>
          </w:tcPr>
          <w:p w:rsidR="00A10E78" w:rsidRDefault="002230E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10E78" w:rsidRDefault="002230E9">
            <w:pPr>
              <w:jc w:val="center"/>
            </w:pPr>
            <w:r>
              <w:rPr>
                <w:color w:val="000000"/>
                <w:sz w:val="24"/>
              </w:rPr>
              <w:t>基金管理人、基金销售机构</w:t>
            </w:r>
          </w:p>
        </w:tc>
      </w:tr>
      <w:tr w:rsidR="00A10E78">
        <w:tc>
          <w:tcPr>
            <w:tcW w:w="5219" w:type="dxa"/>
            <w:vAlign w:val="center"/>
          </w:tcPr>
          <w:p w:rsidR="00A10E78" w:rsidRDefault="002230E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10E78" w:rsidRDefault="002230E9">
            <w:pPr>
              <w:jc w:val="center"/>
            </w:pPr>
            <w:r>
              <w:rPr>
                <w:color w:val="000000"/>
                <w:sz w:val="24"/>
              </w:rPr>
              <w:t>基金托管人、基金销售机构</w:t>
            </w:r>
          </w:p>
        </w:tc>
      </w:tr>
      <w:tr w:rsidR="00A10E78">
        <w:tc>
          <w:tcPr>
            <w:tcW w:w="5219" w:type="dxa"/>
            <w:vAlign w:val="center"/>
          </w:tcPr>
          <w:p w:rsidR="00A10E78" w:rsidRDefault="002230E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10E78" w:rsidRDefault="002230E9">
            <w:pPr>
              <w:jc w:val="center"/>
            </w:pPr>
            <w:r>
              <w:rPr>
                <w:color w:val="000000"/>
                <w:sz w:val="24"/>
              </w:rPr>
              <w:t>基金管理人的股东、基金销售机构</w:t>
            </w:r>
          </w:p>
        </w:tc>
      </w:tr>
      <w:tr w:rsidR="00A10E78">
        <w:tc>
          <w:tcPr>
            <w:tcW w:w="5219" w:type="dxa"/>
            <w:vAlign w:val="center"/>
          </w:tcPr>
          <w:p w:rsidR="00A10E78" w:rsidRDefault="002230E9">
            <w:pPr>
              <w:jc w:val="left"/>
            </w:pPr>
            <w:r>
              <w:rPr>
                <w:color w:val="000000"/>
                <w:sz w:val="24"/>
              </w:rPr>
              <w:t>施罗德投资管理有限公司</w:t>
            </w:r>
          </w:p>
        </w:tc>
        <w:tc>
          <w:tcPr>
            <w:tcW w:w="3779" w:type="dxa"/>
            <w:vAlign w:val="center"/>
          </w:tcPr>
          <w:p w:rsidR="00A10E78" w:rsidRDefault="002230E9">
            <w:pPr>
              <w:jc w:val="center"/>
            </w:pPr>
            <w:r>
              <w:rPr>
                <w:color w:val="000000"/>
                <w:sz w:val="24"/>
              </w:rPr>
              <w:t>基金管理人的股东</w:t>
            </w:r>
          </w:p>
        </w:tc>
      </w:tr>
      <w:tr w:rsidR="00A10E78">
        <w:tc>
          <w:tcPr>
            <w:tcW w:w="5219" w:type="dxa"/>
            <w:vAlign w:val="center"/>
          </w:tcPr>
          <w:p w:rsidR="00A10E78" w:rsidRDefault="002230E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A10E78" w:rsidRDefault="002230E9">
            <w:pPr>
              <w:jc w:val="center"/>
            </w:pPr>
            <w:r>
              <w:rPr>
                <w:color w:val="000000"/>
                <w:sz w:val="24"/>
              </w:rPr>
              <w:t>基金管理人的股东</w:t>
            </w:r>
          </w:p>
        </w:tc>
      </w:tr>
      <w:tr w:rsidR="00A10E78">
        <w:tc>
          <w:tcPr>
            <w:tcW w:w="5219" w:type="dxa"/>
            <w:vAlign w:val="center"/>
          </w:tcPr>
          <w:p w:rsidR="00A10E78" w:rsidRDefault="002230E9">
            <w:pPr>
              <w:jc w:val="left"/>
            </w:pPr>
            <w:r>
              <w:rPr>
                <w:color w:val="000000"/>
                <w:sz w:val="24"/>
              </w:rPr>
              <w:t>交银施罗德资产管理有限公司</w:t>
            </w:r>
          </w:p>
        </w:tc>
        <w:tc>
          <w:tcPr>
            <w:tcW w:w="3779" w:type="dxa"/>
            <w:vAlign w:val="center"/>
          </w:tcPr>
          <w:p w:rsidR="00A10E78" w:rsidRDefault="002230E9">
            <w:pPr>
              <w:jc w:val="center"/>
            </w:pPr>
            <w:r>
              <w:rPr>
                <w:color w:val="000000"/>
                <w:sz w:val="24"/>
              </w:rPr>
              <w:t>基金管理人的子公司</w:t>
            </w:r>
          </w:p>
        </w:tc>
      </w:tr>
      <w:tr w:rsidR="00A10E78">
        <w:tc>
          <w:tcPr>
            <w:tcW w:w="5219" w:type="dxa"/>
            <w:vAlign w:val="center"/>
          </w:tcPr>
          <w:p w:rsidR="00A10E78" w:rsidRDefault="002230E9">
            <w:pPr>
              <w:jc w:val="left"/>
            </w:pPr>
            <w:r>
              <w:rPr>
                <w:color w:val="000000"/>
                <w:sz w:val="24"/>
              </w:rPr>
              <w:t>上海直源投资管理有限公司</w:t>
            </w:r>
          </w:p>
        </w:tc>
        <w:tc>
          <w:tcPr>
            <w:tcW w:w="3779" w:type="dxa"/>
            <w:vAlign w:val="center"/>
          </w:tcPr>
          <w:p w:rsidR="00A10E78" w:rsidRDefault="002230E9">
            <w:pPr>
              <w:jc w:val="center"/>
            </w:pPr>
            <w:r>
              <w:rPr>
                <w:color w:val="000000"/>
                <w:sz w:val="24"/>
              </w:rPr>
              <w:t>受基金管理人控制的公司</w:t>
            </w:r>
          </w:p>
        </w:tc>
      </w:tr>
      <w:tr w:rsidR="00A10E78">
        <w:tc>
          <w:tcPr>
            <w:tcW w:w="5219" w:type="dxa"/>
            <w:vAlign w:val="center"/>
          </w:tcPr>
          <w:p w:rsidR="00A10E78" w:rsidRDefault="002230E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A10E78" w:rsidRDefault="002230E9">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2,880,634.62</w:t>
            </w:r>
          </w:p>
        </w:tc>
        <w:tc>
          <w:tcPr>
            <w:tcW w:w="2657" w:type="dxa"/>
            <w:vAlign w:val="center"/>
          </w:tcPr>
          <w:p w:rsidR="001A59F9" w:rsidRPr="00817316" w:rsidRDefault="001A59F9" w:rsidP="00817316">
            <w:pPr>
              <w:spacing w:before="29" w:line="288" w:lineRule="auto"/>
              <w:jc w:val="right"/>
              <w:rPr>
                <w:sz w:val="24"/>
              </w:rPr>
            </w:pPr>
            <w:r w:rsidRPr="00817316">
              <w:rPr>
                <w:sz w:val="24"/>
              </w:rPr>
              <w:t>4,410,361.10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1,312,455.76</w:t>
            </w:r>
          </w:p>
        </w:tc>
        <w:tc>
          <w:tcPr>
            <w:tcW w:w="2657" w:type="dxa"/>
            <w:vAlign w:val="center"/>
          </w:tcPr>
          <w:p w:rsidR="001A59F9" w:rsidRPr="00817316" w:rsidRDefault="001A59F9" w:rsidP="00817316">
            <w:pPr>
              <w:spacing w:before="29" w:line="288" w:lineRule="auto"/>
              <w:jc w:val="right"/>
              <w:rPr>
                <w:sz w:val="24"/>
              </w:rPr>
            </w:pPr>
            <w:r w:rsidRPr="00817316">
              <w:rPr>
                <w:sz w:val="24"/>
              </w:rPr>
              <w:t>2,000,792.68</w:t>
            </w:r>
          </w:p>
        </w:tc>
      </w:tr>
    </w:tbl>
    <w:p w:rsidR="00A10E78" w:rsidRDefault="002230E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×0.80%÷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540,118.99</w:t>
            </w:r>
          </w:p>
        </w:tc>
        <w:tc>
          <w:tcPr>
            <w:tcW w:w="2657" w:type="dxa"/>
            <w:vAlign w:val="center"/>
          </w:tcPr>
          <w:p w:rsidR="001A59F9" w:rsidRPr="00817316" w:rsidRDefault="001A59F9" w:rsidP="00817316">
            <w:pPr>
              <w:spacing w:before="29" w:line="288" w:lineRule="auto"/>
              <w:jc w:val="right"/>
              <w:rPr>
                <w:sz w:val="24"/>
              </w:rPr>
            </w:pPr>
            <w:r w:rsidRPr="00817316">
              <w:rPr>
                <w:sz w:val="24"/>
              </w:rPr>
              <w:t>826,942.64</w:t>
            </w:r>
          </w:p>
        </w:tc>
      </w:tr>
    </w:tbl>
    <w:p w:rsidR="00A10E78" w:rsidRDefault="002230E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D81900" w:rsidRDefault="0007161E" w:rsidP="0007161E">
      <w:pPr>
        <w:tabs>
          <w:tab w:val="left" w:pos="426"/>
        </w:tabs>
        <w:spacing w:before="29" w:line="288" w:lineRule="auto"/>
        <w:jc w:val="left"/>
        <w:rPr>
          <w:kern w:val="0"/>
          <w:sz w:val="24"/>
        </w:rPr>
      </w:pPr>
      <w:r w:rsidRPr="00D81900">
        <w:rPr>
          <w:kern w:val="0"/>
          <w:sz w:val="24"/>
        </w:rPr>
        <w:t>无。</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A10E78">
        <w:tc>
          <w:tcPr>
            <w:tcW w:w="2266" w:type="dxa"/>
            <w:vAlign w:val="center"/>
          </w:tcPr>
          <w:p w:rsidR="00A10E78" w:rsidRDefault="002230E9">
            <w:pPr>
              <w:jc w:val="left"/>
            </w:pPr>
            <w:r>
              <w:rPr>
                <w:szCs w:val="21"/>
              </w:rPr>
              <w:t>中信银行</w:t>
            </w:r>
          </w:p>
        </w:tc>
        <w:tc>
          <w:tcPr>
            <w:tcW w:w="1683" w:type="dxa"/>
            <w:vAlign w:val="center"/>
          </w:tcPr>
          <w:p w:rsidR="00A10E78" w:rsidRDefault="002230E9">
            <w:pPr>
              <w:jc w:val="right"/>
            </w:pPr>
            <w:r>
              <w:rPr>
                <w:szCs w:val="21"/>
              </w:rPr>
              <w:t>336,809.72</w:t>
            </w:r>
          </w:p>
        </w:tc>
        <w:tc>
          <w:tcPr>
            <w:tcW w:w="1683" w:type="dxa"/>
            <w:vAlign w:val="center"/>
          </w:tcPr>
          <w:p w:rsidR="00A10E78" w:rsidRDefault="002230E9">
            <w:pPr>
              <w:jc w:val="right"/>
            </w:pPr>
            <w:r>
              <w:rPr>
                <w:szCs w:val="21"/>
              </w:rPr>
              <w:t>87,364.29</w:t>
            </w:r>
          </w:p>
        </w:tc>
        <w:tc>
          <w:tcPr>
            <w:tcW w:w="1683" w:type="dxa"/>
            <w:vAlign w:val="center"/>
          </w:tcPr>
          <w:p w:rsidR="00A10E78" w:rsidRDefault="002230E9">
            <w:pPr>
              <w:jc w:val="right"/>
            </w:pPr>
            <w:r>
              <w:rPr>
                <w:szCs w:val="21"/>
              </w:rPr>
              <w:t>844,886.69</w:t>
            </w:r>
          </w:p>
        </w:tc>
        <w:tc>
          <w:tcPr>
            <w:tcW w:w="1683" w:type="dxa"/>
            <w:vAlign w:val="center"/>
          </w:tcPr>
          <w:p w:rsidR="00A10E78" w:rsidRDefault="002230E9">
            <w:pPr>
              <w:jc w:val="right"/>
            </w:pPr>
            <w:r>
              <w:rPr>
                <w:szCs w:val="21"/>
              </w:rPr>
              <w:t>54,087.61</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 xml:space="preserve"> </w:t>
      </w: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A10E78" w:rsidRDefault="002230E9">
      <w:pPr>
        <w:spacing w:before="29" w:line="288" w:lineRule="auto"/>
        <w:ind w:firstLineChars="200" w:firstLine="480"/>
        <w:rPr>
          <w:color w:val="000000"/>
          <w:sz w:val="24"/>
        </w:rPr>
      </w:pPr>
      <w:r>
        <w:rPr>
          <w:color w:val="000000"/>
          <w:sz w:val="24"/>
        </w:rPr>
        <w:t>(1)</w:t>
      </w:r>
      <w:r>
        <w:rPr>
          <w:color w:val="000000"/>
          <w:sz w:val="24"/>
        </w:rPr>
        <w:t>公允价值</w:t>
      </w:r>
    </w:p>
    <w:p w:rsidR="00A10E78" w:rsidRDefault="002230E9">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A10E78" w:rsidRDefault="002230E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10E78" w:rsidRDefault="002230E9">
      <w:pPr>
        <w:spacing w:before="29" w:line="288" w:lineRule="auto"/>
        <w:ind w:firstLineChars="200" w:firstLine="480"/>
        <w:rPr>
          <w:color w:val="000000"/>
          <w:sz w:val="24"/>
        </w:rPr>
      </w:pPr>
      <w:r>
        <w:rPr>
          <w:color w:val="000000"/>
          <w:sz w:val="24"/>
        </w:rPr>
        <w:t>第一层次：相同资产或负债在活跃市场上未经调整的报价。</w:t>
      </w:r>
    </w:p>
    <w:p w:rsidR="00A10E78" w:rsidRDefault="002230E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10E78" w:rsidRDefault="002230E9">
      <w:pPr>
        <w:spacing w:before="29" w:line="288" w:lineRule="auto"/>
        <w:ind w:firstLineChars="200" w:firstLine="480"/>
        <w:rPr>
          <w:color w:val="000000"/>
          <w:sz w:val="24"/>
        </w:rPr>
      </w:pPr>
      <w:r>
        <w:rPr>
          <w:color w:val="000000"/>
          <w:sz w:val="24"/>
        </w:rPr>
        <w:t>第三层次：相关资产或负债的不可观察输入值。</w:t>
      </w:r>
    </w:p>
    <w:p w:rsidR="00A10E78" w:rsidRDefault="002230E9">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A10E78" w:rsidRDefault="002230E9">
      <w:pPr>
        <w:spacing w:before="29" w:line="288" w:lineRule="auto"/>
        <w:ind w:firstLineChars="200" w:firstLine="480"/>
        <w:rPr>
          <w:color w:val="000000"/>
          <w:sz w:val="24"/>
        </w:rPr>
      </w:pPr>
      <w:r>
        <w:rPr>
          <w:color w:val="000000"/>
          <w:sz w:val="24"/>
        </w:rPr>
        <w:t>(i)</w:t>
      </w:r>
      <w:r>
        <w:rPr>
          <w:color w:val="000000"/>
          <w:sz w:val="24"/>
        </w:rPr>
        <w:t>各层次金融工具公允价值</w:t>
      </w:r>
    </w:p>
    <w:p w:rsidR="00A10E78" w:rsidRDefault="002230E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61,008,151.50</w:t>
      </w:r>
      <w:r>
        <w:rPr>
          <w:color w:val="000000"/>
          <w:sz w:val="24"/>
        </w:rPr>
        <w:t>元，无属于第一层次或第三层次的余额</w:t>
      </w:r>
      <w:r>
        <w:rPr>
          <w:color w:val="000000"/>
          <w:sz w:val="24"/>
        </w:rPr>
        <w:t xml:space="preserve"> (2016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766,084,757.80</w:t>
      </w:r>
      <w:r>
        <w:rPr>
          <w:color w:val="000000"/>
          <w:sz w:val="24"/>
        </w:rPr>
        <w:t>元，无第一层次或第三层次</w:t>
      </w:r>
      <w:r>
        <w:rPr>
          <w:color w:val="000000"/>
          <w:sz w:val="24"/>
        </w:rPr>
        <w:t>)</w:t>
      </w:r>
      <w:r>
        <w:rPr>
          <w:color w:val="000000"/>
          <w:sz w:val="24"/>
        </w:rPr>
        <w:t>。</w:t>
      </w:r>
    </w:p>
    <w:p w:rsidR="00A10E78" w:rsidRDefault="002230E9">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A10E78" w:rsidRDefault="002230E9">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A10E78" w:rsidRDefault="002230E9">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A10E78" w:rsidRDefault="002230E9">
      <w:pPr>
        <w:spacing w:before="29" w:line="288" w:lineRule="auto"/>
        <w:ind w:firstLineChars="200" w:firstLine="480"/>
        <w:rPr>
          <w:color w:val="000000"/>
          <w:sz w:val="24"/>
        </w:rPr>
      </w:pPr>
      <w:r>
        <w:rPr>
          <w:color w:val="000000"/>
          <w:sz w:val="24"/>
        </w:rPr>
        <w:t>无。</w:t>
      </w:r>
    </w:p>
    <w:p w:rsidR="00A10E78" w:rsidRDefault="002230E9">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A10E78" w:rsidRDefault="002230E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10E78" w:rsidRDefault="002230E9">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A10E78" w:rsidRDefault="002230E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10E78" w:rsidRDefault="002230E9">
      <w:pPr>
        <w:spacing w:before="29" w:line="288" w:lineRule="auto"/>
        <w:ind w:firstLineChars="200" w:firstLine="480"/>
        <w:rPr>
          <w:color w:val="000000"/>
          <w:sz w:val="24"/>
        </w:rPr>
      </w:pPr>
      <w:r>
        <w:rPr>
          <w:color w:val="000000"/>
          <w:sz w:val="24"/>
        </w:rPr>
        <w:t>(2)</w:t>
      </w:r>
      <w:r>
        <w:rPr>
          <w:color w:val="000000"/>
          <w:sz w:val="24"/>
        </w:rPr>
        <w:t>增值税</w:t>
      </w:r>
    </w:p>
    <w:p w:rsidR="00A10E78" w:rsidRDefault="002230E9">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A10E78" w:rsidRDefault="002230E9">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10E78" w:rsidRDefault="002230E9">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A10E78" w:rsidRDefault="002230E9">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61,008,151.50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95.79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61,008,151.50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95.79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1,776,821.38</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2.79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902,177.75</w:t>
            </w:r>
          </w:p>
        </w:tc>
        <w:tc>
          <w:tcPr>
            <w:tcW w:w="1980" w:type="dxa"/>
            <w:vAlign w:val="center"/>
          </w:tcPr>
          <w:p w:rsidR="001E6CEE" w:rsidRPr="000008D1" w:rsidRDefault="001E6CEE" w:rsidP="00026C9C">
            <w:pPr>
              <w:spacing w:line="360" w:lineRule="auto"/>
              <w:jc w:val="right"/>
              <w:rPr>
                <w:sz w:val="24"/>
              </w:rPr>
            </w:pPr>
            <w:r w:rsidRPr="000008D1">
              <w:rPr>
                <w:sz w:val="24"/>
              </w:rPr>
              <w:t>1.42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63,687,150.63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7,288,051.50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11.55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53,720,100.00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85.10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53,720,100.00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85.10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0.00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61,008,151.50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96.65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A10E78">
        <w:tc>
          <w:tcPr>
            <w:tcW w:w="1320" w:type="dxa"/>
            <w:vAlign w:val="center"/>
          </w:tcPr>
          <w:p w:rsidR="00A10E78" w:rsidRDefault="002230E9">
            <w:pPr>
              <w:jc w:val="center"/>
            </w:pPr>
            <w:r>
              <w:rPr>
                <w:color w:val="000000"/>
                <w:sz w:val="24"/>
              </w:rPr>
              <w:t>1</w:t>
            </w:r>
          </w:p>
        </w:tc>
        <w:tc>
          <w:tcPr>
            <w:tcW w:w="1382" w:type="dxa"/>
            <w:vAlign w:val="center"/>
          </w:tcPr>
          <w:p w:rsidR="00A10E78" w:rsidRDefault="002230E9">
            <w:pPr>
              <w:jc w:val="center"/>
            </w:pPr>
            <w:r>
              <w:rPr>
                <w:color w:val="000000"/>
                <w:sz w:val="24"/>
              </w:rPr>
              <w:t>170410</w:t>
            </w:r>
          </w:p>
        </w:tc>
        <w:tc>
          <w:tcPr>
            <w:tcW w:w="1353" w:type="dxa"/>
            <w:vAlign w:val="center"/>
          </w:tcPr>
          <w:p w:rsidR="00A10E78" w:rsidRDefault="002230E9">
            <w:pPr>
              <w:jc w:val="center"/>
            </w:pPr>
            <w:r>
              <w:rPr>
                <w:color w:val="000000"/>
                <w:sz w:val="24"/>
              </w:rPr>
              <w:t>17</w:t>
            </w:r>
            <w:r>
              <w:rPr>
                <w:color w:val="000000"/>
                <w:sz w:val="24"/>
              </w:rPr>
              <w:t>农发</w:t>
            </w:r>
            <w:r>
              <w:rPr>
                <w:color w:val="000000"/>
                <w:sz w:val="24"/>
              </w:rPr>
              <w:t>10</w:t>
            </w:r>
          </w:p>
        </w:tc>
        <w:tc>
          <w:tcPr>
            <w:tcW w:w="1505" w:type="dxa"/>
            <w:vAlign w:val="center"/>
          </w:tcPr>
          <w:p w:rsidR="00A10E78" w:rsidRDefault="002230E9">
            <w:pPr>
              <w:jc w:val="right"/>
            </w:pPr>
            <w:r>
              <w:rPr>
                <w:color w:val="000000"/>
                <w:sz w:val="24"/>
              </w:rPr>
              <w:t>200,000</w:t>
            </w:r>
          </w:p>
        </w:tc>
        <w:tc>
          <w:tcPr>
            <w:tcW w:w="1737" w:type="dxa"/>
            <w:vAlign w:val="center"/>
          </w:tcPr>
          <w:p w:rsidR="00A10E78" w:rsidRDefault="002230E9">
            <w:pPr>
              <w:jc w:val="right"/>
            </w:pPr>
            <w:r>
              <w:rPr>
                <w:color w:val="000000"/>
                <w:sz w:val="24"/>
              </w:rPr>
              <w:t>19,894,000.00</w:t>
            </w:r>
          </w:p>
        </w:tc>
        <w:tc>
          <w:tcPr>
            <w:tcW w:w="1701" w:type="dxa"/>
            <w:vAlign w:val="center"/>
          </w:tcPr>
          <w:p w:rsidR="00A10E78" w:rsidRDefault="002230E9">
            <w:pPr>
              <w:jc w:val="right"/>
            </w:pPr>
            <w:r>
              <w:rPr>
                <w:color w:val="000000"/>
                <w:sz w:val="24"/>
              </w:rPr>
              <w:t>31.52</w:t>
            </w:r>
          </w:p>
        </w:tc>
      </w:tr>
      <w:tr w:rsidR="00A10E78">
        <w:tc>
          <w:tcPr>
            <w:tcW w:w="1320" w:type="dxa"/>
            <w:vAlign w:val="center"/>
          </w:tcPr>
          <w:p w:rsidR="00A10E78" w:rsidRDefault="002230E9">
            <w:pPr>
              <w:jc w:val="center"/>
            </w:pPr>
            <w:r>
              <w:rPr>
                <w:color w:val="000000"/>
                <w:sz w:val="24"/>
              </w:rPr>
              <w:t>2</w:t>
            </w:r>
          </w:p>
        </w:tc>
        <w:tc>
          <w:tcPr>
            <w:tcW w:w="1382" w:type="dxa"/>
            <w:vAlign w:val="center"/>
          </w:tcPr>
          <w:p w:rsidR="00A10E78" w:rsidRDefault="002230E9">
            <w:pPr>
              <w:jc w:val="center"/>
            </w:pPr>
            <w:r>
              <w:rPr>
                <w:color w:val="000000"/>
                <w:sz w:val="24"/>
              </w:rPr>
              <w:t>170211</w:t>
            </w:r>
          </w:p>
        </w:tc>
        <w:tc>
          <w:tcPr>
            <w:tcW w:w="1353" w:type="dxa"/>
            <w:vAlign w:val="center"/>
          </w:tcPr>
          <w:p w:rsidR="00A10E78" w:rsidRDefault="002230E9">
            <w:pPr>
              <w:jc w:val="center"/>
            </w:pPr>
            <w:r>
              <w:rPr>
                <w:color w:val="000000"/>
                <w:sz w:val="24"/>
              </w:rPr>
              <w:t>17</w:t>
            </w:r>
            <w:r>
              <w:rPr>
                <w:color w:val="000000"/>
                <w:sz w:val="24"/>
              </w:rPr>
              <w:t>国开</w:t>
            </w:r>
            <w:r>
              <w:rPr>
                <w:color w:val="000000"/>
                <w:sz w:val="24"/>
              </w:rPr>
              <w:t>11</w:t>
            </w:r>
          </w:p>
        </w:tc>
        <w:tc>
          <w:tcPr>
            <w:tcW w:w="1505" w:type="dxa"/>
            <w:vAlign w:val="center"/>
          </w:tcPr>
          <w:p w:rsidR="00A10E78" w:rsidRDefault="002230E9">
            <w:pPr>
              <w:jc w:val="right"/>
            </w:pPr>
            <w:r>
              <w:rPr>
                <w:color w:val="000000"/>
                <w:sz w:val="24"/>
              </w:rPr>
              <w:t>200,000</w:t>
            </w:r>
          </w:p>
        </w:tc>
        <w:tc>
          <w:tcPr>
            <w:tcW w:w="1737" w:type="dxa"/>
            <w:vAlign w:val="center"/>
          </w:tcPr>
          <w:p w:rsidR="00A10E78" w:rsidRDefault="002230E9">
            <w:pPr>
              <w:jc w:val="right"/>
            </w:pPr>
            <w:r>
              <w:rPr>
                <w:color w:val="000000"/>
                <w:sz w:val="24"/>
              </w:rPr>
              <w:t>19,860,000.00</w:t>
            </w:r>
          </w:p>
        </w:tc>
        <w:tc>
          <w:tcPr>
            <w:tcW w:w="1701" w:type="dxa"/>
            <w:vAlign w:val="center"/>
          </w:tcPr>
          <w:p w:rsidR="00A10E78" w:rsidRDefault="002230E9">
            <w:pPr>
              <w:jc w:val="right"/>
            </w:pPr>
            <w:r>
              <w:rPr>
                <w:color w:val="000000"/>
                <w:sz w:val="24"/>
              </w:rPr>
              <w:t>31.46</w:t>
            </w:r>
          </w:p>
        </w:tc>
      </w:tr>
      <w:tr w:rsidR="00A10E78">
        <w:tc>
          <w:tcPr>
            <w:tcW w:w="1320" w:type="dxa"/>
            <w:vAlign w:val="center"/>
          </w:tcPr>
          <w:p w:rsidR="00A10E78" w:rsidRDefault="002230E9">
            <w:pPr>
              <w:jc w:val="center"/>
            </w:pPr>
            <w:r>
              <w:rPr>
                <w:color w:val="000000"/>
                <w:sz w:val="24"/>
              </w:rPr>
              <w:t>3</w:t>
            </w:r>
          </w:p>
        </w:tc>
        <w:tc>
          <w:tcPr>
            <w:tcW w:w="1382" w:type="dxa"/>
            <w:vAlign w:val="center"/>
          </w:tcPr>
          <w:p w:rsidR="00A10E78" w:rsidRDefault="002230E9">
            <w:pPr>
              <w:jc w:val="center"/>
            </w:pPr>
            <w:r>
              <w:rPr>
                <w:color w:val="000000"/>
                <w:sz w:val="24"/>
              </w:rPr>
              <w:t>170413</w:t>
            </w:r>
          </w:p>
        </w:tc>
        <w:tc>
          <w:tcPr>
            <w:tcW w:w="1353" w:type="dxa"/>
            <w:vAlign w:val="center"/>
          </w:tcPr>
          <w:p w:rsidR="00A10E78" w:rsidRDefault="002230E9">
            <w:pPr>
              <w:jc w:val="center"/>
            </w:pPr>
            <w:r>
              <w:rPr>
                <w:color w:val="000000"/>
                <w:sz w:val="24"/>
              </w:rPr>
              <w:t>17</w:t>
            </w:r>
            <w:r>
              <w:rPr>
                <w:color w:val="000000"/>
                <w:sz w:val="24"/>
              </w:rPr>
              <w:t>农发</w:t>
            </w:r>
            <w:r>
              <w:rPr>
                <w:color w:val="000000"/>
                <w:sz w:val="24"/>
              </w:rPr>
              <w:t>13</w:t>
            </w:r>
          </w:p>
        </w:tc>
        <w:tc>
          <w:tcPr>
            <w:tcW w:w="1505" w:type="dxa"/>
            <w:vAlign w:val="center"/>
          </w:tcPr>
          <w:p w:rsidR="00A10E78" w:rsidRDefault="002230E9">
            <w:pPr>
              <w:jc w:val="right"/>
            </w:pPr>
            <w:r>
              <w:rPr>
                <w:color w:val="000000"/>
                <w:sz w:val="24"/>
              </w:rPr>
              <w:t>100,000</w:t>
            </w:r>
          </w:p>
        </w:tc>
        <w:tc>
          <w:tcPr>
            <w:tcW w:w="1737" w:type="dxa"/>
            <w:vAlign w:val="center"/>
          </w:tcPr>
          <w:p w:rsidR="00A10E78" w:rsidRDefault="002230E9">
            <w:pPr>
              <w:jc w:val="right"/>
            </w:pPr>
            <w:r>
              <w:rPr>
                <w:color w:val="000000"/>
                <w:sz w:val="24"/>
              </w:rPr>
              <w:t>9,940,000.00</w:t>
            </w:r>
          </w:p>
        </w:tc>
        <w:tc>
          <w:tcPr>
            <w:tcW w:w="1701" w:type="dxa"/>
            <w:vAlign w:val="center"/>
          </w:tcPr>
          <w:p w:rsidR="00A10E78" w:rsidRDefault="002230E9">
            <w:pPr>
              <w:jc w:val="right"/>
            </w:pPr>
            <w:r>
              <w:rPr>
                <w:color w:val="000000"/>
                <w:sz w:val="24"/>
              </w:rPr>
              <w:t>15.75</w:t>
            </w:r>
          </w:p>
        </w:tc>
      </w:tr>
      <w:tr w:rsidR="00A10E78">
        <w:tc>
          <w:tcPr>
            <w:tcW w:w="1320" w:type="dxa"/>
            <w:vAlign w:val="center"/>
          </w:tcPr>
          <w:p w:rsidR="00A10E78" w:rsidRDefault="002230E9">
            <w:pPr>
              <w:jc w:val="center"/>
            </w:pPr>
            <w:r>
              <w:rPr>
                <w:color w:val="000000"/>
                <w:sz w:val="24"/>
              </w:rPr>
              <w:t>4</w:t>
            </w:r>
          </w:p>
        </w:tc>
        <w:tc>
          <w:tcPr>
            <w:tcW w:w="1382" w:type="dxa"/>
            <w:vAlign w:val="center"/>
          </w:tcPr>
          <w:p w:rsidR="00A10E78" w:rsidRDefault="002230E9">
            <w:pPr>
              <w:jc w:val="center"/>
            </w:pPr>
            <w:r>
              <w:rPr>
                <w:color w:val="000000"/>
                <w:sz w:val="24"/>
              </w:rPr>
              <w:t>019563</w:t>
            </w:r>
          </w:p>
        </w:tc>
        <w:tc>
          <w:tcPr>
            <w:tcW w:w="1353" w:type="dxa"/>
            <w:vAlign w:val="center"/>
          </w:tcPr>
          <w:p w:rsidR="00A10E78" w:rsidRDefault="002230E9">
            <w:pPr>
              <w:jc w:val="center"/>
            </w:pPr>
            <w:r>
              <w:rPr>
                <w:color w:val="000000"/>
                <w:sz w:val="24"/>
              </w:rPr>
              <w:t>17</w:t>
            </w:r>
            <w:r>
              <w:rPr>
                <w:color w:val="000000"/>
                <w:sz w:val="24"/>
              </w:rPr>
              <w:t>国债</w:t>
            </w:r>
            <w:r>
              <w:rPr>
                <w:color w:val="000000"/>
                <w:sz w:val="24"/>
              </w:rPr>
              <w:t>09</w:t>
            </w:r>
          </w:p>
        </w:tc>
        <w:tc>
          <w:tcPr>
            <w:tcW w:w="1505" w:type="dxa"/>
            <w:vAlign w:val="center"/>
          </w:tcPr>
          <w:p w:rsidR="00A10E78" w:rsidRDefault="002230E9">
            <w:pPr>
              <w:jc w:val="right"/>
            </w:pPr>
            <w:r>
              <w:rPr>
                <w:color w:val="000000"/>
                <w:sz w:val="24"/>
              </w:rPr>
              <w:t>72,990</w:t>
            </w:r>
          </w:p>
        </w:tc>
        <w:tc>
          <w:tcPr>
            <w:tcW w:w="1737" w:type="dxa"/>
            <w:vAlign w:val="center"/>
          </w:tcPr>
          <w:p w:rsidR="00A10E78" w:rsidRDefault="002230E9">
            <w:pPr>
              <w:jc w:val="right"/>
            </w:pPr>
            <w:r>
              <w:rPr>
                <w:color w:val="000000"/>
                <w:sz w:val="24"/>
              </w:rPr>
              <w:t>7,288,051.50</w:t>
            </w:r>
          </w:p>
        </w:tc>
        <w:tc>
          <w:tcPr>
            <w:tcW w:w="1701" w:type="dxa"/>
            <w:vAlign w:val="center"/>
          </w:tcPr>
          <w:p w:rsidR="00A10E78" w:rsidRDefault="002230E9">
            <w:pPr>
              <w:jc w:val="right"/>
            </w:pPr>
            <w:r>
              <w:rPr>
                <w:color w:val="000000"/>
                <w:sz w:val="24"/>
              </w:rPr>
              <w:t>11.55</w:t>
            </w:r>
          </w:p>
        </w:tc>
      </w:tr>
      <w:tr w:rsidR="00A10E78">
        <w:tc>
          <w:tcPr>
            <w:tcW w:w="1320" w:type="dxa"/>
            <w:vAlign w:val="center"/>
          </w:tcPr>
          <w:p w:rsidR="00A10E78" w:rsidRDefault="002230E9">
            <w:pPr>
              <w:jc w:val="center"/>
            </w:pPr>
            <w:r>
              <w:rPr>
                <w:color w:val="000000"/>
                <w:sz w:val="24"/>
              </w:rPr>
              <w:t>5</w:t>
            </w:r>
          </w:p>
        </w:tc>
        <w:tc>
          <w:tcPr>
            <w:tcW w:w="1382" w:type="dxa"/>
            <w:vAlign w:val="center"/>
          </w:tcPr>
          <w:p w:rsidR="00A10E78" w:rsidRDefault="002230E9">
            <w:pPr>
              <w:jc w:val="center"/>
            </w:pPr>
            <w:r>
              <w:rPr>
                <w:color w:val="000000"/>
                <w:sz w:val="24"/>
              </w:rPr>
              <w:t>018002</w:t>
            </w:r>
          </w:p>
        </w:tc>
        <w:tc>
          <w:tcPr>
            <w:tcW w:w="1353" w:type="dxa"/>
            <w:vAlign w:val="center"/>
          </w:tcPr>
          <w:p w:rsidR="00A10E78" w:rsidRDefault="002230E9">
            <w:pPr>
              <w:jc w:val="center"/>
            </w:pPr>
            <w:r>
              <w:rPr>
                <w:color w:val="000000"/>
                <w:sz w:val="24"/>
              </w:rPr>
              <w:t>国开</w:t>
            </w:r>
            <w:r>
              <w:rPr>
                <w:color w:val="000000"/>
                <w:sz w:val="24"/>
              </w:rPr>
              <w:t>1302</w:t>
            </w:r>
          </w:p>
        </w:tc>
        <w:tc>
          <w:tcPr>
            <w:tcW w:w="1505" w:type="dxa"/>
            <w:vAlign w:val="center"/>
          </w:tcPr>
          <w:p w:rsidR="00A10E78" w:rsidRDefault="002230E9">
            <w:pPr>
              <w:jc w:val="right"/>
            </w:pPr>
            <w:r>
              <w:rPr>
                <w:color w:val="000000"/>
                <w:sz w:val="24"/>
              </w:rPr>
              <w:t>30,000</w:t>
            </w:r>
          </w:p>
        </w:tc>
        <w:tc>
          <w:tcPr>
            <w:tcW w:w="1737" w:type="dxa"/>
            <w:vAlign w:val="center"/>
          </w:tcPr>
          <w:p w:rsidR="00A10E78" w:rsidRDefault="002230E9">
            <w:pPr>
              <w:jc w:val="right"/>
            </w:pPr>
            <w:r>
              <w:rPr>
                <w:color w:val="000000"/>
                <w:sz w:val="24"/>
              </w:rPr>
              <w:t>3,037,200.00</w:t>
            </w:r>
          </w:p>
        </w:tc>
        <w:tc>
          <w:tcPr>
            <w:tcW w:w="1701" w:type="dxa"/>
            <w:vAlign w:val="center"/>
          </w:tcPr>
          <w:p w:rsidR="00A10E78" w:rsidRDefault="002230E9">
            <w:pPr>
              <w:jc w:val="right"/>
            </w:pPr>
            <w:r>
              <w:rPr>
                <w:color w:val="000000"/>
                <w:sz w:val="24"/>
              </w:rPr>
              <w:t>4.81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16,042.54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886,105.23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29.98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902,177.75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交银丰盈收益债券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361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169,413.64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61,158,325.15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交银丰盈收益债券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4,563.16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22,815.82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366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167,161.59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61,181,140.97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A</w:t>
            </w:r>
          </w:p>
        </w:tc>
        <w:tc>
          <w:tcPr>
            <w:tcW w:w="2126" w:type="dxa"/>
            <w:noWrap/>
            <w:vAlign w:val="center"/>
          </w:tcPr>
          <w:p w:rsidR="00224B72" w:rsidRPr="006E3F38" w:rsidRDefault="002230E9" w:rsidP="001B7697">
            <w:pPr>
              <w:widowControl/>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2230E9" w:rsidP="001B7697">
            <w:pPr>
              <w:widowControl/>
              <w:spacing w:before="29" w:line="288" w:lineRule="auto"/>
              <w:jc w:val="right"/>
              <w:rPr>
                <w:color w:val="000000"/>
                <w:kern w:val="0"/>
                <w:sz w:val="24"/>
              </w:rPr>
            </w:pPr>
            <w:r>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195.12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0.86%</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195.12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CD0EF3"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CD0EF3"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CD0EF3"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CD0EF3" w:rsidP="007D35F8">
            <w:pPr>
              <w:widowControl/>
              <w:spacing w:before="29" w:line="288" w:lineRule="auto"/>
              <w:jc w:val="center"/>
              <w:rPr>
                <w:color w:val="000000"/>
                <w:kern w:val="0"/>
                <w:sz w:val="24"/>
              </w:rPr>
            </w:pPr>
            <w:bookmarkStart w:id="81" w:name="_GoBack"/>
            <w:r>
              <w:rPr>
                <w:color w:val="000000"/>
                <w:kern w:val="0"/>
                <w:sz w:val="24"/>
              </w:rPr>
              <w:t>0</w:t>
            </w:r>
            <w:bookmarkEnd w:id="81"/>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CD0EF3"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CD0EF3" w:rsidP="007D35F8">
            <w:pPr>
              <w:widowControl/>
              <w:spacing w:before="29" w:line="288" w:lineRule="auto"/>
              <w:jc w:val="center"/>
              <w:rPr>
                <w:color w:val="000000"/>
                <w:kern w:val="0"/>
                <w:sz w:val="24"/>
              </w:rPr>
            </w:pPr>
            <w:r>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交银丰盈收益债券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交银丰盈收益债券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8</w:t>
            </w:r>
            <w:r w:rsidRPr="009440E4">
              <w:rPr>
                <w:sz w:val="24"/>
              </w:rPr>
              <w:t>月</w:t>
            </w:r>
            <w:r w:rsidRPr="009440E4">
              <w:rPr>
                <w:sz w:val="24"/>
              </w:rPr>
              <w:t>11</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510,658,140.93</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510,658,140.93</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796,192.70</w:t>
            </w:r>
          </w:p>
        </w:tc>
        <w:tc>
          <w:tcPr>
            <w:tcW w:w="1615" w:type="pct"/>
            <w:vAlign w:val="bottom"/>
          </w:tcPr>
          <w:p w:rsidR="00703495" w:rsidRPr="009440E4" w:rsidRDefault="00703495" w:rsidP="009440E4">
            <w:pPr>
              <w:spacing w:before="29" w:line="288" w:lineRule="auto"/>
              <w:jc w:val="center"/>
              <w:rPr>
                <w:sz w:val="24"/>
              </w:rPr>
            </w:pPr>
            <w:r w:rsidRPr="009440E4">
              <w:rPr>
                <w:sz w:val="24"/>
              </w:rPr>
              <w:t>54,984.30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450,296,008.48</w:t>
            </w:r>
          </w:p>
        </w:tc>
        <w:tc>
          <w:tcPr>
            <w:tcW w:w="1615" w:type="pct"/>
            <w:vAlign w:val="bottom"/>
          </w:tcPr>
          <w:p w:rsidR="00703495" w:rsidRPr="009440E4" w:rsidRDefault="00703495" w:rsidP="009440E4">
            <w:pPr>
              <w:spacing w:before="29" w:line="288" w:lineRule="auto"/>
              <w:jc w:val="center"/>
              <w:rPr>
                <w:sz w:val="24"/>
              </w:rPr>
            </w:pPr>
            <w:r w:rsidRPr="009440E4">
              <w:rPr>
                <w:sz w:val="24"/>
              </w:rPr>
              <w:t>32,168.48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61,158,325.15</w:t>
            </w:r>
          </w:p>
        </w:tc>
        <w:tc>
          <w:tcPr>
            <w:tcW w:w="1615" w:type="pct"/>
            <w:vAlign w:val="center"/>
          </w:tcPr>
          <w:p w:rsidR="00703495" w:rsidRPr="009440E4" w:rsidRDefault="00703495" w:rsidP="009440E4">
            <w:pPr>
              <w:spacing w:before="29" w:line="288" w:lineRule="auto"/>
              <w:jc w:val="center"/>
              <w:rPr>
                <w:sz w:val="24"/>
              </w:rPr>
            </w:pPr>
            <w:r w:rsidRPr="009440E4">
              <w:rPr>
                <w:sz w:val="24"/>
              </w:rPr>
              <w:t>22,815.82</w:t>
            </w:r>
          </w:p>
        </w:tc>
      </w:tr>
    </w:tbl>
    <w:p w:rsidR="00A10E78" w:rsidRDefault="002230E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A10E78" w:rsidRDefault="002230E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交银施罗德丰盈收益债券型证券投资基金的封闭期自</w:t>
      </w:r>
      <w:r w:rsidRPr="00FF415B">
        <w:rPr>
          <w:color w:val="000000"/>
          <w:sz w:val="24"/>
        </w:rPr>
        <w:t>2014</w:t>
      </w:r>
      <w:r w:rsidRPr="00FF415B">
        <w:rPr>
          <w:color w:val="000000"/>
          <w:sz w:val="24"/>
        </w:rPr>
        <w:t>年</w:t>
      </w:r>
      <w:r w:rsidRPr="00FF415B">
        <w:rPr>
          <w:color w:val="000000"/>
          <w:sz w:val="24"/>
        </w:rPr>
        <w:t>8</w:t>
      </w:r>
      <w:r w:rsidRPr="00FF415B">
        <w:rPr>
          <w:color w:val="000000"/>
          <w:sz w:val="24"/>
        </w:rPr>
        <w:t>月</w:t>
      </w:r>
      <w:r w:rsidRPr="00FF415B">
        <w:rPr>
          <w:color w:val="000000"/>
          <w:sz w:val="24"/>
        </w:rPr>
        <w:t>11</w:t>
      </w:r>
      <w:r w:rsidRPr="00FF415B">
        <w:rPr>
          <w:color w:val="000000"/>
          <w:sz w:val="24"/>
        </w:rPr>
        <w:t>日开始至</w:t>
      </w:r>
      <w:r w:rsidRPr="00FF415B">
        <w:rPr>
          <w:color w:val="000000"/>
          <w:sz w:val="24"/>
        </w:rPr>
        <w:t>2017</w:t>
      </w:r>
      <w:r w:rsidRPr="00FF415B">
        <w:rPr>
          <w:color w:val="000000"/>
          <w:sz w:val="24"/>
        </w:rPr>
        <w:t>年</w:t>
      </w:r>
      <w:r w:rsidRPr="00FF415B">
        <w:rPr>
          <w:color w:val="000000"/>
          <w:sz w:val="24"/>
        </w:rPr>
        <w:t>8</w:t>
      </w:r>
      <w:r w:rsidRPr="00FF415B">
        <w:rPr>
          <w:color w:val="000000"/>
          <w:sz w:val="24"/>
        </w:rPr>
        <w:t>月</w:t>
      </w:r>
      <w:r w:rsidRPr="00FF415B">
        <w:rPr>
          <w:color w:val="000000"/>
          <w:sz w:val="24"/>
        </w:rPr>
        <w:t>11</w:t>
      </w:r>
      <w:r w:rsidRPr="00FF415B">
        <w:rPr>
          <w:color w:val="000000"/>
          <w:sz w:val="24"/>
        </w:rPr>
        <w:t>日止，自</w:t>
      </w:r>
      <w:r w:rsidRPr="00FF415B">
        <w:rPr>
          <w:color w:val="000000"/>
          <w:sz w:val="24"/>
        </w:rPr>
        <w:t>2017</w:t>
      </w:r>
      <w:r w:rsidRPr="00FF415B">
        <w:rPr>
          <w:color w:val="000000"/>
          <w:sz w:val="24"/>
        </w:rPr>
        <w:t>年</w:t>
      </w:r>
      <w:r w:rsidRPr="00FF415B">
        <w:rPr>
          <w:color w:val="000000"/>
          <w:sz w:val="24"/>
        </w:rPr>
        <w:t>8</w:t>
      </w:r>
      <w:r w:rsidRPr="00FF415B">
        <w:rPr>
          <w:color w:val="000000"/>
          <w:sz w:val="24"/>
        </w:rPr>
        <w:t>月</w:t>
      </w:r>
      <w:r w:rsidRPr="00FF415B">
        <w:rPr>
          <w:color w:val="000000"/>
          <w:sz w:val="24"/>
        </w:rPr>
        <w:t>14</w:t>
      </w:r>
      <w:r w:rsidRPr="00FF415B">
        <w:rPr>
          <w:color w:val="000000"/>
          <w:sz w:val="24"/>
        </w:rPr>
        <w:t>日起转为开放式运作，并自该日起适用《交银施罗德丰盈收益债券型证券投资基金基金合同》中关于</w:t>
      </w:r>
      <w:r w:rsidRPr="00FF415B">
        <w:rPr>
          <w:color w:val="000000"/>
          <w:sz w:val="24"/>
        </w:rPr>
        <w:t>“</w:t>
      </w:r>
      <w:r w:rsidRPr="00FF415B">
        <w:rPr>
          <w:color w:val="000000"/>
          <w:sz w:val="24"/>
        </w:rPr>
        <w:t>转为开放式运作后的投资</w:t>
      </w:r>
      <w:r w:rsidRPr="00FF415B">
        <w:rPr>
          <w:color w:val="000000"/>
          <w:sz w:val="24"/>
        </w:rPr>
        <w:t>”</w:t>
      </w:r>
      <w:r w:rsidRPr="00FF415B">
        <w:rPr>
          <w:color w:val="000000"/>
          <w:sz w:val="24"/>
        </w:rPr>
        <w:t>的相关规定进行运作。</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A10E78" w:rsidRDefault="002230E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10E78" w:rsidRDefault="002230E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10E78" w:rsidRDefault="002230E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A10E78">
        <w:tc>
          <w:tcPr>
            <w:tcW w:w="1559" w:type="dxa"/>
            <w:vAlign w:val="center"/>
          </w:tcPr>
          <w:p w:rsidR="00A10E78" w:rsidRDefault="002230E9">
            <w:pPr>
              <w:jc w:val="left"/>
            </w:pPr>
            <w:r>
              <w:rPr>
                <w:color w:val="000000"/>
                <w:szCs w:val="21"/>
              </w:rPr>
              <w:t>安信证券股份有限公司</w:t>
            </w:r>
          </w:p>
        </w:tc>
        <w:tc>
          <w:tcPr>
            <w:tcW w:w="779" w:type="dxa"/>
            <w:vAlign w:val="center"/>
          </w:tcPr>
          <w:p w:rsidR="00A10E78" w:rsidRDefault="002230E9">
            <w:pPr>
              <w:jc w:val="right"/>
            </w:pPr>
            <w:r>
              <w:rPr>
                <w:color w:val="000000"/>
                <w:szCs w:val="21"/>
              </w:rPr>
              <w:t>2</w:t>
            </w:r>
          </w:p>
        </w:tc>
        <w:tc>
          <w:tcPr>
            <w:tcW w:w="1800" w:type="dxa"/>
            <w:vAlign w:val="center"/>
          </w:tcPr>
          <w:p w:rsidR="00A10E78" w:rsidRDefault="002230E9">
            <w:pPr>
              <w:jc w:val="right"/>
            </w:pPr>
            <w:r>
              <w:rPr>
                <w:color w:val="000000"/>
                <w:szCs w:val="21"/>
              </w:rPr>
              <w:t>-</w:t>
            </w:r>
          </w:p>
        </w:tc>
        <w:tc>
          <w:tcPr>
            <w:tcW w:w="1080" w:type="dxa"/>
            <w:vAlign w:val="center"/>
          </w:tcPr>
          <w:p w:rsidR="00A10E78" w:rsidRDefault="002230E9">
            <w:pPr>
              <w:jc w:val="right"/>
            </w:pPr>
            <w:r>
              <w:rPr>
                <w:color w:val="000000"/>
                <w:szCs w:val="21"/>
              </w:rPr>
              <w:t>-</w:t>
            </w:r>
          </w:p>
        </w:tc>
        <w:tc>
          <w:tcPr>
            <w:tcW w:w="1620" w:type="dxa"/>
            <w:vAlign w:val="center"/>
          </w:tcPr>
          <w:p w:rsidR="00A10E78" w:rsidRDefault="002230E9">
            <w:pPr>
              <w:jc w:val="right"/>
            </w:pPr>
            <w:r>
              <w:rPr>
                <w:color w:val="000000"/>
                <w:szCs w:val="21"/>
              </w:rPr>
              <w:t>-</w:t>
            </w:r>
          </w:p>
        </w:tc>
        <w:tc>
          <w:tcPr>
            <w:tcW w:w="1080" w:type="dxa"/>
            <w:vAlign w:val="center"/>
          </w:tcPr>
          <w:p w:rsidR="00A10E78" w:rsidRDefault="002230E9">
            <w:pPr>
              <w:jc w:val="right"/>
            </w:pPr>
            <w:r>
              <w:rPr>
                <w:color w:val="000000"/>
                <w:szCs w:val="21"/>
              </w:rPr>
              <w:t>-</w:t>
            </w:r>
          </w:p>
        </w:tc>
        <w:tc>
          <w:tcPr>
            <w:tcW w:w="1080" w:type="dxa"/>
            <w:vAlign w:val="center"/>
          </w:tcPr>
          <w:p w:rsidR="00A10E78" w:rsidRDefault="002230E9">
            <w:pPr>
              <w:jc w:val="left"/>
            </w:pPr>
            <w:r>
              <w:rPr>
                <w:color w:val="000000"/>
                <w:szCs w:val="21"/>
              </w:rPr>
              <w:t>-</w:t>
            </w:r>
          </w:p>
        </w:tc>
      </w:tr>
      <w:tr w:rsidR="00A10E78">
        <w:tc>
          <w:tcPr>
            <w:tcW w:w="1559" w:type="dxa"/>
            <w:vAlign w:val="center"/>
          </w:tcPr>
          <w:p w:rsidR="00A10E78" w:rsidRDefault="002230E9">
            <w:pPr>
              <w:jc w:val="left"/>
            </w:pPr>
            <w:r>
              <w:rPr>
                <w:color w:val="000000"/>
                <w:szCs w:val="21"/>
              </w:rPr>
              <w:t>国金证券股份有限公司</w:t>
            </w:r>
          </w:p>
        </w:tc>
        <w:tc>
          <w:tcPr>
            <w:tcW w:w="779" w:type="dxa"/>
            <w:vAlign w:val="center"/>
          </w:tcPr>
          <w:p w:rsidR="00A10E78" w:rsidRDefault="002230E9">
            <w:pPr>
              <w:jc w:val="right"/>
            </w:pPr>
            <w:r>
              <w:rPr>
                <w:color w:val="000000"/>
                <w:szCs w:val="21"/>
              </w:rPr>
              <w:t>2</w:t>
            </w:r>
          </w:p>
        </w:tc>
        <w:tc>
          <w:tcPr>
            <w:tcW w:w="1800" w:type="dxa"/>
            <w:vAlign w:val="center"/>
          </w:tcPr>
          <w:p w:rsidR="00A10E78" w:rsidRDefault="002230E9">
            <w:pPr>
              <w:jc w:val="right"/>
            </w:pPr>
            <w:r>
              <w:rPr>
                <w:color w:val="000000"/>
                <w:szCs w:val="21"/>
              </w:rPr>
              <w:t>-</w:t>
            </w:r>
          </w:p>
        </w:tc>
        <w:tc>
          <w:tcPr>
            <w:tcW w:w="1080" w:type="dxa"/>
            <w:vAlign w:val="center"/>
          </w:tcPr>
          <w:p w:rsidR="00A10E78" w:rsidRDefault="002230E9">
            <w:pPr>
              <w:jc w:val="right"/>
            </w:pPr>
            <w:r>
              <w:rPr>
                <w:color w:val="000000"/>
                <w:szCs w:val="21"/>
              </w:rPr>
              <w:t>-</w:t>
            </w:r>
          </w:p>
        </w:tc>
        <w:tc>
          <w:tcPr>
            <w:tcW w:w="1620" w:type="dxa"/>
            <w:vAlign w:val="center"/>
          </w:tcPr>
          <w:p w:rsidR="00A10E78" w:rsidRDefault="002230E9">
            <w:pPr>
              <w:jc w:val="right"/>
            </w:pPr>
            <w:r>
              <w:rPr>
                <w:color w:val="000000"/>
                <w:szCs w:val="21"/>
              </w:rPr>
              <w:t>-</w:t>
            </w:r>
          </w:p>
        </w:tc>
        <w:tc>
          <w:tcPr>
            <w:tcW w:w="1080" w:type="dxa"/>
            <w:vAlign w:val="center"/>
          </w:tcPr>
          <w:p w:rsidR="00A10E78" w:rsidRDefault="002230E9">
            <w:pPr>
              <w:jc w:val="right"/>
            </w:pPr>
            <w:r>
              <w:rPr>
                <w:color w:val="000000"/>
                <w:szCs w:val="21"/>
              </w:rPr>
              <w:t>-</w:t>
            </w:r>
          </w:p>
        </w:tc>
        <w:tc>
          <w:tcPr>
            <w:tcW w:w="1080" w:type="dxa"/>
            <w:vAlign w:val="center"/>
          </w:tcPr>
          <w:p w:rsidR="00A10E78" w:rsidRDefault="002230E9">
            <w:pPr>
              <w:jc w:val="left"/>
            </w:pPr>
            <w:r>
              <w:rPr>
                <w:color w:val="000000"/>
                <w:szCs w:val="21"/>
              </w:rPr>
              <w:t>-</w:t>
            </w:r>
          </w:p>
        </w:tc>
      </w:tr>
      <w:tr w:rsidR="00A10E78">
        <w:tc>
          <w:tcPr>
            <w:tcW w:w="1559" w:type="dxa"/>
            <w:vAlign w:val="center"/>
          </w:tcPr>
          <w:p w:rsidR="00A10E78" w:rsidRDefault="002230E9">
            <w:pPr>
              <w:jc w:val="left"/>
            </w:pPr>
            <w:r>
              <w:rPr>
                <w:color w:val="000000"/>
                <w:szCs w:val="21"/>
              </w:rPr>
              <w:t>中泰证券股份有限公司</w:t>
            </w:r>
          </w:p>
        </w:tc>
        <w:tc>
          <w:tcPr>
            <w:tcW w:w="779" w:type="dxa"/>
            <w:vAlign w:val="center"/>
          </w:tcPr>
          <w:p w:rsidR="00A10E78" w:rsidRDefault="002230E9">
            <w:pPr>
              <w:jc w:val="right"/>
            </w:pPr>
            <w:r>
              <w:rPr>
                <w:color w:val="000000"/>
                <w:szCs w:val="21"/>
              </w:rPr>
              <w:t>2</w:t>
            </w:r>
          </w:p>
        </w:tc>
        <w:tc>
          <w:tcPr>
            <w:tcW w:w="1800" w:type="dxa"/>
            <w:vAlign w:val="center"/>
          </w:tcPr>
          <w:p w:rsidR="00A10E78" w:rsidRDefault="002230E9">
            <w:pPr>
              <w:jc w:val="right"/>
            </w:pPr>
            <w:r>
              <w:rPr>
                <w:color w:val="000000"/>
                <w:szCs w:val="21"/>
              </w:rPr>
              <w:t>-</w:t>
            </w:r>
          </w:p>
        </w:tc>
        <w:tc>
          <w:tcPr>
            <w:tcW w:w="1080" w:type="dxa"/>
            <w:vAlign w:val="center"/>
          </w:tcPr>
          <w:p w:rsidR="00A10E78" w:rsidRDefault="002230E9">
            <w:pPr>
              <w:jc w:val="right"/>
            </w:pPr>
            <w:r>
              <w:rPr>
                <w:color w:val="000000"/>
                <w:szCs w:val="21"/>
              </w:rPr>
              <w:t>-</w:t>
            </w:r>
          </w:p>
        </w:tc>
        <w:tc>
          <w:tcPr>
            <w:tcW w:w="1620" w:type="dxa"/>
            <w:vAlign w:val="center"/>
          </w:tcPr>
          <w:p w:rsidR="00A10E78" w:rsidRDefault="002230E9">
            <w:pPr>
              <w:jc w:val="right"/>
            </w:pPr>
            <w:r>
              <w:rPr>
                <w:color w:val="000000"/>
                <w:szCs w:val="21"/>
              </w:rPr>
              <w:t>-</w:t>
            </w:r>
          </w:p>
        </w:tc>
        <w:tc>
          <w:tcPr>
            <w:tcW w:w="1080" w:type="dxa"/>
            <w:vAlign w:val="center"/>
          </w:tcPr>
          <w:p w:rsidR="00A10E78" w:rsidRDefault="002230E9">
            <w:pPr>
              <w:jc w:val="right"/>
            </w:pPr>
            <w:r>
              <w:rPr>
                <w:color w:val="000000"/>
                <w:szCs w:val="21"/>
              </w:rPr>
              <w:t>-</w:t>
            </w:r>
          </w:p>
        </w:tc>
        <w:tc>
          <w:tcPr>
            <w:tcW w:w="1080" w:type="dxa"/>
            <w:vAlign w:val="center"/>
          </w:tcPr>
          <w:p w:rsidR="00A10E78" w:rsidRDefault="002230E9">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A10E78">
        <w:tc>
          <w:tcPr>
            <w:tcW w:w="1559" w:type="dxa"/>
            <w:vAlign w:val="center"/>
          </w:tcPr>
          <w:p w:rsidR="00A10E78" w:rsidRDefault="002230E9">
            <w:pPr>
              <w:jc w:val="left"/>
            </w:pPr>
            <w:r>
              <w:rPr>
                <w:szCs w:val="21"/>
              </w:rPr>
              <w:t>安信证券股份有限公司</w:t>
            </w:r>
          </w:p>
        </w:tc>
        <w:tc>
          <w:tcPr>
            <w:tcW w:w="1319" w:type="dxa"/>
            <w:vAlign w:val="center"/>
          </w:tcPr>
          <w:p w:rsidR="00A10E78" w:rsidRDefault="002230E9">
            <w:pPr>
              <w:jc w:val="right"/>
            </w:pPr>
            <w:r>
              <w:rPr>
                <w:szCs w:val="21"/>
              </w:rPr>
              <w:t>311,217,299.59</w:t>
            </w:r>
          </w:p>
        </w:tc>
        <w:tc>
          <w:tcPr>
            <w:tcW w:w="1080" w:type="dxa"/>
            <w:vAlign w:val="center"/>
          </w:tcPr>
          <w:p w:rsidR="00A10E78" w:rsidRDefault="002230E9">
            <w:pPr>
              <w:jc w:val="right"/>
            </w:pPr>
            <w:r>
              <w:rPr>
                <w:szCs w:val="21"/>
              </w:rPr>
              <w:t>100.00%</w:t>
            </w:r>
          </w:p>
        </w:tc>
        <w:tc>
          <w:tcPr>
            <w:tcW w:w="1080" w:type="dxa"/>
            <w:vAlign w:val="center"/>
          </w:tcPr>
          <w:p w:rsidR="00A10E78" w:rsidRDefault="002230E9">
            <w:pPr>
              <w:jc w:val="right"/>
            </w:pPr>
            <w:r>
              <w:rPr>
                <w:szCs w:val="21"/>
              </w:rPr>
              <w:t>19,474,800,000.00</w:t>
            </w:r>
          </w:p>
        </w:tc>
        <w:tc>
          <w:tcPr>
            <w:tcW w:w="1260" w:type="dxa"/>
            <w:vAlign w:val="center"/>
          </w:tcPr>
          <w:p w:rsidR="00A10E78" w:rsidRDefault="002230E9">
            <w:pPr>
              <w:jc w:val="right"/>
            </w:pPr>
            <w:r>
              <w:rPr>
                <w:szCs w:val="21"/>
              </w:rPr>
              <w:t>100.00%</w:t>
            </w:r>
          </w:p>
        </w:tc>
        <w:tc>
          <w:tcPr>
            <w:tcW w:w="1260" w:type="dxa"/>
            <w:vAlign w:val="center"/>
          </w:tcPr>
          <w:p w:rsidR="00A10E78" w:rsidRDefault="002230E9">
            <w:pPr>
              <w:jc w:val="right"/>
            </w:pPr>
            <w:r>
              <w:rPr>
                <w:szCs w:val="21"/>
              </w:rPr>
              <w:t>-</w:t>
            </w:r>
          </w:p>
        </w:tc>
        <w:tc>
          <w:tcPr>
            <w:tcW w:w="1440" w:type="dxa"/>
            <w:vAlign w:val="center"/>
          </w:tcPr>
          <w:p w:rsidR="00A10E78" w:rsidRDefault="002230E9">
            <w:pPr>
              <w:jc w:val="right"/>
            </w:pPr>
            <w:r>
              <w:rPr>
                <w:szCs w:val="21"/>
              </w:rPr>
              <w:t>-</w:t>
            </w:r>
          </w:p>
        </w:tc>
      </w:tr>
    </w:tbl>
    <w:p w:rsidR="00A10E78" w:rsidRDefault="002230E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A10E78" w:rsidRDefault="002230E9">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根据本基金基金合同的规定，本基金在基金合同生效之日起三年（含三年）的期间内封闭式运作（按照基金合同的约定提前转换基金运作方式的除外），封闭期结束后转为开放式运作。本基金的封闭期自2014年8月11日开始至2017年8月11日止，自2017年8月14日起转为开放式运作。本基金在转为开放式运作后，同时增加开通C类基金份额，并自2017年8月14日起开始办理A类基金份额和C类基金份额的日常申购、赎回等业务，并适用基金合同中关于转为开放式运作后的有关规定。详情请查阅本基金管理人于2017年8月7日发布的《交银施罗德基金管理有限公司关于交银施罗德丰盈收益债券型证券投资基金封闭期结束转为开放式运作并同时增加开通C类基金份额的提示性公告》以及2017年8月10日发布的《交银施罗德基金管理有限公司关于交银施罗德丰盈收益债券型证券投资基金封闭期结束转为开放式运作并同时增加开通C类基金份额暨开放基金日常申购、赎回、定期定额投资业务并参与部分销售机构申购费率优惠活动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B2" w:rsidRDefault="000459B2">
      <w:r>
        <w:separator/>
      </w:r>
    </w:p>
  </w:endnote>
  <w:endnote w:type="continuationSeparator" w:id="0">
    <w:p w:rsidR="000459B2" w:rsidRDefault="000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9073B1">
      <w:rPr>
        <w:noProof/>
        <w:kern w:val="0"/>
        <w:szCs w:val="21"/>
      </w:rPr>
      <w:t>29</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9073B1">
      <w:rPr>
        <w:noProof/>
        <w:kern w:val="0"/>
        <w:szCs w:val="21"/>
      </w:rPr>
      <w:t>33</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B2" w:rsidRDefault="000459B2">
      <w:r>
        <w:separator/>
      </w:r>
    </w:p>
  </w:footnote>
  <w:footnote w:type="continuationSeparator" w:id="0">
    <w:p w:rsidR="000459B2" w:rsidRDefault="00045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9B2"/>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0E9"/>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51"/>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3B1"/>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3CE"/>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0E78"/>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0EF3"/>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CC8AC0E-9B1A-4516-A8FF-BAE16BB2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33</Pages>
  <Words>3379</Words>
  <Characters>19266</Characters>
  <Application>Microsoft Office Word</Application>
  <DocSecurity>0</DocSecurity>
  <Lines>160</Lines>
  <Paragraphs>45</Paragraphs>
  <ScaleCrop>false</ScaleCrop>
  <Company/>
  <LinksUpToDate>false</LinksUpToDate>
  <CharactersWithSpaces>22600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628</cp:revision>
  <cp:lastPrinted>2007-07-19T00:46:00Z</cp:lastPrinted>
  <dcterms:created xsi:type="dcterms:W3CDTF">2013-08-19T02:39:00Z</dcterms:created>
  <dcterms:modified xsi:type="dcterms:W3CDTF">2018-03-26T12:29:00Z</dcterms:modified>
</cp:coreProperties>
</file>