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德定期支付月月丰债券型证券投资基金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交银定期支付月月丰债券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8</w:t>
            </w:r>
            <w:r w:rsidRPr="00E25C2A">
              <w:rPr>
                <w:sz w:val="24"/>
              </w:rPr>
              <w:t>月</w:t>
            </w:r>
            <w:r w:rsidRPr="00E25C2A">
              <w:rPr>
                <w:sz w:val="24"/>
              </w:rPr>
              <w:t>13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54,169,152.83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3F5AD1">
            <w:pPr>
              <w:spacing w:before="29" w:line="288" w:lineRule="auto"/>
              <w:jc w:val="center"/>
              <w:rPr>
                <w:sz w:val="24"/>
              </w:rPr>
            </w:pPr>
            <w:r w:rsidRPr="009C503F">
              <w:rPr>
                <w:color w:val="000000" w:themeColor="text1"/>
                <w:sz w:val="24"/>
              </w:rPr>
              <w:t>519730</w:t>
            </w:r>
          </w:p>
        </w:tc>
        <w:tc>
          <w:tcPr>
            <w:tcW w:w="2902" w:type="dxa"/>
            <w:vAlign w:val="center"/>
          </w:tcPr>
          <w:p w:rsidR="009511B7" w:rsidRPr="00E25C2A" w:rsidRDefault="009511B7" w:rsidP="0084545B">
            <w:pPr>
              <w:spacing w:before="29" w:line="288" w:lineRule="auto"/>
              <w:jc w:val="center"/>
              <w:rPr>
                <w:sz w:val="24"/>
              </w:rPr>
            </w:pPr>
            <w:r w:rsidRPr="00E25C2A">
              <w:rPr>
                <w:sz w:val="24"/>
              </w:rPr>
              <w:t>519731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51,422,526.03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2,746,626.80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本基金精选具有较高息票率的债券，以获取稳定的债息收入，并通过适当参与股票市场，力争实现基金资产的长期增值。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CF0C3D">
              <w:rPr>
                <w:sz w:val="24"/>
              </w:rPr>
              <w:t>考量</w:t>
            </w:r>
            <w:proofErr w:type="gramEnd"/>
            <w:r w:rsidRPr="00CF0C3D">
              <w:rPr>
                <w:sz w:val="24"/>
              </w:rPr>
              <w:t>企业债券的信用评级以及各类债券的流动性、供求关系和收益率水平等，自下而上地精选具有较高息票率的</w:t>
            </w:r>
            <w:proofErr w:type="gramStart"/>
            <w:r w:rsidRPr="00CF0C3D">
              <w:rPr>
                <w:sz w:val="24"/>
              </w:rPr>
              <w:t>个券</w:t>
            </w:r>
            <w:proofErr w:type="gramEnd"/>
            <w:r w:rsidRPr="00CF0C3D">
              <w:rPr>
                <w:sz w:val="24"/>
              </w:rPr>
              <w:t>。同时，本基金深度关注股票、权证一级市场和二级市场的运行状况与相应风险收益特征，在严格控制基金资产运作风险的基础上，把握投资机会。</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90%×</w:t>
            </w:r>
            <w:r w:rsidRPr="00CF0C3D">
              <w:rPr>
                <w:sz w:val="24"/>
              </w:rPr>
              <w:t>中</w:t>
            </w:r>
            <w:proofErr w:type="gramStart"/>
            <w:r w:rsidRPr="00CF0C3D">
              <w:rPr>
                <w:sz w:val="24"/>
              </w:rPr>
              <w:t>债综合全价指数</w:t>
            </w:r>
            <w:proofErr w:type="gramEnd"/>
            <w:r w:rsidRPr="00CF0C3D">
              <w:rPr>
                <w:sz w:val="24"/>
              </w:rPr>
              <w:t>收益率</w:t>
            </w:r>
            <w:r w:rsidRPr="00CF0C3D">
              <w:rPr>
                <w:sz w:val="24"/>
              </w:rPr>
              <w:t>+10%×</w:t>
            </w:r>
            <w:r w:rsidRPr="00CF0C3D">
              <w:rPr>
                <w:sz w:val="24"/>
              </w:rPr>
              <w:t>沪深</w:t>
            </w:r>
            <w:r w:rsidRPr="00CF0C3D">
              <w:rPr>
                <w:sz w:val="24"/>
              </w:rPr>
              <w:t>300</w:t>
            </w:r>
            <w:r w:rsidRPr="00CF0C3D">
              <w:rPr>
                <w:sz w:val="24"/>
              </w:rPr>
              <w:t>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本基金是一只债券型基金，属于证券投资基金中中等风险的品种，其长期平均的预期收益和预期风险高于货币</w:t>
            </w:r>
            <w:r w:rsidRPr="00CF0C3D">
              <w:rPr>
                <w:sz w:val="24"/>
              </w:rPr>
              <w:lastRenderedPageBreak/>
              <w:t>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1,149,063.23</w:t>
            </w:r>
          </w:p>
        </w:tc>
        <w:tc>
          <w:tcPr>
            <w:tcW w:w="688" w:type="pct"/>
            <w:vAlign w:val="center"/>
          </w:tcPr>
          <w:p w:rsidR="00B44DBC" w:rsidRPr="00A942AC" w:rsidRDefault="00B44DBC" w:rsidP="00674CBD">
            <w:pPr>
              <w:spacing w:before="29" w:line="288" w:lineRule="auto"/>
              <w:jc w:val="right"/>
              <w:rPr>
                <w:szCs w:val="21"/>
              </w:rPr>
            </w:pPr>
            <w:r w:rsidRPr="00A942AC">
              <w:rPr>
                <w:szCs w:val="21"/>
              </w:rPr>
              <w:t>37,436.22</w:t>
            </w:r>
          </w:p>
        </w:tc>
        <w:tc>
          <w:tcPr>
            <w:tcW w:w="687" w:type="pct"/>
            <w:vAlign w:val="center"/>
          </w:tcPr>
          <w:p w:rsidR="00B44DBC" w:rsidRPr="00A942AC" w:rsidRDefault="00B44DBC" w:rsidP="00674CBD">
            <w:pPr>
              <w:spacing w:before="29" w:line="288" w:lineRule="auto"/>
              <w:jc w:val="right"/>
              <w:rPr>
                <w:szCs w:val="21"/>
              </w:rPr>
            </w:pPr>
            <w:r w:rsidRPr="00A942AC">
              <w:rPr>
                <w:szCs w:val="21"/>
              </w:rPr>
              <w:t>2,378,384.62</w:t>
            </w:r>
          </w:p>
        </w:tc>
        <w:tc>
          <w:tcPr>
            <w:tcW w:w="688" w:type="pct"/>
            <w:vAlign w:val="center"/>
          </w:tcPr>
          <w:p w:rsidR="00B44DBC" w:rsidRPr="00A942AC" w:rsidRDefault="00B44DBC" w:rsidP="00674CBD">
            <w:pPr>
              <w:spacing w:before="29" w:line="288" w:lineRule="auto"/>
              <w:jc w:val="right"/>
              <w:rPr>
                <w:szCs w:val="21"/>
              </w:rPr>
            </w:pPr>
            <w:r w:rsidRPr="00A942AC">
              <w:rPr>
                <w:szCs w:val="21"/>
              </w:rPr>
              <w:t>202,537.27</w:t>
            </w:r>
          </w:p>
        </w:tc>
        <w:tc>
          <w:tcPr>
            <w:tcW w:w="762" w:type="pct"/>
            <w:vAlign w:val="center"/>
          </w:tcPr>
          <w:p w:rsidR="00B44DBC" w:rsidRPr="00A942AC" w:rsidRDefault="00B44DBC" w:rsidP="00674CBD">
            <w:pPr>
              <w:spacing w:before="29" w:line="288" w:lineRule="auto"/>
              <w:jc w:val="right"/>
              <w:rPr>
                <w:szCs w:val="21"/>
              </w:rPr>
            </w:pPr>
            <w:r w:rsidRPr="00A942AC">
              <w:rPr>
                <w:szCs w:val="21"/>
              </w:rPr>
              <w:t>6,799,764.45</w:t>
            </w:r>
          </w:p>
        </w:tc>
        <w:tc>
          <w:tcPr>
            <w:tcW w:w="666" w:type="pct"/>
            <w:vAlign w:val="center"/>
          </w:tcPr>
          <w:p w:rsidR="00B44DBC" w:rsidRPr="00A942AC" w:rsidRDefault="00B44DBC" w:rsidP="00674CBD">
            <w:pPr>
              <w:spacing w:before="29" w:line="288" w:lineRule="auto"/>
              <w:jc w:val="right"/>
              <w:rPr>
                <w:szCs w:val="21"/>
              </w:rPr>
            </w:pPr>
            <w:r w:rsidRPr="00A942AC">
              <w:rPr>
                <w:szCs w:val="21"/>
              </w:rPr>
              <w:t>2,256,199.56</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678,470.27</w:t>
            </w:r>
          </w:p>
        </w:tc>
        <w:tc>
          <w:tcPr>
            <w:tcW w:w="688" w:type="pct"/>
            <w:vAlign w:val="center"/>
          </w:tcPr>
          <w:p w:rsidR="00B44DBC" w:rsidRPr="00A942AC" w:rsidRDefault="00B44DBC" w:rsidP="00674CBD">
            <w:pPr>
              <w:spacing w:before="29" w:line="288" w:lineRule="auto"/>
              <w:jc w:val="right"/>
              <w:rPr>
                <w:szCs w:val="21"/>
              </w:rPr>
            </w:pPr>
            <w:r w:rsidRPr="00A942AC">
              <w:rPr>
                <w:szCs w:val="21"/>
              </w:rPr>
              <w:t>19,825.28</w:t>
            </w:r>
          </w:p>
        </w:tc>
        <w:tc>
          <w:tcPr>
            <w:tcW w:w="687" w:type="pct"/>
            <w:vAlign w:val="center"/>
          </w:tcPr>
          <w:p w:rsidR="00B44DBC" w:rsidRPr="00A942AC" w:rsidRDefault="00B44DBC" w:rsidP="00674CBD">
            <w:pPr>
              <w:spacing w:before="29" w:line="288" w:lineRule="auto"/>
              <w:jc w:val="right"/>
              <w:rPr>
                <w:szCs w:val="21"/>
              </w:rPr>
            </w:pPr>
            <w:r w:rsidRPr="00A942AC">
              <w:rPr>
                <w:szCs w:val="21"/>
              </w:rPr>
              <w:t>1,513,050.08</w:t>
            </w:r>
          </w:p>
        </w:tc>
        <w:tc>
          <w:tcPr>
            <w:tcW w:w="688" w:type="pct"/>
            <w:vAlign w:val="center"/>
          </w:tcPr>
          <w:p w:rsidR="00B44DBC" w:rsidRPr="00A942AC" w:rsidRDefault="00B44DBC" w:rsidP="00674CBD">
            <w:pPr>
              <w:spacing w:before="29" w:line="288" w:lineRule="auto"/>
              <w:jc w:val="right"/>
              <w:rPr>
                <w:szCs w:val="21"/>
              </w:rPr>
            </w:pPr>
            <w:r w:rsidRPr="00A942AC">
              <w:rPr>
                <w:szCs w:val="21"/>
              </w:rPr>
              <w:t>48,987.33</w:t>
            </w:r>
          </w:p>
        </w:tc>
        <w:tc>
          <w:tcPr>
            <w:tcW w:w="762" w:type="pct"/>
            <w:vAlign w:val="center"/>
          </w:tcPr>
          <w:p w:rsidR="00B44DBC" w:rsidRPr="00A942AC" w:rsidRDefault="00B44DBC" w:rsidP="00674CBD">
            <w:pPr>
              <w:spacing w:before="29" w:line="288" w:lineRule="auto"/>
              <w:jc w:val="right"/>
              <w:rPr>
                <w:szCs w:val="21"/>
              </w:rPr>
            </w:pPr>
            <w:r w:rsidRPr="00A942AC">
              <w:rPr>
                <w:szCs w:val="21"/>
              </w:rPr>
              <w:t>6,892,533.99</w:t>
            </w:r>
          </w:p>
        </w:tc>
        <w:tc>
          <w:tcPr>
            <w:tcW w:w="666" w:type="pct"/>
            <w:vAlign w:val="center"/>
          </w:tcPr>
          <w:p w:rsidR="00B44DBC" w:rsidRPr="00A942AC" w:rsidRDefault="00B44DBC" w:rsidP="00674CBD">
            <w:pPr>
              <w:spacing w:before="29" w:line="288" w:lineRule="auto"/>
              <w:jc w:val="right"/>
              <w:rPr>
                <w:szCs w:val="21"/>
              </w:rPr>
            </w:pPr>
            <w:r w:rsidRPr="00A942AC">
              <w:rPr>
                <w:szCs w:val="21"/>
              </w:rPr>
              <w:t>1,888,768.72</w:t>
            </w:r>
          </w:p>
        </w:tc>
      </w:tr>
      <w:tr w:rsidR="008C42FD" w:rsidRPr="00A942AC" w:rsidTr="009E2529">
        <w:tc>
          <w:tcPr>
            <w:tcW w:w="822" w:type="pct"/>
            <w:vAlign w:val="center"/>
          </w:tcPr>
          <w:p w:rsidR="008C42FD" w:rsidRPr="00E52F9F" w:rsidRDefault="008C42FD" w:rsidP="003F5AD1">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3F5AD1">
            <w:pPr>
              <w:spacing w:before="29" w:line="288" w:lineRule="auto"/>
              <w:jc w:val="right"/>
              <w:rPr>
                <w:szCs w:val="21"/>
              </w:rPr>
            </w:pPr>
            <w:r w:rsidRPr="00E52F9F">
              <w:rPr>
                <w:szCs w:val="21"/>
              </w:rPr>
              <w:t>0.0091</w:t>
            </w:r>
          </w:p>
        </w:tc>
        <w:tc>
          <w:tcPr>
            <w:tcW w:w="688" w:type="pct"/>
            <w:vAlign w:val="center"/>
          </w:tcPr>
          <w:p w:rsidR="008C42FD" w:rsidRPr="00E52F9F" w:rsidRDefault="008C42FD" w:rsidP="003F5AD1">
            <w:pPr>
              <w:spacing w:before="29" w:line="288" w:lineRule="auto"/>
              <w:jc w:val="right"/>
              <w:rPr>
                <w:szCs w:val="21"/>
              </w:rPr>
            </w:pPr>
            <w:r w:rsidRPr="00E52F9F">
              <w:rPr>
                <w:szCs w:val="21"/>
              </w:rPr>
              <w:t>0.0042</w:t>
            </w:r>
          </w:p>
        </w:tc>
        <w:tc>
          <w:tcPr>
            <w:tcW w:w="687" w:type="pct"/>
            <w:vAlign w:val="center"/>
          </w:tcPr>
          <w:p w:rsidR="008C42FD" w:rsidRPr="00E52F9F" w:rsidRDefault="008C42FD" w:rsidP="003F5AD1">
            <w:pPr>
              <w:spacing w:before="29" w:line="288" w:lineRule="auto"/>
              <w:jc w:val="right"/>
              <w:rPr>
                <w:szCs w:val="21"/>
              </w:rPr>
            </w:pPr>
            <w:r w:rsidRPr="00E52F9F">
              <w:rPr>
                <w:szCs w:val="21"/>
              </w:rPr>
              <w:t>0.0296</w:t>
            </w:r>
          </w:p>
        </w:tc>
        <w:tc>
          <w:tcPr>
            <w:tcW w:w="688" w:type="pct"/>
            <w:vAlign w:val="center"/>
          </w:tcPr>
          <w:p w:rsidR="008C42FD" w:rsidRPr="00E52F9F" w:rsidRDefault="008C42FD" w:rsidP="003F5AD1">
            <w:pPr>
              <w:spacing w:before="29" w:line="288" w:lineRule="auto"/>
              <w:jc w:val="right"/>
              <w:rPr>
                <w:szCs w:val="21"/>
              </w:rPr>
            </w:pPr>
            <w:r w:rsidRPr="00E52F9F">
              <w:rPr>
                <w:szCs w:val="21"/>
              </w:rPr>
              <w:t>0.0073</w:t>
            </w:r>
          </w:p>
        </w:tc>
        <w:tc>
          <w:tcPr>
            <w:tcW w:w="762" w:type="pct"/>
            <w:vAlign w:val="center"/>
          </w:tcPr>
          <w:p w:rsidR="008C42FD" w:rsidRPr="00E52F9F" w:rsidRDefault="008C42FD" w:rsidP="003F5AD1">
            <w:pPr>
              <w:spacing w:before="29" w:line="288" w:lineRule="auto"/>
              <w:jc w:val="right"/>
              <w:rPr>
                <w:szCs w:val="21"/>
              </w:rPr>
            </w:pPr>
            <w:r w:rsidRPr="00E52F9F">
              <w:rPr>
                <w:szCs w:val="21"/>
              </w:rPr>
              <w:t>0.1993</w:t>
            </w:r>
          </w:p>
        </w:tc>
        <w:tc>
          <w:tcPr>
            <w:tcW w:w="666" w:type="pct"/>
            <w:vAlign w:val="center"/>
          </w:tcPr>
          <w:p w:rsidR="008C42FD" w:rsidRPr="00E52F9F" w:rsidRDefault="008C42FD" w:rsidP="003F5AD1">
            <w:pPr>
              <w:spacing w:before="29" w:line="288" w:lineRule="auto"/>
              <w:jc w:val="right"/>
              <w:rPr>
                <w:szCs w:val="21"/>
              </w:rPr>
            </w:pPr>
            <w:r w:rsidRPr="00E52F9F">
              <w:rPr>
                <w:szCs w:val="21"/>
              </w:rPr>
              <w:t>0.1592</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w:t>
            </w:r>
            <w:r w:rsidRPr="00A942AC">
              <w:rPr>
                <w:rFonts w:hint="eastAsia"/>
                <w:szCs w:val="21"/>
              </w:rPr>
              <w:lastRenderedPageBreak/>
              <w:t>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lastRenderedPageBreak/>
              <w:t>0.58%</w:t>
            </w:r>
          </w:p>
        </w:tc>
        <w:tc>
          <w:tcPr>
            <w:tcW w:w="688" w:type="pct"/>
            <w:vAlign w:val="center"/>
          </w:tcPr>
          <w:p w:rsidR="00A62AD8" w:rsidRPr="00A942AC" w:rsidRDefault="00A62AD8" w:rsidP="00674CBD">
            <w:pPr>
              <w:spacing w:before="29" w:line="288" w:lineRule="auto"/>
              <w:jc w:val="right"/>
              <w:rPr>
                <w:szCs w:val="21"/>
              </w:rPr>
            </w:pPr>
            <w:r w:rsidRPr="00A942AC">
              <w:rPr>
                <w:szCs w:val="21"/>
              </w:rPr>
              <w:t>0.15%</w:t>
            </w:r>
          </w:p>
        </w:tc>
        <w:tc>
          <w:tcPr>
            <w:tcW w:w="687" w:type="pct"/>
            <w:vAlign w:val="center"/>
          </w:tcPr>
          <w:p w:rsidR="00A62AD8" w:rsidRPr="00A942AC" w:rsidRDefault="00A62AD8" w:rsidP="00674CBD">
            <w:pPr>
              <w:spacing w:before="29" w:line="288" w:lineRule="auto"/>
              <w:jc w:val="right"/>
              <w:rPr>
                <w:szCs w:val="21"/>
              </w:rPr>
            </w:pPr>
            <w:r w:rsidRPr="00A942AC">
              <w:rPr>
                <w:szCs w:val="21"/>
              </w:rPr>
              <w:t>1.77%</w:t>
            </w:r>
          </w:p>
        </w:tc>
        <w:tc>
          <w:tcPr>
            <w:tcW w:w="688" w:type="pct"/>
            <w:vAlign w:val="center"/>
          </w:tcPr>
          <w:p w:rsidR="00A62AD8" w:rsidRPr="00A942AC" w:rsidRDefault="00A62AD8" w:rsidP="00674CBD">
            <w:pPr>
              <w:spacing w:before="29" w:line="288" w:lineRule="auto"/>
              <w:jc w:val="right"/>
              <w:rPr>
                <w:szCs w:val="21"/>
              </w:rPr>
            </w:pPr>
            <w:r w:rsidRPr="00A942AC">
              <w:rPr>
                <w:szCs w:val="21"/>
              </w:rPr>
              <w:t>1.41%</w:t>
            </w:r>
          </w:p>
        </w:tc>
        <w:tc>
          <w:tcPr>
            <w:tcW w:w="762" w:type="pct"/>
            <w:vAlign w:val="center"/>
          </w:tcPr>
          <w:p w:rsidR="00A62AD8" w:rsidRPr="00A942AC" w:rsidRDefault="00A62AD8" w:rsidP="00674CBD">
            <w:pPr>
              <w:spacing w:before="29" w:line="288" w:lineRule="auto"/>
              <w:jc w:val="right"/>
              <w:rPr>
                <w:szCs w:val="21"/>
              </w:rPr>
            </w:pPr>
            <w:r w:rsidRPr="00A942AC">
              <w:rPr>
                <w:szCs w:val="21"/>
              </w:rPr>
              <w:t>14.41%</w:t>
            </w:r>
          </w:p>
        </w:tc>
        <w:tc>
          <w:tcPr>
            <w:tcW w:w="666" w:type="pct"/>
            <w:vAlign w:val="center"/>
          </w:tcPr>
          <w:p w:rsidR="00A62AD8" w:rsidRPr="00A942AC" w:rsidRDefault="00A62AD8" w:rsidP="00674CBD">
            <w:pPr>
              <w:spacing w:before="29" w:line="288" w:lineRule="auto"/>
              <w:jc w:val="right"/>
              <w:rPr>
                <w:szCs w:val="21"/>
              </w:rPr>
            </w:pPr>
            <w:r w:rsidRPr="00A942AC">
              <w:rPr>
                <w:szCs w:val="21"/>
              </w:rPr>
              <w:t>13.91%</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0.390</w:t>
            </w:r>
          </w:p>
        </w:tc>
        <w:tc>
          <w:tcPr>
            <w:tcW w:w="687" w:type="pct"/>
            <w:vAlign w:val="center"/>
          </w:tcPr>
          <w:p w:rsidR="00B44DBC" w:rsidRPr="00A942AC" w:rsidRDefault="00B44DBC" w:rsidP="00674CBD">
            <w:pPr>
              <w:spacing w:before="29" w:line="288" w:lineRule="auto"/>
              <w:jc w:val="right"/>
              <w:rPr>
                <w:szCs w:val="21"/>
              </w:rPr>
            </w:pPr>
            <w:r w:rsidRPr="00A942AC">
              <w:rPr>
                <w:szCs w:val="21"/>
              </w:rPr>
              <w:t>0.364</w:t>
            </w:r>
          </w:p>
        </w:tc>
        <w:tc>
          <w:tcPr>
            <w:tcW w:w="687" w:type="pct"/>
            <w:vAlign w:val="center"/>
          </w:tcPr>
          <w:p w:rsidR="00B44DBC" w:rsidRPr="00A942AC" w:rsidRDefault="00B44DBC" w:rsidP="00674CBD">
            <w:pPr>
              <w:spacing w:before="29" w:line="288" w:lineRule="auto"/>
              <w:jc w:val="right"/>
              <w:rPr>
                <w:szCs w:val="21"/>
              </w:rPr>
            </w:pPr>
            <w:r w:rsidRPr="00A942AC">
              <w:rPr>
                <w:szCs w:val="21"/>
              </w:rPr>
              <w:t>0.029</w:t>
            </w:r>
          </w:p>
        </w:tc>
        <w:tc>
          <w:tcPr>
            <w:tcW w:w="687" w:type="pct"/>
            <w:vAlign w:val="center"/>
          </w:tcPr>
          <w:p w:rsidR="00B44DBC" w:rsidRPr="00A942AC" w:rsidRDefault="00B44DBC" w:rsidP="00674CBD">
            <w:pPr>
              <w:spacing w:before="29" w:line="288" w:lineRule="auto"/>
              <w:jc w:val="right"/>
              <w:rPr>
                <w:szCs w:val="21"/>
              </w:rPr>
            </w:pPr>
            <w:r w:rsidRPr="00A942AC">
              <w:rPr>
                <w:szCs w:val="21"/>
              </w:rPr>
              <w:t>0.362</w:t>
            </w:r>
          </w:p>
        </w:tc>
        <w:tc>
          <w:tcPr>
            <w:tcW w:w="764" w:type="pct"/>
            <w:vAlign w:val="center"/>
          </w:tcPr>
          <w:p w:rsidR="00B44DBC" w:rsidRPr="00A942AC" w:rsidRDefault="00B44DBC" w:rsidP="00674CBD">
            <w:pPr>
              <w:spacing w:before="29" w:line="288" w:lineRule="auto"/>
              <w:jc w:val="right"/>
              <w:rPr>
                <w:szCs w:val="21"/>
              </w:rPr>
            </w:pPr>
            <w:r w:rsidRPr="00A942AC">
              <w:rPr>
                <w:szCs w:val="21"/>
              </w:rPr>
              <w:t>0.358</w:t>
            </w:r>
          </w:p>
        </w:tc>
        <w:tc>
          <w:tcPr>
            <w:tcW w:w="667" w:type="pct"/>
            <w:vAlign w:val="center"/>
          </w:tcPr>
          <w:p w:rsidR="00B44DBC" w:rsidRPr="00A942AC" w:rsidRDefault="00B44DBC" w:rsidP="00674CBD">
            <w:pPr>
              <w:spacing w:before="29" w:line="288" w:lineRule="auto"/>
              <w:jc w:val="right"/>
              <w:rPr>
                <w:szCs w:val="21"/>
              </w:rPr>
            </w:pPr>
            <w:r w:rsidRPr="00A942AC">
              <w:rPr>
                <w:szCs w:val="21"/>
              </w:rPr>
              <w:t>0.343</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71,474,079.90</w:t>
            </w:r>
          </w:p>
        </w:tc>
        <w:tc>
          <w:tcPr>
            <w:tcW w:w="687" w:type="pct"/>
            <w:vAlign w:val="center"/>
          </w:tcPr>
          <w:p w:rsidR="00B44DBC" w:rsidRPr="00A942AC" w:rsidRDefault="00B44DBC" w:rsidP="00674CBD">
            <w:pPr>
              <w:spacing w:before="29" w:line="288" w:lineRule="auto"/>
              <w:jc w:val="right"/>
              <w:rPr>
                <w:szCs w:val="21"/>
              </w:rPr>
            </w:pPr>
            <w:r w:rsidRPr="00A942AC">
              <w:rPr>
                <w:szCs w:val="21"/>
              </w:rPr>
              <w:t>3,746,354.87</w:t>
            </w:r>
          </w:p>
        </w:tc>
        <w:tc>
          <w:tcPr>
            <w:tcW w:w="687" w:type="pct"/>
            <w:vAlign w:val="center"/>
          </w:tcPr>
          <w:p w:rsidR="00B44DBC" w:rsidRPr="00A942AC" w:rsidRDefault="00B44DBC" w:rsidP="00674CBD">
            <w:pPr>
              <w:spacing w:before="29" w:line="288" w:lineRule="auto"/>
              <w:jc w:val="right"/>
              <w:rPr>
                <w:szCs w:val="21"/>
              </w:rPr>
            </w:pPr>
            <w:r w:rsidRPr="00A942AC">
              <w:rPr>
                <w:szCs w:val="21"/>
              </w:rPr>
              <w:t>137,523,397.39</w:t>
            </w:r>
          </w:p>
        </w:tc>
        <w:tc>
          <w:tcPr>
            <w:tcW w:w="687" w:type="pct"/>
            <w:vAlign w:val="center"/>
          </w:tcPr>
          <w:p w:rsidR="00B44DBC" w:rsidRPr="00A942AC" w:rsidRDefault="00B44DBC" w:rsidP="00674CBD">
            <w:pPr>
              <w:spacing w:before="29" w:line="288" w:lineRule="auto"/>
              <w:jc w:val="right"/>
              <w:rPr>
                <w:szCs w:val="21"/>
              </w:rPr>
            </w:pPr>
            <w:r w:rsidRPr="00A942AC">
              <w:rPr>
                <w:szCs w:val="21"/>
              </w:rPr>
              <w:t>10,954,402.85</w:t>
            </w:r>
          </w:p>
        </w:tc>
        <w:tc>
          <w:tcPr>
            <w:tcW w:w="764" w:type="pct"/>
            <w:vAlign w:val="center"/>
          </w:tcPr>
          <w:p w:rsidR="00B44DBC" w:rsidRPr="00A942AC" w:rsidRDefault="00B44DBC" w:rsidP="00674CBD">
            <w:pPr>
              <w:spacing w:before="29" w:line="288" w:lineRule="auto"/>
              <w:jc w:val="right"/>
              <w:rPr>
                <w:szCs w:val="21"/>
              </w:rPr>
            </w:pPr>
            <w:r w:rsidRPr="00A942AC">
              <w:rPr>
                <w:szCs w:val="21"/>
              </w:rPr>
              <w:t>42,506,774.81</w:t>
            </w:r>
          </w:p>
        </w:tc>
        <w:tc>
          <w:tcPr>
            <w:tcW w:w="667" w:type="pct"/>
            <w:vAlign w:val="center"/>
          </w:tcPr>
          <w:p w:rsidR="00B44DBC" w:rsidRPr="00A942AC" w:rsidRDefault="00B44DBC" w:rsidP="00674CBD">
            <w:pPr>
              <w:spacing w:before="29" w:line="288" w:lineRule="auto"/>
              <w:jc w:val="right"/>
              <w:rPr>
                <w:szCs w:val="21"/>
              </w:rPr>
            </w:pPr>
            <w:r w:rsidRPr="00A942AC">
              <w:rPr>
                <w:szCs w:val="21"/>
              </w:rPr>
              <w:t>9,371,221.64</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1.390</w:t>
            </w:r>
          </w:p>
        </w:tc>
        <w:tc>
          <w:tcPr>
            <w:tcW w:w="687" w:type="pct"/>
            <w:vAlign w:val="center"/>
          </w:tcPr>
          <w:p w:rsidR="00B44DBC" w:rsidRPr="00A942AC" w:rsidRDefault="00B44DBC" w:rsidP="00674CBD">
            <w:pPr>
              <w:spacing w:before="29" w:line="288" w:lineRule="auto"/>
              <w:jc w:val="right"/>
              <w:rPr>
                <w:szCs w:val="21"/>
              </w:rPr>
            </w:pPr>
            <w:r w:rsidRPr="00A942AC">
              <w:rPr>
                <w:szCs w:val="21"/>
              </w:rPr>
              <w:t>1.364</w:t>
            </w:r>
          </w:p>
        </w:tc>
        <w:tc>
          <w:tcPr>
            <w:tcW w:w="687" w:type="pct"/>
            <w:vAlign w:val="center"/>
          </w:tcPr>
          <w:p w:rsidR="00B44DBC" w:rsidRPr="00A942AC" w:rsidRDefault="00B44DBC" w:rsidP="00674CBD">
            <w:pPr>
              <w:spacing w:before="29" w:line="288" w:lineRule="auto"/>
              <w:jc w:val="right"/>
              <w:rPr>
                <w:szCs w:val="21"/>
              </w:rPr>
            </w:pPr>
            <w:r w:rsidRPr="00A942AC">
              <w:rPr>
                <w:szCs w:val="21"/>
              </w:rPr>
              <w:t>1.382</w:t>
            </w:r>
          </w:p>
        </w:tc>
        <w:tc>
          <w:tcPr>
            <w:tcW w:w="687" w:type="pct"/>
            <w:vAlign w:val="center"/>
          </w:tcPr>
          <w:p w:rsidR="00B44DBC" w:rsidRPr="00A942AC" w:rsidRDefault="00B44DBC" w:rsidP="00674CBD">
            <w:pPr>
              <w:spacing w:before="29" w:line="288" w:lineRule="auto"/>
              <w:jc w:val="right"/>
              <w:rPr>
                <w:szCs w:val="21"/>
              </w:rPr>
            </w:pPr>
            <w:r w:rsidRPr="00A942AC">
              <w:rPr>
                <w:szCs w:val="21"/>
              </w:rPr>
              <w:t>1.362</w:t>
            </w:r>
          </w:p>
        </w:tc>
        <w:tc>
          <w:tcPr>
            <w:tcW w:w="764" w:type="pct"/>
            <w:vAlign w:val="center"/>
          </w:tcPr>
          <w:p w:rsidR="00B44DBC" w:rsidRPr="00A942AC" w:rsidRDefault="00B44DBC" w:rsidP="00674CBD">
            <w:pPr>
              <w:spacing w:before="29" w:line="288" w:lineRule="auto"/>
              <w:jc w:val="right"/>
              <w:rPr>
                <w:szCs w:val="21"/>
              </w:rPr>
            </w:pPr>
            <w:r w:rsidRPr="00A942AC">
              <w:rPr>
                <w:szCs w:val="21"/>
              </w:rPr>
              <w:t>1.358</w:t>
            </w:r>
          </w:p>
        </w:tc>
        <w:tc>
          <w:tcPr>
            <w:tcW w:w="667" w:type="pct"/>
            <w:vAlign w:val="center"/>
          </w:tcPr>
          <w:p w:rsidR="00B44DBC" w:rsidRPr="00A942AC" w:rsidRDefault="00B44DBC" w:rsidP="00674CBD">
            <w:pPr>
              <w:spacing w:before="29" w:line="288" w:lineRule="auto"/>
              <w:jc w:val="right"/>
              <w:rPr>
                <w:szCs w:val="21"/>
              </w:rPr>
            </w:pPr>
            <w:r w:rsidRPr="00A942AC">
              <w:rPr>
                <w:szCs w:val="21"/>
              </w:rPr>
              <w:t>1.343</w:t>
            </w:r>
          </w:p>
        </w:tc>
      </w:tr>
    </w:tbl>
    <w:p w:rsidR="000D33D2" w:rsidRDefault="00FB4FA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D33D2">
        <w:tc>
          <w:tcPr>
            <w:tcW w:w="1286" w:type="dxa"/>
            <w:vAlign w:val="center"/>
          </w:tcPr>
          <w:p w:rsidR="000D33D2" w:rsidRDefault="00FB4FA1">
            <w:pPr>
              <w:jc w:val="left"/>
            </w:pPr>
            <w:r>
              <w:rPr>
                <w:color w:val="000000"/>
                <w:sz w:val="24"/>
              </w:rPr>
              <w:t>过去三个月</w:t>
            </w:r>
          </w:p>
        </w:tc>
        <w:tc>
          <w:tcPr>
            <w:tcW w:w="1286" w:type="dxa"/>
            <w:vAlign w:val="center"/>
          </w:tcPr>
          <w:p w:rsidR="000D33D2" w:rsidRDefault="00FB4FA1">
            <w:pPr>
              <w:jc w:val="center"/>
            </w:pPr>
            <w:r>
              <w:rPr>
                <w:color w:val="000000"/>
                <w:sz w:val="24"/>
              </w:rPr>
              <w:t>-0.22%</w:t>
            </w:r>
          </w:p>
        </w:tc>
        <w:tc>
          <w:tcPr>
            <w:tcW w:w="1286" w:type="dxa"/>
            <w:vAlign w:val="center"/>
          </w:tcPr>
          <w:p w:rsidR="000D33D2" w:rsidRDefault="00FB4FA1">
            <w:pPr>
              <w:jc w:val="center"/>
            </w:pPr>
            <w:r>
              <w:rPr>
                <w:color w:val="000000"/>
                <w:sz w:val="24"/>
              </w:rPr>
              <w:t>0.24%</w:t>
            </w:r>
          </w:p>
        </w:tc>
        <w:tc>
          <w:tcPr>
            <w:tcW w:w="1285" w:type="dxa"/>
            <w:vAlign w:val="center"/>
          </w:tcPr>
          <w:p w:rsidR="000D33D2" w:rsidRDefault="00FB4FA1">
            <w:pPr>
              <w:jc w:val="center"/>
            </w:pPr>
            <w:r>
              <w:rPr>
                <w:color w:val="000000"/>
                <w:sz w:val="24"/>
              </w:rPr>
              <w:t>-0.53%</w:t>
            </w:r>
          </w:p>
        </w:tc>
        <w:tc>
          <w:tcPr>
            <w:tcW w:w="1285" w:type="dxa"/>
            <w:vAlign w:val="center"/>
          </w:tcPr>
          <w:p w:rsidR="000D33D2" w:rsidRDefault="00FB4FA1">
            <w:pPr>
              <w:jc w:val="center"/>
            </w:pPr>
            <w:r>
              <w:rPr>
                <w:color w:val="000000"/>
                <w:sz w:val="24"/>
              </w:rPr>
              <w:t>0.09%</w:t>
            </w:r>
          </w:p>
        </w:tc>
        <w:tc>
          <w:tcPr>
            <w:tcW w:w="1285" w:type="dxa"/>
            <w:vAlign w:val="center"/>
          </w:tcPr>
          <w:p w:rsidR="000D33D2" w:rsidRDefault="00FB4FA1">
            <w:pPr>
              <w:jc w:val="center"/>
            </w:pPr>
            <w:r>
              <w:rPr>
                <w:color w:val="000000"/>
                <w:sz w:val="24"/>
              </w:rPr>
              <w:t>0.31%</w:t>
            </w:r>
          </w:p>
        </w:tc>
        <w:tc>
          <w:tcPr>
            <w:tcW w:w="1285" w:type="dxa"/>
            <w:vAlign w:val="center"/>
          </w:tcPr>
          <w:p w:rsidR="000D33D2" w:rsidRDefault="00FB4FA1">
            <w:pPr>
              <w:jc w:val="center"/>
            </w:pPr>
            <w:r>
              <w:rPr>
                <w:color w:val="000000"/>
                <w:sz w:val="24"/>
              </w:rPr>
              <w:t>0.15%</w:t>
            </w:r>
          </w:p>
        </w:tc>
      </w:tr>
      <w:tr w:rsidR="000D33D2">
        <w:tc>
          <w:tcPr>
            <w:tcW w:w="1286" w:type="dxa"/>
            <w:vAlign w:val="center"/>
          </w:tcPr>
          <w:p w:rsidR="000D33D2" w:rsidRDefault="00FB4FA1">
            <w:pPr>
              <w:jc w:val="left"/>
            </w:pPr>
            <w:r>
              <w:rPr>
                <w:color w:val="000000"/>
                <w:sz w:val="24"/>
              </w:rPr>
              <w:t>过去六个月</w:t>
            </w:r>
          </w:p>
        </w:tc>
        <w:tc>
          <w:tcPr>
            <w:tcW w:w="1286" w:type="dxa"/>
            <w:vAlign w:val="center"/>
          </w:tcPr>
          <w:p w:rsidR="000D33D2" w:rsidRDefault="00FB4FA1">
            <w:pPr>
              <w:jc w:val="center"/>
            </w:pPr>
            <w:r>
              <w:rPr>
                <w:color w:val="000000"/>
                <w:sz w:val="24"/>
              </w:rPr>
              <w:t>0.29%</w:t>
            </w:r>
          </w:p>
        </w:tc>
        <w:tc>
          <w:tcPr>
            <w:tcW w:w="1286" w:type="dxa"/>
            <w:vAlign w:val="center"/>
          </w:tcPr>
          <w:p w:rsidR="000D33D2" w:rsidRDefault="00FB4FA1">
            <w:pPr>
              <w:jc w:val="center"/>
            </w:pPr>
            <w:r>
              <w:rPr>
                <w:color w:val="000000"/>
                <w:sz w:val="24"/>
              </w:rPr>
              <w:t>0.27%</w:t>
            </w:r>
          </w:p>
        </w:tc>
        <w:tc>
          <w:tcPr>
            <w:tcW w:w="1285" w:type="dxa"/>
            <w:vAlign w:val="center"/>
          </w:tcPr>
          <w:p w:rsidR="000D33D2" w:rsidRDefault="00FB4FA1">
            <w:pPr>
              <w:jc w:val="center"/>
            </w:pPr>
            <w:r>
              <w:rPr>
                <w:color w:val="000000"/>
                <w:sz w:val="24"/>
              </w:rPr>
              <w:t>-0.20%</w:t>
            </w:r>
          </w:p>
        </w:tc>
        <w:tc>
          <w:tcPr>
            <w:tcW w:w="1285" w:type="dxa"/>
            <w:vAlign w:val="center"/>
          </w:tcPr>
          <w:p w:rsidR="000D33D2" w:rsidRDefault="00FB4FA1">
            <w:pPr>
              <w:jc w:val="center"/>
            </w:pPr>
            <w:r>
              <w:rPr>
                <w:color w:val="000000"/>
                <w:sz w:val="24"/>
              </w:rPr>
              <w:t>0.08%</w:t>
            </w:r>
          </w:p>
        </w:tc>
        <w:tc>
          <w:tcPr>
            <w:tcW w:w="1285" w:type="dxa"/>
            <w:vAlign w:val="center"/>
          </w:tcPr>
          <w:p w:rsidR="000D33D2" w:rsidRDefault="00FB4FA1">
            <w:pPr>
              <w:jc w:val="center"/>
            </w:pPr>
            <w:r>
              <w:rPr>
                <w:color w:val="000000"/>
                <w:sz w:val="24"/>
              </w:rPr>
              <w:t>0.49%</w:t>
            </w:r>
          </w:p>
        </w:tc>
        <w:tc>
          <w:tcPr>
            <w:tcW w:w="1285" w:type="dxa"/>
            <w:vAlign w:val="center"/>
          </w:tcPr>
          <w:p w:rsidR="000D33D2" w:rsidRDefault="00FB4FA1">
            <w:pPr>
              <w:jc w:val="center"/>
            </w:pPr>
            <w:r>
              <w:rPr>
                <w:color w:val="000000"/>
                <w:sz w:val="24"/>
              </w:rPr>
              <w:t>0.19%</w:t>
            </w:r>
          </w:p>
        </w:tc>
      </w:tr>
      <w:tr w:rsidR="000D33D2">
        <w:tc>
          <w:tcPr>
            <w:tcW w:w="1286" w:type="dxa"/>
            <w:vAlign w:val="center"/>
          </w:tcPr>
          <w:p w:rsidR="000D33D2" w:rsidRDefault="00FB4FA1">
            <w:pPr>
              <w:jc w:val="left"/>
            </w:pPr>
            <w:r>
              <w:rPr>
                <w:color w:val="000000"/>
                <w:sz w:val="24"/>
              </w:rPr>
              <w:t>过去一年</w:t>
            </w:r>
          </w:p>
        </w:tc>
        <w:tc>
          <w:tcPr>
            <w:tcW w:w="1286" w:type="dxa"/>
            <w:vAlign w:val="center"/>
          </w:tcPr>
          <w:p w:rsidR="000D33D2" w:rsidRDefault="00FB4FA1">
            <w:pPr>
              <w:jc w:val="center"/>
            </w:pPr>
            <w:r>
              <w:rPr>
                <w:color w:val="000000"/>
                <w:sz w:val="24"/>
              </w:rPr>
              <w:t>0.58%</w:t>
            </w:r>
          </w:p>
        </w:tc>
        <w:tc>
          <w:tcPr>
            <w:tcW w:w="1286" w:type="dxa"/>
            <w:vAlign w:val="center"/>
          </w:tcPr>
          <w:p w:rsidR="000D33D2" w:rsidRDefault="00FB4FA1">
            <w:pPr>
              <w:jc w:val="center"/>
            </w:pPr>
            <w:r>
              <w:rPr>
                <w:color w:val="000000"/>
                <w:sz w:val="24"/>
              </w:rPr>
              <w:t>0.21%</w:t>
            </w:r>
          </w:p>
        </w:tc>
        <w:tc>
          <w:tcPr>
            <w:tcW w:w="1285" w:type="dxa"/>
            <w:vAlign w:val="center"/>
          </w:tcPr>
          <w:p w:rsidR="000D33D2" w:rsidRDefault="00FB4FA1">
            <w:pPr>
              <w:jc w:val="center"/>
            </w:pPr>
            <w:r>
              <w:rPr>
                <w:color w:val="000000"/>
                <w:sz w:val="24"/>
              </w:rPr>
              <w:t>-1.08%</w:t>
            </w:r>
          </w:p>
        </w:tc>
        <w:tc>
          <w:tcPr>
            <w:tcW w:w="1285" w:type="dxa"/>
            <w:vAlign w:val="center"/>
          </w:tcPr>
          <w:p w:rsidR="000D33D2" w:rsidRDefault="00FB4FA1">
            <w:pPr>
              <w:jc w:val="center"/>
            </w:pPr>
            <w:r>
              <w:rPr>
                <w:color w:val="000000"/>
                <w:sz w:val="24"/>
              </w:rPr>
              <w:t>0.09%</w:t>
            </w:r>
          </w:p>
        </w:tc>
        <w:tc>
          <w:tcPr>
            <w:tcW w:w="1285" w:type="dxa"/>
            <w:vAlign w:val="center"/>
          </w:tcPr>
          <w:p w:rsidR="000D33D2" w:rsidRDefault="00FB4FA1">
            <w:pPr>
              <w:jc w:val="center"/>
            </w:pPr>
            <w:r>
              <w:rPr>
                <w:color w:val="000000"/>
                <w:sz w:val="24"/>
              </w:rPr>
              <w:t>1.66%</w:t>
            </w:r>
          </w:p>
        </w:tc>
        <w:tc>
          <w:tcPr>
            <w:tcW w:w="1285" w:type="dxa"/>
            <w:vAlign w:val="center"/>
          </w:tcPr>
          <w:p w:rsidR="000D33D2" w:rsidRDefault="00FB4FA1">
            <w:pPr>
              <w:jc w:val="center"/>
            </w:pPr>
            <w:r>
              <w:rPr>
                <w:color w:val="000000"/>
                <w:sz w:val="24"/>
              </w:rPr>
              <w:t>0.12%</w:t>
            </w:r>
          </w:p>
        </w:tc>
      </w:tr>
      <w:tr w:rsidR="000D33D2">
        <w:tc>
          <w:tcPr>
            <w:tcW w:w="1286" w:type="dxa"/>
            <w:vAlign w:val="center"/>
          </w:tcPr>
          <w:p w:rsidR="000D33D2" w:rsidRDefault="00FB4FA1">
            <w:pPr>
              <w:jc w:val="left"/>
            </w:pPr>
            <w:r>
              <w:rPr>
                <w:color w:val="000000"/>
                <w:sz w:val="24"/>
              </w:rPr>
              <w:t>过去三年</w:t>
            </w:r>
          </w:p>
        </w:tc>
        <w:tc>
          <w:tcPr>
            <w:tcW w:w="1286" w:type="dxa"/>
            <w:vAlign w:val="center"/>
          </w:tcPr>
          <w:p w:rsidR="000D33D2" w:rsidRDefault="00FB4FA1">
            <w:pPr>
              <w:jc w:val="center"/>
            </w:pPr>
            <w:r>
              <w:rPr>
                <w:color w:val="000000"/>
                <w:sz w:val="24"/>
              </w:rPr>
              <w:t>17.10%</w:t>
            </w:r>
          </w:p>
        </w:tc>
        <w:tc>
          <w:tcPr>
            <w:tcW w:w="1286" w:type="dxa"/>
            <w:vAlign w:val="center"/>
          </w:tcPr>
          <w:p w:rsidR="000D33D2" w:rsidRDefault="00FB4FA1">
            <w:pPr>
              <w:jc w:val="center"/>
            </w:pPr>
            <w:r>
              <w:rPr>
                <w:color w:val="000000"/>
                <w:sz w:val="24"/>
              </w:rPr>
              <w:t>0.34%</w:t>
            </w:r>
          </w:p>
        </w:tc>
        <w:tc>
          <w:tcPr>
            <w:tcW w:w="1285" w:type="dxa"/>
            <w:vAlign w:val="center"/>
          </w:tcPr>
          <w:p w:rsidR="000D33D2" w:rsidRDefault="00FB4FA1">
            <w:pPr>
              <w:jc w:val="center"/>
            </w:pPr>
            <w:r>
              <w:rPr>
                <w:color w:val="000000"/>
                <w:sz w:val="24"/>
              </w:rPr>
              <w:t>1.38%</w:t>
            </w:r>
          </w:p>
        </w:tc>
        <w:tc>
          <w:tcPr>
            <w:tcW w:w="1285" w:type="dxa"/>
            <w:vAlign w:val="center"/>
          </w:tcPr>
          <w:p w:rsidR="000D33D2" w:rsidRDefault="00FB4FA1">
            <w:pPr>
              <w:jc w:val="center"/>
            </w:pPr>
            <w:r>
              <w:rPr>
                <w:color w:val="000000"/>
                <w:sz w:val="24"/>
              </w:rPr>
              <w:t>0.19%</w:t>
            </w:r>
          </w:p>
        </w:tc>
        <w:tc>
          <w:tcPr>
            <w:tcW w:w="1285" w:type="dxa"/>
            <w:vAlign w:val="center"/>
          </w:tcPr>
          <w:p w:rsidR="000D33D2" w:rsidRDefault="00FB4FA1">
            <w:pPr>
              <w:jc w:val="center"/>
            </w:pPr>
            <w:r>
              <w:rPr>
                <w:color w:val="000000"/>
                <w:sz w:val="24"/>
              </w:rPr>
              <w:t>15.72%</w:t>
            </w:r>
          </w:p>
        </w:tc>
        <w:tc>
          <w:tcPr>
            <w:tcW w:w="1285" w:type="dxa"/>
            <w:vAlign w:val="center"/>
          </w:tcPr>
          <w:p w:rsidR="000D33D2" w:rsidRDefault="00FB4FA1">
            <w:pPr>
              <w:jc w:val="center"/>
            </w:pPr>
            <w:r>
              <w:rPr>
                <w:color w:val="000000"/>
                <w:sz w:val="24"/>
              </w:rPr>
              <w:t>0.15%</w:t>
            </w:r>
          </w:p>
        </w:tc>
      </w:tr>
      <w:tr w:rsidR="000D33D2">
        <w:tc>
          <w:tcPr>
            <w:tcW w:w="1286" w:type="dxa"/>
            <w:vAlign w:val="center"/>
          </w:tcPr>
          <w:p w:rsidR="000D33D2" w:rsidRDefault="00FB4FA1">
            <w:pPr>
              <w:jc w:val="left"/>
            </w:pPr>
            <w:r>
              <w:rPr>
                <w:color w:val="000000"/>
                <w:sz w:val="24"/>
              </w:rPr>
              <w:t>自基金合同生效起至今</w:t>
            </w:r>
          </w:p>
        </w:tc>
        <w:tc>
          <w:tcPr>
            <w:tcW w:w="1286" w:type="dxa"/>
            <w:vAlign w:val="center"/>
          </w:tcPr>
          <w:p w:rsidR="000D33D2" w:rsidRDefault="00FB4FA1">
            <w:pPr>
              <w:jc w:val="center"/>
            </w:pPr>
            <w:r>
              <w:rPr>
                <w:color w:val="000000"/>
                <w:sz w:val="24"/>
              </w:rPr>
              <w:t>39.00%</w:t>
            </w:r>
          </w:p>
        </w:tc>
        <w:tc>
          <w:tcPr>
            <w:tcW w:w="1286" w:type="dxa"/>
            <w:vAlign w:val="center"/>
          </w:tcPr>
          <w:p w:rsidR="000D33D2" w:rsidRDefault="00FB4FA1">
            <w:pPr>
              <w:jc w:val="center"/>
            </w:pPr>
            <w:r>
              <w:rPr>
                <w:color w:val="000000"/>
                <w:sz w:val="24"/>
              </w:rPr>
              <w:t>0.32%</w:t>
            </w:r>
          </w:p>
        </w:tc>
        <w:tc>
          <w:tcPr>
            <w:tcW w:w="1285" w:type="dxa"/>
            <w:vAlign w:val="center"/>
          </w:tcPr>
          <w:p w:rsidR="000D33D2" w:rsidRDefault="00FB4FA1">
            <w:pPr>
              <w:jc w:val="center"/>
            </w:pPr>
            <w:r>
              <w:rPr>
                <w:color w:val="000000"/>
                <w:sz w:val="24"/>
              </w:rPr>
              <w:t>8.26%</w:t>
            </w:r>
          </w:p>
        </w:tc>
        <w:tc>
          <w:tcPr>
            <w:tcW w:w="1285" w:type="dxa"/>
            <w:vAlign w:val="center"/>
          </w:tcPr>
          <w:p w:rsidR="000D33D2" w:rsidRDefault="00FB4FA1">
            <w:pPr>
              <w:jc w:val="center"/>
            </w:pPr>
            <w:r>
              <w:rPr>
                <w:color w:val="000000"/>
                <w:sz w:val="24"/>
              </w:rPr>
              <w:t>0.18%</w:t>
            </w:r>
          </w:p>
        </w:tc>
        <w:tc>
          <w:tcPr>
            <w:tcW w:w="1285" w:type="dxa"/>
            <w:vAlign w:val="center"/>
          </w:tcPr>
          <w:p w:rsidR="000D33D2" w:rsidRDefault="00FB4FA1">
            <w:pPr>
              <w:jc w:val="center"/>
            </w:pPr>
            <w:r>
              <w:rPr>
                <w:color w:val="000000"/>
                <w:sz w:val="24"/>
              </w:rPr>
              <w:t>30.74%</w:t>
            </w:r>
          </w:p>
        </w:tc>
        <w:tc>
          <w:tcPr>
            <w:tcW w:w="1285" w:type="dxa"/>
            <w:vAlign w:val="center"/>
          </w:tcPr>
          <w:p w:rsidR="000D33D2" w:rsidRDefault="00FB4FA1">
            <w:pPr>
              <w:jc w:val="center"/>
            </w:pPr>
            <w:r>
              <w:rPr>
                <w:color w:val="000000"/>
                <w:sz w:val="24"/>
              </w:rPr>
              <w:t>0.14%</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D33D2">
        <w:tc>
          <w:tcPr>
            <w:tcW w:w="1286" w:type="dxa"/>
            <w:vAlign w:val="center"/>
          </w:tcPr>
          <w:p w:rsidR="000D33D2" w:rsidRDefault="00FB4FA1">
            <w:pPr>
              <w:jc w:val="left"/>
            </w:pPr>
            <w:r>
              <w:rPr>
                <w:color w:val="000000"/>
                <w:sz w:val="24"/>
              </w:rPr>
              <w:t>过去三个月</w:t>
            </w:r>
          </w:p>
        </w:tc>
        <w:tc>
          <w:tcPr>
            <w:tcW w:w="1286" w:type="dxa"/>
            <w:vAlign w:val="center"/>
          </w:tcPr>
          <w:p w:rsidR="000D33D2" w:rsidRDefault="00FB4FA1">
            <w:pPr>
              <w:jc w:val="center"/>
            </w:pPr>
            <w:r>
              <w:rPr>
                <w:color w:val="000000"/>
                <w:sz w:val="24"/>
              </w:rPr>
              <w:t>-0.29%</w:t>
            </w:r>
          </w:p>
        </w:tc>
        <w:tc>
          <w:tcPr>
            <w:tcW w:w="1286" w:type="dxa"/>
            <w:vAlign w:val="center"/>
          </w:tcPr>
          <w:p w:rsidR="000D33D2" w:rsidRDefault="00FB4FA1">
            <w:pPr>
              <w:jc w:val="center"/>
            </w:pPr>
            <w:r>
              <w:rPr>
                <w:color w:val="000000"/>
                <w:sz w:val="24"/>
              </w:rPr>
              <w:t>0.24%</w:t>
            </w:r>
          </w:p>
        </w:tc>
        <w:tc>
          <w:tcPr>
            <w:tcW w:w="1285" w:type="dxa"/>
            <w:vAlign w:val="center"/>
          </w:tcPr>
          <w:p w:rsidR="000D33D2" w:rsidRDefault="00FB4FA1">
            <w:pPr>
              <w:jc w:val="center"/>
            </w:pPr>
            <w:r>
              <w:rPr>
                <w:color w:val="000000"/>
                <w:sz w:val="24"/>
              </w:rPr>
              <w:t>-0.53%</w:t>
            </w:r>
          </w:p>
        </w:tc>
        <w:tc>
          <w:tcPr>
            <w:tcW w:w="1285" w:type="dxa"/>
            <w:vAlign w:val="center"/>
          </w:tcPr>
          <w:p w:rsidR="000D33D2" w:rsidRDefault="00FB4FA1">
            <w:pPr>
              <w:jc w:val="center"/>
            </w:pPr>
            <w:r>
              <w:rPr>
                <w:color w:val="000000"/>
                <w:sz w:val="24"/>
              </w:rPr>
              <w:t>0.09%</w:t>
            </w:r>
          </w:p>
        </w:tc>
        <w:tc>
          <w:tcPr>
            <w:tcW w:w="1285" w:type="dxa"/>
            <w:vAlign w:val="center"/>
          </w:tcPr>
          <w:p w:rsidR="000D33D2" w:rsidRDefault="00FB4FA1">
            <w:pPr>
              <w:jc w:val="center"/>
            </w:pPr>
            <w:r>
              <w:rPr>
                <w:color w:val="000000"/>
                <w:sz w:val="24"/>
              </w:rPr>
              <w:t>0.24%</w:t>
            </w:r>
          </w:p>
        </w:tc>
        <w:tc>
          <w:tcPr>
            <w:tcW w:w="1285" w:type="dxa"/>
            <w:vAlign w:val="center"/>
          </w:tcPr>
          <w:p w:rsidR="000D33D2" w:rsidRDefault="00FB4FA1">
            <w:pPr>
              <w:jc w:val="center"/>
            </w:pPr>
            <w:r>
              <w:rPr>
                <w:color w:val="000000"/>
                <w:sz w:val="24"/>
              </w:rPr>
              <w:t>0.15%</w:t>
            </w:r>
          </w:p>
        </w:tc>
      </w:tr>
      <w:tr w:rsidR="000D33D2">
        <w:tc>
          <w:tcPr>
            <w:tcW w:w="1286" w:type="dxa"/>
            <w:vAlign w:val="center"/>
          </w:tcPr>
          <w:p w:rsidR="000D33D2" w:rsidRDefault="00FB4FA1">
            <w:pPr>
              <w:jc w:val="left"/>
            </w:pPr>
            <w:r>
              <w:rPr>
                <w:color w:val="000000"/>
                <w:sz w:val="24"/>
              </w:rPr>
              <w:t>过去六个月</w:t>
            </w:r>
          </w:p>
        </w:tc>
        <w:tc>
          <w:tcPr>
            <w:tcW w:w="1286" w:type="dxa"/>
            <w:vAlign w:val="center"/>
          </w:tcPr>
          <w:p w:rsidR="000D33D2" w:rsidRDefault="00FB4FA1">
            <w:pPr>
              <w:jc w:val="center"/>
            </w:pPr>
            <w:r>
              <w:rPr>
                <w:color w:val="000000"/>
                <w:sz w:val="24"/>
              </w:rPr>
              <w:t>0.07%</w:t>
            </w:r>
          </w:p>
        </w:tc>
        <w:tc>
          <w:tcPr>
            <w:tcW w:w="1286" w:type="dxa"/>
            <w:vAlign w:val="center"/>
          </w:tcPr>
          <w:p w:rsidR="000D33D2" w:rsidRDefault="00FB4FA1">
            <w:pPr>
              <w:jc w:val="center"/>
            </w:pPr>
            <w:r>
              <w:rPr>
                <w:color w:val="000000"/>
                <w:sz w:val="24"/>
              </w:rPr>
              <w:t>0.28%</w:t>
            </w:r>
          </w:p>
        </w:tc>
        <w:tc>
          <w:tcPr>
            <w:tcW w:w="1285" w:type="dxa"/>
            <w:vAlign w:val="center"/>
          </w:tcPr>
          <w:p w:rsidR="000D33D2" w:rsidRDefault="00FB4FA1">
            <w:pPr>
              <w:jc w:val="center"/>
            </w:pPr>
            <w:r>
              <w:rPr>
                <w:color w:val="000000"/>
                <w:sz w:val="24"/>
              </w:rPr>
              <w:t>-0.20%</w:t>
            </w:r>
          </w:p>
        </w:tc>
        <w:tc>
          <w:tcPr>
            <w:tcW w:w="1285" w:type="dxa"/>
            <w:vAlign w:val="center"/>
          </w:tcPr>
          <w:p w:rsidR="000D33D2" w:rsidRDefault="00FB4FA1">
            <w:pPr>
              <w:jc w:val="center"/>
            </w:pPr>
            <w:r>
              <w:rPr>
                <w:color w:val="000000"/>
                <w:sz w:val="24"/>
              </w:rPr>
              <w:t>0.08%</w:t>
            </w:r>
          </w:p>
        </w:tc>
        <w:tc>
          <w:tcPr>
            <w:tcW w:w="1285" w:type="dxa"/>
            <w:vAlign w:val="center"/>
          </w:tcPr>
          <w:p w:rsidR="000D33D2" w:rsidRDefault="00FB4FA1">
            <w:pPr>
              <w:jc w:val="center"/>
            </w:pPr>
            <w:r>
              <w:rPr>
                <w:color w:val="000000"/>
                <w:sz w:val="24"/>
              </w:rPr>
              <w:t>0.27%</w:t>
            </w:r>
          </w:p>
        </w:tc>
        <w:tc>
          <w:tcPr>
            <w:tcW w:w="1285" w:type="dxa"/>
            <w:vAlign w:val="center"/>
          </w:tcPr>
          <w:p w:rsidR="000D33D2" w:rsidRDefault="00FB4FA1">
            <w:pPr>
              <w:jc w:val="center"/>
            </w:pPr>
            <w:r>
              <w:rPr>
                <w:color w:val="000000"/>
                <w:sz w:val="24"/>
              </w:rPr>
              <w:t>0.20%</w:t>
            </w:r>
          </w:p>
        </w:tc>
      </w:tr>
      <w:tr w:rsidR="000D33D2">
        <w:tc>
          <w:tcPr>
            <w:tcW w:w="1286" w:type="dxa"/>
            <w:vAlign w:val="center"/>
          </w:tcPr>
          <w:p w:rsidR="000D33D2" w:rsidRDefault="00FB4FA1">
            <w:pPr>
              <w:jc w:val="left"/>
            </w:pPr>
            <w:r>
              <w:rPr>
                <w:color w:val="000000"/>
                <w:sz w:val="24"/>
              </w:rPr>
              <w:t>过去一年</w:t>
            </w:r>
          </w:p>
        </w:tc>
        <w:tc>
          <w:tcPr>
            <w:tcW w:w="1286" w:type="dxa"/>
            <w:vAlign w:val="center"/>
          </w:tcPr>
          <w:p w:rsidR="000D33D2" w:rsidRDefault="00FB4FA1">
            <w:pPr>
              <w:jc w:val="center"/>
            </w:pPr>
            <w:r>
              <w:rPr>
                <w:color w:val="000000"/>
                <w:sz w:val="24"/>
              </w:rPr>
              <w:t>0.15%</w:t>
            </w:r>
          </w:p>
        </w:tc>
        <w:tc>
          <w:tcPr>
            <w:tcW w:w="1286" w:type="dxa"/>
            <w:vAlign w:val="center"/>
          </w:tcPr>
          <w:p w:rsidR="000D33D2" w:rsidRDefault="00FB4FA1">
            <w:pPr>
              <w:jc w:val="center"/>
            </w:pPr>
            <w:r>
              <w:rPr>
                <w:color w:val="000000"/>
                <w:sz w:val="24"/>
              </w:rPr>
              <w:t>0.22%</w:t>
            </w:r>
          </w:p>
        </w:tc>
        <w:tc>
          <w:tcPr>
            <w:tcW w:w="1285" w:type="dxa"/>
            <w:vAlign w:val="center"/>
          </w:tcPr>
          <w:p w:rsidR="000D33D2" w:rsidRDefault="00FB4FA1">
            <w:pPr>
              <w:jc w:val="center"/>
            </w:pPr>
            <w:r>
              <w:rPr>
                <w:color w:val="000000"/>
                <w:sz w:val="24"/>
              </w:rPr>
              <w:t>-1.08%</w:t>
            </w:r>
          </w:p>
        </w:tc>
        <w:tc>
          <w:tcPr>
            <w:tcW w:w="1285" w:type="dxa"/>
            <w:vAlign w:val="center"/>
          </w:tcPr>
          <w:p w:rsidR="000D33D2" w:rsidRDefault="00FB4FA1">
            <w:pPr>
              <w:jc w:val="center"/>
            </w:pPr>
            <w:r>
              <w:rPr>
                <w:color w:val="000000"/>
                <w:sz w:val="24"/>
              </w:rPr>
              <w:t>0.09%</w:t>
            </w:r>
          </w:p>
        </w:tc>
        <w:tc>
          <w:tcPr>
            <w:tcW w:w="1285" w:type="dxa"/>
            <w:vAlign w:val="center"/>
          </w:tcPr>
          <w:p w:rsidR="000D33D2" w:rsidRDefault="00FB4FA1">
            <w:pPr>
              <w:jc w:val="center"/>
            </w:pPr>
            <w:r>
              <w:rPr>
                <w:color w:val="000000"/>
                <w:sz w:val="24"/>
              </w:rPr>
              <w:t>1.23%</w:t>
            </w:r>
          </w:p>
        </w:tc>
        <w:tc>
          <w:tcPr>
            <w:tcW w:w="1285" w:type="dxa"/>
            <w:vAlign w:val="center"/>
          </w:tcPr>
          <w:p w:rsidR="000D33D2" w:rsidRDefault="00FB4FA1">
            <w:pPr>
              <w:jc w:val="center"/>
            </w:pPr>
            <w:r>
              <w:rPr>
                <w:color w:val="000000"/>
                <w:sz w:val="24"/>
              </w:rPr>
              <w:t>0.13%</w:t>
            </w:r>
          </w:p>
        </w:tc>
      </w:tr>
      <w:tr w:rsidR="000D33D2">
        <w:tc>
          <w:tcPr>
            <w:tcW w:w="1286" w:type="dxa"/>
            <w:vAlign w:val="center"/>
          </w:tcPr>
          <w:p w:rsidR="000D33D2" w:rsidRDefault="00FB4FA1">
            <w:pPr>
              <w:jc w:val="left"/>
            </w:pPr>
            <w:r>
              <w:rPr>
                <w:color w:val="000000"/>
                <w:sz w:val="24"/>
              </w:rPr>
              <w:t>过去三年</w:t>
            </w:r>
          </w:p>
        </w:tc>
        <w:tc>
          <w:tcPr>
            <w:tcW w:w="1286" w:type="dxa"/>
            <w:vAlign w:val="center"/>
          </w:tcPr>
          <w:p w:rsidR="000D33D2" w:rsidRDefault="00FB4FA1">
            <w:pPr>
              <w:jc w:val="center"/>
            </w:pPr>
            <w:r>
              <w:rPr>
                <w:color w:val="000000"/>
                <w:sz w:val="24"/>
              </w:rPr>
              <w:t>15.69%</w:t>
            </w:r>
          </w:p>
        </w:tc>
        <w:tc>
          <w:tcPr>
            <w:tcW w:w="1286" w:type="dxa"/>
            <w:vAlign w:val="center"/>
          </w:tcPr>
          <w:p w:rsidR="000D33D2" w:rsidRDefault="00FB4FA1">
            <w:pPr>
              <w:jc w:val="center"/>
            </w:pPr>
            <w:r>
              <w:rPr>
                <w:color w:val="000000"/>
                <w:sz w:val="24"/>
              </w:rPr>
              <w:t>0.34%</w:t>
            </w:r>
          </w:p>
        </w:tc>
        <w:tc>
          <w:tcPr>
            <w:tcW w:w="1285" w:type="dxa"/>
            <w:vAlign w:val="center"/>
          </w:tcPr>
          <w:p w:rsidR="000D33D2" w:rsidRDefault="00FB4FA1">
            <w:pPr>
              <w:jc w:val="center"/>
            </w:pPr>
            <w:r>
              <w:rPr>
                <w:color w:val="000000"/>
                <w:sz w:val="24"/>
              </w:rPr>
              <w:t>1.38%</w:t>
            </w:r>
          </w:p>
        </w:tc>
        <w:tc>
          <w:tcPr>
            <w:tcW w:w="1285" w:type="dxa"/>
            <w:vAlign w:val="center"/>
          </w:tcPr>
          <w:p w:rsidR="000D33D2" w:rsidRDefault="00FB4FA1">
            <w:pPr>
              <w:jc w:val="center"/>
            </w:pPr>
            <w:r>
              <w:rPr>
                <w:color w:val="000000"/>
                <w:sz w:val="24"/>
              </w:rPr>
              <w:t>0.19%</w:t>
            </w:r>
          </w:p>
        </w:tc>
        <w:tc>
          <w:tcPr>
            <w:tcW w:w="1285" w:type="dxa"/>
            <w:vAlign w:val="center"/>
          </w:tcPr>
          <w:p w:rsidR="000D33D2" w:rsidRDefault="00FB4FA1">
            <w:pPr>
              <w:jc w:val="center"/>
            </w:pPr>
            <w:r>
              <w:rPr>
                <w:color w:val="000000"/>
                <w:sz w:val="24"/>
              </w:rPr>
              <w:t>14.31%</w:t>
            </w:r>
          </w:p>
        </w:tc>
        <w:tc>
          <w:tcPr>
            <w:tcW w:w="1285" w:type="dxa"/>
            <w:vAlign w:val="center"/>
          </w:tcPr>
          <w:p w:rsidR="000D33D2" w:rsidRDefault="00FB4FA1">
            <w:pPr>
              <w:jc w:val="center"/>
            </w:pPr>
            <w:r>
              <w:rPr>
                <w:color w:val="000000"/>
                <w:sz w:val="24"/>
              </w:rPr>
              <w:t>0.15%</w:t>
            </w:r>
          </w:p>
        </w:tc>
      </w:tr>
      <w:tr w:rsidR="000D33D2">
        <w:tc>
          <w:tcPr>
            <w:tcW w:w="1286" w:type="dxa"/>
            <w:vAlign w:val="center"/>
          </w:tcPr>
          <w:p w:rsidR="000D33D2" w:rsidRDefault="00FB4FA1">
            <w:pPr>
              <w:jc w:val="left"/>
            </w:pPr>
            <w:r>
              <w:rPr>
                <w:color w:val="000000"/>
                <w:sz w:val="24"/>
              </w:rPr>
              <w:t>自基金合同生效起至今</w:t>
            </w:r>
          </w:p>
        </w:tc>
        <w:tc>
          <w:tcPr>
            <w:tcW w:w="1286" w:type="dxa"/>
            <w:vAlign w:val="center"/>
          </w:tcPr>
          <w:p w:rsidR="000D33D2" w:rsidRDefault="00FB4FA1">
            <w:pPr>
              <w:jc w:val="center"/>
            </w:pPr>
            <w:r>
              <w:rPr>
                <w:color w:val="000000"/>
                <w:sz w:val="24"/>
              </w:rPr>
              <w:t>36.40%</w:t>
            </w:r>
          </w:p>
        </w:tc>
        <w:tc>
          <w:tcPr>
            <w:tcW w:w="1286" w:type="dxa"/>
            <w:vAlign w:val="center"/>
          </w:tcPr>
          <w:p w:rsidR="000D33D2" w:rsidRDefault="00FB4FA1">
            <w:pPr>
              <w:jc w:val="center"/>
            </w:pPr>
            <w:r>
              <w:rPr>
                <w:color w:val="000000"/>
                <w:sz w:val="24"/>
              </w:rPr>
              <w:t>0.32%</w:t>
            </w:r>
          </w:p>
        </w:tc>
        <w:tc>
          <w:tcPr>
            <w:tcW w:w="1285" w:type="dxa"/>
            <w:vAlign w:val="center"/>
          </w:tcPr>
          <w:p w:rsidR="000D33D2" w:rsidRDefault="00FB4FA1">
            <w:pPr>
              <w:jc w:val="center"/>
            </w:pPr>
            <w:r>
              <w:rPr>
                <w:color w:val="000000"/>
                <w:sz w:val="24"/>
              </w:rPr>
              <w:t>8.26%</w:t>
            </w:r>
          </w:p>
        </w:tc>
        <w:tc>
          <w:tcPr>
            <w:tcW w:w="1285" w:type="dxa"/>
            <w:vAlign w:val="center"/>
          </w:tcPr>
          <w:p w:rsidR="000D33D2" w:rsidRDefault="00FB4FA1">
            <w:pPr>
              <w:jc w:val="center"/>
            </w:pPr>
            <w:r>
              <w:rPr>
                <w:color w:val="000000"/>
                <w:sz w:val="24"/>
              </w:rPr>
              <w:t>0.18%</w:t>
            </w:r>
          </w:p>
        </w:tc>
        <w:tc>
          <w:tcPr>
            <w:tcW w:w="1285" w:type="dxa"/>
            <w:vAlign w:val="center"/>
          </w:tcPr>
          <w:p w:rsidR="000D33D2" w:rsidRDefault="00FB4FA1">
            <w:pPr>
              <w:jc w:val="center"/>
            </w:pPr>
            <w:r>
              <w:rPr>
                <w:color w:val="000000"/>
                <w:sz w:val="24"/>
              </w:rPr>
              <w:t>28.14%</w:t>
            </w:r>
          </w:p>
        </w:tc>
        <w:tc>
          <w:tcPr>
            <w:tcW w:w="1285" w:type="dxa"/>
            <w:vAlign w:val="center"/>
          </w:tcPr>
          <w:p w:rsidR="000D33D2" w:rsidRDefault="00FB4FA1">
            <w:pPr>
              <w:jc w:val="center"/>
            </w:pPr>
            <w:r>
              <w:rPr>
                <w:color w:val="000000"/>
                <w:sz w:val="24"/>
              </w:rPr>
              <w:t>0.14%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交银定期支付月月丰债券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交银定期支付月月丰债券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D33D2">
        <w:tc>
          <w:tcPr>
            <w:tcW w:w="1276" w:type="dxa"/>
            <w:vAlign w:val="center"/>
          </w:tcPr>
          <w:p w:rsidR="000D33D2" w:rsidRDefault="00FB4FA1">
            <w:pPr>
              <w:jc w:val="center"/>
            </w:pPr>
            <w:r>
              <w:rPr>
                <w:color w:val="000000"/>
                <w:sz w:val="24"/>
              </w:rPr>
              <w:t>2017</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0D33D2">
        <w:tc>
          <w:tcPr>
            <w:tcW w:w="1276" w:type="dxa"/>
            <w:vAlign w:val="center"/>
          </w:tcPr>
          <w:p w:rsidR="000D33D2" w:rsidRDefault="00FB4FA1">
            <w:pPr>
              <w:jc w:val="center"/>
            </w:pPr>
            <w:r>
              <w:rPr>
                <w:color w:val="000000"/>
                <w:sz w:val="24"/>
              </w:rPr>
              <w:t>2016</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0D33D2">
        <w:tc>
          <w:tcPr>
            <w:tcW w:w="1276" w:type="dxa"/>
            <w:vAlign w:val="center"/>
          </w:tcPr>
          <w:p w:rsidR="000D33D2" w:rsidRDefault="00FB4FA1">
            <w:pPr>
              <w:jc w:val="center"/>
            </w:pPr>
            <w:r>
              <w:rPr>
                <w:color w:val="000000"/>
                <w:sz w:val="24"/>
              </w:rPr>
              <w:t>2015</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D33D2">
        <w:tc>
          <w:tcPr>
            <w:tcW w:w="1276" w:type="dxa"/>
            <w:vAlign w:val="center"/>
          </w:tcPr>
          <w:p w:rsidR="000D33D2" w:rsidRDefault="00FB4FA1">
            <w:pPr>
              <w:jc w:val="center"/>
            </w:pPr>
            <w:r>
              <w:rPr>
                <w:color w:val="000000"/>
                <w:sz w:val="24"/>
              </w:rPr>
              <w:t>2017</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0D33D2">
        <w:tc>
          <w:tcPr>
            <w:tcW w:w="1276" w:type="dxa"/>
            <w:vAlign w:val="center"/>
          </w:tcPr>
          <w:p w:rsidR="000D33D2" w:rsidRDefault="00FB4FA1">
            <w:pPr>
              <w:jc w:val="center"/>
            </w:pPr>
            <w:r>
              <w:rPr>
                <w:color w:val="000000"/>
                <w:sz w:val="24"/>
              </w:rPr>
              <w:t>2016</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0D33D2">
        <w:tc>
          <w:tcPr>
            <w:tcW w:w="1276" w:type="dxa"/>
            <w:vAlign w:val="center"/>
          </w:tcPr>
          <w:p w:rsidR="000D33D2" w:rsidRDefault="00FB4FA1">
            <w:pPr>
              <w:jc w:val="center"/>
            </w:pPr>
            <w:r>
              <w:rPr>
                <w:color w:val="000000"/>
                <w:sz w:val="24"/>
              </w:rPr>
              <w:lastRenderedPageBreak/>
              <w:t>2015</w:t>
            </w:r>
            <w:r>
              <w:rPr>
                <w:color w:val="000000"/>
                <w:sz w:val="24"/>
              </w:rPr>
              <w:t>年</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701" w:type="dxa"/>
            <w:vAlign w:val="center"/>
          </w:tcPr>
          <w:p w:rsidR="000D33D2" w:rsidRDefault="00FB4FA1" w:rsidP="003F5AD1">
            <w:pPr>
              <w:jc w:val="right"/>
            </w:pPr>
            <w:r>
              <w:rPr>
                <w:color w:val="000000"/>
                <w:sz w:val="24"/>
              </w:rPr>
              <w:t>-</w:t>
            </w:r>
          </w:p>
        </w:tc>
        <w:tc>
          <w:tcPr>
            <w:tcW w:w="1559" w:type="dxa"/>
            <w:vAlign w:val="center"/>
          </w:tcPr>
          <w:p w:rsidR="000D33D2" w:rsidRDefault="00FB4FA1" w:rsidP="003F5AD1">
            <w:pPr>
              <w:jc w:val="right"/>
            </w:pPr>
            <w:r>
              <w:rPr>
                <w:color w:val="000000"/>
                <w:sz w:val="24"/>
              </w:rPr>
              <w:t>-</w:t>
            </w:r>
          </w:p>
        </w:tc>
        <w:tc>
          <w:tcPr>
            <w:tcW w:w="1060" w:type="dxa"/>
            <w:vAlign w:val="center"/>
          </w:tcPr>
          <w:p w:rsidR="000D33D2" w:rsidRDefault="00FB4FA1" w:rsidP="003F5AD1">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3F5AD1">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D33D2" w:rsidRDefault="00FB4FA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D33D2">
        <w:tc>
          <w:tcPr>
            <w:tcW w:w="1499" w:type="dxa"/>
            <w:vAlign w:val="center"/>
          </w:tcPr>
          <w:p w:rsidR="000D33D2" w:rsidRDefault="00FB4FA1">
            <w:pPr>
              <w:jc w:val="center"/>
            </w:pPr>
            <w:proofErr w:type="gramStart"/>
            <w:r>
              <w:rPr>
                <w:color w:val="000000"/>
                <w:sz w:val="24"/>
              </w:rPr>
              <w:t>于海颖</w:t>
            </w:r>
            <w:proofErr w:type="gramEnd"/>
          </w:p>
        </w:tc>
        <w:tc>
          <w:tcPr>
            <w:tcW w:w="1499" w:type="dxa"/>
            <w:vAlign w:val="center"/>
          </w:tcPr>
          <w:p w:rsidR="000D33D2" w:rsidRDefault="00FB4FA1">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w:t>
            </w:r>
            <w:r>
              <w:rPr>
                <w:color w:val="000000"/>
                <w:sz w:val="24"/>
              </w:rPr>
              <w:lastRenderedPageBreak/>
              <w:t>合、交银增利增强债券的基金经理，公司固定收益（公募）投资总监</w:t>
            </w:r>
          </w:p>
        </w:tc>
        <w:tc>
          <w:tcPr>
            <w:tcW w:w="1255" w:type="dxa"/>
            <w:vAlign w:val="center"/>
          </w:tcPr>
          <w:p w:rsidR="000D33D2" w:rsidRDefault="00FB4FA1">
            <w:pPr>
              <w:jc w:val="center"/>
            </w:pPr>
            <w:r>
              <w:rPr>
                <w:color w:val="000000"/>
                <w:sz w:val="24"/>
              </w:rPr>
              <w:lastRenderedPageBreak/>
              <w:t>2017-06-10</w:t>
            </w:r>
          </w:p>
        </w:tc>
        <w:tc>
          <w:tcPr>
            <w:tcW w:w="1276" w:type="dxa"/>
            <w:vAlign w:val="center"/>
          </w:tcPr>
          <w:p w:rsidR="000D33D2" w:rsidRDefault="00FB4FA1">
            <w:pPr>
              <w:jc w:val="center"/>
            </w:pPr>
            <w:r>
              <w:rPr>
                <w:color w:val="000000"/>
                <w:sz w:val="24"/>
              </w:rPr>
              <w:t>-</w:t>
            </w:r>
          </w:p>
        </w:tc>
        <w:tc>
          <w:tcPr>
            <w:tcW w:w="992" w:type="dxa"/>
            <w:vAlign w:val="center"/>
          </w:tcPr>
          <w:p w:rsidR="000D33D2" w:rsidRDefault="00FB4FA1">
            <w:pPr>
              <w:jc w:val="center"/>
            </w:pPr>
            <w:r>
              <w:rPr>
                <w:color w:val="000000"/>
                <w:sz w:val="24"/>
              </w:rPr>
              <w:t>11</w:t>
            </w:r>
            <w:r>
              <w:rPr>
                <w:color w:val="000000"/>
                <w:sz w:val="24"/>
              </w:rPr>
              <w:t>年</w:t>
            </w:r>
          </w:p>
        </w:tc>
        <w:tc>
          <w:tcPr>
            <w:tcW w:w="2477" w:type="dxa"/>
            <w:vAlign w:val="center"/>
          </w:tcPr>
          <w:p w:rsidR="000D33D2" w:rsidRDefault="00FB4FA1">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lastRenderedPageBreak/>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0D33D2">
        <w:tc>
          <w:tcPr>
            <w:tcW w:w="1499" w:type="dxa"/>
            <w:vAlign w:val="center"/>
          </w:tcPr>
          <w:p w:rsidR="000D33D2" w:rsidRDefault="00FB4FA1">
            <w:pPr>
              <w:jc w:val="center"/>
            </w:pPr>
            <w:r>
              <w:rPr>
                <w:color w:val="000000"/>
                <w:sz w:val="24"/>
              </w:rPr>
              <w:lastRenderedPageBreak/>
              <w:t>孙超</w:t>
            </w:r>
          </w:p>
        </w:tc>
        <w:tc>
          <w:tcPr>
            <w:tcW w:w="1499" w:type="dxa"/>
            <w:vAlign w:val="center"/>
          </w:tcPr>
          <w:p w:rsidR="000D33D2" w:rsidRDefault="00FB4FA1">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w:t>
            </w:r>
            <w:r>
              <w:rPr>
                <w:color w:val="000000"/>
                <w:sz w:val="24"/>
              </w:rPr>
              <w:lastRenderedPageBreak/>
              <w:t>债券、交银强化回报债券、交银丰硕收益债券、交银荣鑫保本混合、交银增利增强债券的基金经理，公司固定收益部助理总经理</w:t>
            </w:r>
          </w:p>
        </w:tc>
        <w:tc>
          <w:tcPr>
            <w:tcW w:w="1255" w:type="dxa"/>
            <w:vAlign w:val="center"/>
          </w:tcPr>
          <w:p w:rsidR="000D33D2" w:rsidRDefault="00FB4FA1">
            <w:pPr>
              <w:jc w:val="center"/>
            </w:pPr>
            <w:r>
              <w:rPr>
                <w:color w:val="000000"/>
                <w:sz w:val="24"/>
              </w:rPr>
              <w:lastRenderedPageBreak/>
              <w:t>2014-08-26</w:t>
            </w:r>
          </w:p>
        </w:tc>
        <w:tc>
          <w:tcPr>
            <w:tcW w:w="1276" w:type="dxa"/>
            <w:vAlign w:val="center"/>
          </w:tcPr>
          <w:p w:rsidR="000D33D2" w:rsidRDefault="00FB4FA1">
            <w:pPr>
              <w:jc w:val="center"/>
            </w:pPr>
            <w:r>
              <w:rPr>
                <w:color w:val="000000"/>
                <w:sz w:val="24"/>
              </w:rPr>
              <w:t>2017-06-22</w:t>
            </w:r>
          </w:p>
        </w:tc>
        <w:tc>
          <w:tcPr>
            <w:tcW w:w="992" w:type="dxa"/>
            <w:vAlign w:val="center"/>
          </w:tcPr>
          <w:p w:rsidR="000D33D2" w:rsidRDefault="00FB4FA1">
            <w:pPr>
              <w:jc w:val="center"/>
            </w:pPr>
            <w:r>
              <w:rPr>
                <w:color w:val="000000"/>
                <w:sz w:val="24"/>
              </w:rPr>
              <w:t>6</w:t>
            </w:r>
            <w:r>
              <w:rPr>
                <w:color w:val="000000"/>
                <w:sz w:val="24"/>
              </w:rPr>
              <w:t>年</w:t>
            </w:r>
          </w:p>
        </w:tc>
        <w:tc>
          <w:tcPr>
            <w:tcW w:w="2477" w:type="dxa"/>
            <w:vAlign w:val="center"/>
          </w:tcPr>
          <w:p w:rsidR="000D33D2" w:rsidRDefault="00FB4FA1">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lastRenderedPageBreak/>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proofErr w:type="gramStart"/>
            <w:r>
              <w:rPr>
                <w:color w:val="000000"/>
                <w:sz w:val="24"/>
              </w:rPr>
              <w:t>施罗德纯债债券</w:t>
            </w:r>
            <w:proofErr w:type="gramEnd"/>
            <w:r>
              <w:rPr>
                <w:color w:val="000000"/>
                <w:sz w:val="24"/>
              </w:rPr>
              <w:t>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w:t>
            </w:r>
            <w:r>
              <w:rPr>
                <w:color w:val="000000"/>
                <w:sz w:val="24"/>
              </w:rPr>
              <w:lastRenderedPageBreak/>
              <w:t>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w:t>
            </w:r>
            <w:proofErr w:type="gramStart"/>
            <w:r>
              <w:rPr>
                <w:color w:val="000000"/>
                <w:sz w:val="24"/>
              </w:rPr>
              <w:t>基金基金</w:t>
            </w:r>
            <w:proofErr w:type="gramEnd"/>
            <w:r>
              <w:rPr>
                <w:color w:val="000000"/>
                <w:sz w:val="24"/>
              </w:rPr>
              <w:t>经理。</w:t>
            </w:r>
          </w:p>
        </w:tc>
      </w:tr>
      <w:tr w:rsidR="000D33D2">
        <w:tc>
          <w:tcPr>
            <w:tcW w:w="1499" w:type="dxa"/>
            <w:vAlign w:val="center"/>
          </w:tcPr>
          <w:p w:rsidR="000D33D2" w:rsidRDefault="00FB4FA1">
            <w:pPr>
              <w:jc w:val="center"/>
            </w:pPr>
            <w:r>
              <w:rPr>
                <w:color w:val="000000"/>
                <w:sz w:val="24"/>
              </w:rPr>
              <w:lastRenderedPageBreak/>
              <w:t>王艺伟</w:t>
            </w:r>
          </w:p>
        </w:tc>
        <w:tc>
          <w:tcPr>
            <w:tcW w:w="1499" w:type="dxa"/>
            <w:vAlign w:val="center"/>
          </w:tcPr>
          <w:p w:rsidR="000D33D2" w:rsidRDefault="00FB4FA1">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255" w:type="dxa"/>
            <w:vAlign w:val="center"/>
          </w:tcPr>
          <w:p w:rsidR="000D33D2" w:rsidRDefault="00FB4FA1">
            <w:pPr>
              <w:jc w:val="center"/>
            </w:pPr>
            <w:r>
              <w:rPr>
                <w:color w:val="000000"/>
                <w:sz w:val="24"/>
              </w:rPr>
              <w:t>2017-02-10</w:t>
            </w:r>
          </w:p>
        </w:tc>
        <w:tc>
          <w:tcPr>
            <w:tcW w:w="1276" w:type="dxa"/>
            <w:vAlign w:val="center"/>
          </w:tcPr>
          <w:p w:rsidR="000D33D2" w:rsidRDefault="00FB4FA1">
            <w:pPr>
              <w:jc w:val="center"/>
            </w:pPr>
            <w:r>
              <w:rPr>
                <w:color w:val="000000"/>
                <w:sz w:val="24"/>
              </w:rPr>
              <w:t>-</w:t>
            </w:r>
          </w:p>
        </w:tc>
        <w:tc>
          <w:tcPr>
            <w:tcW w:w="992" w:type="dxa"/>
            <w:vAlign w:val="center"/>
          </w:tcPr>
          <w:p w:rsidR="000D33D2" w:rsidRDefault="00FB4FA1">
            <w:pPr>
              <w:jc w:val="center"/>
            </w:pPr>
            <w:r>
              <w:rPr>
                <w:color w:val="000000"/>
                <w:sz w:val="24"/>
              </w:rPr>
              <w:t>5</w:t>
            </w:r>
            <w:r>
              <w:rPr>
                <w:color w:val="000000"/>
                <w:sz w:val="24"/>
              </w:rPr>
              <w:t>年</w:t>
            </w:r>
          </w:p>
        </w:tc>
        <w:tc>
          <w:tcPr>
            <w:tcW w:w="2477" w:type="dxa"/>
            <w:vAlign w:val="center"/>
          </w:tcPr>
          <w:p w:rsidR="000D33D2" w:rsidRDefault="00FB4FA1">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0D33D2" w:rsidRDefault="00FB4FA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0D33D2" w:rsidRDefault="00FB4FA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0D33D2" w:rsidRDefault="00FB4FA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D33D2" w:rsidRDefault="00FB4FA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D33D2" w:rsidRDefault="00FB4FA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D33D2" w:rsidRDefault="00FB4FA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33D2" w:rsidRDefault="00FB4FA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D33D2" w:rsidRDefault="00FB4FA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w:t>
      </w:r>
      <w:r w:rsidRPr="001358D2">
        <w:rPr>
          <w:color w:val="000000"/>
          <w:sz w:val="24"/>
        </w:rPr>
        <w:lastRenderedPageBreak/>
        <w:t>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D33D2" w:rsidRDefault="00FB4FA1">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w:t>
      </w:r>
      <w:proofErr w:type="gramStart"/>
      <w:r>
        <w:rPr>
          <w:color w:val="000000"/>
          <w:sz w:val="24"/>
        </w:rPr>
        <w:t>初市场</w:t>
      </w:r>
      <w:proofErr w:type="gramEnd"/>
      <w:r>
        <w:rPr>
          <w:color w:val="000000"/>
          <w:sz w:val="24"/>
        </w:rPr>
        <w:t>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w:t>
      </w:r>
      <w:proofErr w:type="gramStart"/>
      <w:r>
        <w:rPr>
          <w:color w:val="000000"/>
          <w:sz w:val="24"/>
        </w:rPr>
        <w:t>特朗普</w:t>
      </w:r>
      <w:proofErr w:type="gramEnd"/>
      <w:r>
        <w:rPr>
          <w:color w:val="000000"/>
          <w:sz w:val="24"/>
        </w:rPr>
        <w:t>减税进程和汇率也时常扰动敏感的债券市场情绪。此外，各项监管政策的出台也在一定程度上影响了市场情绪。</w:t>
      </w:r>
    </w:p>
    <w:p w:rsidR="000D33D2" w:rsidRDefault="00FB4FA1">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w:t>
      </w:r>
      <w:proofErr w:type="gramStart"/>
      <w:r>
        <w:rPr>
          <w:color w:val="000000"/>
          <w:sz w:val="24"/>
        </w:rPr>
        <w:t>受事件</w:t>
      </w:r>
      <w:proofErr w:type="gramEnd"/>
      <w:r>
        <w:rPr>
          <w:color w:val="000000"/>
          <w:sz w:val="24"/>
        </w:rPr>
        <w:t>催化的苹果产业链、通信、新能源汽车、半导体产业以及</w:t>
      </w:r>
      <w:proofErr w:type="gramStart"/>
      <w:r>
        <w:rPr>
          <w:color w:val="000000"/>
          <w:sz w:val="24"/>
        </w:rPr>
        <w:t>光伏等板块</w:t>
      </w:r>
      <w:proofErr w:type="gramEnd"/>
      <w:r>
        <w:rPr>
          <w:color w:val="000000"/>
          <w:sz w:val="24"/>
        </w:rPr>
        <w:t>的龙头标的也有不错的表现。</w:t>
      </w:r>
    </w:p>
    <w:p w:rsidR="001A59F9" w:rsidRPr="001358D2" w:rsidRDefault="001A59F9" w:rsidP="001358D2">
      <w:pPr>
        <w:spacing w:before="29" w:line="288" w:lineRule="auto"/>
        <w:ind w:firstLineChars="200" w:firstLine="480"/>
        <w:rPr>
          <w:color w:val="000000"/>
          <w:sz w:val="24"/>
        </w:rPr>
      </w:pPr>
      <w:r w:rsidRPr="001358D2">
        <w:rPr>
          <w:color w:val="000000"/>
          <w:sz w:val="24"/>
        </w:rPr>
        <w:t>组合操作方面，本组合在</w:t>
      </w:r>
      <w:r w:rsidRPr="001358D2">
        <w:rPr>
          <w:color w:val="000000"/>
          <w:sz w:val="24"/>
        </w:rPr>
        <w:t>2017</w:t>
      </w:r>
      <w:r w:rsidRPr="001358D2">
        <w:rPr>
          <w:color w:val="000000"/>
          <w:sz w:val="24"/>
        </w:rPr>
        <w:t>年降低了组合</w:t>
      </w:r>
      <w:proofErr w:type="gramStart"/>
      <w:r w:rsidRPr="001358D2">
        <w:rPr>
          <w:color w:val="000000"/>
          <w:sz w:val="24"/>
        </w:rPr>
        <w:t>整体久期水平</w:t>
      </w:r>
      <w:proofErr w:type="gramEnd"/>
      <w:r w:rsidRPr="001358D2">
        <w:rPr>
          <w:color w:val="000000"/>
          <w:sz w:val="24"/>
        </w:rPr>
        <w:t>，同时降低信用品种的配置比例。权益操作方面，上半年我们主要配置了消费板块和一带一路主题，下半年主要配置了新能源汽车、有色等板块。</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日，交银月月丰债券</w:t>
      </w:r>
      <w:r w:rsidRPr="001358D2">
        <w:rPr>
          <w:color w:val="000000"/>
          <w:sz w:val="24"/>
        </w:rPr>
        <w:t>A</w:t>
      </w:r>
      <w:r w:rsidRPr="001358D2">
        <w:rPr>
          <w:color w:val="000000"/>
          <w:sz w:val="24"/>
        </w:rPr>
        <w:t>类份额净值为</w:t>
      </w:r>
      <w:r w:rsidRPr="001358D2">
        <w:rPr>
          <w:color w:val="000000"/>
          <w:sz w:val="24"/>
        </w:rPr>
        <w:t>1.390</w:t>
      </w:r>
      <w:r w:rsidRPr="001358D2">
        <w:rPr>
          <w:color w:val="000000"/>
          <w:sz w:val="24"/>
        </w:rPr>
        <w:t>元，本报告期份额净值增长率为</w:t>
      </w:r>
      <w:r w:rsidRPr="001358D2">
        <w:rPr>
          <w:color w:val="000000"/>
          <w:sz w:val="24"/>
        </w:rPr>
        <w:t>0.58%</w:t>
      </w:r>
      <w:r w:rsidRPr="001358D2">
        <w:rPr>
          <w:color w:val="000000"/>
          <w:sz w:val="24"/>
        </w:rPr>
        <w:t>，同期业绩比较基准增长率为</w:t>
      </w:r>
      <w:r w:rsidRPr="001358D2">
        <w:rPr>
          <w:color w:val="000000"/>
          <w:sz w:val="24"/>
        </w:rPr>
        <w:t>-1.08%</w:t>
      </w:r>
      <w:r w:rsidRPr="001358D2">
        <w:rPr>
          <w:color w:val="000000"/>
          <w:sz w:val="24"/>
        </w:rPr>
        <w:t>；交银月月丰债券</w:t>
      </w:r>
      <w:r w:rsidRPr="001358D2">
        <w:rPr>
          <w:color w:val="000000"/>
          <w:sz w:val="24"/>
        </w:rPr>
        <w:t>C</w:t>
      </w:r>
      <w:r w:rsidRPr="001358D2">
        <w:rPr>
          <w:color w:val="000000"/>
          <w:sz w:val="24"/>
        </w:rPr>
        <w:t>类份额净值为</w:t>
      </w:r>
      <w:r w:rsidRPr="001358D2">
        <w:rPr>
          <w:color w:val="000000"/>
          <w:sz w:val="24"/>
        </w:rPr>
        <w:t>1.364</w:t>
      </w:r>
      <w:r w:rsidRPr="001358D2">
        <w:rPr>
          <w:color w:val="000000"/>
          <w:sz w:val="24"/>
        </w:rPr>
        <w:t>元，本报告期份额净值增长率为</w:t>
      </w:r>
      <w:r w:rsidRPr="001358D2">
        <w:rPr>
          <w:color w:val="000000"/>
          <w:sz w:val="24"/>
        </w:rPr>
        <w:t>0.15%</w:t>
      </w:r>
      <w:r w:rsidRPr="001358D2">
        <w:rPr>
          <w:color w:val="000000"/>
          <w:sz w:val="24"/>
        </w:rPr>
        <w:t>，同期业绩比较基准增长率为</w:t>
      </w:r>
      <w:r w:rsidRPr="001358D2">
        <w:rPr>
          <w:color w:val="000000"/>
          <w:sz w:val="24"/>
        </w:rPr>
        <w:t>-1.08%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0D33D2" w:rsidRDefault="00FB4FA1">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w:t>
      </w:r>
      <w:r>
        <w:rPr>
          <w:color w:val="000000"/>
          <w:sz w:val="24"/>
        </w:rPr>
        <w:lastRenderedPageBreak/>
        <w:t>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D54B59" w:rsidRPr="001358D2" w:rsidRDefault="00D54B59" w:rsidP="001358D2">
      <w:pPr>
        <w:spacing w:before="29" w:line="288" w:lineRule="auto"/>
        <w:ind w:firstLineChars="200" w:firstLine="480"/>
        <w:rPr>
          <w:color w:val="000000"/>
          <w:sz w:val="24"/>
        </w:rPr>
      </w:pPr>
      <w:r w:rsidRPr="001358D2">
        <w:rPr>
          <w:color w:val="000000"/>
          <w:sz w:val="24"/>
        </w:rPr>
        <w:t>权益方面，相较于</w:t>
      </w:r>
      <w:r w:rsidRPr="001358D2">
        <w:rPr>
          <w:color w:val="000000"/>
          <w:sz w:val="24"/>
        </w:rPr>
        <w:t>2017</w:t>
      </w:r>
      <w:r w:rsidRPr="001358D2">
        <w:rPr>
          <w:color w:val="000000"/>
          <w:sz w:val="24"/>
        </w:rPr>
        <w:t>年，宏观基本面对权益市场的边际正向影响下降，部分品种的估值水平已经提升至较高水平，因此本基金在</w:t>
      </w:r>
      <w:r w:rsidRPr="001358D2">
        <w:rPr>
          <w:color w:val="000000"/>
          <w:sz w:val="24"/>
        </w:rPr>
        <w:t>2018</w:t>
      </w:r>
      <w:r w:rsidRPr="001358D2">
        <w:rPr>
          <w:color w:val="000000"/>
          <w:sz w:val="24"/>
        </w:rPr>
        <w:t>年会结合市场整体的估值情况，动态关注高景气度个股，并重点关注部分超跌板块的恢复性行情，细分行业景气度及业绩指标，精选个股，择机配置。</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D33D2" w:rsidRDefault="00FB4FA1">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0D33D2" w:rsidRDefault="00FB4FA1">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lastRenderedPageBreak/>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0D33D2" w:rsidRDefault="00FB4FA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交银施罗德定期支付月月丰债券型证券投资基金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21942</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交银施罗德定期支付月月丰债券型证券投资基金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3F5AD1"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194" w:type="dxa"/>
            <w:vAlign w:val="center"/>
          </w:tcPr>
          <w:p w:rsidR="00CA6575" w:rsidRPr="008B2C7A" w:rsidRDefault="003F5AD1"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790,866.69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10,836,581.10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862,598.78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704,127.78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62,424.66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44,689.62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68,093,907.36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132,179,133.44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6,371,053.96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7,372,200.00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61,722,853.40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124,806,933.44</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2,300,000.00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9,980,134.97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2,483,619.80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1,462,432.44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1,142,027.62</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1,691.98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34,516.50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76,057,541.71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154,921,211.03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3F5AD1" w:rsidP="003971A1">
            <w:pPr>
              <w:spacing w:before="29" w:line="288" w:lineRule="auto"/>
              <w:jc w:val="right"/>
              <w:rPr>
                <w:color w:val="000000"/>
                <w:sz w:val="24"/>
              </w:rPr>
            </w:pPr>
            <w:r>
              <w:rPr>
                <w:rFonts w:hint="eastAsia"/>
                <w:color w:val="000000"/>
                <w:sz w:val="24"/>
              </w:rPr>
              <w:t>-</w:t>
            </w:r>
          </w:p>
        </w:tc>
        <w:tc>
          <w:tcPr>
            <w:tcW w:w="2194" w:type="dxa"/>
            <w:vAlign w:val="center"/>
          </w:tcPr>
          <w:p w:rsidR="009566C1" w:rsidRPr="003971A1" w:rsidRDefault="003F5AD1" w:rsidP="003971A1">
            <w:pPr>
              <w:spacing w:before="29" w:line="288" w:lineRule="auto"/>
              <w:jc w:val="right"/>
              <w:rPr>
                <w:color w:val="000000"/>
                <w:sz w:val="24"/>
              </w:rPr>
            </w:pPr>
            <w:r>
              <w:rPr>
                <w:rFonts w:hint="eastAsia"/>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374,433.20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5,950,606.55</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1,342.36</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50,940.84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47,655.93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91,230.49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13,615.99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26,065.85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1,284.50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3,871.50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283,974.42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215,857.77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110,000.54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100,037.79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837,106.94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6,443,410.79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F5AD1" w:rsidP="003971A1">
            <w:pPr>
              <w:spacing w:before="29" w:line="288" w:lineRule="auto"/>
              <w:jc w:val="right"/>
              <w:rPr>
                <w:color w:val="000000"/>
                <w:sz w:val="24"/>
              </w:rPr>
            </w:pPr>
            <w:r>
              <w:rPr>
                <w:rFonts w:hint="eastAsia"/>
                <w:color w:val="000000"/>
                <w:sz w:val="24"/>
              </w:rPr>
              <w:t>-</w:t>
            </w:r>
          </w:p>
        </w:tc>
        <w:tc>
          <w:tcPr>
            <w:tcW w:w="2194" w:type="dxa"/>
            <w:vAlign w:val="center"/>
          </w:tcPr>
          <w:p w:rsidR="003E1AB8" w:rsidRPr="003971A1" w:rsidRDefault="003F5AD1" w:rsidP="003971A1">
            <w:pPr>
              <w:spacing w:before="29" w:line="288" w:lineRule="auto"/>
              <w:jc w:val="right"/>
              <w:rPr>
                <w:color w:val="000000"/>
                <w:sz w:val="24"/>
              </w:rPr>
            </w:pPr>
            <w:r>
              <w:rPr>
                <w:rFonts w:hint="eastAsia"/>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54,169,152.83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107,566,688.21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21,051,281.94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40,911,112.03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75,220,434.77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148,477,800.24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76,057,541.71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154,921,211.03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1.390</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1.364</w:t>
      </w:r>
      <w:r w:rsidR="001A59F9" w:rsidRPr="00E25C2A">
        <w:rPr>
          <w:kern w:val="0"/>
          <w:sz w:val="24"/>
        </w:rPr>
        <w:t>元，基金份额总额</w:t>
      </w:r>
      <w:r w:rsidR="001A59F9" w:rsidRPr="00E25C2A">
        <w:rPr>
          <w:kern w:val="0"/>
          <w:sz w:val="24"/>
        </w:rPr>
        <w:t>54,169,152.83</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51,422,526.03</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2,746,626.80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2,981,964.29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3,726,026.48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3,287,947.12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2,255,338.97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61,940.98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87,058.44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3,127,694.34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2,146,488.29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98,311.80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21,792.24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165,483.35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2,480,074.06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442,630.18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1,414,862.72</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-336,540.47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1,003,440.73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59,393.64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61,770.61</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-488,203.90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-1,018,884.48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16,737.72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9,497.93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2,283,668.74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2,163,989.07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771,255.80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542,468.87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220,358.78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154,991.13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26,151.80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35,458.79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976,101.11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728,084.00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132,278.88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549,557.37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132,278.88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549,557.37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157,522.37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153,428.91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698,295.55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1,562,037.41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698,295.55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1,562,037.41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107,566,688.21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40,911,112.03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148,477,800.24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698,295.55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698,295.55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-53,397,535.38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-20,558,125.64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-73,955,661.02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19,785,332.55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7,539,519.47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27,324,852.02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-73,182,867.93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-28,097,645.11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-101,280,513.04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54,169,152.83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21,051,281.94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75,220,434.77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38,283,858.29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13,594,138.16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51,877,996.45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1,562,037.41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1,562,037.41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69,282,829.92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25,754,936.46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95,037,766.38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122,462,980.56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45,009,982.70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167,472,963.26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-53,180,150.64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-19,255,046.24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-72,435,196.88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107,566,688.21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40,911,112.03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148,477,800.24</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lastRenderedPageBreak/>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D33D2" w:rsidRDefault="00FB4FA1">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0D33D2" w:rsidRDefault="00FB4FA1">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w:t>
      </w:r>
      <w:proofErr w:type="gramStart"/>
      <w:r>
        <w:rPr>
          <w:color w:val="000000"/>
          <w:sz w:val="24"/>
        </w:rPr>
        <w:t>起根据</w:t>
      </w:r>
      <w:proofErr w:type="gramEnd"/>
      <w:r>
        <w:rPr>
          <w:color w:val="000000"/>
          <w:sz w:val="24"/>
        </w:rPr>
        <w:t>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p>
    <w:p w:rsidR="000D33D2" w:rsidRDefault="00FB4FA1">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4%</w:t>
      </w:r>
      <w:r>
        <w:rPr>
          <w:color w:val="000000"/>
          <w:sz w:val="24"/>
        </w:rPr>
        <w:t>。</w:t>
      </w:r>
    </w:p>
    <w:p w:rsidR="000D33D2" w:rsidRDefault="00FB4FA1">
      <w:pPr>
        <w:spacing w:before="29" w:line="288" w:lineRule="auto"/>
        <w:ind w:firstLineChars="200" w:firstLine="480"/>
        <w:rPr>
          <w:color w:val="000000"/>
          <w:sz w:val="24"/>
        </w:rPr>
      </w:pPr>
      <w:r>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。本基金投资于固定收益类资产的比例不低于基金资产净值的</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；其中现金或到期日在一年以内的政府债券的投资比例合计不低于基金资产净值的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w:t>
      </w:r>
      <w:proofErr w:type="gramStart"/>
      <w:r>
        <w:rPr>
          <w:color w:val="000000"/>
          <w:sz w:val="24"/>
        </w:rPr>
        <w:t>债综合全价指数</w:t>
      </w:r>
      <w:proofErr w:type="gramEnd"/>
      <w:r>
        <w:rPr>
          <w:color w:val="000000"/>
          <w:sz w:val="24"/>
        </w:rPr>
        <w:t>收益率</w:t>
      </w:r>
      <w:r>
        <w:rPr>
          <w:color w:val="000000"/>
          <w:sz w:val="24"/>
        </w:rPr>
        <w:t>+10%×</w:t>
      </w:r>
      <w:r>
        <w:rPr>
          <w:color w:val="000000"/>
          <w:sz w:val="24"/>
        </w:rPr>
        <w:t>沪深</w:t>
      </w:r>
      <w:r>
        <w:rPr>
          <w:color w:val="000000"/>
          <w:sz w:val="24"/>
        </w:rPr>
        <w:t>300</w:t>
      </w:r>
      <w:r>
        <w:rPr>
          <w:color w:val="000000"/>
          <w:sz w:val="24"/>
        </w:rPr>
        <w:t>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D33D2" w:rsidRDefault="00FB4FA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颁布的《证券投资基金会计核算业务指引》、《交银施罗德定期支付月月丰债券型证券投资基金基金合同》和在财务报表附注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3F5AD1" w:rsidRDefault="00845DE9" w:rsidP="0086614D">
      <w:pPr>
        <w:spacing w:before="29" w:line="288" w:lineRule="auto"/>
        <w:ind w:firstLineChars="200" w:firstLine="480"/>
        <w:rPr>
          <w:color w:val="000000"/>
          <w:sz w:val="24"/>
        </w:rPr>
      </w:pPr>
      <w:r w:rsidRPr="00845DE9">
        <w:rPr>
          <w:rFonts w:hint="eastAsia"/>
          <w:color w:val="000000"/>
          <w:sz w:val="24"/>
        </w:rPr>
        <w:t>本报告期所采用的会计政策与最近一期年</w:t>
      </w:r>
      <w:proofErr w:type="gramStart"/>
      <w:r w:rsidRPr="00845DE9">
        <w:rPr>
          <w:rFonts w:hint="eastAsia"/>
          <w:color w:val="000000"/>
          <w:sz w:val="24"/>
        </w:rPr>
        <w:t>度报告</w:t>
      </w:r>
      <w:proofErr w:type="gramEnd"/>
      <w:r w:rsidRPr="00845DE9">
        <w:rPr>
          <w:rFonts w:hint="eastAsia"/>
          <w:color w:val="000000"/>
          <w:sz w:val="24"/>
        </w:rPr>
        <w:t>一致，但会计估计有所变更，详见</w:t>
      </w:r>
      <w:r w:rsidRPr="00845DE9">
        <w:rPr>
          <w:rFonts w:hint="eastAsia"/>
          <w:color w:val="000000"/>
          <w:sz w:val="24"/>
        </w:rPr>
        <w:t>7.4.5.2</w:t>
      </w:r>
      <w:r w:rsidRPr="00845DE9">
        <w:rPr>
          <w:rFonts w:hint="eastAsia"/>
          <w:color w:val="000000"/>
          <w:sz w:val="24"/>
        </w:rPr>
        <w:t>。</w:t>
      </w:r>
    </w:p>
    <w:p w:rsidR="003F5AD1" w:rsidRDefault="003F5AD1" w:rsidP="00845DE9">
      <w:pPr>
        <w:spacing w:before="29" w:line="288" w:lineRule="auto"/>
        <w:rPr>
          <w:rFonts w:hint="eastAsia"/>
          <w:color w:val="000000"/>
          <w:sz w:val="24"/>
        </w:rPr>
      </w:pPr>
    </w:p>
    <w:p w:rsidR="00FB4FA1" w:rsidRDefault="00FB4FA1" w:rsidP="00FB4FA1">
      <w:pPr>
        <w:pStyle w:val="20"/>
        <w:spacing w:before="29" w:after="0" w:line="288" w:lineRule="auto"/>
        <w:rPr>
          <w:rFonts w:ascii="Times New Roman" w:hAnsi="Times New Roman"/>
          <w:kern w:val="0"/>
          <w:szCs w:val="24"/>
        </w:rPr>
      </w:pPr>
      <w:r>
        <w:rPr>
          <w:rFonts w:ascii="Times New Roman" w:hAnsi="Times New Roman"/>
          <w:kern w:val="0"/>
          <w:szCs w:val="24"/>
        </w:rPr>
        <w:t xml:space="preserve">7.4.5 </w:t>
      </w:r>
      <w:r>
        <w:rPr>
          <w:rFonts w:ascii="Times New Roman" w:hAnsi="Times New Roman" w:hint="eastAsia"/>
          <w:kern w:val="0"/>
          <w:szCs w:val="24"/>
        </w:rPr>
        <w:t>会计政策和会计估计变更以及差错更正的说明</w:t>
      </w:r>
    </w:p>
    <w:p w:rsidR="00FB4FA1" w:rsidRDefault="00FB4FA1" w:rsidP="00FB4FA1">
      <w:pPr>
        <w:pStyle w:val="20"/>
        <w:spacing w:before="29" w:after="0" w:line="288" w:lineRule="auto"/>
        <w:rPr>
          <w:rFonts w:ascii="Times New Roman" w:hAnsi="Times New Roman"/>
          <w:kern w:val="0"/>
          <w:szCs w:val="24"/>
        </w:rPr>
      </w:pPr>
      <w:r>
        <w:rPr>
          <w:rFonts w:ascii="Times New Roman" w:hAnsi="Times New Roman"/>
          <w:kern w:val="0"/>
          <w:szCs w:val="24"/>
        </w:rPr>
        <w:t xml:space="preserve">7.4.5.1 </w:t>
      </w:r>
      <w:r>
        <w:rPr>
          <w:rFonts w:ascii="Times New Roman" w:hAnsi="Times New Roman" w:hint="eastAsia"/>
          <w:kern w:val="0"/>
          <w:szCs w:val="24"/>
        </w:rPr>
        <w:t>会计政策变更的说明</w:t>
      </w:r>
    </w:p>
    <w:p w:rsidR="00FB4FA1" w:rsidRDefault="00FB4FA1" w:rsidP="00FB4FA1">
      <w:pPr>
        <w:spacing w:before="29" w:line="288" w:lineRule="auto"/>
        <w:ind w:firstLineChars="200" w:firstLine="480"/>
        <w:rPr>
          <w:color w:val="000000"/>
          <w:sz w:val="24"/>
        </w:rPr>
      </w:pPr>
      <w:r>
        <w:rPr>
          <w:rFonts w:hint="eastAsia"/>
          <w:color w:val="000000"/>
          <w:sz w:val="24"/>
        </w:rPr>
        <w:t>本基金本报告期未发生会计政策变更。</w:t>
      </w:r>
    </w:p>
    <w:p w:rsidR="00FB4FA1" w:rsidRDefault="00FB4FA1" w:rsidP="00FB4FA1">
      <w:pPr>
        <w:spacing w:line="360" w:lineRule="auto"/>
        <w:ind w:firstLineChars="200" w:firstLine="420"/>
        <w:rPr>
          <w:rFonts w:asciiTheme="minorEastAsia" w:eastAsiaTheme="minorEastAsia" w:hAnsiTheme="minorEastAsia"/>
          <w:bCs/>
          <w:color w:val="000000"/>
          <w:szCs w:val="21"/>
        </w:rPr>
      </w:pPr>
    </w:p>
    <w:p w:rsidR="00FB4FA1" w:rsidRDefault="00FB4FA1" w:rsidP="00FB4FA1">
      <w:pPr>
        <w:pStyle w:val="20"/>
        <w:spacing w:before="29" w:after="0" w:line="288" w:lineRule="auto"/>
        <w:rPr>
          <w:rFonts w:ascii="Times New Roman" w:hAnsi="Times New Roman"/>
          <w:kern w:val="0"/>
          <w:szCs w:val="24"/>
        </w:rPr>
      </w:pPr>
      <w:r>
        <w:rPr>
          <w:rFonts w:ascii="Times New Roman" w:hAnsi="Times New Roman"/>
          <w:kern w:val="0"/>
          <w:szCs w:val="24"/>
        </w:rPr>
        <w:t xml:space="preserve">7.4.5.2 </w:t>
      </w:r>
      <w:r>
        <w:rPr>
          <w:rFonts w:ascii="Times New Roman" w:hAnsi="Times New Roman" w:hint="eastAsia"/>
          <w:kern w:val="0"/>
          <w:szCs w:val="24"/>
        </w:rPr>
        <w:t>会计估计变更的说明</w:t>
      </w:r>
    </w:p>
    <w:p w:rsidR="00FB4FA1" w:rsidRDefault="003F5AD1" w:rsidP="00FB4FA1">
      <w:pPr>
        <w:spacing w:before="29" w:line="288" w:lineRule="auto"/>
        <w:ind w:firstLineChars="200" w:firstLine="480"/>
        <w:rPr>
          <w:color w:val="000000"/>
          <w:sz w:val="24"/>
        </w:rPr>
      </w:pPr>
      <w:r w:rsidRPr="003F5AD1">
        <w:rPr>
          <w:rFonts w:ascii="宋体" w:hAnsi="宋体" w:hint="eastAsia"/>
          <w:color w:val="000000"/>
          <w:sz w:val="24"/>
        </w:rPr>
        <w:t>根据中国基金业协会</w:t>
      </w:r>
      <w:proofErr w:type="gramStart"/>
      <w:r w:rsidRPr="003F5AD1">
        <w:rPr>
          <w:rFonts w:ascii="宋体" w:hAnsi="宋体" w:hint="eastAsia"/>
          <w:color w:val="000000"/>
          <w:sz w:val="24"/>
        </w:rPr>
        <w:t>中基协发</w:t>
      </w:r>
      <w:proofErr w:type="gramEnd"/>
      <w:r w:rsidRPr="003F5AD1">
        <w:rPr>
          <w:rFonts w:ascii="宋体" w:hAnsi="宋体" w:hint="eastAsia"/>
          <w:color w:val="000000"/>
          <w:sz w:val="24"/>
        </w:rPr>
        <w:t>[2017]6号《关于发布&lt;证券投资基金投资流通受限股票估值指引(试行)&gt;的通知》之附件《证券投资基金投资流通受限股票估值指引(试行)》，对于在锁定期内的非公开发行股票、首次公开发行股票时公司股东公开发售股份、通过大宗交易取得的带限售期的股票等流通受限股票，本基金自2017年11月15日起改为按估值日在证券交易所上市交易的同一股票的公允价值扣除中证指数有限公司根据指引所独立提供的</w:t>
      </w:r>
      <w:proofErr w:type="gramStart"/>
      <w:r w:rsidRPr="003F5AD1">
        <w:rPr>
          <w:rFonts w:ascii="宋体" w:hAnsi="宋体" w:hint="eastAsia"/>
          <w:color w:val="000000"/>
          <w:sz w:val="24"/>
        </w:rPr>
        <w:t>该流通</w:t>
      </w:r>
      <w:proofErr w:type="gramEnd"/>
      <w:r w:rsidRPr="003F5AD1">
        <w:rPr>
          <w:rFonts w:ascii="宋体" w:hAnsi="宋体" w:hint="eastAsia"/>
          <w:color w:val="000000"/>
          <w:sz w:val="24"/>
        </w:rPr>
        <w:t>受限股票剩余限售期对应的流动性折扣后的价值进行估值。该估值技术变更对本基金无影响。</w:t>
      </w:r>
    </w:p>
    <w:p w:rsidR="00FB4FA1" w:rsidRDefault="00FB4FA1" w:rsidP="00FB4FA1">
      <w:pPr>
        <w:spacing w:line="360" w:lineRule="auto"/>
        <w:ind w:firstLineChars="200" w:firstLine="420"/>
        <w:rPr>
          <w:rFonts w:asciiTheme="minorEastAsia" w:eastAsiaTheme="minorEastAsia" w:hAnsiTheme="minorEastAsia"/>
          <w:bCs/>
          <w:color w:val="000000"/>
          <w:szCs w:val="21"/>
        </w:rPr>
      </w:pPr>
    </w:p>
    <w:p w:rsidR="00FB4FA1" w:rsidRDefault="00FB4FA1" w:rsidP="00FB4FA1">
      <w:pPr>
        <w:pStyle w:val="20"/>
        <w:spacing w:before="29" w:after="0" w:line="288" w:lineRule="auto"/>
        <w:rPr>
          <w:rFonts w:ascii="Times New Roman" w:hAnsi="Times New Roman"/>
          <w:kern w:val="0"/>
          <w:szCs w:val="24"/>
        </w:rPr>
      </w:pPr>
      <w:r>
        <w:rPr>
          <w:rFonts w:ascii="Times New Roman" w:hAnsi="Times New Roman"/>
          <w:kern w:val="0"/>
          <w:szCs w:val="24"/>
        </w:rPr>
        <w:t xml:space="preserve">7.4.5.3 </w:t>
      </w:r>
      <w:r>
        <w:rPr>
          <w:rFonts w:ascii="Times New Roman" w:hAnsi="Times New Roman" w:hint="eastAsia"/>
          <w:kern w:val="0"/>
          <w:szCs w:val="24"/>
        </w:rPr>
        <w:t>差错更正的说明</w:t>
      </w:r>
    </w:p>
    <w:p w:rsidR="00FB4FA1" w:rsidRDefault="00FB4FA1" w:rsidP="00FB4FA1">
      <w:pPr>
        <w:spacing w:before="29" w:line="288" w:lineRule="auto"/>
        <w:ind w:firstLineChars="200" w:firstLine="480"/>
        <w:rPr>
          <w:color w:val="000000"/>
          <w:sz w:val="24"/>
        </w:rPr>
      </w:pPr>
      <w:r>
        <w:rPr>
          <w:rFonts w:hint="eastAsia"/>
          <w:color w:val="000000"/>
          <w:sz w:val="24"/>
        </w:rPr>
        <w:t>本基金在本报告期间无需说明的会计差错更正。</w:t>
      </w:r>
    </w:p>
    <w:p w:rsidR="00FB4FA1" w:rsidRDefault="00FB4FA1" w:rsidP="00FB4FA1">
      <w:pPr>
        <w:spacing w:line="360" w:lineRule="auto"/>
        <w:ind w:firstLineChars="200" w:firstLine="420"/>
        <w:rPr>
          <w:rFonts w:asciiTheme="minorEastAsia" w:eastAsiaTheme="minorEastAsia" w:hAnsiTheme="minorEastAsia"/>
          <w:bCs/>
          <w:color w:val="000000"/>
          <w:szCs w:val="21"/>
        </w:rPr>
      </w:pPr>
    </w:p>
    <w:p w:rsidR="00FB4FA1" w:rsidRDefault="00FB4FA1" w:rsidP="00FB4FA1">
      <w:pPr>
        <w:pStyle w:val="20"/>
        <w:spacing w:before="29" w:after="0" w:line="288" w:lineRule="auto"/>
        <w:rPr>
          <w:rFonts w:ascii="Times New Roman" w:hAnsi="Times New Roman"/>
          <w:kern w:val="0"/>
          <w:szCs w:val="24"/>
        </w:rPr>
      </w:pPr>
      <w:r>
        <w:rPr>
          <w:rFonts w:ascii="Times New Roman" w:hAnsi="Times New Roman"/>
          <w:kern w:val="0"/>
          <w:szCs w:val="24"/>
        </w:rPr>
        <w:lastRenderedPageBreak/>
        <w:t xml:space="preserve">7.4.6 </w:t>
      </w:r>
      <w:r>
        <w:rPr>
          <w:rFonts w:ascii="Times New Roman" w:hAnsi="Times New Roman" w:hint="eastAsia"/>
          <w:kern w:val="0"/>
          <w:szCs w:val="24"/>
        </w:rPr>
        <w:t>税项</w:t>
      </w:r>
    </w:p>
    <w:p w:rsidR="00FB4FA1" w:rsidRDefault="00FB4FA1" w:rsidP="00FB4FA1">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[2004]78</w:t>
      </w:r>
      <w:r>
        <w:rPr>
          <w:rFonts w:hint="eastAsia"/>
          <w:color w:val="000000"/>
          <w:sz w:val="24"/>
        </w:rPr>
        <w:t>号《财政部、国家税务总局关于证券投资基金税收政策的通知》、财税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号《关于实施上市公司股息红利差别化个人所得税政策有关问题的通知》、财税</w:t>
      </w:r>
      <w:r>
        <w:rPr>
          <w:color w:val="000000"/>
          <w:sz w:val="24"/>
        </w:rPr>
        <w:t>[2015]101</w:t>
      </w:r>
      <w:r>
        <w:rPr>
          <w:rFonts w:hint="eastAsia"/>
          <w:color w:val="000000"/>
          <w:sz w:val="24"/>
        </w:rPr>
        <w:t>号《关于上市公司股息红利差别化个人所得税政策有关问题的通知》、财税</w:t>
      </w:r>
      <w:r>
        <w:rPr>
          <w:color w:val="000000"/>
          <w:sz w:val="24"/>
        </w:rPr>
        <w:t>[2016]36</w:t>
      </w:r>
      <w:r>
        <w:rPr>
          <w:rFonts w:hint="eastAsia"/>
          <w:color w:val="000000"/>
          <w:sz w:val="24"/>
        </w:rPr>
        <w:t>号《关于全面推开营业税改征增值税试点的通知》、财税</w:t>
      </w:r>
      <w:r>
        <w:rPr>
          <w:color w:val="000000"/>
          <w:sz w:val="24"/>
        </w:rPr>
        <w:t>[2016]46</w:t>
      </w:r>
      <w:r>
        <w:rPr>
          <w:rFonts w:hint="eastAsia"/>
          <w:color w:val="000000"/>
          <w:sz w:val="24"/>
        </w:rPr>
        <w:t>号《关于进一步明确全面推开营改增试点金融业有关政策的通知》、财税</w:t>
      </w:r>
      <w:r>
        <w:rPr>
          <w:color w:val="000000"/>
          <w:sz w:val="24"/>
        </w:rPr>
        <w:t>[2016]70</w:t>
      </w:r>
      <w:r>
        <w:rPr>
          <w:rFonts w:hint="eastAsia"/>
          <w:color w:val="000000"/>
          <w:sz w:val="24"/>
        </w:rPr>
        <w:t>号《关于金融机构同业往来等增值税政策的补充通知》、及其他相关财税法规和实务操作，主要税项列示如下：</w:t>
      </w:r>
    </w:p>
    <w:p w:rsidR="00FB4FA1" w:rsidRDefault="00845DE9" w:rsidP="00FB4FA1">
      <w:pPr>
        <w:spacing w:before="29" w:line="288" w:lineRule="auto"/>
        <w:ind w:firstLineChars="200" w:firstLine="480"/>
        <w:rPr>
          <w:color w:val="000000"/>
          <w:sz w:val="24"/>
        </w:rPr>
      </w:pPr>
      <w:r>
        <w:rPr>
          <w:color w:val="000000"/>
          <w:sz w:val="24"/>
        </w:rPr>
        <w:t xml:space="preserve">(1) </w:t>
      </w:r>
      <w:r w:rsidR="00FB4FA1">
        <w:rPr>
          <w:rFonts w:hint="eastAsia"/>
          <w:color w:val="000000"/>
          <w:sz w:val="24"/>
        </w:rPr>
        <w:t>于</w:t>
      </w:r>
      <w:r w:rsidR="00FB4FA1">
        <w:rPr>
          <w:color w:val="000000"/>
          <w:sz w:val="24"/>
        </w:rPr>
        <w:t>2016</w:t>
      </w:r>
      <w:r w:rsidR="00FB4FA1">
        <w:rPr>
          <w:rFonts w:hint="eastAsia"/>
          <w:color w:val="000000"/>
          <w:sz w:val="24"/>
        </w:rPr>
        <w:t>年</w:t>
      </w:r>
      <w:r w:rsidR="00FB4FA1">
        <w:rPr>
          <w:color w:val="000000"/>
          <w:sz w:val="24"/>
        </w:rPr>
        <w:t>5</w:t>
      </w:r>
      <w:r w:rsidR="00FB4FA1">
        <w:rPr>
          <w:rFonts w:hint="eastAsia"/>
          <w:color w:val="000000"/>
          <w:sz w:val="24"/>
        </w:rPr>
        <w:t>月</w:t>
      </w:r>
      <w:r w:rsidR="00FB4FA1">
        <w:rPr>
          <w:color w:val="000000"/>
          <w:sz w:val="24"/>
        </w:rPr>
        <w:t>1</w:t>
      </w:r>
      <w:r w:rsidR="00FB4FA1">
        <w:rPr>
          <w:rFonts w:hint="eastAsia"/>
          <w:color w:val="000000"/>
          <w:sz w:val="24"/>
        </w:rPr>
        <w:t>日前，以发行基金方式募集资金不属于营业税征收范围，不征收营业税。对证券投资基金管理人运用基金买卖股票、债券的差价收入免征营业税。自</w:t>
      </w:r>
      <w:r w:rsidR="00FB4FA1">
        <w:rPr>
          <w:color w:val="000000"/>
          <w:sz w:val="24"/>
        </w:rPr>
        <w:t>2016</w:t>
      </w:r>
      <w:r w:rsidR="00FB4FA1">
        <w:rPr>
          <w:rFonts w:hint="eastAsia"/>
          <w:color w:val="000000"/>
          <w:sz w:val="24"/>
        </w:rPr>
        <w:t>年</w:t>
      </w:r>
      <w:r w:rsidR="00FB4FA1">
        <w:rPr>
          <w:color w:val="000000"/>
          <w:sz w:val="24"/>
        </w:rPr>
        <w:t>5</w:t>
      </w:r>
      <w:r w:rsidR="00FB4FA1">
        <w:rPr>
          <w:rFonts w:hint="eastAsia"/>
          <w:color w:val="000000"/>
          <w:sz w:val="24"/>
        </w:rPr>
        <w:t>月</w:t>
      </w:r>
      <w:r w:rsidR="00FB4FA1">
        <w:rPr>
          <w:color w:val="000000"/>
          <w:sz w:val="24"/>
        </w:rPr>
        <w:t>1</w:t>
      </w:r>
      <w:r w:rsidR="00FB4FA1">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p>
    <w:p w:rsidR="00FB4FA1" w:rsidRDefault="00845DE9" w:rsidP="00FB4FA1">
      <w:pPr>
        <w:spacing w:before="29" w:line="288" w:lineRule="auto"/>
        <w:ind w:firstLineChars="200" w:firstLine="480"/>
        <w:rPr>
          <w:color w:val="000000"/>
          <w:sz w:val="24"/>
        </w:rPr>
      </w:pPr>
      <w:r>
        <w:rPr>
          <w:color w:val="000000"/>
          <w:sz w:val="24"/>
        </w:rPr>
        <w:t xml:space="preserve">(2) </w:t>
      </w:r>
      <w:r w:rsidR="00FB4FA1">
        <w:rPr>
          <w:rFonts w:hint="eastAsia"/>
          <w:color w:val="000000"/>
          <w:sz w:val="24"/>
        </w:rPr>
        <w:t>对基金从证券市场中取得的收入，包括买卖股票、债券的差价收入，股票的股息、红利收入，债券的利息收入及其他收入，暂不征收企业所得税。</w:t>
      </w:r>
    </w:p>
    <w:p w:rsidR="00FB4FA1" w:rsidRDefault="00845DE9" w:rsidP="00FB4FA1">
      <w:pPr>
        <w:spacing w:before="29" w:line="288" w:lineRule="auto"/>
        <w:ind w:firstLineChars="200" w:firstLine="480"/>
        <w:rPr>
          <w:color w:val="000000"/>
          <w:sz w:val="24"/>
        </w:rPr>
      </w:pPr>
      <w:r>
        <w:rPr>
          <w:color w:val="000000"/>
          <w:sz w:val="24"/>
        </w:rPr>
        <w:t xml:space="preserve">(3) </w:t>
      </w:r>
      <w:r w:rsidR="00FB4FA1">
        <w:rPr>
          <w:rFonts w:hint="eastAsia"/>
          <w:color w:val="000000"/>
          <w:sz w:val="24"/>
        </w:rPr>
        <w:t>对基金取得的企业债券利息收入，应由发行债券的企业在向基金支付利息时代扣代缴</w:t>
      </w:r>
      <w:r w:rsidR="00FB4FA1">
        <w:rPr>
          <w:color w:val="000000"/>
          <w:sz w:val="24"/>
        </w:rPr>
        <w:t>20%</w:t>
      </w:r>
      <w:r w:rsidR="00FB4FA1">
        <w:rPr>
          <w:rFonts w:hint="eastAsia"/>
          <w:color w:val="000000"/>
          <w:sz w:val="24"/>
        </w:rPr>
        <w:t>的个人所得税。对基金从上市公司取得的股息红利所得，持股期限在</w:t>
      </w:r>
      <w:r w:rsidR="00FB4FA1">
        <w:rPr>
          <w:color w:val="000000"/>
          <w:sz w:val="24"/>
        </w:rPr>
        <w:t>1</w:t>
      </w:r>
      <w:r w:rsidR="00FB4FA1">
        <w:rPr>
          <w:rFonts w:hint="eastAsia"/>
          <w:color w:val="000000"/>
          <w:sz w:val="24"/>
        </w:rPr>
        <w:t>个月以内</w:t>
      </w:r>
      <w:r w:rsidR="00FB4FA1">
        <w:rPr>
          <w:color w:val="000000"/>
          <w:sz w:val="24"/>
        </w:rPr>
        <w:t>(</w:t>
      </w:r>
      <w:r w:rsidR="00FB4FA1">
        <w:rPr>
          <w:rFonts w:hint="eastAsia"/>
          <w:color w:val="000000"/>
          <w:sz w:val="24"/>
        </w:rPr>
        <w:t>含</w:t>
      </w:r>
      <w:r w:rsidR="00FB4FA1">
        <w:rPr>
          <w:color w:val="000000"/>
          <w:sz w:val="24"/>
        </w:rPr>
        <w:t>1</w:t>
      </w:r>
      <w:r w:rsidR="00FB4FA1">
        <w:rPr>
          <w:rFonts w:hint="eastAsia"/>
          <w:color w:val="000000"/>
          <w:sz w:val="24"/>
        </w:rPr>
        <w:t>个月</w:t>
      </w:r>
      <w:r w:rsidR="00FB4FA1">
        <w:rPr>
          <w:color w:val="000000"/>
          <w:sz w:val="24"/>
        </w:rPr>
        <w:t>)</w:t>
      </w:r>
      <w:r w:rsidR="00FB4FA1">
        <w:rPr>
          <w:rFonts w:hint="eastAsia"/>
          <w:color w:val="000000"/>
          <w:sz w:val="24"/>
        </w:rPr>
        <w:t>的，其股息红利所得全额计入应纳税所得额；持股期限在</w:t>
      </w:r>
      <w:r w:rsidR="00FB4FA1">
        <w:rPr>
          <w:color w:val="000000"/>
          <w:sz w:val="24"/>
        </w:rPr>
        <w:t>1</w:t>
      </w:r>
      <w:r w:rsidR="00FB4FA1">
        <w:rPr>
          <w:rFonts w:hint="eastAsia"/>
          <w:color w:val="000000"/>
          <w:sz w:val="24"/>
        </w:rPr>
        <w:t>个月以上至</w:t>
      </w:r>
      <w:r w:rsidR="00FB4FA1">
        <w:rPr>
          <w:color w:val="000000"/>
          <w:sz w:val="24"/>
        </w:rPr>
        <w:t>1</w:t>
      </w:r>
      <w:r w:rsidR="00FB4FA1">
        <w:rPr>
          <w:rFonts w:hint="eastAsia"/>
          <w:color w:val="000000"/>
          <w:sz w:val="24"/>
        </w:rPr>
        <w:t>年</w:t>
      </w:r>
      <w:r w:rsidR="00FB4FA1">
        <w:rPr>
          <w:color w:val="000000"/>
          <w:sz w:val="24"/>
        </w:rPr>
        <w:t>(</w:t>
      </w:r>
      <w:r w:rsidR="00FB4FA1">
        <w:rPr>
          <w:rFonts w:hint="eastAsia"/>
          <w:color w:val="000000"/>
          <w:sz w:val="24"/>
        </w:rPr>
        <w:t>含</w:t>
      </w:r>
      <w:r w:rsidR="00FB4FA1">
        <w:rPr>
          <w:color w:val="000000"/>
          <w:sz w:val="24"/>
        </w:rPr>
        <w:t>1</w:t>
      </w:r>
      <w:r w:rsidR="00FB4FA1">
        <w:rPr>
          <w:rFonts w:hint="eastAsia"/>
          <w:color w:val="000000"/>
          <w:sz w:val="24"/>
        </w:rPr>
        <w:t>年</w:t>
      </w:r>
      <w:r w:rsidR="00FB4FA1">
        <w:rPr>
          <w:color w:val="000000"/>
          <w:sz w:val="24"/>
        </w:rPr>
        <w:t>)</w:t>
      </w:r>
      <w:r w:rsidR="00FB4FA1">
        <w:rPr>
          <w:rFonts w:hint="eastAsia"/>
          <w:color w:val="000000"/>
          <w:sz w:val="24"/>
        </w:rPr>
        <w:t>的，暂减按</w:t>
      </w:r>
      <w:r w:rsidR="00FB4FA1">
        <w:rPr>
          <w:color w:val="000000"/>
          <w:sz w:val="24"/>
        </w:rPr>
        <w:t>50%</w:t>
      </w:r>
      <w:r w:rsidR="00FB4FA1">
        <w:rPr>
          <w:rFonts w:hint="eastAsia"/>
          <w:color w:val="000000"/>
          <w:sz w:val="24"/>
        </w:rPr>
        <w:t>计入应纳税所得额；持股期限超过</w:t>
      </w:r>
      <w:r w:rsidR="00FB4FA1">
        <w:rPr>
          <w:color w:val="000000"/>
          <w:sz w:val="24"/>
        </w:rPr>
        <w:t>1</w:t>
      </w:r>
      <w:r w:rsidR="00FB4FA1">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00FB4FA1">
        <w:rPr>
          <w:color w:val="000000"/>
          <w:sz w:val="24"/>
        </w:rPr>
        <w:t>50%</w:t>
      </w:r>
      <w:r w:rsidR="00FB4FA1">
        <w:rPr>
          <w:rFonts w:hint="eastAsia"/>
          <w:color w:val="000000"/>
          <w:sz w:val="24"/>
        </w:rPr>
        <w:t>计入应纳税所得额。上述所得统一适用</w:t>
      </w:r>
      <w:r w:rsidR="00FB4FA1">
        <w:rPr>
          <w:color w:val="000000"/>
          <w:sz w:val="24"/>
        </w:rPr>
        <w:t>20%</w:t>
      </w:r>
      <w:r w:rsidR="00FB4FA1">
        <w:rPr>
          <w:rFonts w:hint="eastAsia"/>
          <w:color w:val="000000"/>
          <w:sz w:val="24"/>
        </w:rPr>
        <w:t>的税率计征个人所得税。</w:t>
      </w:r>
    </w:p>
    <w:p w:rsidR="001A59F9" w:rsidRPr="0076649F" w:rsidRDefault="00845DE9" w:rsidP="00845DE9">
      <w:pPr>
        <w:spacing w:before="29" w:line="288" w:lineRule="auto"/>
        <w:ind w:firstLineChars="200" w:firstLine="480"/>
        <w:rPr>
          <w:rFonts w:hint="eastAsia"/>
          <w:color w:val="000000"/>
          <w:sz w:val="24"/>
        </w:rPr>
      </w:pPr>
      <w:r>
        <w:rPr>
          <w:color w:val="000000"/>
          <w:sz w:val="24"/>
        </w:rPr>
        <w:t xml:space="preserve">(4) </w:t>
      </w:r>
      <w:r w:rsidR="00FB4FA1">
        <w:rPr>
          <w:rFonts w:hint="eastAsia"/>
          <w:color w:val="000000"/>
          <w:sz w:val="24"/>
        </w:rPr>
        <w:t>基金卖出股票按</w:t>
      </w:r>
      <w:r w:rsidR="00FB4FA1">
        <w:rPr>
          <w:color w:val="000000"/>
          <w:sz w:val="24"/>
        </w:rPr>
        <w:t>0.1%</w:t>
      </w:r>
      <w:r w:rsidR="00FB4FA1">
        <w:rPr>
          <w:rFonts w:hint="eastAsia"/>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D33D2">
        <w:tc>
          <w:tcPr>
            <w:tcW w:w="5219" w:type="dxa"/>
            <w:vAlign w:val="center"/>
          </w:tcPr>
          <w:p w:rsidR="000D33D2" w:rsidRDefault="00FB4F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D33D2" w:rsidRDefault="00FB4FA1">
            <w:pPr>
              <w:jc w:val="center"/>
            </w:pPr>
            <w:r>
              <w:rPr>
                <w:color w:val="000000"/>
                <w:sz w:val="24"/>
              </w:rPr>
              <w:t>基金管理人、基金销售机构</w:t>
            </w:r>
          </w:p>
        </w:tc>
      </w:tr>
      <w:tr w:rsidR="000D33D2">
        <w:tc>
          <w:tcPr>
            <w:tcW w:w="5219" w:type="dxa"/>
            <w:vAlign w:val="center"/>
          </w:tcPr>
          <w:p w:rsidR="000D33D2" w:rsidRDefault="00FB4FA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D33D2" w:rsidRDefault="00FB4FA1">
            <w:pPr>
              <w:jc w:val="center"/>
            </w:pPr>
            <w:r>
              <w:rPr>
                <w:color w:val="000000"/>
                <w:sz w:val="24"/>
              </w:rPr>
              <w:t>基金托管人、基金销售机构</w:t>
            </w:r>
          </w:p>
        </w:tc>
      </w:tr>
      <w:tr w:rsidR="000D33D2">
        <w:tc>
          <w:tcPr>
            <w:tcW w:w="5219" w:type="dxa"/>
            <w:vAlign w:val="center"/>
          </w:tcPr>
          <w:p w:rsidR="000D33D2" w:rsidRDefault="00FB4FA1">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0D33D2" w:rsidRDefault="00FB4FA1">
            <w:pPr>
              <w:jc w:val="center"/>
            </w:pPr>
            <w:r>
              <w:rPr>
                <w:color w:val="000000"/>
                <w:sz w:val="24"/>
              </w:rPr>
              <w:t>基金管理人的股东、基金销售机构</w:t>
            </w:r>
          </w:p>
        </w:tc>
      </w:tr>
      <w:tr w:rsidR="000D33D2">
        <w:tc>
          <w:tcPr>
            <w:tcW w:w="5219" w:type="dxa"/>
            <w:vAlign w:val="center"/>
          </w:tcPr>
          <w:p w:rsidR="000D33D2" w:rsidRDefault="00FB4FA1">
            <w:pPr>
              <w:jc w:val="left"/>
            </w:pPr>
            <w:r>
              <w:rPr>
                <w:color w:val="000000"/>
                <w:sz w:val="24"/>
              </w:rPr>
              <w:t>施罗德投资管理有限公司</w:t>
            </w:r>
          </w:p>
        </w:tc>
        <w:tc>
          <w:tcPr>
            <w:tcW w:w="3779" w:type="dxa"/>
            <w:vAlign w:val="center"/>
          </w:tcPr>
          <w:p w:rsidR="000D33D2" w:rsidRDefault="00FB4FA1">
            <w:pPr>
              <w:jc w:val="center"/>
            </w:pPr>
            <w:r>
              <w:rPr>
                <w:color w:val="000000"/>
                <w:sz w:val="24"/>
              </w:rPr>
              <w:t>基金管理人的股东</w:t>
            </w:r>
          </w:p>
        </w:tc>
      </w:tr>
      <w:tr w:rsidR="000D33D2">
        <w:tc>
          <w:tcPr>
            <w:tcW w:w="5219" w:type="dxa"/>
            <w:vAlign w:val="center"/>
          </w:tcPr>
          <w:p w:rsidR="000D33D2" w:rsidRDefault="00FB4FA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D33D2" w:rsidRDefault="00FB4FA1">
            <w:pPr>
              <w:jc w:val="center"/>
            </w:pPr>
            <w:r>
              <w:rPr>
                <w:color w:val="000000"/>
                <w:sz w:val="24"/>
              </w:rPr>
              <w:t>基金管理人的股东</w:t>
            </w:r>
          </w:p>
        </w:tc>
      </w:tr>
      <w:tr w:rsidR="000D33D2">
        <w:tc>
          <w:tcPr>
            <w:tcW w:w="5219" w:type="dxa"/>
            <w:vAlign w:val="center"/>
          </w:tcPr>
          <w:p w:rsidR="000D33D2" w:rsidRDefault="00FB4FA1">
            <w:pPr>
              <w:jc w:val="left"/>
            </w:pPr>
            <w:r>
              <w:rPr>
                <w:color w:val="000000"/>
                <w:sz w:val="24"/>
              </w:rPr>
              <w:t>交银施罗德资产管理有限公司</w:t>
            </w:r>
          </w:p>
        </w:tc>
        <w:tc>
          <w:tcPr>
            <w:tcW w:w="3779" w:type="dxa"/>
            <w:vAlign w:val="center"/>
          </w:tcPr>
          <w:p w:rsidR="000D33D2" w:rsidRDefault="00FB4FA1">
            <w:pPr>
              <w:jc w:val="center"/>
            </w:pPr>
            <w:r>
              <w:rPr>
                <w:color w:val="000000"/>
                <w:sz w:val="24"/>
              </w:rPr>
              <w:t>基金管理人的子公司</w:t>
            </w:r>
          </w:p>
        </w:tc>
      </w:tr>
      <w:tr w:rsidR="000D33D2">
        <w:tc>
          <w:tcPr>
            <w:tcW w:w="5219" w:type="dxa"/>
            <w:vAlign w:val="center"/>
          </w:tcPr>
          <w:p w:rsidR="000D33D2" w:rsidRDefault="00FB4FA1">
            <w:pPr>
              <w:jc w:val="left"/>
            </w:pPr>
            <w:r>
              <w:rPr>
                <w:color w:val="000000"/>
                <w:sz w:val="24"/>
              </w:rPr>
              <w:t>上海直源投资管理有限公司</w:t>
            </w:r>
          </w:p>
        </w:tc>
        <w:tc>
          <w:tcPr>
            <w:tcW w:w="3779" w:type="dxa"/>
            <w:vAlign w:val="center"/>
          </w:tcPr>
          <w:p w:rsidR="000D33D2" w:rsidRDefault="00FB4FA1">
            <w:pPr>
              <w:jc w:val="center"/>
            </w:pPr>
            <w:r>
              <w:rPr>
                <w:color w:val="000000"/>
                <w:sz w:val="24"/>
              </w:rPr>
              <w:t>受基金管理人控制的公司</w:t>
            </w:r>
          </w:p>
        </w:tc>
      </w:tr>
      <w:tr w:rsidR="000D33D2">
        <w:tc>
          <w:tcPr>
            <w:tcW w:w="5219" w:type="dxa"/>
            <w:vAlign w:val="center"/>
          </w:tcPr>
          <w:p w:rsidR="000D33D2" w:rsidRDefault="00FB4FA1">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D33D2" w:rsidRDefault="00FB4FA1">
            <w:pPr>
              <w:jc w:val="center"/>
            </w:pPr>
            <w:r>
              <w:rPr>
                <w:color w:val="000000"/>
                <w:sz w:val="24"/>
              </w:rPr>
              <w:t>受基金管理人控制的公司</w:t>
            </w:r>
          </w:p>
        </w:tc>
      </w:tr>
    </w:tbl>
    <w:p w:rsidR="001A59F9" w:rsidRPr="00845DE9" w:rsidRDefault="001A59F9" w:rsidP="00845DE9">
      <w:pPr>
        <w:tabs>
          <w:tab w:val="left" w:pos="426"/>
        </w:tabs>
        <w:spacing w:before="29" w:line="288" w:lineRule="auto"/>
        <w:jc w:val="left"/>
        <w:rPr>
          <w:rFonts w:hint="eastAsia"/>
          <w:kern w:val="0"/>
          <w:sz w:val="24"/>
        </w:rPr>
      </w:pPr>
      <w:r w:rsidRPr="00E25C2A">
        <w:rPr>
          <w:kern w:val="0"/>
          <w:sz w:val="24"/>
        </w:rPr>
        <w:t>注：下述关联交易均在正常业务范围内按一般商业条款订立。</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771,255.80</w:t>
            </w:r>
          </w:p>
        </w:tc>
        <w:tc>
          <w:tcPr>
            <w:tcW w:w="2657" w:type="dxa"/>
            <w:vAlign w:val="center"/>
          </w:tcPr>
          <w:p w:rsidR="001A59F9" w:rsidRPr="00817316" w:rsidRDefault="001A59F9" w:rsidP="00817316">
            <w:pPr>
              <w:spacing w:before="29" w:line="288" w:lineRule="auto"/>
              <w:jc w:val="right"/>
              <w:rPr>
                <w:sz w:val="24"/>
              </w:rPr>
            </w:pPr>
            <w:r w:rsidRPr="00817316">
              <w:rPr>
                <w:sz w:val="24"/>
              </w:rPr>
              <w:t>542,468.87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234,170.24</w:t>
            </w:r>
          </w:p>
        </w:tc>
        <w:tc>
          <w:tcPr>
            <w:tcW w:w="2657" w:type="dxa"/>
            <w:vAlign w:val="center"/>
          </w:tcPr>
          <w:p w:rsidR="001A59F9" w:rsidRPr="00817316" w:rsidRDefault="001A59F9" w:rsidP="00817316">
            <w:pPr>
              <w:spacing w:before="29" w:line="288" w:lineRule="auto"/>
              <w:jc w:val="right"/>
              <w:rPr>
                <w:sz w:val="24"/>
              </w:rPr>
            </w:pPr>
            <w:r w:rsidRPr="00817316">
              <w:rPr>
                <w:sz w:val="24"/>
              </w:rPr>
              <w:t>147,154.29</w:t>
            </w:r>
          </w:p>
        </w:tc>
      </w:tr>
    </w:tbl>
    <w:p w:rsidR="000D33D2" w:rsidRDefault="00FB4FA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220,358.78</w:t>
            </w:r>
          </w:p>
        </w:tc>
        <w:tc>
          <w:tcPr>
            <w:tcW w:w="2657" w:type="dxa"/>
            <w:vAlign w:val="center"/>
          </w:tcPr>
          <w:p w:rsidR="001A59F9" w:rsidRPr="00817316" w:rsidRDefault="001A59F9" w:rsidP="00817316">
            <w:pPr>
              <w:spacing w:before="29" w:line="288" w:lineRule="auto"/>
              <w:jc w:val="right"/>
              <w:rPr>
                <w:sz w:val="24"/>
              </w:rPr>
            </w:pPr>
            <w:r w:rsidRPr="00817316">
              <w:rPr>
                <w:sz w:val="24"/>
              </w:rPr>
              <w:t>154,991.13</w:t>
            </w:r>
          </w:p>
        </w:tc>
      </w:tr>
    </w:tbl>
    <w:p w:rsidR="000D33D2" w:rsidRDefault="00FB4FA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3F5AD1">
        <w:tc>
          <w:tcPr>
            <w:tcW w:w="2110" w:type="dxa"/>
            <w:vMerge w:val="restart"/>
            <w:vAlign w:val="center"/>
          </w:tcPr>
          <w:p w:rsidR="0007161E" w:rsidRPr="00251201" w:rsidRDefault="0007161E" w:rsidP="003F5AD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3F5AD1">
        <w:tc>
          <w:tcPr>
            <w:tcW w:w="2110" w:type="dxa"/>
            <w:vMerge/>
          </w:tcPr>
          <w:p w:rsidR="0007161E" w:rsidRPr="00251201" w:rsidRDefault="0007161E" w:rsidP="003F5AD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3F5AD1">
        <w:tc>
          <w:tcPr>
            <w:tcW w:w="2110" w:type="dxa"/>
            <w:vMerge/>
          </w:tcPr>
          <w:p w:rsidR="0007161E" w:rsidRPr="00251201" w:rsidRDefault="0007161E" w:rsidP="003F5AD1">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D33D2">
        <w:tc>
          <w:tcPr>
            <w:tcW w:w="2045" w:type="dxa"/>
            <w:vAlign w:val="center"/>
          </w:tcPr>
          <w:p w:rsidR="000D33D2" w:rsidRDefault="00FB4FA1">
            <w:pPr>
              <w:jc w:val="left"/>
            </w:pPr>
            <w:r>
              <w:rPr>
                <w:sz w:val="24"/>
              </w:rPr>
              <w:t>交通银行</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11,268.24</w:t>
            </w:r>
          </w:p>
        </w:tc>
        <w:tc>
          <w:tcPr>
            <w:tcW w:w="1889" w:type="dxa"/>
            <w:vAlign w:val="center"/>
          </w:tcPr>
          <w:p w:rsidR="000D33D2" w:rsidRDefault="00FB4FA1">
            <w:pPr>
              <w:jc w:val="right"/>
            </w:pPr>
            <w:r>
              <w:rPr>
                <w:sz w:val="24"/>
              </w:rPr>
              <w:t>11,268.24</w:t>
            </w:r>
          </w:p>
        </w:tc>
      </w:tr>
      <w:tr w:rsidR="000D33D2">
        <w:tc>
          <w:tcPr>
            <w:tcW w:w="2045" w:type="dxa"/>
            <w:vAlign w:val="center"/>
          </w:tcPr>
          <w:p w:rsidR="000D33D2" w:rsidRDefault="00FB4FA1">
            <w:pPr>
              <w:jc w:val="left"/>
            </w:pPr>
            <w:r>
              <w:rPr>
                <w:sz w:val="24"/>
              </w:rPr>
              <w:lastRenderedPageBreak/>
              <w:t>中国建设银行</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7,532.00</w:t>
            </w:r>
          </w:p>
        </w:tc>
        <w:tc>
          <w:tcPr>
            <w:tcW w:w="1889" w:type="dxa"/>
            <w:vAlign w:val="center"/>
          </w:tcPr>
          <w:p w:rsidR="000D33D2" w:rsidRDefault="00FB4FA1">
            <w:pPr>
              <w:jc w:val="right"/>
            </w:pPr>
            <w:r>
              <w:rPr>
                <w:sz w:val="24"/>
              </w:rPr>
              <w:t>7,532.00</w:t>
            </w:r>
          </w:p>
        </w:tc>
      </w:tr>
      <w:tr w:rsidR="000D33D2">
        <w:tc>
          <w:tcPr>
            <w:tcW w:w="2045" w:type="dxa"/>
            <w:vAlign w:val="center"/>
          </w:tcPr>
          <w:p w:rsidR="000D33D2" w:rsidRDefault="00FB4FA1">
            <w:pPr>
              <w:jc w:val="left"/>
            </w:pPr>
            <w:r>
              <w:rPr>
                <w:sz w:val="24"/>
              </w:rPr>
              <w:t>交银施罗德基金公司</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61.76</w:t>
            </w:r>
          </w:p>
        </w:tc>
        <w:tc>
          <w:tcPr>
            <w:tcW w:w="1889" w:type="dxa"/>
            <w:vAlign w:val="center"/>
          </w:tcPr>
          <w:p w:rsidR="000D33D2" w:rsidRDefault="00FB4FA1">
            <w:pPr>
              <w:jc w:val="right"/>
            </w:pPr>
            <w:r>
              <w:rPr>
                <w:sz w:val="24"/>
              </w:rPr>
              <w:t>61.76</w:t>
            </w:r>
          </w:p>
        </w:tc>
      </w:tr>
      <w:tr w:rsidR="0007161E" w:rsidTr="003F5AD1">
        <w:tc>
          <w:tcPr>
            <w:tcW w:w="2110" w:type="dxa"/>
            <w:vAlign w:val="center"/>
          </w:tcPr>
          <w:p w:rsidR="0007161E" w:rsidRDefault="0007161E" w:rsidP="003F5AD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18,862.00</w:t>
            </w:r>
          </w:p>
        </w:tc>
        <w:tc>
          <w:tcPr>
            <w:tcW w:w="1948"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18,862.00</w:t>
            </w:r>
          </w:p>
        </w:tc>
      </w:tr>
      <w:tr w:rsidR="0007161E" w:rsidTr="003F5AD1">
        <w:tc>
          <w:tcPr>
            <w:tcW w:w="2110" w:type="dxa"/>
            <w:vMerge w:val="restart"/>
            <w:vAlign w:val="center"/>
          </w:tcPr>
          <w:p w:rsidR="0007161E" w:rsidRPr="00251201" w:rsidRDefault="0007161E" w:rsidP="003F5AD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3F5AD1">
        <w:tc>
          <w:tcPr>
            <w:tcW w:w="2110" w:type="dxa"/>
            <w:vMerge/>
          </w:tcPr>
          <w:p w:rsidR="0007161E" w:rsidRPr="00251201" w:rsidRDefault="0007161E" w:rsidP="003F5AD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3F5AD1">
        <w:tc>
          <w:tcPr>
            <w:tcW w:w="2110" w:type="dxa"/>
            <w:vMerge/>
          </w:tcPr>
          <w:p w:rsidR="0007161E" w:rsidRPr="00251201" w:rsidRDefault="0007161E" w:rsidP="003F5AD1">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3F5AD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D33D2">
        <w:tc>
          <w:tcPr>
            <w:tcW w:w="2045" w:type="dxa"/>
            <w:vAlign w:val="center"/>
          </w:tcPr>
          <w:p w:rsidR="000D33D2" w:rsidRDefault="00FB4FA1">
            <w:pPr>
              <w:jc w:val="left"/>
            </w:pPr>
            <w:r>
              <w:rPr>
                <w:sz w:val="24"/>
              </w:rPr>
              <w:t>交通银行</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12,742.23</w:t>
            </w:r>
          </w:p>
        </w:tc>
        <w:tc>
          <w:tcPr>
            <w:tcW w:w="1889" w:type="dxa"/>
            <w:vAlign w:val="center"/>
          </w:tcPr>
          <w:p w:rsidR="000D33D2" w:rsidRDefault="00FB4FA1">
            <w:pPr>
              <w:jc w:val="right"/>
            </w:pPr>
            <w:r>
              <w:rPr>
                <w:sz w:val="24"/>
              </w:rPr>
              <w:t>12,742.23</w:t>
            </w:r>
          </w:p>
        </w:tc>
      </w:tr>
      <w:tr w:rsidR="000D33D2">
        <w:tc>
          <w:tcPr>
            <w:tcW w:w="2045" w:type="dxa"/>
            <w:vAlign w:val="center"/>
          </w:tcPr>
          <w:p w:rsidR="000D33D2" w:rsidRDefault="00FB4FA1">
            <w:pPr>
              <w:jc w:val="left"/>
            </w:pPr>
            <w:r>
              <w:rPr>
                <w:sz w:val="24"/>
              </w:rPr>
              <w:t>中国建设银行</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9,223.07</w:t>
            </w:r>
          </w:p>
        </w:tc>
        <w:tc>
          <w:tcPr>
            <w:tcW w:w="1889" w:type="dxa"/>
            <w:vAlign w:val="center"/>
          </w:tcPr>
          <w:p w:rsidR="000D33D2" w:rsidRDefault="00FB4FA1">
            <w:pPr>
              <w:jc w:val="right"/>
            </w:pPr>
            <w:r>
              <w:rPr>
                <w:sz w:val="24"/>
              </w:rPr>
              <w:t>9,223.07</w:t>
            </w:r>
          </w:p>
        </w:tc>
      </w:tr>
      <w:tr w:rsidR="000D33D2">
        <w:tc>
          <w:tcPr>
            <w:tcW w:w="2045" w:type="dxa"/>
            <w:vAlign w:val="center"/>
          </w:tcPr>
          <w:p w:rsidR="000D33D2" w:rsidRDefault="00FB4FA1">
            <w:pPr>
              <w:jc w:val="left"/>
            </w:pPr>
            <w:r>
              <w:rPr>
                <w:sz w:val="24"/>
              </w:rPr>
              <w:t>交银施罗德基金公司</w:t>
            </w:r>
          </w:p>
        </w:tc>
        <w:tc>
          <w:tcPr>
            <w:tcW w:w="2455" w:type="dxa"/>
            <w:vAlign w:val="center"/>
          </w:tcPr>
          <w:p w:rsidR="000D33D2" w:rsidRDefault="00FB4FA1">
            <w:pPr>
              <w:jc w:val="right"/>
            </w:pPr>
            <w:r>
              <w:rPr>
                <w:sz w:val="24"/>
              </w:rPr>
              <w:t>-</w:t>
            </w:r>
          </w:p>
        </w:tc>
        <w:tc>
          <w:tcPr>
            <w:tcW w:w="2609" w:type="dxa"/>
            <w:vAlign w:val="center"/>
          </w:tcPr>
          <w:p w:rsidR="000D33D2" w:rsidRDefault="00FB4FA1">
            <w:pPr>
              <w:jc w:val="right"/>
            </w:pPr>
            <w:r>
              <w:rPr>
                <w:sz w:val="24"/>
              </w:rPr>
              <w:t>640.15</w:t>
            </w:r>
          </w:p>
        </w:tc>
        <w:tc>
          <w:tcPr>
            <w:tcW w:w="1889" w:type="dxa"/>
            <w:vAlign w:val="center"/>
          </w:tcPr>
          <w:p w:rsidR="000D33D2" w:rsidRDefault="00FB4FA1">
            <w:pPr>
              <w:jc w:val="right"/>
            </w:pPr>
            <w:r>
              <w:rPr>
                <w:sz w:val="24"/>
              </w:rPr>
              <w:t>640.15</w:t>
            </w:r>
          </w:p>
        </w:tc>
      </w:tr>
      <w:tr w:rsidR="0007161E" w:rsidRPr="00C2276D" w:rsidTr="003F5AD1">
        <w:tc>
          <w:tcPr>
            <w:tcW w:w="2110" w:type="dxa"/>
            <w:vAlign w:val="center"/>
          </w:tcPr>
          <w:p w:rsidR="0007161E" w:rsidRPr="00A4203E" w:rsidRDefault="0007161E" w:rsidP="003F5AD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22,605.45</w:t>
            </w:r>
          </w:p>
        </w:tc>
        <w:tc>
          <w:tcPr>
            <w:tcW w:w="1948" w:type="dxa"/>
            <w:vAlign w:val="center"/>
          </w:tcPr>
          <w:p w:rsidR="0007161E" w:rsidRPr="00C2276D" w:rsidRDefault="0007161E" w:rsidP="003F5AD1">
            <w:pPr>
              <w:spacing w:before="29" w:line="288" w:lineRule="auto"/>
              <w:jc w:val="center"/>
              <w:rPr>
                <w:color w:val="000000"/>
                <w:kern w:val="0"/>
                <w:sz w:val="24"/>
              </w:rPr>
            </w:pPr>
            <w:r w:rsidRPr="00C2276D">
              <w:rPr>
                <w:color w:val="000000"/>
                <w:kern w:val="0"/>
                <w:sz w:val="24"/>
              </w:rPr>
              <w:t>22,605.45</w:t>
            </w:r>
          </w:p>
        </w:tc>
      </w:tr>
    </w:tbl>
    <w:p w:rsidR="000D33D2" w:rsidRDefault="00FB4FA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A</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交银定期支付月月丰债券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18,691,668.48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19,457,949.34</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proofErr w:type="gramStart"/>
            <w:r w:rsidR="001A59F9" w:rsidRPr="002E35A3">
              <w:rPr>
                <w:rFonts w:hint="eastAsia"/>
                <w:szCs w:val="24"/>
              </w:rPr>
              <w:t>买入总</w:t>
            </w:r>
            <w:proofErr w:type="gramEnd"/>
            <w:r w:rsidR="001A59F9" w:rsidRPr="002E35A3">
              <w:rPr>
                <w:rFonts w:hint="eastAsia"/>
                <w:szCs w:val="24"/>
              </w:rPr>
              <w:t>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w:t>
            </w:r>
            <w:r w:rsidR="001A59F9" w:rsidRPr="002E35A3">
              <w:rPr>
                <w:rFonts w:hint="eastAsia"/>
                <w:szCs w:val="24"/>
              </w:rPr>
              <w:lastRenderedPageBreak/>
              <w:t>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lastRenderedPageBreak/>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734,129.88</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766,280.86</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17,957,538.60</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18,691,668.48</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33.15%</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17.38%</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D33D2" w:rsidRDefault="00FB4FA1">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0D33D2" w:rsidRDefault="00FB4FA1">
      <w:pPr>
        <w:tabs>
          <w:tab w:val="left" w:pos="426"/>
        </w:tabs>
        <w:spacing w:before="29" w:line="288" w:lineRule="auto"/>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845DE9" w:rsidRPr="00E25C2A" w:rsidRDefault="00845DE9" w:rsidP="00E25C2A">
      <w:pPr>
        <w:tabs>
          <w:tab w:val="left" w:pos="426"/>
        </w:tabs>
        <w:spacing w:before="29" w:line="288" w:lineRule="auto"/>
        <w:jc w:val="left"/>
        <w:rPr>
          <w:rFonts w:hint="eastAsia"/>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D33D2">
        <w:tc>
          <w:tcPr>
            <w:tcW w:w="2266" w:type="dxa"/>
            <w:vAlign w:val="center"/>
          </w:tcPr>
          <w:p w:rsidR="000D33D2" w:rsidRDefault="00FB4FA1">
            <w:pPr>
              <w:jc w:val="left"/>
            </w:pPr>
            <w:r>
              <w:rPr>
                <w:szCs w:val="21"/>
              </w:rPr>
              <w:t>中国建设银行</w:t>
            </w:r>
          </w:p>
        </w:tc>
        <w:tc>
          <w:tcPr>
            <w:tcW w:w="1683" w:type="dxa"/>
            <w:vAlign w:val="center"/>
          </w:tcPr>
          <w:p w:rsidR="000D33D2" w:rsidRDefault="00FB4FA1">
            <w:pPr>
              <w:jc w:val="right"/>
            </w:pPr>
            <w:r>
              <w:rPr>
                <w:szCs w:val="21"/>
              </w:rPr>
              <w:t>790,866.69</w:t>
            </w:r>
          </w:p>
        </w:tc>
        <w:tc>
          <w:tcPr>
            <w:tcW w:w="1683" w:type="dxa"/>
            <w:vAlign w:val="center"/>
          </w:tcPr>
          <w:p w:rsidR="000D33D2" w:rsidRDefault="00FB4FA1">
            <w:pPr>
              <w:jc w:val="right"/>
            </w:pPr>
            <w:r>
              <w:rPr>
                <w:szCs w:val="21"/>
              </w:rPr>
              <w:t>53,415.25</w:t>
            </w:r>
          </w:p>
        </w:tc>
        <w:tc>
          <w:tcPr>
            <w:tcW w:w="1683" w:type="dxa"/>
            <w:vAlign w:val="center"/>
          </w:tcPr>
          <w:p w:rsidR="000D33D2" w:rsidRDefault="00FB4FA1">
            <w:pPr>
              <w:jc w:val="right"/>
            </w:pPr>
            <w:r>
              <w:rPr>
                <w:szCs w:val="21"/>
              </w:rPr>
              <w:t>10,836,581.10</w:t>
            </w:r>
          </w:p>
        </w:tc>
        <w:tc>
          <w:tcPr>
            <w:tcW w:w="1683" w:type="dxa"/>
            <w:vAlign w:val="center"/>
          </w:tcPr>
          <w:p w:rsidR="000D33D2" w:rsidRDefault="00FB4FA1">
            <w:pPr>
              <w:jc w:val="right"/>
            </w:pPr>
            <w:r>
              <w:rPr>
                <w:szCs w:val="21"/>
              </w:rPr>
              <w:t>75,625.06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D33D2" w:rsidRDefault="00FB4FA1">
      <w:pPr>
        <w:spacing w:before="29" w:line="288" w:lineRule="auto"/>
        <w:ind w:firstLineChars="200" w:firstLine="480"/>
        <w:rPr>
          <w:color w:val="000000"/>
          <w:sz w:val="24"/>
        </w:rPr>
      </w:pPr>
      <w:r>
        <w:rPr>
          <w:color w:val="000000"/>
          <w:sz w:val="24"/>
        </w:rPr>
        <w:t>(1)</w:t>
      </w:r>
      <w:r>
        <w:rPr>
          <w:color w:val="000000"/>
          <w:sz w:val="24"/>
        </w:rPr>
        <w:t>公允价值</w:t>
      </w:r>
    </w:p>
    <w:p w:rsidR="000D33D2" w:rsidRDefault="00FB4FA1">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D33D2" w:rsidRDefault="00FB4FA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D33D2" w:rsidRDefault="00FB4FA1">
      <w:pPr>
        <w:spacing w:before="29" w:line="288" w:lineRule="auto"/>
        <w:ind w:firstLineChars="200" w:firstLine="480"/>
        <w:rPr>
          <w:color w:val="000000"/>
          <w:sz w:val="24"/>
        </w:rPr>
      </w:pPr>
      <w:r>
        <w:rPr>
          <w:color w:val="000000"/>
          <w:sz w:val="24"/>
        </w:rPr>
        <w:t>第一层次：相同资产或负债在活跃市场上未经调整的报价。</w:t>
      </w:r>
    </w:p>
    <w:p w:rsidR="000D33D2" w:rsidRDefault="00FB4FA1">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0D33D2" w:rsidRDefault="00FB4FA1">
      <w:pPr>
        <w:spacing w:before="29" w:line="288" w:lineRule="auto"/>
        <w:ind w:firstLineChars="200" w:firstLine="480"/>
        <w:rPr>
          <w:color w:val="000000"/>
          <w:sz w:val="24"/>
        </w:rPr>
      </w:pPr>
      <w:r>
        <w:rPr>
          <w:color w:val="000000"/>
          <w:sz w:val="24"/>
        </w:rPr>
        <w:t>第三层次：相关资产或负债的不可观察输入值。</w:t>
      </w:r>
    </w:p>
    <w:p w:rsidR="000D33D2" w:rsidRDefault="00FB4FA1">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D33D2" w:rsidRDefault="00FB4FA1">
      <w:pPr>
        <w:spacing w:before="29" w:line="288" w:lineRule="auto"/>
        <w:ind w:firstLineChars="200" w:firstLine="480"/>
        <w:rPr>
          <w:color w:val="000000"/>
          <w:sz w:val="24"/>
        </w:rPr>
      </w:pPr>
      <w:r>
        <w:rPr>
          <w:color w:val="000000"/>
          <w:sz w:val="24"/>
        </w:rPr>
        <w:t>(i)</w:t>
      </w:r>
      <w:r>
        <w:rPr>
          <w:color w:val="000000"/>
          <w:sz w:val="24"/>
        </w:rPr>
        <w:t>各层次金融工具公允价值</w:t>
      </w:r>
    </w:p>
    <w:p w:rsidR="000D33D2" w:rsidRDefault="00FB4FA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6,371,053.96</w:t>
      </w:r>
      <w:r>
        <w:rPr>
          <w:color w:val="000000"/>
          <w:sz w:val="24"/>
        </w:rPr>
        <w:t>元，属于第二层次的余额为</w:t>
      </w:r>
      <w:r>
        <w:rPr>
          <w:color w:val="000000"/>
          <w:sz w:val="24"/>
        </w:rPr>
        <w:t>61,722,853.40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7,026,607.16</w:t>
      </w:r>
      <w:r>
        <w:rPr>
          <w:color w:val="000000"/>
          <w:sz w:val="24"/>
        </w:rPr>
        <w:t>元，第二层次</w:t>
      </w:r>
      <w:r>
        <w:rPr>
          <w:color w:val="000000"/>
          <w:sz w:val="24"/>
        </w:rPr>
        <w:t>125,152,526.28</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0D33D2" w:rsidRDefault="00FB4FA1">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D33D2" w:rsidRDefault="00FB4FA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0D33D2" w:rsidRDefault="00FB4FA1">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D33D2" w:rsidRDefault="00FB4FA1">
      <w:pPr>
        <w:spacing w:before="29" w:line="288" w:lineRule="auto"/>
        <w:ind w:firstLineChars="200" w:firstLine="480"/>
        <w:rPr>
          <w:color w:val="000000"/>
          <w:sz w:val="24"/>
        </w:rPr>
      </w:pPr>
      <w:r>
        <w:rPr>
          <w:color w:val="000000"/>
          <w:sz w:val="24"/>
        </w:rPr>
        <w:t>无。</w:t>
      </w:r>
    </w:p>
    <w:p w:rsidR="000D33D2" w:rsidRDefault="00FB4FA1">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D33D2" w:rsidRDefault="00FB4FA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D33D2" w:rsidRDefault="00FB4FA1">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D33D2" w:rsidRDefault="00FB4FA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D33D2" w:rsidRDefault="00FB4FA1">
      <w:pPr>
        <w:spacing w:before="29" w:line="288" w:lineRule="auto"/>
        <w:ind w:firstLineChars="200" w:firstLine="480"/>
        <w:rPr>
          <w:color w:val="000000"/>
          <w:sz w:val="24"/>
        </w:rPr>
      </w:pPr>
      <w:r>
        <w:rPr>
          <w:color w:val="000000"/>
          <w:sz w:val="24"/>
        </w:rPr>
        <w:t>(2)</w:t>
      </w:r>
      <w:r>
        <w:rPr>
          <w:color w:val="000000"/>
          <w:sz w:val="24"/>
        </w:rPr>
        <w:t>增值税</w:t>
      </w:r>
    </w:p>
    <w:p w:rsidR="000D33D2" w:rsidRDefault="00FB4FA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0D33D2" w:rsidRDefault="00FB4FA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w:t>
      </w:r>
      <w:r>
        <w:rPr>
          <w:color w:val="000000"/>
          <w:sz w:val="24"/>
        </w:rPr>
        <w:lastRenderedPageBreak/>
        <w:t>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0D33D2" w:rsidRDefault="00FB4FA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0D33D2" w:rsidRDefault="00FB4FA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6,371,053.96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6,371,053.96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61,722,853.40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81.15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61,722,853.40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81.15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2,300,000.00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3.02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1,653,465.47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2.17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4,010,168.88</w:t>
            </w:r>
          </w:p>
        </w:tc>
        <w:tc>
          <w:tcPr>
            <w:tcW w:w="1980" w:type="dxa"/>
            <w:vAlign w:val="center"/>
          </w:tcPr>
          <w:p w:rsidR="001E6CEE" w:rsidRPr="000008D1" w:rsidRDefault="001E6CEE" w:rsidP="00026C9C">
            <w:pPr>
              <w:spacing w:line="360" w:lineRule="auto"/>
              <w:jc w:val="right"/>
              <w:rPr>
                <w:sz w:val="24"/>
              </w:rPr>
            </w:pPr>
            <w:r w:rsidRPr="000008D1">
              <w:rPr>
                <w:sz w:val="24"/>
              </w:rPr>
              <w:t>5.27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76,057,541.71</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lastRenderedPageBreak/>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751,438.00</w:t>
            </w:r>
          </w:p>
        </w:tc>
        <w:tc>
          <w:tcPr>
            <w:tcW w:w="1768" w:type="dxa"/>
            <w:vAlign w:val="center"/>
          </w:tcPr>
          <w:p w:rsidR="001A59F9" w:rsidRPr="00C60ED0" w:rsidRDefault="001A59F9" w:rsidP="00C60ED0">
            <w:pPr>
              <w:spacing w:before="29" w:line="288" w:lineRule="auto"/>
              <w:jc w:val="right"/>
              <w:rPr>
                <w:sz w:val="24"/>
              </w:rPr>
            </w:pPr>
            <w:r w:rsidRPr="00C60ED0">
              <w:rPr>
                <w:sz w:val="24"/>
              </w:rPr>
              <w:t>1.00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3,008,495.96</w:t>
            </w:r>
          </w:p>
        </w:tc>
        <w:tc>
          <w:tcPr>
            <w:tcW w:w="1768" w:type="dxa"/>
            <w:vAlign w:val="center"/>
          </w:tcPr>
          <w:p w:rsidR="001A59F9" w:rsidRPr="00C60ED0" w:rsidRDefault="001A59F9" w:rsidP="00C60ED0">
            <w:pPr>
              <w:spacing w:before="29" w:line="288" w:lineRule="auto"/>
              <w:jc w:val="right"/>
              <w:rPr>
                <w:sz w:val="24"/>
              </w:rPr>
            </w:pPr>
            <w:r w:rsidRPr="00C60ED0">
              <w:rPr>
                <w:sz w:val="24"/>
              </w:rPr>
              <w:t>4.00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1,099,560.00</w:t>
            </w:r>
          </w:p>
        </w:tc>
        <w:tc>
          <w:tcPr>
            <w:tcW w:w="1768" w:type="dxa"/>
            <w:vAlign w:val="bottom"/>
          </w:tcPr>
          <w:p w:rsidR="001A59F9" w:rsidRPr="00C60ED0" w:rsidRDefault="001A59F9" w:rsidP="00C60ED0">
            <w:pPr>
              <w:spacing w:before="29" w:line="288" w:lineRule="auto"/>
              <w:jc w:val="right"/>
              <w:rPr>
                <w:sz w:val="24"/>
              </w:rPr>
            </w:pPr>
            <w:r w:rsidRPr="00C60ED0">
              <w:rPr>
                <w:sz w:val="24"/>
              </w:rPr>
              <w:t>1.46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1,511,560.00</w:t>
            </w:r>
          </w:p>
        </w:tc>
        <w:tc>
          <w:tcPr>
            <w:tcW w:w="1768" w:type="dxa"/>
            <w:vAlign w:val="bottom"/>
          </w:tcPr>
          <w:p w:rsidR="001A59F9" w:rsidRPr="00C60ED0" w:rsidRDefault="001A59F9" w:rsidP="00C60ED0">
            <w:pPr>
              <w:spacing w:before="29" w:line="288" w:lineRule="auto"/>
              <w:jc w:val="right"/>
              <w:rPr>
                <w:sz w:val="24"/>
              </w:rPr>
            </w:pPr>
            <w:r w:rsidRPr="00C60ED0">
              <w:rPr>
                <w:sz w:val="24"/>
              </w:rPr>
              <w:t>2.01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6,371,053.96</w:t>
            </w:r>
          </w:p>
        </w:tc>
        <w:tc>
          <w:tcPr>
            <w:tcW w:w="1768" w:type="dxa"/>
            <w:vAlign w:val="center"/>
          </w:tcPr>
          <w:p w:rsidR="001A59F9" w:rsidRPr="00C60ED0" w:rsidRDefault="001A59F9" w:rsidP="00C60ED0">
            <w:pPr>
              <w:spacing w:before="29" w:line="288" w:lineRule="auto"/>
              <w:jc w:val="right"/>
              <w:rPr>
                <w:sz w:val="24"/>
              </w:rPr>
            </w:pPr>
            <w:r w:rsidRPr="00C60ED0">
              <w:rPr>
                <w:sz w:val="24"/>
              </w:rPr>
              <w:t>8.47</w:t>
            </w:r>
          </w:p>
        </w:tc>
      </w:tr>
    </w:tbl>
    <w:p w:rsidR="001A59F9" w:rsidRPr="008B2C7A" w:rsidRDefault="001A59F9" w:rsidP="00026C9C">
      <w:pPr>
        <w:autoSpaceDE w:val="0"/>
        <w:autoSpaceDN w:val="0"/>
        <w:adjustRightInd w:val="0"/>
        <w:spacing w:line="360" w:lineRule="auto"/>
        <w:rPr>
          <w:rFonts w:asciiTheme="minorEastAsia" w:eastAsiaTheme="minorEastAsia" w:hAnsiTheme="minorEastAsia" w:hint="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w:t>
            </w:r>
            <w:r w:rsidRPr="0093176F">
              <w:rPr>
                <w:rFonts w:hint="eastAsia"/>
                <w:sz w:val="24"/>
              </w:rPr>
              <w:lastRenderedPageBreak/>
              <w:t>值比例</w:t>
            </w:r>
            <w:r w:rsidRPr="0093176F">
              <w:rPr>
                <w:sz w:val="24"/>
              </w:rPr>
              <w:t>(</w:t>
            </w:r>
            <w:r w:rsidRPr="0093176F">
              <w:rPr>
                <w:rFonts w:hint="eastAsia"/>
                <w:sz w:val="24"/>
              </w:rPr>
              <w:t>％</w:t>
            </w:r>
            <w:r w:rsidRPr="0093176F">
              <w:rPr>
                <w:sz w:val="24"/>
              </w:rPr>
              <w:t>)</w:t>
            </w:r>
          </w:p>
        </w:tc>
      </w:tr>
      <w:tr w:rsidR="000D33D2">
        <w:tc>
          <w:tcPr>
            <w:tcW w:w="827" w:type="dxa"/>
            <w:vAlign w:val="center"/>
          </w:tcPr>
          <w:p w:rsidR="000D33D2" w:rsidRDefault="00FB4FA1">
            <w:pPr>
              <w:jc w:val="center"/>
            </w:pPr>
            <w:r>
              <w:rPr>
                <w:color w:val="000000"/>
                <w:sz w:val="24"/>
              </w:rPr>
              <w:lastRenderedPageBreak/>
              <w:t>1</w:t>
            </w:r>
          </w:p>
        </w:tc>
        <w:tc>
          <w:tcPr>
            <w:tcW w:w="1290" w:type="dxa"/>
            <w:vAlign w:val="center"/>
          </w:tcPr>
          <w:p w:rsidR="000D33D2" w:rsidRDefault="00FB4FA1">
            <w:pPr>
              <w:jc w:val="center"/>
            </w:pPr>
            <w:r>
              <w:rPr>
                <w:color w:val="000000"/>
                <w:sz w:val="24"/>
              </w:rPr>
              <w:t>600885</w:t>
            </w:r>
          </w:p>
        </w:tc>
        <w:tc>
          <w:tcPr>
            <w:tcW w:w="1720" w:type="dxa"/>
            <w:vAlign w:val="center"/>
          </w:tcPr>
          <w:p w:rsidR="000D33D2" w:rsidRDefault="00FB4FA1">
            <w:pPr>
              <w:jc w:val="center"/>
            </w:pPr>
            <w:r>
              <w:rPr>
                <w:color w:val="000000"/>
                <w:sz w:val="24"/>
              </w:rPr>
              <w:t>宏发股份</w:t>
            </w:r>
          </w:p>
        </w:tc>
        <w:tc>
          <w:tcPr>
            <w:tcW w:w="1577" w:type="dxa"/>
            <w:vAlign w:val="center"/>
          </w:tcPr>
          <w:p w:rsidR="000D33D2" w:rsidRDefault="00FB4FA1">
            <w:pPr>
              <w:jc w:val="right"/>
            </w:pPr>
            <w:r>
              <w:rPr>
                <w:color w:val="000000"/>
                <w:sz w:val="24"/>
              </w:rPr>
              <w:t>54,508</w:t>
            </w:r>
          </w:p>
        </w:tc>
        <w:tc>
          <w:tcPr>
            <w:tcW w:w="1720" w:type="dxa"/>
            <w:vAlign w:val="center"/>
          </w:tcPr>
          <w:p w:rsidR="000D33D2" w:rsidRDefault="00FB4FA1">
            <w:pPr>
              <w:jc w:val="right"/>
            </w:pPr>
            <w:r>
              <w:rPr>
                <w:color w:val="000000"/>
                <w:sz w:val="24"/>
              </w:rPr>
              <w:t>2,254,995.96</w:t>
            </w:r>
          </w:p>
        </w:tc>
        <w:tc>
          <w:tcPr>
            <w:tcW w:w="1864" w:type="dxa"/>
            <w:vAlign w:val="center"/>
          </w:tcPr>
          <w:p w:rsidR="000D33D2" w:rsidRDefault="00FB4FA1">
            <w:pPr>
              <w:jc w:val="right"/>
            </w:pPr>
            <w:r>
              <w:rPr>
                <w:color w:val="000000"/>
                <w:sz w:val="24"/>
              </w:rPr>
              <w:t>3.00</w:t>
            </w:r>
          </w:p>
        </w:tc>
      </w:tr>
      <w:tr w:rsidR="000D33D2">
        <w:tc>
          <w:tcPr>
            <w:tcW w:w="827" w:type="dxa"/>
            <w:vAlign w:val="center"/>
          </w:tcPr>
          <w:p w:rsidR="000D33D2" w:rsidRDefault="00FB4FA1">
            <w:pPr>
              <w:jc w:val="center"/>
            </w:pPr>
            <w:r>
              <w:rPr>
                <w:color w:val="000000"/>
                <w:sz w:val="24"/>
              </w:rPr>
              <w:t>2</w:t>
            </w:r>
          </w:p>
        </w:tc>
        <w:tc>
          <w:tcPr>
            <w:tcW w:w="1290" w:type="dxa"/>
            <w:vAlign w:val="center"/>
          </w:tcPr>
          <w:p w:rsidR="000D33D2" w:rsidRDefault="00FB4FA1">
            <w:pPr>
              <w:jc w:val="center"/>
            </w:pPr>
            <w:r>
              <w:rPr>
                <w:color w:val="000000"/>
                <w:sz w:val="24"/>
              </w:rPr>
              <w:t>601398</w:t>
            </w:r>
          </w:p>
        </w:tc>
        <w:tc>
          <w:tcPr>
            <w:tcW w:w="1720" w:type="dxa"/>
            <w:vAlign w:val="center"/>
          </w:tcPr>
          <w:p w:rsidR="000D33D2" w:rsidRDefault="00FB4FA1">
            <w:pPr>
              <w:jc w:val="center"/>
            </w:pPr>
            <w:r>
              <w:rPr>
                <w:color w:val="000000"/>
                <w:sz w:val="24"/>
              </w:rPr>
              <w:t>工商银行</w:t>
            </w:r>
          </w:p>
        </w:tc>
        <w:tc>
          <w:tcPr>
            <w:tcW w:w="1577" w:type="dxa"/>
            <w:vAlign w:val="center"/>
          </w:tcPr>
          <w:p w:rsidR="000D33D2" w:rsidRDefault="00FB4FA1">
            <w:pPr>
              <w:jc w:val="right"/>
            </w:pPr>
            <w:r>
              <w:rPr>
                <w:color w:val="000000"/>
                <w:sz w:val="24"/>
              </w:rPr>
              <w:t>243,800</w:t>
            </w:r>
          </w:p>
        </w:tc>
        <w:tc>
          <w:tcPr>
            <w:tcW w:w="1720" w:type="dxa"/>
            <w:vAlign w:val="center"/>
          </w:tcPr>
          <w:p w:rsidR="000D33D2" w:rsidRDefault="00FB4FA1">
            <w:pPr>
              <w:jc w:val="right"/>
            </w:pPr>
            <w:r>
              <w:rPr>
                <w:color w:val="000000"/>
                <w:sz w:val="24"/>
              </w:rPr>
              <w:t>1,511,560.00</w:t>
            </w:r>
          </w:p>
        </w:tc>
        <w:tc>
          <w:tcPr>
            <w:tcW w:w="1864" w:type="dxa"/>
            <w:vAlign w:val="center"/>
          </w:tcPr>
          <w:p w:rsidR="000D33D2" w:rsidRDefault="00FB4FA1">
            <w:pPr>
              <w:jc w:val="right"/>
            </w:pPr>
            <w:r>
              <w:rPr>
                <w:color w:val="000000"/>
                <w:sz w:val="24"/>
              </w:rPr>
              <w:t>2.01</w:t>
            </w:r>
          </w:p>
        </w:tc>
      </w:tr>
      <w:tr w:rsidR="000D33D2">
        <w:tc>
          <w:tcPr>
            <w:tcW w:w="827" w:type="dxa"/>
            <w:vAlign w:val="center"/>
          </w:tcPr>
          <w:p w:rsidR="000D33D2" w:rsidRDefault="00FB4FA1">
            <w:pPr>
              <w:jc w:val="center"/>
            </w:pPr>
            <w:r>
              <w:rPr>
                <w:color w:val="000000"/>
                <w:sz w:val="24"/>
              </w:rPr>
              <w:t>3</w:t>
            </w:r>
          </w:p>
        </w:tc>
        <w:tc>
          <w:tcPr>
            <w:tcW w:w="1290" w:type="dxa"/>
            <w:vAlign w:val="center"/>
          </w:tcPr>
          <w:p w:rsidR="000D33D2" w:rsidRDefault="00FB4FA1">
            <w:pPr>
              <w:jc w:val="center"/>
            </w:pPr>
            <w:r>
              <w:rPr>
                <w:color w:val="000000"/>
                <w:sz w:val="24"/>
              </w:rPr>
              <w:t>002410</w:t>
            </w:r>
          </w:p>
        </w:tc>
        <w:tc>
          <w:tcPr>
            <w:tcW w:w="1720" w:type="dxa"/>
            <w:vAlign w:val="center"/>
          </w:tcPr>
          <w:p w:rsidR="000D33D2" w:rsidRDefault="00FB4FA1">
            <w:pPr>
              <w:jc w:val="center"/>
            </w:pPr>
            <w:r>
              <w:rPr>
                <w:color w:val="000000"/>
                <w:sz w:val="24"/>
              </w:rPr>
              <w:t>广联达</w:t>
            </w:r>
          </w:p>
        </w:tc>
        <w:tc>
          <w:tcPr>
            <w:tcW w:w="1577" w:type="dxa"/>
            <w:vAlign w:val="center"/>
          </w:tcPr>
          <w:p w:rsidR="000D33D2" w:rsidRDefault="00FB4FA1">
            <w:pPr>
              <w:jc w:val="right"/>
            </w:pPr>
            <w:r>
              <w:rPr>
                <w:color w:val="000000"/>
                <w:sz w:val="24"/>
              </w:rPr>
              <w:t>56,100</w:t>
            </w:r>
          </w:p>
        </w:tc>
        <w:tc>
          <w:tcPr>
            <w:tcW w:w="1720" w:type="dxa"/>
            <w:vAlign w:val="center"/>
          </w:tcPr>
          <w:p w:rsidR="000D33D2" w:rsidRDefault="00FB4FA1">
            <w:pPr>
              <w:jc w:val="right"/>
            </w:pPr>
            <w:r>
              <w:rPr>
                <w:color w:val="000000"/>
                <w:sz w:val="24"/>
              </w:rPr>
              <w:t>1,099,560.00</w:t>
            </w:r>
          </w:p>
        </w:tc>
        <w:tc>
          <w:tcPr>
            <w:tcW w:w="1864" w:type="dxa"/>
            <w:vAlign w:val="center"/>
          </w:tcPr>
          <w:p w:rsidR="000D33D2" w:rsidRDefault="00FB4FA1">
            <w:pPr>
              <w:jc w:val="right"/>
            </w:pPr>
            <w:r>
              <w:rPr>
                <w:color w:val="000000"/>
                <w:sz w:val="24"/>
              </w:rPr>
              <w:t>1.46</w:t>
            </w:r>
          </w:p>
        </w:tc>
      </w:tr>
      <w:tr w:rsidR="000D33D2">
        <w:tc>
          <w:tcPr>
            <w:tcW w:w="827" w:type="dxa"/>
            <w:vAlign w:val="center"/>
          </w:tcPr>
          <w:p w:rsidR="000D33D2" w:rsidRDefault="00FB4FA1">
            <w:pPr>
              <w:jc w:val="center"/>
            </w:pPr>
            <w:r>
              <w:rPr>
                <w:color w:val="000000"/>
                <w:sz w:val="24"/>
              </w:rPr>
              <w:t>4</w:t>
            </w:r>
          </w:p>
        </w:tc>
        <w:tc>
          <w:tcPr>
            <w:tcW w:w="1290" w:type="dxa"/>
            <w:vAlign w:val="center"/>
          </w:tcPr>
          <w:p w:rsidR="000D33D2" w:rsidRDefault="00FB4FA1">
            <w:pPr>
              <w:jc w:val="center"/>
            </w:pPr>
            <w:r>
              <w:rPr>
                <w:color w:val="000000"/>
                <w:sz w:val="24"/>
              </w:rPr>
              <w:t>002035</w:t>
            </w:r>
          </w:p>
        </w:tc>
        <w:tc>
          <w:tcPr>
            <w:tcW w:w="1720" w:type="dxa"/>
            <w:vAlign w:val="center"/>
          </w:tcPr>
          <w:p w:rsidR="000D33D2" w:rsidRDefault="00FB4FA1">
            <w:pPr>
              <w:jc w:val="center"/>
            </w:pPr>
            <w:r>
              <w:rPr>
                <w:color w:val="000000"/>
                <w:sz w:val="24"/>
              </w:rPr>
              <w:t>华</w:t>
            </w:r>
            <w:proofErr w:type="gramStart"/>
            <w:r>
              <w:rPr>
                <w:color w:val="000000"/>
                <w:sz w:val="24"/>
              </w:rPr>
              <w:t>帝股份</w:t>
            </w:r>
            <w:proofErr w:type="gramEnd"/>
          </w:p>
        </w:tc>
        <w:tc>
          <w:tcPr>
            <w:tcW w:w="1577" w:type="dxa"/>
            <w:vAlign w:val="center"/>
          </w:tcPr>
          <w:p w:rsidR="000D33D2" w:rsidRDefault="00FB4FA1">
            <w:pPr>
              <w:jc w:val="right"/>
            </w:pPr>
            <w:r>
              <w:rPr>
                <w:color w:val="000000"/>
                <w:sz w:val="24"/>
              </w:rPr>
              <w:t>25,000</w:t>
            </w:r>
          </w:p>
        </w:tc>
        <w:tc>
          <w:tcPr>
            <w:tcW w:w="1720" w:type="dxa"/>
            <w:vAlign w:val="center"/>
          </w:tcPr>
          <w:p w:rsidR="000D33D2" w:rsidRDefault="00FB4FA1">
            <w:pPr>
              <w:jc w:val="right"/>
            </w:pPr>
            <w:r>
              <w:rPr>
                <w:color w:val="000000"/>
                <w:sz w:val="24"/>
              </w:rPr>
              <w:t>753,500.00</w:t>
            </w:r>
          </w:p>
        </w:tc>
        <w:tc>
          <w:tcPr>
            <w:tcW w:w="1864" w:type="dxa"/>
            <w:vAlign w:val="center"/>
          </w:tcPr>
          <w:p w:rsidR="000D33D2" w:rsidRDefault="00FB4FA1">
            <w:pPr>
              <w:jc w:val="right"/>
            </w:pPr>
            <w:r>
              <w:rPr>
                <w:color w:val="000000"/>
                <w:sz w:val="24"/>
              </w:rPr>
              <w:t>1.00</w:t>
            </w:r>
          </w:p>
        </w:tc>
      </w:tr>
      <w:tr w:rsidR="000D33D2">
        <w:tc>
          <w:tcPr>
            <w:tcW w:w="827" w:type="dxa"/>
            <w:vAlign w:val="center"/>
          </w:tcPr>
          <w:p w:rsidR="000D33D2" w:rsidRDefault="00FB4FA1">
            <w:pPr>
              <w:jc w:val="center"/>
            </w:pPr>
            <w:r>
              <w:rPr>
                <w:color w:val="000000"/>
                <w:sz w:val="24"/>
              </w:rPr>
              <w:t>5</w:t>
            </w:r>
          </w:p>
        </w:tc>
        <w:tc>
          <w:tcPr>
            <w:tcW w:w="1290" w:type="dxa"/>
            <w:vAlign w:val="center"/>
          </w:tcPr>
          <w:p w:rsidR="000D33D2" w:rsidRDefault="00FB4FA1">
            <w:pPr>
              <w:jc w:val="center"/>
            </w:pPr>
            <w:r>
              <w:rPr>
                <w:color w:val="000000"/>
                <w:sz w:val="24"/>
              </w:rPr>
              <w:t>600547</w:t>
            </w:r>
          </w:p>
        </w:tc>
        <w:tc>
          <w:tcPr>
            <w:tcW w:w="1720" w:type="dxa"/>
            <w:vAlign w:val="center"/>
          </w:tcPr>
          <w:p w:rsidR="000D33D2" w:rsidRDefault="00FB4FA1">
            <w:pPr>
              <w:jc w:val="center"/>
            </w:pPr>
            <w:r>
              <w:rPr>
                <w:color w:val="000000"/>
                <w:sz w:val="24"/>
              </w:rPr>
              <w:t>山东黄金</w:t>
            </w:r>
          </w:p>
        </w:tc>
        <w:tc>
          <w:tcPr>
            <w:tcW w:w="1577" w:type="dxa"/>
            <w:vAlign w:val="center"/>
          </w:tcPr>
          <w:p w:rsidR="000D33D2" w:rsidRDefault="00FB4FA1">
            <w:pPr>
              <w:jc w:val="right"/>
            </w:pPr>
            <w:r>
              <w:rPr>
                <w:color w:val="000000"/>
                <w:sz w:val="24"/>
              </w:rPr>
              <w:t>24,100</w:t>
            </w:r>
          </w:p>
        </w:tc>
        <w:tc>
          <w:tcPr>
            <w:tcW w:w="1720" w:type="dxa"/>
            <w:vAlign w:val="center"/>
          </w:tcPr>
          <w:p w:rsidR="000D33D2" w:rsidRDefault="00FB4FA1">
            <w:pPr>
              <w:jc w:val="right"/>
            </w:pPr>
            <w:r>
              <w:rPr>
                <w:color w:val="000000"/>
                <w:sz w:val="24"/>
              </w:rPr>
              <w:t>751,438.00</w:t>
            </w:r>
          </w:p>
        </w:tc>
        <w:tc>
          <w:tcPr>
            <w:tcW w:w="1864" w:type="dxa"/>
            <w:vAlign w:val="center"/>
          </w:tcPr>
          <w:p w:rsidR="000D33D2" w:rsidRDefault="00FB4FA1">
            <w:pPr>
              <w:jc w:val="right"/>
            </w:pPr>
            <w:r>
              <w:rPr>
                <w:color w:val="000000"/>
                <w:sz w:val="24"/>
              </w:rPr>
              <w:t>1.00</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0D33D2">
        <w:tc>
          <w:tcPr>
            <w:tcW w:w="869" w:type="dxa"/>
            <w:vAlign w:val="center"/>
          </w:tcPr>
          <w:p w:rsidR="000D33D2" w:rsidRDefault="00FB4FA1">
            <w:pPr>
              <w:jc w:val="center"/>
            </w:pPr>
            <w:r>
              <w:rPr>
                <w:color w:val="000000"/>
                <w:sz w:val="24"/>
              </w:rPr>
              <w:t>1</w:t>
            </w:r>
          </w:p>
        </w:tc>
        <w:tc>
          <w:tcPr>
            <w:tcW w:w="1650" w:type="dxa"/>
            <w:vAlign w:val="center"/>
          </w:tcPr>
          <w:p w:rsidR="000D33D2" w:rsidRDefault="00FB4FA1">
            <w:pPr>
              <w:jc w:val="center"/>
            </w:pPr>
            <w:r>
              <w:rPr>
                <w:color w:val="000000"/>
                <w:sz w:val="24"/>
              </w:rPr>
              <w:t>002410</w:t>
            </w:r>
          </w:p>
        </w:tc>
        <w:tc>
          <w:tcPr>
            <w:tcW w:w="1980" w:type="dxa"/>
            <w:vAlign w:val="center"/>
          </w:tcPr>
          <w:p w:rsidR="000D33D2" w:rsidRDefault="00FB4FA1">
            <w:pPr>
              <w:jc w:val="center"/>
            </w:pPr>
            <w:r>
              <w:rPr>
                <w:color w:val="000000"/>
                <w:sz w:val="24"/>
              </w:rPr>
              <w:t>广联达</w:t>
            </w:r>
          </w:p>
        </w:tc>
        <w:tc>
          <w:tcPr>
            <w:tcW w:w="2879" w:type="dxa"/>
            <w:vAlign w:val="center"/>
          </w:tcPr>
          <w:p w:rsidR="000D33D2" w:rsidRDefault="00FB4FA1">
            <w:pPr>
              <w:jc w:val="right"/>
            </w:pPr>
            <w:r>
              <w:rPr>
                <w:color w:val="000000"/>
                <w:sz w:val="24"/>
              </w:rPr>
              <w:t>12,798,452.00</w:t>
            </w:r>
          </w:p>
        </w:tc>
        <w:tc>
          <w:tcPr>
            <w:tcW w:w="1620" w:type="dxa"/>
            <w:vAlign w:val="center"/>
          </w:tcPr>
          <w:p w:rsidR="000D33D2" w:rsidRDefault="00FB4FA1">
            <w:pPr>
              <w:jc w:val="right"/>
            </w:pPr>
            <w:r>
              <w:rPr>
                <w:color w:val="000000"/>
                <w:sz w:val="24"/>
              </w:rPr>
              <w:t>8.62</w:t>
            </w:r>
          </w:p>
        </w:tc>
      </w:tr>
      <w:tr w:rsidR="000D33D2">
        <w:tc>
          <w:tcPr>
            <w:tcW w:w="869" w:type="dxa"/>
            <w:vAlign w:val="center"/>
          </w:tcPr>
          <w:p w:rsidR="000D33D2" w:rsidRDefault="00FB4FA1">
            <w:pPr>
              <w:jc w:val="center"/>
            </w:pPr>
            <w:r>
              <w:rPr>
                <w:color w:val="000000"/>
                <w:sz w:val="24"/>
              </w:rPr>
              <w:t>2</w:t>
            </w:r>
          </w:p>
        </w:tc>
        <w:tc>
          <w:tcPr>
            <w:tcW w:w="1650" w:type="dxa"/>
            <w:vAlign w:val="center"/>
          </w:tcPr>
          <w:p w:rsidR="000D33D2" w:rsidRDefault="00FB4FA1">
            <w:pPr>
              <w:jc w:val="center"/>
            </w:pPr>
            <w:r>
              <w:rPr>
                <w:color w:val="000000"/>
                <w:sz w:val="24"/>
              </w:rPr>
              <w:t>601166</w:t>
            </w:r>
          </w:p>
        </w:tc>
        <w:tc>
          <w:tcPr>
            <w:tcW w:w="1980" w:type="dxa"/>
            <w:vAlign w:val="center"/>
          </w:tcPr>
          <w:p w:rsidR="000D33D2" w:rsidRDefault="00FB4FA1">
            <w:pPr>
              <w:jc w:val="center"/>
            </w:pPr>
            <w:r>
              <w:rPr>
                <w:color w:val="000000"/>
                <w:sz w:val="24"/>
              </w:rPr>
              <w:t>兴业银行</w:t>
            </w:r>
          </w:p>
        </w:tc>
        <w:tc>
          <w:tcPr>
            <w:tcW w:w="2879" w:type="dxa"/>
            <w:vAlign w:val="center"/>
          </w:tcPr>
          <w:p w:rsidR="000D33D2" w:rsidRDefault="00FB4FA1">
            <w:pPr>
              <w:jc w:val="right"/>
            </w:pPr>
            <w:r>
              <w:rPr>
                <w:color w:val="000000"/>
                <w:sz w:val="24"/>
              </w:rPr>
              <w:t>11,267,979.00</w:t>
            </w:r>
          </w:p>
        </w:tc>
        <w:tc>
          <w:tcPr>
            <w:tcW w:w="1620" w:type="dxa"/>
            <w:vAlign w:val="center"/>
          </w:tcPr>
          <w:p w:rsidR="000D33D2" w:rsidRDefault="00FB4FA1">
            <w:pPr>
              <w:jc w:val="right"/>
            </w:pPr>
            <w:r>
              <w:rPr>
                <w:color w:val="000000"/>
                <w:sz w:val="24"/>
              </w:rPr>
              <w:t>7.59</w:t>
            </w:r>
          </w:p>
        </w:tc>
      </w:tr>
      <w:tr w:rsidR="000D33D2">
        <w:tc>
          <w:tcPr>
            <w:tcW w:w="869" w:type="dxa"/>
            <w:vAlign w:val="center"/>
          </w:tcPr>
          <w:p w:rsidR="000D33D2" w:rsidRDefault="00FB4FA1">
            <w:pPr>
              <w:jc w:val="center"/>
            </w:pPr>
            <w:r>
              <w:rPr>
                <w:color w:val="000000"/>
                <w:sz w:val="24"/>
              </w:rPr>
              <w:t>3</w:t>
            </w:r>
          </w:p>
        </w:tc>
        <w:tc>
          <w:tcPr>
            <w:tcW w:w="1650" w:type="dxa"/>
            <w:vAlign w:val="center"/>
          </w:tcPr>
          <w:p w:rsidR="000D33D2" w:rsidRDefault="00FB4FA1">
            <w:pPr>
              <w:jc w:val="center"/>
            </w:pPr>
            <w:r>
              <w:rPr>
                <w:color w:val="000000"/>
                <w:sz w:val="24"/>
              </w:rPr>
              <w:t>600885</w:t>
            </w:r>
          </w:p>
        </w:tc>
        <w:tc>
          <w:tcPr>
            <w:tcW w:w="1980" w:type="dxa"/>
            <w:vAlign w:val="center"/>
          </w:tcPr>
          <w:p w:rsidR="000D33D2" w:rsidRDefault="00FB4FA1">
            <w:pPr>
              <w:jc w:val="center"/>
            </w:pPr>
            <w:r>
              <w:rPr>
                <w:color w:val="000000"/>
                <w:sz w:val="24"/>
              </w:rPr>
              <w:t>宏发股份</w:t>
            </w:r>
          </w:p>
        </w:tc>
        <w:tc>
          <w:tcPr>
            <w:tcW w:w="2879" w:type="dxa"/>
            <w:vAlign w:val="center"/>
          </w:tcPr>
          <w:p w:rsidR="000D33D2" w:rsidRDefault="00FB4FA1">
            <w:pPr>
              <w:jc w:val="right"/>
            </w:pPr>
            <w:r>
              <w:rPr>
                <w:color w:val="000000"/>
                <w:sz w:val="24"/>
              </w:rPr>
              <w:t>9,494,736.00</w:t>
            </w:r>
          </w:p>
        </w:tc>
        <w:tc>
          <w:tcPr>
            <w:tcW w:w="1620" w:type="dxa"/>
            <w:vAlign w:val="center"/>
          </w:tcPr>
          <w:p w:rsidR="000D33D2" w:rsidRDefault="00FB4FA1">
            <w:pPr>
              <w:jc w:val="right"/>
            </w:pPr>
            <w:r>
              <w:rPr>
                <w:color w:val="000000"/>
                <w:sz w:val="24"/>
              </w:rPr>
              <w:t>6.39</w:t>
            </w:r>
          </w:p>
        </w:tc>
      </w:tr>
      <w:tr w:rsidR="000D33D2">
        <w:tc>
          <w:tcPr>
            <w:tcW w:w="869" w:type="dxa"/>
            <w:vAlign w:val="center"/>
          </w:tcPr>
          <w:p w:rsidR="000D33D2" w:rsidRDefault="00FB4FA1">
            <w:pPr>
              <w:jc w:val="center"/>
            </w:pPr>
            <w:r>
              <w:rPr>
                <w:color w:val="000000"/>
                <w:sz w:val="24"/>
              </w:rPr>
              <w:t>4</w:t>
            </w:r>
          </w:p>
        </w:tc>
        <w:tc>
          <w:tcPr>
            <w:tcW w:w="1650" w:type="dxa"/>
            <w:vAlign w:val="center"/>
          </w:tcPr>
          <w:p w:rsidR="000D33D2" w:rsidRDefault="00FB4FA1">
            <w:pPr>
              <w:jc w:val="center"/>
            </w:pPr>
            <w:r>
              <w:rPr>
                <w:color w:val="000000"/>
                <w:sz w:val="24"/>
              </w:rPr>
              <w:t>000807</w:t>
            </w:r>
          </w:p>
        </w:tc>
        <w:tc>
          <w:tcPr>
            <w:tcW w:w="1980" w:type="dxa"/>
            <w:vAlign w:val="center"/>
          </w:tcPr>
          <w:p w:rsidR="000D33D2" w:rsidRDefault="00FB4FA1">
            <w:pPr>
              <w:jc w:val="center"/>
            </w:pPr>
            <w:r>
              <w:rPr>
                <w:color w:val="000000"/>
                <w:sz w:val="24"/>
              </w:rPr>
              <w:t>云铝股份</w:t>
            </w:r>
          </w:p>
        </w:tc>
        <w:tc>
          <w:tcPr>
            <w:tcW w:w="2879" w:type="dxa"/>
            <w:vAlign w:val="center"/>
          </w:tcPr>
          <w:p w:rsidR="000D33D2" w:rsidRDefault="00FB4FA1">
            <w:pPr>
              <w:jc w:val="right"/>
            </w:pPr>
            <w:r>
              <w:rPr>
                <w:color w:val="000000"/>
                <w:sz w:val="24"/>
              </w:rPr>
              <w:t>8,525,755.01</w:t>
            </w:r>
          </w:p>
        </w:tc>
        <w:tc>
          <w:tcPr>
            <w:tcW w:w="1620" w:type="dxa"/>
            <w:vAlign w:val="center"/>
          </w:tcPr>
          <w:p w:rsidR="000D33D2" w:rsidRDefault="00FB4FA1">
            <w:pPr>
              <w:jc w:val="right"/>
            </w:pPr>
            <w:r>
              <w:rPr>
                <w:color w:val="000000"/>
                <w:sz w:val="24"/>
              </w:rPr>
              <w:t>5.74</w:t>
            </w:r>
          </w:p>
        </w:tc>
      </w:tr>
      <w:tr w:rsidR="000D33D2">
        <w:tc>
          <w:tcPr>
            <w:tcW w:w="869" w:type="dxa"/>
            <w:vAlign w:val="center"/>
          </w:tcPr>
          <w:p w:rsidR="000D33D2" w:rsidRDefault="00FB4FA1">
            <w:pPr>
              <w:jc w:val="center"/>
            </w:pPr>
            <w:r>
              <w:rPr>
                <w:color w:val="000000"/>
                <w:sz w:val="24"/>
              </w:rPr>
              <w:t>5</w:t>
            </w:r>
          </w:p>
        </w:tc>
        <w:tc>
          <w:tcPr>
            <w:tcW w:w="1650" w:type="dxa"/>
            <w:vAlign w:val="center"/>
          </w:tcPr>
          <w:p w:rsidR="000D33D2" w:rsidRDefault="00FB4FA1">
            <w:pPr>
              <w:jc w:val="center"/>
            </w:pPr>
            <w:r>
              <w:rPr>
                <w:color w:val="000000"/>
                <w:sz w:val="24"/>
              </w:rPr>
              <w:t>601336</w:t>
            </w:r>
          </w:p>
        </w:tc>
        <w:tc>
          <w:tcPr>
            <w:tcW w:w="1980" w:type="dxa"/>
            <w:vAlign w:val="center"/>
          </w:tcPr>
          <w:p w:rsidR="000D33D2" w:rsidRDefault="00FB4FA1">
            <w:pPr>
              <w:jc w:val="center"/>
            </w:pPr>
            <w:r>
              <w:rPr>
                <w:color w:val="000000"/>
                <w:sz w:val="24"/>
              </w:rPr>
              <w:t>新华保险</w:t>
            </w:r>
          </w:p>
        </w:tc>
        <w:tc>
          <w:tcPr>
            <w:tcW w:w="2879" w:type="dxa"/>
            <w:vAlign w:val="center"/>
          </w:tcPr>
          <w:p w:rsidR="000D33D2" w:rsidRDefault="00FB4FA1">
            <w:pPr>
              <w:jc w:val="right"/>
            </w:pPr>
            <w:r>
              <w:rPr>
                <w:color w:val="000000"/>
                <w:sz w:val="24"/>
              </w:rPr>
              <w:t>8,105,721.58</w:t>
            </w:r>
          </w:p>
        </w:tc>
        <w:tc>
          <w:tcPr>
            <w:tcW w:w="1620" w:type="dxa"/>
            <w:vAlign w:val="center"/>
          </w:tcPr>
          <w:p w:rsidR="000D33D2" w:rsidRDefault="00FB4FA1">
            <w:pPr>
              <w:jc w:val="right"/>
            </w:pPr>
            <w:r>
              <w:rPr>
                <w:color w:val="000000"/>
                <w:sz w:val="24"/>
              </w:rPr>
              <w:t>5.46</w:t>
            </w:r>
          </w:p>
        </w:tc>
      </w:tr>
      <w:tr w:rsidR="000D33D2">
        <w:tc>
          <w:tcPr>
            <w:tcW w:w="869" w:type="dxa"/>
            <w:vAlign w:val="center"/>
          </w:tcPr>
          <w:p w:rsidR="000D33D2" w:rsidRDefault="00FB4FA1">
            <w:pPr>
              <w:jc w:val="center"/>
            </w:pPr>
            <w:r>
              <w:rPr>
                <w:color w:val="000000"/>
                <w:sz w:val="24"/>
              </w:rPr>
              <w:t>6</w:t>
            </w:r>
          </w:p>
        </w:tc>
        <w:tc>
          <w:tcPr>
            <w:tcW w:w="1650" w:type="dxa"/>
            <w:vAlign w:val="center"/>
          </w:tcPr>
          <w:p w:rsidR="000D33D2" w:rsidRDefault="00FB4FA1">
            <w:pPr>
              <w:jc w:val="center"/>
            </w:pPr>
            <w:r>
              <w:rPr>
                <w:color w:val="000000"/>
                <w:sz w:val="24"/>
              </w:rPr>
              <w:t>600525</w:t>
            </w:r>
          </w:p>
        </w:tc>
        <w:tc>
          <w:tcPr>
            <w:tcW w:w="1980" w:type="dxa"/>
            <w:vAlign w:val="center"/>
          </w:tcPr>
          <w:p w:rsidR="000D33D2" w:rsidRDefault="00FB4FA1">
            <w:pPr>
              <w:jc w:val="center"/>
            </w:pPr>
            <w:r>
              <w:rPr>
                <w:color w:val="000000"/>
                <w:sz w:val="24"/>
              </w:rPr>
              <w:t>长园集团</w:t>
            </w:r>
          </w:p>
        </w:tc>
        <w:tc>
          <w:tcPr>
            <w:tcW w:w="2879" w:type="dxa"/>
            <w:vAlign w:val="center"/>
          </w:tcPr>
          <w:p w:rsidR="000D33D2" w:rsidRDefault="00FB4FA1">
            <w:pPr>
              <w:jc w:val="right"/>
            </w:pPr>
            <w:r>
              <w:rPr>
                <w:color w:val="000000"/>
                <w:sz w:val="24"/>
              </w:rPr>
              <w:t>7,968,176.40</w:t>
            </w:r>
          </w:p>
        </w:tc>
        <w:tc>
          <w:tcPr>
            <w:tcW w:w="1620" w:type="dxa"/>
            <w:vAlign w:val="center"/>
          </w:tcPr>
          <w:p w:rsidR="000D33D2" w:rsidRDefault="00FB4FA1">
            <w:pPr>
              <w:jc w:val="right"/>
            </w:pPr>
            <w:r>
              <w:rPr>
                <w:color w:val="000000"/>
                <w:sz w:val="24"/>
              </w:rPr>
              <w:t>5.37</w:t>
            </w:r>
          </w:p>
        </w:tc>
      </w:tr>
      <w:tr w:rsidR="000D33D2">
        <w:tc>
          <w:tcPr>
            <w:tcW w:w="869" w:type="dxa"/>
            <w:vAlign w:val="center"/>
          </w:tcPr>
          <w:p w:rsidR="000D33D2" w:rsidRDefault="00FB4FA1">
            <w:pPr>
              <w:jc w:val="center"/>
            </w:pPr>
            <w:r>
              <w:rPr>
                <w:color w:val="000000"/>
                <w:sz w:val="24"/>
              </w:rPr>
              <w:t>7</w:t>
            </w:r>
          </w:p>
        </w:tc>
        <w:tc>
          <w:tcPr>
            <w:tcW w:w="1650" w:type="dxa"/>
            <w:vAlign w:val="center"/>
          </w:tcPr>
          <w:p w:rsidR="000D33D2" w:rsidRDefault="00FB4FA1">
            <w:pPr>
              <w:jc w:val="center"/>
            </w:pPr>
            <w:r>
              <w:rPr>
                <w:color w:val="000000"/>
                <w:sz w:val="24"/>
              </w:rPr>
              <w:t>002050</w:t>
            </w:r>
          </w:p>
        </w:tc>
        <w:tc>
          <w:tcPr>
            <w:tcW w:w="1980" w:type="dxa"/>
            <w:vAlign w:val="center"/>
          </w:tcPr>
          <w:p w:rsidR="000D33D2" w:rsidRDefault="00FB4FA1">
            <w:pPr>
              <w:jc w:val="center"/>
            </w:pPr>
            <w:r>
              <w:rPr>
                <w:color w:val="000000"/>
                <w:sz w:val="24"/>
              </w:rPr>
              <w:t>三</w:t>
            </w:r>
            <w:proofErr w:type="gramStart"/>
            <w:r>
              <w:rPr>
                <w:color w:val="000000"/>
                <w:sz w:val="24"/>
              </w:rPr>
              <w:t>花智控</w:t>
            </w:r>
            <w:proofErr w:type="gramEnd"/>
          </w:p>
        </w:tc>
        <w:tc>
          <w:tcPr>
            <w:tcW w:w="2879" w:type="dxa"/>
            <w:vAlign w:val="center"/>
          </w:tcPr>
          <w:p w:rsidR="000D33D2" w:rsidRDefault="00FB4FA1">
            <w:pPr>
              <w:jc w:val="right"/>
            </w:pPr>
            <w:r>
              <w:rPr>
                <w:color w:val="000000"/>
                <w:sz w:val="24"/>
              </w:rPr>
              <w:t>6,842,544.00</w:t>
            </w:r>
          </w:p>
        </w:tc>
        <w:tc>
          <w:tcPr>
            <w:tcW w:w="1620" w:type="dxa"/>
            <w:vAlign w:val="center"/>
          </w:tcPr>
          <w:p w:rsidR="000D33D2" w:rsidRDefault="00FB4FA1">
            <w:pPr>
              <w:jc w:val="right"/>
            </w:pPr>
            <w:r>
              <w:rPr>
                <w:color w:val="000000"/>
                <w:sz w:val="24"/>
              </w:rPr>
              <w:t>4.61</w:t>
            </w:r>
          </w:p>
        </w:tc>
      </w:tr>
      <w:tr w:rsidR="000D33D2">
        <w:tc>
          <w:tcPr>
            <w:tcW w:w="869" w:type="dxa"/>
            <w:vAlign w:val="center"/>
          </w:tcPr>
          <w:p w:rsidR="000D33D2" w:rsidRDefault="00FB4FA1">
            <w:pPr>
              <w:jc w:val="center"/>
            </w:pPr>
            <w:r>
              <w:rPr>
                <w:color w:val="000000"/>
                <w:sz w:val="24"/>
              </w:rPr>
              <w:t>8</w:t>
            </w:r>
          </w:p>
        </w:tc>
        <w:tc>
          <w:tcPr>
            <w:tcW w:w="1650" w:type="dxa"/>
            <w:vAlign w:val="center"/>
          </w:tcPr>
          <w:p w:rsidR="000D33D2" w:rsidRDefault="00FB4FA1">
            <w:pPr>
              <w:jc w:val="center"/>
            </w:pPr>
            <w:r>
              <w:rPr>
                <w:color w:val="000000"/>
                <w:sz w:val="24"/>
              </w:rPr>
              <w:t>000002</w:t>
            </w:r>
          </w:p>
        </w:tc>
        <w:tc>
          <w:tcPr>
            <w:tcW w:w="1980" w:type="dxa"/>
            <w:vAlign w:val="center"/>
          </w:tcPr>
          <w:p w:rsidR="000D33D2" w:rsidRDefault="00FB4FA1">
            <w:pPr>
              <w:jc w:val="center"/>
            </w:pPr>
            <w:r>
              <w:rPr>
                <w:color w:val="000000"/>
                <w:sz w:val="24"/>
              </w:rPr>
              <w:t>万</w:t>
            </w:r>
            <w:r>
              <w:rPr>
                <w:color w:val="000000"/>
                <w:sz w:val="24"/>
              </w:rPr>
              <w:t xml:space="preserve">  </w:t>
            </w:r>
            <w:r>
              <w:rPr>
                <w:color w:val="000000"/>
                <w:sz w:val="24"/>
              </w:rPr>
              <w:t>科Ａ</w:t>
            </w:r>
          </w:p>
        </w:tc>
        <w:tc>
          <w:tcPr>
            <w:tcW w:w="2879" w:type="dxa"/>
            <w:vAlign w:val="center"/>
          </w:tcPr>
          <w:p w:rsidR="000D33D2" w:rsidRDefault="00FB4FA1">
            <w:pPr>
              <w:jc w:val="right"/>
            </w:pPr>
            <w:r>
              <w:rPr>
                <w:color w:val="000000"/>
                <w:sz w:val="24"/>
              </w:rPr>
              <w:t>6,736,006.00</w:t>
            </w:r>
          </w:p>
        </w:tc>
        <w:tc>
          <w:tcPr>
            <w:tcW w:w="1620" w:type="dxa"/>
            <w:vAlign w:val="center"/>
          </w:tcPr>
          <w:p w:rsidR="000D33D2" w:rsidRDefault="00FB4FA1">
            <w:pPr>
              <w:jc w:val="right"/>
            </w:pPr>
            <w:r>
              <w:rPr>
                <w:color w:val="000000"/>
                <w:sz w:val="24"/>
              </w:rPr>
              <w:t>4.54</w:t>
            </w:r>
          </w:p>
        </w:tc>
      </w:tr>
      <w:tr w:rsidR="000D33D2">
        <w:tc>
          <w:tcPr>
            <w:tcW w:w="869" w:type="dxa"/>
            <w:vAlign w:val="center"/>
          </w:tcPr>
          <w:p w:rsidR="000D33D2" w:rsidRDefault="00FB4FA1">
            <w:pPr>
              <w:jc w:val="center"/>
            </w:pPr>
            <w:r>
              <w:rPr>
                <w:color w:val="000000"/>
                <w:sz w:val="24"/>
              </w:rPr>
              <w:t>9</w:t>
            </w:r>
          </w:p>
        </w:tc>
        <w:tc>
          <w:tcPr>
            <w:tcW w:w="1650" w:type="dxa"/>
            <w:vAlign w:val="center"/>
          </w:tcPr>
          <w:p w:rsidR="000D33D2" w:rsidRDefault="00FB4FA1">
            <w:pPr>
              <w:jc w:val="center"/>
            </w:pPr>
            <w:r>
              <w:rPr>
                <w:color w:val="000000"/>
                <w:sz w:val="24"/>
              </w:rPr>
              <w:t>000933</w:t>
            </w:r>
          </w:p>
        </w:tc>
        <w:tc>
          <w:tcPr>
            <w:tcW w:w="1980" w:type="dxa"/>
            <w:vAlign w:val="center"/>
          </w:tcPr>
          <w:p w:rsidR="000D33D2" w:rsidRDefault="00FB4FA1">
            <w:pPr>
              <w:jc w:val="center"/>
            </w:pPr>
            <w:r>
              <w:rPr>
                <w:color w:val="000000"/>
                <w:sz w:val="24"/>
              </w:rPr>
              <w:t>神火股份</w:t>
            </w:r>
          </w:p>
        </w:tc>
        <w:tc>
          <w:tcPr>
            <w:tcW w:w="2879" w:type="dxa"/>
            <w:vAlign w:val="center"/>
          </w:tcPr>
          <w:p w:rsidR="000D33D2" w:rsidRDefault="00FB4FA1">
            <w:pPr>
              <w:jc w:val="right"/>
            </w:pPr>
            <w:r>
              <w:rPr>
                <w:color w:val="000000"/>
                <w:sz w:val="24"/>
              </w:rPr>
              <w:t>6,343,847.00</w:t>
            </w:r>
          </w:p>
        </w:tc>
        <w:tc>
          <w:tcPr>
            <w:tcW w:w="1620" w:type="dxa"/>
            <w:vAlign w:val="center"/>
          </w:tcPr>
          <w:p w:rsidR="000D33D2" w:rsidRDefault="00FB4FA1">
            <w:pPr>
              <w:jc w:val="right"/>
            </w:pPr>
            <w:r>
              <w:rPr>
                <w:color w:val="000000"/>
                <w:sz w:val="24"/>
              </w:rPr>
              <w:t>4.27</w:t>
            </w:r>
          </w:p>
        </w:tc>
      </w:tr>
      <w:tr w:rsidR="000D33D2">
        <w:tc>
          <w:tcPr>
            <w:tcW w:w="869" w:type="dxa"/>
            <w:vAlign w:val="center"/>
          </w:tcPr>
          <w:p w:rsidR="000D33D2" w:rsidRDefault="00FB4FA1">
            <w:pPr>
              <w:jc w:val="center"/>
            </w:pPr>
            <w:r>
              <w:rPr>
                <w:color w:val="000000"/>
                <w:sz w:val="24"/>
              </w:rPr>
              <w:t>10</w:t>
            </w:r>
          </w:p>
        </w:tc>
        <w:tc>
          <w:tcPr>
            <w:tcW w:w="1650" w:type="dxa"/>
            <w:vAlign w:val="center"/>
          </w:tcPr>
          <w:p w:rsidR="000D33D2" w:rsidRDefault="00FB4FA1">
            <w:pPr>
              <w:jc w:val="center"/>
            </w:pPr>
            <w:r>
              <w:rPr>
                <w:color w:val="000000"/>
                <w:sz w:val="24"/>
              </w:rPr>
              <w:t>002008</w:t>
            </w:r>
          </w:p>
        </w:tc>
        <w:tc>
          <w:tcPr>
            <w:tcW w:w="1980" w:type="dxa"/>
            <w:vAlign w:val="center"/>
          </w:tcPr>
          <w:p w:rsidR="000D33D2" w:rsidRDefault="00FB4FA1">
            <w:pPr>
              <w:jc w:val="center"/>
            </w:pPr>
            <w:r>
              <w:rPr>
                <w:color w:val="000000"/>
                <w:sz w:val="24"/>
              </w:rPr>
              <w:t>大族激光</w:t>
            </w:r>
          </w:p>
        </w:tc>
        <w:tc>
          <w:tcPr>
            <w:tcW w:w="2879" w:type="dxa"/>
            <w:vAlign w:val="center"/>
          </w:tcPr>
          <w:p w:rsidR="000D33D2" w:rsidRDefault="00FB4FA1">
            <w:pPr>
              <w:jc w:val="right"/>
            </w:pPr>
            <w:r>
              <w:rPr>
                <w:color w:val="000000"/>
                <w:sz w:val="24"/>
              </w:rPr>
              <w:t>6,235,754.00</w:t>
            </w:r>
          </w:p>
        </w:tc>
        <w:tc>
          <w:tcPr>
            <w:tcW w:w="1620" w:type="dxa"/>
            <w:vAlign w:val="center"/>
          </w:tcPr>
          <w:p w:rsidR="000D33D2" w:rsidRDefault="00FB4FA1">
            <w:pPr>
              <w:jc w:val="right"/>
            </w:pPr>
            <w:r>
              <w:rPr>
                <w:color w:val="000000"/>
                <w:sz w:val="24"/>
              </w:rPr>
              <w:t>4.20</w:t>
            </w:r>
          </w:p>
        </w:tc>
      </w:tr>
      <w:tr w:rsidR="000D33D2">
        <w:tc>
          <w:tcPr>
            <w:tcW w:w="869" w:type="dxa"/>
            <w:vAlign w:val="center"/>
          </w:tcPr>
          <w:p w:rsidR="000D33D2" w:rsidRDefault="00FB4FA1">
            <w:pPr>
              <w:jc w:val="center"/>
            </w:pPr>
            <w:r>
              <w:rPr>
                <w:color w:val="000000"/>
                <w:sz w:val="24"/>
              </w:rPr>
              <w:t>11</w:t>
            </w:r>
          </w:p>
        </w:tc>
        <w:tc>
          <w:tcPr>
            <w:tcW w:w="1650" w:type="dxa"/>
            <w:vAlign w:val="center"/>
          </w:tcPr>
          <w:p w:rsidR="000D33D2" w:rsidRDefault="00FB4FA1">
            <w:pPr>
              <w:jc w:val="center"/>
            </w:pPr>
            <w:r>
              <w:rPr>
                <w:color w:val="000000"/>
                <w:sz w:val="24"/>
              </w:rPr>
              <w:t>002405</w:t>
            </w:r>
          </w:p>
        </w:tc>
        <w:tc>
          <w:tcPr>
            <w:tcW w:w="1980" w:type="dxa"/>
            <w:vAlign w:val="center"/>
          </w:tcPr>
          <w:p w:rsidR="000D33D2" w:rsidRDefault="00FB4FA1">
            <w:pPr>
              <w:jc w:val="center"/>
            </w:pPr>
            <w:proofErr w:type="gramStart"/>
            <w:r>
              <w:rPr>
                <w:color w:val="000000"/>
                <w:sz w:val="24"/>
              </w:rPr>
              <w:t>四维图</w:t>
            </w:r>
            <w:proofErr w:type="gramEnd"/>
            <w:r>
              <w:rPr>
                <w:color w:val="000000"/>
                <w:sz w:val="24"/>
              </w:rPr>
              <w:t>新</w:t>
            </w:r>
          </w:p>
        </w:tc>
        <w:tc>
          <w:tcPr>
            <w:tcW w:w="2879" w:type="dxa"/>
            <w:vAlign w:val="center"/>
          </w:tcPr>
          <w:p w:rsidR="000D33D2" w:rsidRDefault="00FB4FA1">
            <w:pPr>
              <w:jc w:val="right"/>
            </w:pPr>
            <w:r>
              <w:rPr>
                <w:color w:val="000000"/>
                <w:sz w:val="24"/>
              </w:rPr>
              <w:t>5,860,832.00</w:t>
            </w:r>
          </w:p>
        </w:tc>
        <w:tc>
          <w:tcPr>
            <w:tcW w:w="1620" w:type="dxa"/>
            <w:vAlign w:val="center"/>
          </w:tcPr>
          <w:p w:rsidR="000D33D2" w:rsidRDefault="00FB4FA1">
            <w:pPr>
              <w:jc w:val="right"/>
            </w:pPr>
            <w:r>
              <w:rPr>
                <w:color w:val="000000"/>
                <w:sz w:val="24"/>
              </w:rPr>
              <w:t>3.95</w:t>
            </w:r>
          </w:p>
        </w:tc>
      </w:tr>
      <w:tr w:rsidR="000D33D2">
        <w:tc>
          <w:tcPr>
            <w:tcW w:w="869" w:type="dxa"/>
            <w:vAlign w:val="center"/>
          </w:tcPr>
          <w:p w:rsidR="000D33D2" w:rsidRDefault="00FB4FA1">
            <w:pPr>
              <w:jc w:val="center"/>
            </w:pPr>
            <w:r>
              <w:rPr>
                <w:color w:val="000000"/>
                <w:sz w:val="24"/>
              </w:rPr>
              <w:t>12</w:t>
            </w:r>
          </w:p>
        </w:tc>
        <w:tc>
          <w:tcPr>
            <w:tcW w:w="1650" w:type="dxa"/>
            <w:vAlign w:val="center"/>
          </w:tcPr>
          <w:p w:rsidR="000D33D2" w:rsidRDefault="00FB4FA1">
            <w:pPr>
              <w:jc w:val="center"/>
            </w:pPr>
            <w:r>
              <w:rPr>
                <w:color w:val="000000"/>
                <w:sz w:val="24"/>
              </w:rPr>
              <w:t>601688</w:t>
            </w:r>
          </w:p>
        </w:tc>
        <w:tc>
          <w:tcPr>
            <w:tcW w:w="1980" w:type="dxa"/>
            <w:vAlign w:val="center"/>
          </w:tcPr>
          <w:p w:rsidR="000D33D2" w:rsidRDefault="00FB4FA1">
            <w:pPr>
              <w:jc w:val="center"/>
            </w:pPr>
            <w:r>
              <w:rPr>
                <w:color w:val="000000"/>
                <w:sz w:val="24"/>
              </w:rPr>
              <w:t>华泰证券</w:t>
            </w:r>
          </w:p>
        </w:tc>
        <w:tc>
          <w:tcPr>
            <w:tcW w:w="2879" w:type="dxa"/>
            <w:vAlign w:val="center"/>
          </w:tcPr>
          <w:p w:rsidR="000D33D2" w:rsidRDefault="00FB4FA1">
            <w:pPr>
              <w:jc w:val="right"/>
            </w:pPr>
            <w:r>
              <w:rPr>
                <w:color w:val="000000"/>
                <w:sz w:val="24"/>
              </w:rPr>
              <w:t>5,860,300.00</w:t>
            </w:r>
          </w:p>
        </w:tc>
        <w:tc>
          <w:tcPr>
            <w:tcW w:w="1620" w:type="dxa"/>
            <w:vAlign w:val="center"/>
          </w:tcPr>
          <w:p w:rsidR="000D33D2" w:rsidRDefault="00FB4FA1">
            <w:pPr>
              <w:jc w:val="right"/>
            </w:pPr>
            <w:r>
              <w:rPr>
                <w:color w:val="000000"/>
                <w:sz w:val="24"/>
              </w:rPr>
              <w:t>3.95</w:t>
            </w:r>
          </w:p>
        </w:tc>
      </w:tr>
      <w:tr w:rsidR="000D33D2">
        <w:tc>
          <w:tcPr>
            <w:tcW w:w="869" w:type="dxa"/>
            <w:vAlign w:val="center"/>
          </w:tcPr>
          <w:p w:rsidR="000D33D2" w:rsidRDefault="00FB4FA1">
            <w:pPr>
              <w:jc w:val="center"/>
            </w:pPr>
            <w:r>
              <w:rPr>
                <w:color w:val="000000"/>
                <w:sz w:val="24"/>
              </w:rPr>
              <w:t>13</w:t>
            </w:r>
          </w:p>
        </w:tc>
        <w:tc>
          <w:tcPr>
            <w:tcW w:w="1650" w:type="dxa"/>
            <w:vAlign w:val="center"/>
          </w:tcPr>
          <w:p w:rsidR="000D33D2" w:rsidRDefault="00FB4FA1">
            <w:pPr>
              <w:jc w:val="center"/>
            </w:pPr>
            <w:r>
              <w:rPr>
                <w:color w:val="000000"/>
                <w:sz w:val="24"/>
              </w:rPr>
              <w:t>002185</w:t>
            </w:r>
          </w:p>
        </w:tc>
        <w:tc>
          <w:tcPr>
            <w:tcW w:w="1980" w:type="dxa"/>
            <w:vAlign w:val="center"/>
          </w:tcPr>
          <w:p w:rsidR="000D33D2" w:rsidRDefault="00FB4FA1">
            <w:pPr>
              <w:jc w:val="center"/>
            </w:pPr>
            <w:r>
              <w:rPr>
                <w:color w:val="000000"/>
                <w:sz w:val="24"/>
              </w:rPr>
              <w:t>华天科技</w:t>
            </w:r>
          </w:p>
        </w:tc>
        <w:tc>
          <w:tcPr>
            <w:tcW w:w="2879" w:type="dxa"/>
            <w:vAlign w:val="center"/>
          </w:tcPr>
          <w:p w:rsidR="000D33D2" w:rsidRDefault="00FB4FA1">
            <w:pPr>
              <w:jc w:val="right"/>
            </w:pPr>
            <w:r>
              <w:rPr>
                <w:color w:val="000000"/>
                <w:sz w:val="24"/>
              </w:rPr>
              <w:t>5,418,773.00</w:t>
            </w:r>
          </w:p>
        </w:tc>
        <w:tc>
          <w:tcPr>
            <w:tcW w:w="1620" w:type="dxa"/>
            <w:vAlign w:val="center"/>
          </w:tcPr>
          <w:p w:rsidR="000D33D2" w:rsidRDefault="00FB4FA1">
            <w:pPr>
              <w:jc w:val="right"/>
            </w:pPr>
            <w:r>
              <w:rPr>
                <w:color w:val="000000"/>
                <w:sz w:val="24"/>
              </w:rPr>
              <w:t>3.65</w:t>
            </w:r>
          </w:p>
        </w:tc>
      </w:tr>
      <w:tr w:rsidR="000D33D2">
        <w:tc>
          <w:tcPr>
            <w:tcW w:w="869" w:type="dxa"/>
            <w:vAlign w:val="center"/>
          </w:tcPr>
          <w:p w:rsidR="000D33D2" w:rsidRDefault="00FB4FA1">
            <w:pPr>
              <w:jc w:val="center"/>
            </w:pPr>
            <w:r>
              <w:rPr>
                <w:color w:val="000000"/>
                <w:sz w:val="24"/>
              </w:rPr>
              <w:t>14</w:t>
            </w:r>
          </w:p>
        </w:tc>
        <w:tc>
          <w:tcPr>
            <w:tcW w:w="1650" w:type="dxa"/>
            <w:vAlign w:val="center"/>
          </w:tcPr>
          <w:p w:rsidR="000D33D2" w:rsidRDefault="00FB4FA1">
            <w:pPr>
              <w:jc w:val="center"/>
            </w:pPr>
            <w:r>
              <w:rPr>
                <w:color w:val="000000"/>
                <w:sz w:val="24"/>
              </w:rPr>
              <w:t>002463</w:t>
            </w:r>
          </w:p>
        </w:tc>
        <w:tc>
          <w:tcPr>
            <w:tcW w:w="1980" w:type="dxa"/>
            <w:vAlign w:val="center"/>
          </w:tcPr>
          <w:p w:rsidR="000D33D2" w:rsidRDefault="00FB4FA1">
            <w:pPr>
              <w:jc w:val="center"/>
            </w:pPr>
            <w:proofErr w:type="gramStart"/>
            <w:r>
              <w:rPr>
                <w:color w:val="000000"/>
                <w:sz w:val="24"/>
              </w:rPr>
              <w:t>沪电股份</w:t>
            </w:r>
            <w:proofErr w:type="gramEnd"/>
          </w:p>
        </w:tc>
        <w:tc>
          <w:tcPr>
            <w:tcW w:w="2879" w:type="dxa"/>
            <w:vAlign w:val="center"/>
          </w:tcPr>
          <w:p w:rsidR="000D33D2" w:rsidRDefault="00FB4FA1">
            <w:pPr>
              <w:jc w:val="right"/>
            </w:pPr>
            <w:r>
              <w:rPr>
                <w:color w:val="000000"/>
                <w:sz w:val="24"/>
              </w:rPr>
              <w:t>5,022,871.64</w:t>
            </w:r>
          </w:p>
        </w:tc>
        <w:tc>
          <w:tcPr>
            <w:tcW w:w="1620" w:type="dxa"/>
            <w:vAlign w:val="center"/>
          </w:tcPr>
          <w:p w:rsidR="000D33D2" w:rsidRDefault="00FB4FA1">
            <w:pPr>
              <w:jc w:val="right"/>
            </w:pPr>
            <w:r>
              <w:rPr>
                <w:color w:val="000000"/>
                <w:sz w:val="24"/>
              </w:rPr>
              <w:t>3.38</w:t>
            </w:r>
          </w:p>
        </w:tc>
      </w:tr>
      <w:tr w:rsidR="000D33D2">
        <w:tc>
          <w:tcPr>
            <w:tcW w:w="869" w:type="dxa"/>
            <w:vAlign w:val="center"/>
          </w:tcPr>
          <w:p w:rsidR="000D33D2" w:rsidRDefault="00FB4FA1">
            <w:pPr>
              <w:jc w:val="center"/>
            </w:pPr>
            <w:r>
              <w:rPr>
                <w:color w:val="000000"/>
                <w:sz w:val="24"/>
              </w:rPr>
              <w:t>15</w:t>
            </w:r>
          </w:p>
        </w:tc>
        <w:tc>
          <w:tcPr>
            <w:tcW w:w="1650" w:type="dxa"/>
            <w:vAlign w:val="center"/>
          </w:tcPr>
          <w:p w:rsidR="000D33D2" w:rsidRDefault="00FB4FA1">
            <w:pPr>
              <w:jc w:val="center"/>
            </w:pPr>
            <w:r>
              <w:rPr>
                <w:color w:val="000000"/>
                <w:sz w:val="24"/>
              </w:rPr>
              <w:t>000783</w:t>
            </w:r>
          </w:p>
        </w:tc>
        <w:tc>
          <w:tcPr>
            <w:tcW w:w="1980" w:type="dxa"/>
            <w:vAlign w:val="center"/>
          </w:tcPr>
          <w:p w:rsidR="000D33D2" w:rsidRDefault="00FB4FA1">
            <w:pPr>
              <w:jc w:val="center"/>
            </w:pPr>
            <w:r>
              <w:rPr>
                <w:color w:val="000000"/>
                <w:sz w:val="24"/>
              </w:rPr>
              <w:t>长江证券</w:t>
            </w:r>
          </w:p>
        </w:tc>
        <w:tc>
          <w:tcPr>
            <w:tcW w:w="2879" w:type="dxa"/>
            <w:vAlign w:val="center"/>
          </w:tcPr>
          <w:p w:rsidR="000D33D2" w:rsidRDefault="00FB4FA1">
            <w:pPr>
              <w:jc w:val="right"/>
            </w:pPr>
            <w:r>
              <w:rPr>
                <w:color w:val="000000"/>
                <w:sz w:val="24"/>
              </w:rPr>
              <w:t>4,650,060.00</w:t>
            </w:r>
          </w:p>
        </w:tc>
        <w:tc>
          <w:tcPr>
            <w:tcW w:w="1620" w:type="dxa"/>
            <w:vAlign w:val="center"/>
          </w:tcPr>
          <w:p w:rsidR="000D33D2" w:rsidRDefault="00FB4FA1">
            <w:pPr>
              <w:jc w:val="right"/>
            </w:pPr>
            <w:r>
              <w:rPr>
                <w:color w:val="000000"/>
                <w:sz w:val="24"/>
              </w:rPr>
              <w:t>3.13</w:t>
            </w:r>
          </w:p>
        </w:tc>
      </w:tr>
      <w:tr w:rsidR="000D33D2">
        <w:tc>
          <w:tcPr>
            <w:tcW w:w="869" w:type="dxa"/>
            <w:vAlign w:val="center"/>
          </w:tcPr>
          <w:p w:rsidR="000D33D2" w:rsidRDefault="00FB4FA1">
            <w:pPr>
              <w:jc w:val="center"/>
            </w:pPr>
            <w:r>
              <w:rPr>
                <w:color w:val="000000"/>
                <w:sz w:val="24"/>
              </w:rPr>
              <w:t>16</w:t>
            </w:r>
          </w:p>
        </w:tc>
        <w:tc>
          <w:tcPr>
            <w:tcW w:w="1650" w:type="dxa"/>
            <w:vAlign w:val="center"/>
          </w:tcPr>
          <w:p w:rsidR="000D33D2" w:rsidRDefault="00FB4FA1">
            <w:pPr>
              <w:jc w:val="center"/>
            </w:pPr>
            <w:r>
              <w:rPr>
                <w:color w:val="000000"/>
                <w:sz w:val="24"/>
              </w:rPr>
              <w:t>600050</w:t>
            </w:r>
          </w:p>
        </w:tc>
        <w:tc>
          <w:tcPr>
            <w:tcW w:w="1980" w:type="dxa"/>
            <w:vAlign w:val="center"/>
          </w:tcPr>
          <w:p w:rsidR="000D33D2" w:rsidRDefault="00FB4FA1">
            <w:pPr>
              <w:jc w:val="center"/>
            </w:pPr>
            <w:r>
              <w:rPr>
                <w:color w:val="000000"/>
                <w:sz w:val="24"/>
              </w:rPr>
              <w:t>中国联通</w:t>
            </w:r>
          </w:p>
        </w:tc>
        <w:tc>
          <w:tcPr>
            <w:tcW w:w="2879" w:type="dxa"/>
            <w:vAlign w:val="center"/>
          </w:tcPr>
          <w:p w:rsidR="000D33D2" w:rsidRDefault="00FB4FA1">
            <w:pPr>
              <w:jc w:val="right"/>
            </w:pPr>
            <w:r>
              <w:rPr>
                <w:color w:val="000000"/>
                <w:sz w:val="24"/>
              </w:rPr>
              <w:t>4,474,942.00</w:t>
            </w:r>
          </w:p>
        </w:tc>
        <w:tc>
          <w:tcPr>
            <w:tcW w:w="1620" w:type="dxa"/>
            <w:vAlign w:val="center"/>
          </w:tcPr>
          <w:p w:rsidR="000D33D2" w:rsidRDefault="00FB4FA1">
            <w:pPr>
              <w:jc w:val="right"/>
            </w:pPr>
            <w:r>
              <w:rPr>
                <w:color w:val="000000"/>
                <w:sz w:val="24"/>
              </w:rPr>
              <w:t>3.01</w:t>
            </w:r>
          </w:p>
        </w:tc>
      </w:tr>
      <w:tr w:rsidR="000D33D2">
        <w:tc>
          <w:tcPr>
            <w:tcW w:w="869" w:type="dxa"/>
            <w:vAlign w:val="center"/>
          </w:tcPr>
          <w:p w:rsidR="000D33D2" w:rsidRDefault="00FB4FA1">
            <w:pPr>
              <w:jc w:val="center"/>
            </w:pPr>
            <w:r>
              <w:rPr>
                <w:color w:val="000000"/>
                <w:sz w:val="24"/>
              </w:rPr>
              <w:t>17</w:t>
            </w:r>
          </w:p>
        </w:tc>
        <w:tc>
          <w:tcPr>
            <w:tcW w:w="1650" w:type="dxa"/>
            <w:vAlign w:val="center"/>
          </w:tcPr>
          <w:p w:rsidR="000D33D2" w:rsidRDefault="00FB4FA1">
            <w:pPr>
              <w:jc w:val="center"/>
            </w:pPr>
            <w:r>
              <w:rPr>
                <w:color w:val="000000"/>
                <w:sz w:val="24"/>
              </w:rPr>
              <w:t>600048</w:t>
            </w:r>
          </w:p>
        </w:tc>
        <w:tc>
          <w:tcPr>
            <w:tcW w:w="1980" w:type="dxa"/>
            <w:vAlign w:val="center"/>
          </w:tcPr>
          <w:p w:rsidR="000D33D2" w:rsidRDefault="00FB4FA1">
            <w:pPr>
              <w:jc w:val="center"/>
            </w:pPr>
            <w:r>
              <w:rPr>
                <w:color w:val="000000"/>
                <w:sz w:val="24"/>
              </w:rPr>
              <w:t>保利地产</w:t>
            </w:r>
          </w:p>
        </w:tc>
        <w:tc>
          <w:tcPr>
            <w:tcW w:w="2879" w:type="dxa"/>
            <w:vAlign w:val="center"/>
          </w:tcPr>
          <w:p w:rsidR="000D33D2" w:rsidRDefault="00FB4FA1">
            <w:pPr>
              <w:jc w:val="right"/>
            </w:pPr>
            <w:r>
              <w:rPr>
                <w:color w:val="000000"/>
                <w:sz w:val="24"/>
              </w:rPr>
              <w:t>4,254,544.21</w:t>
            </w:r>
          </w:p>
        </w:tc>
        <w:tc>
          <w:tcPr>
            <w:tcW w:w="1620" w:type="dxa"/>
            <w:vAlign w:val="center"/>
          </w:tcPr>
          <w:p w:rsidR="000D33D2" w:rsidRDefault="00FB4FA1">
            <w:pPr>
              <w:jc w:val="right"/>
            </w:pPr>
            <w:r>
              <w:rPr>
                <w:color w:val="000000"/>
                <w:sz w:val="24"/>
              </w:rPr>
              <w:t>2.87</w:t>
            </w:r>
          </w:p>
        </w:tc>
      </w:tr>
      <w:tr w:rsidR="000D33D2">
        <w:tc>
          <w:tcPr>
            <w:tcW w:w="869" w:type="dxa"/>
            <w:vAlign w:val="center"/>
          </w:tcPr>
          <w:p w:rsidR="000D33D2" w:rsidRDefault="00FB4FA1">
            <w:pPr>
              <w:jc w:val="center"/>
            </w:pPr>
            <w:r>
              <w:rPr>
                <w:color w:val="000000"/>
                <w:sz w:val="24"/>
              </w:rPr>
              <w:t>18</w:t>
            </w:r>
          </w:p>
        </w:tc>
        <w:tc>
          <w:tcPr>
            <w:tcW w:w="1650" w:type="dxa"/>
            <w:vAlign w:val="center"/>
          </w:tcPr>
          <w:p w:rsidR="000D33D2" w:rsidRDefault="00FB4FA1">
            <w:pPr>
              <w:jc w:val="center"/>
            </w:pPr>
            <w:r>
              <w:rPr>
                <w:color w:val="000000"/>
                <w:sz w:val="24"/>
              </w:rPr>
              <w:t>600584</w:t>
            </w:r>
          </w:p>
        </w:tc>
        <w:tc>
          <w:tcPr>
            <w:tcW w:w="1980" w:type="dxa"/>
            <w:vAlign w:val="center"/>
          </w:tcPr>
          <w:p w:rsidR="000D33D2" w:rsidRDefault="00FB4FA1">
            <w:pPr>
              <w:jc w:val="center"/>
            </w:pPr>
            <w:r>
              <w:rPr>
                <w:color w:val="000000"/>
                <w:sz w:val="24"/>
              </w:rPr>
              <w:t>长电科技</w:t>
            </w:r>
          </w:p>
        </w:tc>
        <w:tc>
          <w:tcPr>
            <w:tcW w:w="2879" w:type="dxa"/>
            <w:vAlign w:val="center"/>
          </w:tcPr>
          <w:p w:rsidR="000D33D2" w:rsidRDefault="00FB4FA1">
            <w:pPr>
              <w:jc w:val="right"/>
            </w:pPr>
            <w:r>
              <w:rPr>
                <w:color w:val="000000"/>
                <w:sz w:val="24"/>
              </w:rPr>
              <w:t>4,029,239.00</w:t>
            </w:r>
          </w:p>
        </w:tc>
        <w:tc>
          <w:tcPr>
            <w:tcW w:w="1620" w:type="dxa"/>
            <w:vAlign w:val="center"/>
          </w:tcPr>
          <w:p w:rsidR="000D33D2" w:rsidRDefault="00FB4FA1">
            <w:pPr>
              <w:jc w:val="right"/>
            </w:pPr>
            <w:r>
              <w:rPr>
                <w:color w:val="000000"/>
                <w:sz w:val="24"/>
              </w:rPr>
              <w:t>2.71</w:t>
            </w:r>
          </w:p>
        </w:tc>
      </w:tr>
      <w:tr w:rsidR="000D33D2">
        <w:tc>
          <w:tcPr>
            <w:tcW w:w="869" w:type="dxa"/>
            <w:vAlign w:val="center"/>
          </w:tcPr>
          <w:p w:rsidR="000D33D2" w:rsidRDefault="00FB4FA1">
            <w:pPr>
              <w:jc w:val="center"/>
            </w:pPr>
            <w:r>
              <w:rPr>
                <w:color w:val="000000"/>
                <w:sz w:val="24"/>
              </w:rPr>
              <w:t>19</w:t>
            </w:r>
          </w:p>
        </w:tc>
        <w:tc>
          <w:tcPr>
            <w:tcW w:w="1650" w:type="dxa"/>
            <w:vAlign w:val="center"/>
          </w:tcPr>
          <w:p w:rsidR="000D33D2" w:rsidRDefault="00FB4FA1">
            <w:pPr>
              <w:jc w:val="center"/>
            </w:pPr>
            <w:r>
              <w:rPr>
                <w:color w:val="000000"/>
                <w:sz w:val="24"/>
              </w:rPr>
              <w:t>601628</w:t>
            </w:r>
          </w:p>
        </w:tc>
        <w:tc>
          <w:tcPr>
            <w:tcW w:w="1980" w:type="dxa"/>
            <w:vAlign w:val="center"/>
          </w:tcPr>
          <w:p w:rsidR="000D33D2" w:rsidRDefault="00FB4FA1">
            <w:pPr>
              <w:jc w:val="center"/>
            </w:pPr>
            <w:r>
              <w:rPr>
                <w:color w:val="000000"/>
                <w:sz w:val="24"/>
              </w:rPr>
              <w:t>中国人寿</w:t>
            </w:r>
          </w:p>
        </w:tc>
        <w:tc>
          <w:tcPr>
            <w:tcW w:w="2879" w:type="dxa"/>
            <w:vAlign w:val="center"/>
          </w:tcPr>
          <w:p w:rsidR="000D33D2" w:rsidRDefault="00FB4FA1">
            <w:pPr>
              <w:jc w:val="right"/>
            </w:pPr>
            <w:r>
              <w:rPr>
                <w:color w:val="000000"/>
                <w:sz w:val="24"/>
              </w:rPr>
              <w:t>3,680,434.90</w:t>
            </w:r>
          </w:p>
        </w:tc>
        <w:tc>
          <w:tcPr>
            <w:tcW w:w="1620" w:type="dxa"/>
            <w:vAlign w:val="center"/>
          </w:tcPr>
          <w:p w:rsidR="000D33D2" w:rsidRDefault="00FB4FA1">
            <w:pPr>
              <w:jc w:val="right"/>
            </w:pPr>
            <w:r>
              <w:rPr>
                <w:color w:val="000000"/>
                <w:sz w:val="24"/>
              </w:rPr>
              <w:t>2.48</w:t>
            </w:r>
          </w:p>
        </w:tc>
      </w:tr>
      <w:tr w:rsidR="000D33D2">
        <w:tc>
          <w:tcPr>
            <w:tcW w:w="869" w:type="dxa"/>
            <w:vAlign w:val="center"/>
          </w:tcPr>
          <w:p w:rsidR="000D33D2" w:rsidRDefault="00FB4FA1">
            <w:pPr>
              <w:jc w:val="center"/>
            </w:pPr>
            <w:r>
              <w:rPr>
                <w:color w:val="000000"/>
                <w:sz w:val="24"/>
              </w:rPr>
              <w:t>20</w:t>
            </w:r>
          </w:p>
        </w:tc>
        <w:tc>
          <w:tcPr>
            <w:tcW w:w="1650" w:type="dxa"/>
            <w:vAlign w:val="center"/>
          </w:tcPr>
          <w:p w:rsidR="000D33D2" w:rsidRDefault="00FB4FA1">
            <w:pPr>
              <w:jc w:val="center"/>
            </w:pPr>
            <w:r>
              <w:rPr>
                <w:color w:val="000000"/>
                <w:sz w:val="24"/>
              </w:rPr>
              <w:t>300073</w:t>
            </w:r>
          </w:p>
        </w:tc>
        <w:tc>
          <w:tcPr>
            <w:tcW w:w="1980" w:type="dxa"/>
            <w:vAlign w:val="center"/>
          </w:tcPr>
          <w:p w:rsidR="000D33D2" w:rsidRDefault="00FB4FA1">
            <w:pPr>
              <w:jc w:val="center"/>
            </w:pPr>
            <w:r>
              <w:rPr>
                <w:color w:val="000000"/>
                <w:sz w:val="24"/>
              </w:rPr>
              <w:t>当</w:t>
            </w:r>
            <w:proofErr w:type="gramStart"/>
            <w:r>
              <w:rPr>
                <w:color w:val="000000"/>
                <w:sz w:val="24"/>
              </w:rPr>
              <w:t>升科技</w:t>
            </w:r>
            <w:proofErr w:type="gramEnd"/>
          </w:p>
        </w:tc>
        <w:tc>
          <w:tcPr>
            <w:tcW w:w="2879" w:type="dxa"/>
            <w:vAlign w:val="center"/>
          </w:tcPr>
          <w:p w:rsidR="000D33D2" w:rsidRDefault="00FB4FA1">
            <w:pPr>
              <w:jc w:val="right"/>
            </w:pPr>
            <w:r>
              <w:rPr>
                <w:color w:val="000000"/>
                <w:sz w:val="24"/>
              </w:rPr>
              <w:t>3,557,511.00</w:t>
            </w:r>
          </w:p>
        </w:tc>
        <w:tc>
          <w:tcPr>
            <w:tcW w:w="1620" w:type="dxa"/>
            <w:vAlign w:val="center"/>
          </w:tcPr>
          <w:p w:rsidR="000D33D2" w:rsidRDefault="00FB4FA1">
            <w:pPr>
              <w:jc w:val="right"/>
            </w:pPr>
            <w:r>
              <w:rPr>
                <w:color w:val="000000"/>
                <w:sz w:val="24"/>
              </w:rPr>
              <w:t>2.40</w:t>
            </w:r>
          </w:p>
        </w:tc>
      </w:tr>
      <w:tr w:rsidR="000D33D2">
        <w:tc>
          <w:tcPr>
            <w:tcW w:w="869" w:type="dxa"/>
            <w:vAlign w:val="center"/>
          </w:tcPr>
          <w:p w:rsidR="000D33D2" w:rsidRDefault="00FB4FA1">
            <w:pPr>
              <w:jc w:val="center"/>
            </w:pPr>
            <w:r>
              <w:rPr>
                <w:color w:val="000000"/>
                <w:sz w:val="24"/>
              </w:rPr>
              <w:t>21</w:t>
            </w:r>
          </w:p>
        </w:tc>
        <w:tc>
          <w:tcPr>
            <w:tcW w:w="1650" w:type="dxa"/>
            <w:vAlign w:val="center"/>
          </w:tcPr>
          <w:p w:rsidR="000D33D2" w:rsidRDefault="00FB4FA1">
            <w:pPr>
              <w:jc w:val="center"/>
            </w:pPr>
            <w:r>
              <w:rPr>
                <w:color w:val="000000"/>
                <w:sz w:val="24"/>
              </w:rPr>
              <w:t>000538</w:t>
            </w:r>
          </w:p>
        </w:tc>
        <w:tc>
          <w:tcPr>
            <w:tcW w:w="1980" w:type="dxa"/>
            <w:vAlign w:val="center"/>
          </w:tcPr>
          <w:p w:rsidR="000D33D2" w:rsidRDefault="00FB4FA1">
            <w:pPr>
              <w:jc w:val="center"/>
            </w:pPr>
            <w:r>
              <w:rPr>
                <w:color w:val="000000"/>
                <w:sz w:val="24"/>
              </w:rPr>
              <w:t>云南白药</w:t>
            </w:r>
          </w:p>
        </w:tc>
        <w:tc>
          <w:tcPr>
            <w:tcW w:w="2879" w:type="dxa"/>
            <w:vAlign w:val="center"/>
          </w:tcPr>
          <w:p w:rsidR="000D33D2" w:rsidRDefault="00FB4FA1">
            <w:pPr>
              <w:jc w:val="right"/>
            </w:pPr>
            <w:r>
              <w:rPr>
                <w:color w:val="000000"/>
                <w:sz w:val="24"/>
              </w:rPr>
              <w:t>3,555,424.00</w:t>
            </w:r>
          </w:p>
        </w:tc>
        <w:tc>
          <w:tcPr>
            <w:tcW w:w="1620" w:type="dxa"/>
            <w:vAlign w:val="center"/>
          </w:tcPr>
          <w:p w:rsidR="000D33D2" w:rsidRDefault="00FB4FA1">
            <w:pPr>
              <w:jc w:val="right"/>
            </w:pPr>
            <w:r>
              <w:rPr>
                <w:color w:val="000000"/>
                <w:sz w:val="24"/>
              </w:rPr>
              <w:t>2.39</w:t>
            </w:r>
          </w:p>
        </w:tc>
      </w:tr>
      <w:tr w:rsidR="000D33D2">
        <w:tc>
          <w:tcPr>
            <w:tcW w:w="869" w:type="dxa"/>
            <w:vAlign w:val="center"/>
          </w:tcPr>
          <w:p w:rsidR="000D33D2" w:rsidRDefault="00FB4FA1">
            <w:pPr>
              <w:jc w:val="center"/>
            </w:pPr>
            <w:r>
              <w:rPr>
                <w:color w:val="000000"/>
                <w:sz w:val="24"/>
              </w:rPr>
              <w:t>22</w:t>
            </w:r>
          </w:p>
        </w:tc>
        <w:tc>
          <w:tcPr>
            <w:tcW w:w="1650" w:type="dxa"/>
            <w:vAlign w:val="center"/>
          </w:tcPr>
          <w:p w:rsidR="000D33D2" w:rsidRDefault="00FB4FA1">
            <w:pPr>
              <w:jc w:val="center"/>
            </w:pPr>
            <w:r>
              <w:rPr>
                <w:color w:val="000000"/>
                <w:sz w:val="24"/>
              </w:rPr>
              <w:t>600547</w:t>
            </w:r>
          </w:p>
        </w:tc>
        <w:tc>
          <w:tcPr>
            <w:tcW w:w="1980" w:type="dxa"/>
            <w:vAlign w:val="center"/>
          </w:tcPr>
          <w:p w:rsidR="000D33D2" w:rsidRDefault="00FB4FA1">
            <w:pPr>
              <w:jc w:val="center"/>
            </w:pPr>
            <w:r>
              <w:rPr>
                <w:color w:val="000000"/>
                <w:sz w:val="24"/>
              </w:rPr>
              <w:t>山东黄金</w:t>
            </w:r>
          </w:p>
        </w:tc>
        <w:tc>
          <w:tcPr>
            <w:tcW w:w="2879" w:type="dxa"/>
            <w:vAlign w:val="center"/>
          </w:tcPr>
          <w:p w:rsidR="000D33D2" w:rsidRDefault="00FB4FA1">
            <w:pPr>
              <w:jc w:val="right"/>
            </w:pPr>
            <w:r>
              <w:rPr>
                <w:color w:val="000000"/>
                <w:sz w:val="24"/>
              </w:rPr>
              <w:t>3,486,715.00</w:t>
            </w:r>
          </w:p>
        </w:tc>
        <w:tc>
          <w:tcPr>
            <w:tcW w:w="1620" w:type="dxa"/>
            <w:vAlign w:val="center"/>
          </w:tcPr>
          <w:p w:rsidR="000D33D2" w:rsidRDefault="00FB4FA1">
            <w:pPr>
              <w:jc w:val="right"/>
            </w:pPr>
            <w:r>
              <w:rPr>
                <w:color w:val="000000"/>
                <w:sz w:val="24"/>
              </w:rPr>
              <w:t>2.35</w:t>
            </w:r>
          </w:p>
        </w:tc>
      </w:tr>
      <w:tr w:rsidR="000D33D2">
        <w:tc>
          <w:tcPr>
            <w:tcW w:w="869" w:type="dxa"/>
            <w:vAlign w:val="center"/>
          </w:tcPr>
          <w:p w:rsidR="000D33D2" w:rsidRDefault="00FB4FA1">
            <w:pPr>
              <w:jc w:val="center"/>
            </w:pPr>
            <w:r>
              <w:rPr>
                <w:color w:val="000000"/>
                <w:sz w:val="24"/>
              </w:rPr>
              <w:t>23</w:t>
            </w:r>
          </w:p>
        </w:tc>
        <w:tc>
          <w:tcPr>
            <w:tcW w:w="1650" w:type="dxa"/>
            <w:vAlign w:val="center"/>
          </w:tcPr>
          <w:p w:rsidR="000D33D2" w:rsidRDefault="00FB4FA1">
            <w:pPr>
              <w:jc w:val="center"/>
            </w:pPr>
            <w:r>
              <w:rPr>
                <w:color w:val="000000"/>
                <w:sz w:val="24"/>
              </w:rPr>
              <w:t>600111</w:t>
            </w:r>
          </w:p>
        </w:tc>
        <w:tc>
          <w:tcPr>
            <w:tcW w:w="1980" w:type="dxa"/>
            <w:vAlign w:val="center"/>
          </w:tcPr>
          <w:p w:rsidR="000D33D2" w:rsidRDefault="00FB4FA1">
            <w:pPr>
              <w:jc w:val="center"/>
            </w:pPr>
            <w:r>
              <w:rPr>
                <w:color w:val="000000"/>
                <w:sz w:val="24"/>
              </w:rPr>
              <w:t>北方稀土</w:t>
            </w:r>
          </w:p>
        </w:tc>
        <w:tc>
          <w:tcPr>
            <w:tcW w:w="2879" w:type="dxa"/>
            <w:vAlign w:val="center"/>
          </w:tcPr>
          <w:p w:rsidR="000D33D2" w:rsidRDefault="00FB4FA1">
            <w:pPr>
              <w:jc w:val="right"/>
            </w:pPr>
            <w:r>
              <w:rPr>
                <w:color w:val="000000"/>
                <w:sz w:val="24"/>
              </w:rPr>
              <w:t>3,400,620.00</w:t>
            </w:r>
          </w:p>
        </w:tc>
        <w:tc>
          <w:tcPr>
            <w:tcW w:w="1620" w:type="dxa"/>
            <w:vAlign w:val="center"/>
          </w:tcPr>
          <w:p w:rsidR="000D33D2" w:rsidRDefault="00FB4FA1">
            <w:pPr>
              <w:jc w:val="right"/>
            </w:pPr>
            <w:r>
              <w:rPr>
                <w:color w:val="000000"/>
                <w:sz w:val="24"/>
              </w:rPr>
              <w:t>2.29</w:t>
            </w:r>
          </w:p>
        </w:tc>
      </w:tr>
      <w:tr w:rsidR="000D33D2">
        <w:tc>
          <w:tcPr>
            <w:tcW w:w="869" w:type="dxa"/>
            <w:vAlign w:val="center"/>
          </w:tcPr>
          <w:p w:rsidR="000D33D2" w:rsidRDefault="00FB4FA1">
            <w:pPr>
              <w:jc w:val="center"/>
            </w:pPr>
            <w:r>
              <w:rPr>
                <w:color w:val="000000"/>
                <w:sz w:val="24"/>
              </w:rPr>
              <w:t>24</w:t>
            </w:r>
          </w:p>
        </w:tc>
        <w:tc>
          <w:tcPr>
            <w:tcW w:w="1650" w:type="dxa"/>
            <w:vAlign w:val="center"/>
          </w:tcPr>
          <w:p w:rsidR="000D33D2" w:rsidRDefault="00FB4FA1">
            <w:pPr>
              <w:jc w:val="center"/>
            </w:pPr>
            <w:r>
              <w:rPr>
                <w:color w:val="000000"/>
                <w:sz w:val="24"/>
              </w:rPr>
              <w:t>002466</w:t>
            </w:r>
          </w:p>
        </w:tc>
        <w:tc>
          <w:tcPr>
            <w:tcW w:w="1980" w:type="dxa"/>
            <w:vAlign w:val="center"/>
          </w:tcPr>
          <w:p w:rsidR="000D33D2" w:rsidRDefault="00FB4FA1">
            <w:pPr>
              <w:jc w:val="center"/>
            </w:pPr>
            <w:r>
              <w:rPr>
                <w:color w:val="000000"/>
                <w:sz w:val="24"/>
              </w:rPr>
              <w:t>天齐锂业</w:t>
            </w:r>
          </w:p>
        </w:tc>
        <w:tc>
          <w:tcPr>
            <w:tcW w:w="2879" w:type="dxa"/>
            <w:vAlign w:val="center"/>
          </w:tcPr>
          <w:p w:rsidR="000D33D2" w:rsidRDefault="00FB4FA1">
            <w:pPr>
              <w:jc w:val="right"/>
            </w:pPr>
            <w:r>
              <w:rPr>
                <w:color w:val="000000"/>
                <w:sz w:val="24"/>
              </w:rPr>
              <w:t>3,386,498.00</w:t>
            </w:r>
          </w:p>
        </w:tc>
        <w:tc>
          <w:tcPr>
            <w:tcW w:w="1620" w:type="dxa"/>
            <w:vAlign w:val="center"/>
          </w:tcPr>
          <w:p w:rsidR="000D33D2" w:rsidRDefault="00FB4FA1">
            <w:pPr>
              <w:jc w:val="right"/>
            </w:pPr>
            <w:r>
              <w:rPr>
                <w:color w:val="000000"/>
                <w:sz w:val="24"/>
              </w:rPr>
              <w:t>2.28</w:t>
            </w:r>
          </w:p>
        </w:tc>
      </w:tr>
      <w:tr w:rsidR="000D33D2">
        <w:tc>
          <w:tcPr>
            <w:tcW w:w="869" w:type="dxa"/>
            <w:vAlign w:val="center"/>
          </w:tcPr>
          <w:p w:rsidR="000D33D2" w:rsidRDefault="00FB4FA1">
            <w:pPr>
              <w:jc w:val="center"/>
            </w:pPr>
            <w:r>
              <w:rPr>
                <w:color w:val="000000"/>
                <w:sz w:val="24"/>
              </w:rPr>
              <w:t>25</w:t>
            </w:r>
          </w:p>
        </w:tc>
        <w:tc>
          <w:tcPr>
            <w:tcW w:w="1650" w:type="dxa"/>
            <w:vAlign w:val="center"/>
          </w:tcPr>
          <w:p w:rsidR="000D33D2" w:rsidRDefault="00FB4FA1">
            <w:pPr>
              <w:jc w:val="center"/>
            </w:pPr>
            <w:r>
              <w:rPr>
                <w:color w:val="000000"/>
                <w:sz w:val="24"/>
              </w:rPr>
              <w:t>002230</w:t>
            </w:r>
          </w:p>
        </w:tc>
        <w:tc>
          <w:tcPr>
            <w:tcW w:w="1980" w:type="dxa"/>
            <w:vAlign w:val="center"/>
          </w:tcPr>
          <w:p w:rsidR="000D33D2" w:rsidRDefault="00FB4FA1">
            <w:pPr>
              <w:jc w:val="center"/>
            </w:pPr>
            <w:proofErr w:type="gramStart"/>
            <w:r>
              <w:rPr>
                <w:color w:val="000000"/>
                <w:sz w:val="24"/>
              </w:rPr>
              <w:t>科大讯飞</w:t>
            </w:r>
            <w:proofErr w:type="gramEnd"/>
          </w:p>
        </w:tc>
        <w:tc>
          <w:tcPr>
            <w:tcW w:w="2879" w:type="dxa"/>
            <w:vAlign w:val="center"/>
          </w:tcPr>
          <w:p w:rsidR="000D33D2" w:rsidRDefault="00FB4FA1">
            <w:pPr>
              <w:jc w:val="right"/>
            </w:pPr>
            <w:r>
              <w:rPr>
                <w:color w:val="000000"/>
                <w:sz w:val="24"/>
              </w:rPr>
              <w:t>3,301,975.00</w:t>
            </w:r>
          </w:p>
        </w:tc>
        <w:tc>
          <w:tcPr>
            <w:tcW w:w="1620" w:type="dxa"/>
            <w:vAlign w:val="center"/>
          </w:tcPr>
          <w:p w:rsidR="000D33D2" w:rsidRDefault="00FB4FA1">
            <w:pPr>
              <w:jc w:val="right"/>
            </w:pPr>
            <w:r>
              <w:rPr>
                <w:color w:val="000000"/>
                <w:sz w:val="24"/>
              </w:rPr>
              <w:t>2.22</w:t>
            </w:r>
          </w:p>
        </w:tc>
      </w:tr>
      <w:tr w:rsidR="000D33D2">
        <w:tc>
          <w:tcPr>
            <w:tcW w:w="869" w:type="dxa"/>
            <w:vAlign w:val="center"/>
          </w:tcPr>
          <w:p w:rsidR="000D33D2" w:rsidRDefault="00FB4FA1">
            <w:pPr>
              <w:jc w:val="center"/>
            </w:pPr>
            <w:r>
              <w:rPr>
                <w:color w:val="000000"/>
                <w:sz w:val="24"/>
              </w:rPr>
              <w:t>26</w:t>
            </w:r>
          </w:p>
        </w:tc>
        <w:tc>
          <w:tcPr>
            <w:tcW w:w="1650" w:type="dxa"/>
            <w:vAlign w:val="center"/>
          </w:tcPr>
          <w:p w:rsidR="000D33D2" w:rsidRDefault="00FB4FA1">
            <w:pPr>
              <w:jc w:val="center"/>
            </w:pPr>
            <w:r>
              <w:rPr>
                <w:color w:val="000000"/>
                <w:sz w:val="24"/>
              </w:rPr>
              <w:t>300316</w:t>
            </w:r>
          </w:p>
        </w:tc>
        <w:tc>
          <w:tcPr>
            <w:tcW w:w="1980" w:type="dxa"/>
            <w:vAlign w:val="center"/>
          </w:tcPr>
          <w:p w:rsidR="000D33D2" w:rsidRDefault="00FB4FA1">
            <w:pPr>
              <w:jc w:val="center"/>
            </w:pPr>
            <w:proofErr w:type="gramStart"/>
            <w:r>
              <w:rPr>
                <w:color w:val="000000"/>
                <w:sz w:val="24"/>
              </w:rPr>
              <w:t>晶盛机电</w:t>
            </w:r>
            <w:proofErr w:type="gramEnd"/>
          </w:p>
        </w:tc>
        <w:tc>
          <w:tcPr>
            <w:tcW w:w="2879" w:type="dxa"/>
            <w:vAlign w:val="center"/>
          </w:tcPr>
          <w:p w:rsidR="000D33D2" w:rsidRDefault="00FB4FA1">
            <w:pPr>
              <w:jc w:val="right"/>
            </w:pPr>
            <w:r>
              <w:rPr>
                <w:color w:val="000000"/>
                <w:sz w:val="24"/>
              </w:rPr>
              <w:t>3,278,161.00</w:t>
            </w:r>
          </w:p>
        </w:tc>
        <w:tc>
          <w:tcPr>
            <w:tcW w:w="1620" w:type="dxa"/>
            <w:vAlign w:val="center"/>
          </w:tcPr>
          <w:p w:rsidR="000D33D2" w:rsidRDefault="00FB4FA1">
            <w:pPr>
              <w:jc w:val="right"/>
            </w:pPr>
            <w:r>
              <w:rPr>
                <w:color w:val="000000"/>
                <w:sz w:val="24"/>
              </w:rPr>
              <w:t>2.21</w:t>
            </w:r>
          </w:p>
        </w:tc>
      </w:tr>
      <w:tr w:rsidR="000D33D2">
        <w:tc>
          <w:tcPr>
            <w:tcW w:w="869" w:type="dxa"/>
            <w:vAlign w:val="center"/>
          </w:tcPr>
          <w:p w:rsidR="000D33D2" w:rsidRDefault="00FB4FA1">
            <w:pPr>
              <w:jc w:val="center"/>
            </w:pPr>
            <w:r>
              <w:rPr>
                <w:color w:val="000000"/>
                <w:sz w:val="24"/>
              </w:rPr>
              <w:lastRenderedPageBreak/>
              <w:t>27</w:t>
            </w:r>
          </w:p>
        </w:tc>
        <w:tc>
          <w:tcPr>
            <w:tcW w:w="1650" w:type="dxa"/>
            <w:vAlign w:val="center"/>
          </w:tcPr>
          <w:p w:rsidR="000D33D2" w:rsidRDefault="00FB4FA1">
            <w:pPr>
              <w:jc w:val="center"/>
            </w:pPr>
            <w:r>
              <w:rPr>
                <w:color w:val="000000"/>
                <w:sz w:val="24"/>
              </w:rPr>
              <w:t>300373</w:t>
            </w:r>
          </w:p>
        </w:tc>
        <w:tc>
          <w:tcPr>
            <w:tcW w:w="1980" w:type="dxa"/>
            <w:vAlign w:val="center"/>
          </w:tcPr>
          <w:p w:rsidR="000D33D2" w:rsidRDefault="00FB4FA1">
            <w:pPr>
              <w:jc w:val="center"/>
            </w:pPr>
            <w:r>
              <w:rPr>
                <w:color w:val="000000"/>
                <w:sz w:val="24"/>
              </w:rPr>
              <w:t>扬杰科技</w:t>
            </w:r>
          </w:p>
        </w:tc>
        <w:tc>
          <w:tcPr>
            <w:tcW w:w="2879" w:type="dxa"/>
            <w:vAlign w:val="center"/>
          </w:tcPr>
          <w:p w:rsidR="000D33D2" w:rsidRDefault="00FB4FA1">
            <w:pPr>
              <w:jc w:val="right"/>
            </w:pPr>
            <w:r>
              <w:rPr>
                <w:color w:val="000000"/>
                <w:sz w:val="24"/>
              </w:rPr>
              <w:t>3,274,444.00</w:t>
            </w:r>
          </w:p>
        </w:tc>
        <w:tc>
          <w:tcPr>
            <w:tcW w:w="1620" w:type="dxa"/>
            <w:vAlign w:val="center"/>
          </w:tcPr>
          <w:p w:rsidR="000D33D2" w:rsidRDefault="00FB4FA1">
            <w:pPr>
              <w:jc w:val="right"/>
            </w:pPr>
            <w:r>
              <w:rPr>
                <w:color w:val="000000"/>
                <w:sz w:val="24"/>
              </w:rPr>
              <w:t>2.21</w:t>
            </w:r>
          </w:p>
        </w:tc>
      </w:tr>
      <w:tr w:rsidR="000D33D2">
        <w:tc>
          <w:tcPr>
            <w:tcW w:w="869" w:type="dxa"/>
            <w:vAlign w:val="center"/>
          </w:tcPr>
          <w:p w:rsidR="000D33D2" w:rsidRDefault="00FB4FA1">
            <w:pPr>
              <w:jc w:val="center"/>
            </w:pPr>
            <w:r>
              <w:rPr>
                <w:color w:val="000000"/>
                <w:sz w:val="24"/>
              </w:rPr>
              <w:t>28</w:t>
            </w:r>
          </w:p>
        </w:tc>
        <w:tc>
          <w:tcPr>
            <w:tcW w:w="1650" w:type="dxa"/>
            <w:vAlign w:val="center"/>
          </w:tcPr>
          <w:p w:rsidR="000D33D2" w:rsidRDefault="00FB4FA1">
            <w:pPr>
              <w:jc w:val="center"/>
            </w:pPr>
            <w:r>
              <w:rPr>
                <w:color w:val="000000"/>
                <w:sz w:val="24"/>
              </w:rPr>
              <w:t>601333</w:t>
            </w:r>
          </w:p>
        </w:tc>
        <w:tc>
          <w:tcPr>
            <w:tcW w:w="1980" w:type="dxa"/>
            <w:vAlign w:val="center"/>
          </w:tcPr>
          <w:p w:rsidR="000D33D2" w:rsidRDefault="00FB4FA1">
            <w:pPr>
              <w:jc w:val="center"/>
            </w:pPr>
            <w:r>
              <w:rPr>
                <w:color w:val="000000"/>
                <w:sz w:val="24"/>
              </w:rPr>
              <w:t>广深铁路</w:t>
            </w:r>
          </w:p>
        </w:tc>
        <w:tc>
          <w:tcPr>
            <w:tcW w:w="2879" w:type="dxa"/>
            <w:vAlign w:val="center"/>
          </w:tcPr>
          <w:p w:rsidR="000D33D2" w:rsidRDefault="00FB4FA1">
            <w:pPr>
              <w:jc w:val="right"/>
            </w:pPr>
            <w:r>
              <w:rPr>
                <w:color w:val="000000"/>
                <w:sz w:val="24"/>
              </w:rPr>
              <w:t>3,235,636.00</w:t>
            </w:r>
          </w:p>
        </w:tc>
        <w:tc>
          <w:tcPr>
            <w:tcW w:w="1620" w:type="dxa"/>
            <w:vAlign w:val="center"/>
          </w:tcPr>
          <w:p w:rsidR="000D33D2" w:rsidRDefault="00FB4FA1">
            <w:pPr>
              <w:jc w:val="right"/>
            </w:pPr>
            <w:r>
              <w:rPr>
                <w:color w:val="000000"/>
                <w:sz w:val="24"/>
              </w:rPr>
              <w:t>2.18</w:t>
            </w:r>
          </w:p>
        </w:tc>
      </w:tr>
      <w:tr w:rsidR="000D33D2">
        <w:tc>
          <w:tcPr>
            <w:tcW w:w="869" w:type="dxa"/>
            <w:vAlign w:val="center"/>
          </w:tcPr>
          <w:p w:rsidR="000D33D2" w:rsidRDefault="00FB4FA1">
            <w:pPr>
              <w:jc w:val="center"/>
            </w:pPr>
            <w:r>
              <w:rPr>
                <w:color w:val="000000"/>
                <w:sz w:val="24"/>
              </w:rPr>
              <w:t>29</w:t>
            </w:r>
          </w:p>
        </w:tc>
        <w:tc>
          <w:tcPr>
            <w:tcW w:w="1650" w:type="dxa"/>
            <w:vAlign w:val="center"/>
          </w:tcPr>
          <w:p w:rsidR="000D33D2" w:rsidRDefault="00FB4FA1">
            <w:pPr>
              <w:jc w:val="center"/>
            </w:pPr>
            <w:r>
              <w:rPr>
                <w:color w:val="000000"/>
                <w:sz w:val="24"/>
              </w:rPr>
              <w:t>600703</w:t>
            </w:r>
          </w:p>
        </w:tc>
        <w:tc>
          <w:tcPr>
            <w:tcW w:w="1980" w:type="dxa"/>
            <w:vAlign w:val="center"/>
          </w:tcPr>
          <w:p w:rsidR="000D33D2" w:rsidRDefault="00FB4FA1">
            <w:pPr>
              <w:jc w:val="center"/>
            </w:pPr>
            <w:r>
              <w:rPr>
                <w:color w:val="000000"/>
                <w:sz w:val="24"/>
              </w:rPr>
              <w:t>三安光电</w:t>
            </w:r>
          </w:p>
        </w:tc>
        <w:tc>
          <w:tcPr>
            <w:tcW w:w="2879" w:type="dxa"/>
            <w:vAlign w:val="center"/>
          </w:tcPr>
          <w:p w:rsidR="000D33D2" w:rsidRDefault="00FB4FA1">
            <w:pPr>
              <w:jc w:val="right"/>
            </w:pPr>
            <w:r>
              <w:rPr>
                <w:color w:val="000000"/>
                <w:sz w:val="24"/>
              </w:rPr>
              <w:t>3,222,024.00</w:t>
            </w:r>
          </w:p>
        </w:tc>
        <w:tc>
          <w:tcPr>
            <w:tcW w:w="1620" w:type="dxa"/>
            <w:vAlign w:val="center"/>
          </w:tcPr>
          <w:p w:rsidR="000D33D2" w:rsidRDefault="00FB4FA1">
            <w:pPr>
              <w:jc w:val="right"/>
            </w:pPr>
            <w:r>
              <w:rPr>
                <w:color w:val="000000"/>
                <w:sz w:val="24"/>
              </w:rPr>
              <w:t>2.17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0D33D2">
        <w:tc>
          <w:tcPr>
            <w:tcW w:w="869" w:type="dxa"/>
            <w:vAlign w:val="center"/>
          </w:tcPr>
          <w:p w:rsidR="000D33D2" w:rsidRDefault="00FB4FA1">
            <w:pPr>
              <w:jc w:val="center"/>
            </w:pPr>
            <w:r>
              <w:rPr>
                <w:color w:val="000000"/>
                <w:sz w:val="24"/>
              </w:rPr>
              <w:t>1</w:t>
            </w:r>
          </w:p>
        </w:tc>
        <w:tc>
          <w:tcPr>
            <w:tcW w:w="1650" w:type="dxa"/>
            <w:vAlign w:val="center"/>
          </w:tcPr>
          <w:p w:rsidR="000D33D2" w:rsidRDefault="00FB4FA1">
            <w:pPr>
              <w:jc w:val="center"/>
            </w:pPr>
            <w:r>
              <w:rPr>
                <w:color w:val="000000"/>
                <w:sz w:val="24"/>
              </w:rPr>
              <w:t>002410</w:t>
            </w:r>
          </w:p>
        </w:tc>
        <w:tc>
          <w:tcPr>
            <w:tcW w:w="1980" w:type="dxa"/>
            <w:vAlign w:val="center"/>
          </w:tcPr>
          <w:p w:rsidR="000D33D2" w:rsidRDefault="00FB4FA1">
            <w:pPr>
              <w:jc w:val="center"/>
            </w:pPr>
            <w:r>
              <w:rPr>
                <w:color w:val="000000"/>
                <w:sz w:val="24"/>
              </w:rPr>
              <w:t>广联达</w:t>
            </w:r>
          </w:p>
        </w:tc>
        <w:tc>
          <w:tcPr>
            <w:tcW w:w="2879" w:type="dxa"/>
            <w:vAlign w:val="center"/>
          </w:tcPr>
          <w:p w:rsidR="000D33D2" w:rsidRDefault="00FB4FA1">
            <w:pPr>
              <w:jc w:val="right"/>
            </w:pPr>
            <w:r>
              <w:rPr>
                <w:color w:val="000000"/>
                <w:sz w:val="24"/>
              </w:rPr>
              <w:t>11,821,960.30</w:t>
            </w:r>
          </w:p>
        </w:tc>
        <w:tc>
          <w:tcPr>
            <w:tcW w:w="1620" w:type="dxa"/>
            <w:vAlign w:val="center"/>
          </w:tcPr>
          <w:p w:rsidR="000D33D2" w:rsidRDefault="00FB4FA1">
            <w:pPr>
              <w:jc w:val="right"/>
            </w:pPr>
            <w:r>
              <w:rPr>
                <w:color w:val="000000"/>
                <w:sz w:val="24"/>
              </w:rPr>
              <w:t>7.96</w:t>
            </w:r>
          </w:p>
        </w:tc>
      </w:tr>
      <w:tr w:rsidR="000D33D2">
        <w:tc>
          <w:tcPr>
            <w:tcW w:w="869" w:type="dxa"/>
            <w:vAlign w:val="center"/>
          </w:tcPr>
          <w:p w:rsidR="000D33D2" w:rsidRDefault="00FB4FA1">
            <w:pPr>
              <w:jc w:val="center"/>
            </w:pPr>
            <w:r>
              <w:rPr>
                <w:color w:val="000000"/>
                <w:sz w:val="24"/>
              </w:rPr>
              <w:t>2</w:t>
            </w:r>
          </w:p>
        </w:tc>
        <w:tc>
          <w:tcPr>
            <w:tcW w:w="1650" w:type="dxa"/>
            <w:vAlign w:val="center"/>
          </w:tcPr>
          <w:p w:rsidR="000D33D2" w:rsidRDefault="00FB4FA1">
            <w:pPr>
              <w:jc w:val="center"/>
            </w:pPr>
            <w:r>
              <w:rPr>
                <w:color w:val="000000"/>
                <w:sz w:val="24"/>
              </w:rPr>
              <w:t>601166</w:t>
            </w:r>
          </w:p>
        </w:tc>
        <w:tc>
          <w:tcPr>
            <w:tcW w:w="1980" w:type="dxa"/>
            <w:vAlign w:val="center"/>
          </w:tcPr>
          <w:p w:rsidR="000D33D2" w:rsidRDefault="00FB4FA1">
            <w:pPr>
              <w:jc w:val="center"/>
            </w:pPr>
            <w:r>
              <w:rPr>
                <w:color w:val="000000"/>
                <w:sz w:val="24"/>
              </w:rPr>
              <w:t>兴业银行</w:t>
            </w:r>
          </w:p>
        </w:tc>
        <w:tc>
          <w:tcPr>
            <w:tcW w:w="2879" w:type="dxa"/>
            <w:vAlign w:val="center"/>
          </w:tcPr>
          <w:p w:rsidR="000D33D2" w:rsidRDefault="00FB4FA1">
            <w:pPr>
              <w:jc w:val="right"/>
            </w:pPr>
            <w:r>
              <w:rPr>
                <w:color w:val="000000"/>
                <w:sz w:val="24"/>
              </w:rPr>
              <w:t>11,132,457.99</w:t>
            </w:r>
          </w:p>
        </w:tc>
        <w:tc>
          <w:tcPr>
            <w:tcW w:w="1620" w:type="dxa"/>
            <w:vAlign w:val="center"/>
          </w:tcPr>
          <w:p w:rsidR="000D33D2" w:rsidRDefault="00FB4FA1">
            <w:pPr>
              <w:jc w:val="right"/>
            </w:pPr>
            <w:r>
              <w:rPr>
                <w:color w:val="000000"/>
                <w:sz w:val="24"/>
              </w:rPr>
              <w:t>7.50</w:t>
            </w:r>
          </w:p>
        </w:tc>
      </w:tr>
      <w:tr w:rsidR="000D33D2">
        <w:tc>
          <w:tcPr>
            <w:tcW w:w="869" w:type="dxa"/>
            <w:vAlign w:val="center"/>
          </w:tcPr>
          <w:p w:rsidR="000D33D2" w:rsidRDefault="00FB4FA1">
            <w:pPr>
              <w:jc w:val="center"/>
            </w:pPr>
            <w:r>
              <w:rPr>
                <w:color w:val="000000"/>
                <w:sz w:val="24"/>
              </w:rPr>
              <w:t>3</w:t>
            </w:r>
          </w:p>
        </w:tc>
        <w:tc>
          <w:tcPr>
            <w:tcW w:w="1650" w:type="dxa"/>
            <w:vAlign w:val="center"/>
          </w:tcPr>
          <w:p w:rsidR="000D33D2" w:rsidRDefault="00FB4FA1">
            <w:pPr>
              <w:jc w:val="center"/>
            </w:pPr>
            <w:r>
              <w:rPr>
                <w:color w:val="000000"/>
                <w:sz w:val="24"/>
              </w:rPr>
              <w:t>600525</w:t>
            </w:r>
          </w:p>
        </w:tc>
        <w:tc>
          <w:tcPr>
            <w:tcW w:w="1980" w:type="dxa"/>
            <w:vAlign w:val="center"/>
          </w:tcPr>
          <w:p w:rsidR="000D33D2" w:rsidRDefault="00FB4FA1">
            <w:pPr>
              <w:jc w:val="center"/>
            </w:pPr>
            <w:r>
              <w:rPr>
                <w:color w:val="000000"/>
                <w:sz w:val="24"/>
              </w:rPr>
              <w:t>长园集团</w:t>
            </w:r>
          </w:p>
        </w:tc>
        <w:tc>
          <w:tcPr>
            <w:tcW w:w="2879" w:type="dxa"/>
            <w:vAlign w:val="center"/>
          </w:tcPr>
          <w:p w:rsidR="000D33D2" w:rsidRDefault="00FB4FA1">
            <w:pPr>
              <w:jc w:val="right"/>
            </w:pPr>
            <w:r>
              <w:rPr>
                <w:color w:val="000000"/>
                <w:sz w:val="24"/>
              </w:rPr>
              <w:t>9,578,218.83</w:t>
            </w:r>
          </w:p>
        </w:tc>
        <w:tc>
          <w:tcPr>
            <w:tcW w:w="1620" w:type="dxa"/>
            <w:vAlign w:val="center"/>
          </w:tcPr>
          <w:p w:rsidR="000D33D2" w:rsidRDefault="00FB4FA1">
            <w:pPr>
              <w:jc w:val="right"/>
            </w:pPr>
            <w:r>
              <w:rPr>
                <w:color w:val="000000"/>
                <w:sz w:val="24"/>
              </w:rPr>
              <w:t>6.45</w:t>
            </w:r>
          </w:p>
        </w:tc>
      </w:tr>
      <w:tr w:rsidR="000D33D2">
        <w:tc>
          <w:tcPr>
            <w:tcW w:w="869" w:type="dxa"/>
            <w:vAlign w:val="center"/>
          </w:tcPr>
          <w:p w:rsidR="000D33D2" w:rsidRDefault="00FB4FA1">
            <w:pPr>
              <w:jc w:val="center"/>
            </w:pPr>
            <w:r>
              <w:rPr>
                <w:color w:val="000000"/>
                <w:sz w:val="24"/>
              </w:rPr>
              <w:t>4</w:t>
            </w:r>
          </w:p>
        </w:tc>
        <w:tc>
          <w:tcPr>
            <w:tcW w:w="1650" w:type="dxa"/>
            <w:vAlign w:val="center"/>
          </w:tcPr>
          <w:p w:rsidR="000D33D2" w:rsidRDefault="00FB4FA1">
            <w:pPr>
              <w:jc w:val="center"/>
            </w:pPr>
            <w:r>
              <w:rPr>
                <w:color w:val="000000"/>
                <w:sz w:val="24"/>
              </w:rPr>
              <w:t>601336</w:t>
            </w:r>
          </w:p>
        </w:tc>
        <w:tc>
          <w:tcPr>
            <w:tcW w:w="1980" w:type="dxa"/>
            <w:vAlign w:val="center"/>
          </w:tcPr>
          <w:p w:rsidR="000D33D2" w:rsidRDefault="00FB4FA1">
            <w:pPr>
              <w:jc w:val="center"/>
            </w:pPr>
            <w:r>
              <w:rPr>
                <w:color w:val="000000"/>
                <w:sz w:val="24"/>
              </w:rPr>
              <w:t>新华保险</w:t>
            </w:r>
          </w:p>
        </w:tc>
        <w:tc>
          <w:tcPr>
            <w:tcW w:w="2879" w:type="dxa"/>
            <w:vAlign w:val="center"/>
          </w:tcPr>
          <w:p w:rsidR="000D33D2" w:rsidRDefault="00FB4FA1">
            <w:pPr>
              <w:jc w:val="right"/>
            </w:pPr>
            <w:r>
              <w:rPr>
                <w:color w:val="000000"/>
                <w:sz w:val="24"/>
              </w:rPr>
              <w:t>8,202,539.00</w:t>
            </w:r>
          </w:p>
        </w:tc>
        <w:tc>
          <w:tcPr>
            <w:tcW w:w="1620" w:type="dxa"/>
            <w:vAlign w:val="center"/>
          </w:tcPr>
          <w:p w:rsidR="000D33D2" w:rsidRDefault="00FB4FA1">
            <w:pPr>
              <w:jc w:val="right"/>
            </w:pPr>
            <w:r>
              <w:rPr>
                <w:color w:val="000000"/>
                <w:sz w:val="24"/>
              </w:rPr>
              <w:t>5.52</w:t>
            </w:r>
          </w:p>
        </w:tc>
      </w:tr>
      <w:tr w:rsidR="000D33D2">
        <w:tc>
          <w:tcPr>
            <w:tcW w:w="869" w:type="dxa"/>
            <w:vAlign w:val="center"/>
          </w:tcPr>
          <w:p w:rsidR="000D33D2" w:rsidRDefault="00FB4FA1">
            <w:pPr>
              <w:jc w:val="center"/>
            </w:pPr>
            <w:r>
              <w:rPr>
                <w:color w:val="000000"/>
                <w:sz w:val="24"/>
              </w:rPr>
              <w:t>5</w:t>
            </w:r>
          </w:p>
        </w:tc>
        <w:tc>
          <w:tcPr>
            <w:tcW w:w="1650" w:type="dxa"/>
            <w:vAlign w:val="center"/>
          </w:tcPr>
          <w:p w:rsidR="000D33D2" w:rsidRDefault="00FB4FA1">
            <w:pPr>
              <w:jc w:val="center"/>
            </w:pPr>
            <w:r>
              <w:rPr>
                <w:color w:val="000000"/>
                <w:sz w:val="24"/>
              </w:rPr>
              <w:t>000807</w:t>
            </w:r>
          </w:p>
        </w:tc>
        <w:tc>
          <w:tcPr>
            <w:tcW w:w="1980" w:type="dxa"/>
            <w:vAlign w:val="center"/>
          </w:tcPr>
          <w:p w:rsidR="000D33D2" w:rsidRDefault="00FB4FA1">
            <w:pPr>
              <w:jc w:val="center"/>
            </w:pPr>
            <w:r>
              <w:rPr>
                <w:color w:val="000000"/>
                <w:sz w:val="24"/>
              </w:rPr>
              <w:t>云铝股份</w:t>
            </w:r>
          </w:p>
        </w:tc>
        <w:tc>
          <w:tcPr>
            <w:tcW w:w="2879" w:type="dxa"/>
            <w:vAlign w:val="center"/>
          </w:tcPr>
          <w:p w:rsidR="000D33D2" w:rsidRDefault="00FB4FA1">
            <w:pPr>
              <w:jc w:val="right"/>
            </w:pPr>
            <w:r>
              <w:rPr>
                <w:color w:val="000000"/>
                <w:sz w:val="24"/>
              </w:rPr>
              <w:t>7,871,437.20</w:t>
            </w:r>
          </w:p>
        </w:tc>
        <w:tc>
          <w:tcPr>
            <w:tcW w:w="1620" w:type="dxa"/>
            <w:vAlign w:val="center"/>
          </w:tcPr>
          <w:p w:rsidR="000D33D2" w:rsidRDefault="00FB4FA1">
            <w:pPr>
              <w:jc w:val="right"/>
            </w:pPr>
            <w:r>
              <w:rPr>
                <w:color w:val="000000"/>
                <w:sz w:val="24"/>
              </w:rPr>
              <w:t>5.30</w:t>
            </w:r>
          </w:p>
        </w:tc>
      </w:tr>
      <w:tr w:rsidR="000D33D2">
        <w:tc>
          <w:tcPr>
            <w:tcW w:w="869" w:type="dxa"/>
            <w:vAlign w:val="center"/>
          </w:tcPr>
          <w:p w:rsidR="000D33D2" w:rsidRDefault="00FB4FA1">
            <w:pPr>
              <w:jc w:val="center"/>
            </w:pPr>
            <w:r>
              <w:rPr>
                <w:color w:val="000000"/>
                <w:sz w:val="24"/>
              </w:rPr>
              <w:t>6</w:t>
            </w:r>
          </w:p>
        </w:tc>
        <w:tc>
          <w:tcPr>
            <w:tcW w:w="1650" w:type="dxa"/>
            <w:vAlign w:val="center"/>
          </w:tcPr>
          <w:p w:rsidR="000D33D2" w:rsidRDefault="00FB4FA1">
            <w:pPr>
              <w:jc w:val="center"/>
            </w:pPr>
            <w:r>
              <w:rPr>
                <w:color w:val="000000"/>
                <w:sz w:val="24"/>
              </w:rPr>
              <w:t>601688</w:t>
            </w:r>
          </w:p>
        </w:tc>
        <w:tc>
          <w:tcPr>
            <w:tcW w:w="1980" w:type="dxa"/>
            <w:vAlign w:val="center"/>
          </w:tcPr>
          <w:p w:rsidR="000D33D2" w:rsidRDefault="00FB4FA1">
            <w:pPr>
              <w:jc w:val="center"/>
            </w:pPr>
            <w:r>
              <w:rPr>
                <w:color w:val="000000"/>
                <w:sz w:val="24"/>
              </w:rPr>
              <w:t>华泰证券</w:t>
            </w:r>
          </w:p>
        </w:tc>
        <w:tc>
          <w:tcPr>
            <w:tcW w:w="2879" w:type="dxa"/>
            <w:vAlign w:val="center"/>
          </w:tcPr>
          <w:p w:rsidR="000D33D2" w:rsidRDefault="00FB4FA1">
            <w:pPr>
              <w:jc w:val="right"/>
            </w:pPr>
            <w:r>
              <w:rPr>
                <w:color w:val="000000"/>
                <w:sz w:val="24"/>
              </w:rPr>
              <w:t>7,394,962.27</w:t>
            </w:r>
          </w:p>
        </w:tc>
        <w:tc>
          <w:tcPr>
            <w:tcW w:w="1620" w:type="dxa"/>
            <w:vAlign w:val="center"/>
          </w:tcPr>
          <w:p w:rsidR="000D33D2" w:rsidRDefault="00FB4FA1">
            <w:pPr>
              <w:jc w:val="right"/>
            </w:pPr>
            <w:r>
              <w:rPr>
                <w:color w:val="000000"/>
                <w:sz w:val="24"/>
              </w:rPr>
              <w:t>4.98</w:t>
            </w:r>
          </w:p>
        </w:tc>
      </w:tr>
      <w:tr w:rsidR="000D33D2">
        <w:tc>
          <w:tcPr>
            <w:tcW w:w="869" w:type="dxa"/>
            <w:vAlign w:val="center"/>
          </w:tcPr>
          <w:p w:rsidR="000D33D2" w:rsidRDefault="00FB4FA1">
            <w:pPr>
              <w:jc w:val="center"/>
            </w:pPr>
            <w:r>
              <w:rPr>
                <w:color w:val="000000"/>
                <w:sz w:val="24"/>
              </w:rPr>
              <w:t>7</w:t>
            </w:r>
          </w:p>
        </w:tc>
        <w:tc>
          <w:tcPr>
            <w:tcW w:w="1650" w:type="dxa"/>
            <w:vAlign w:val="center"/>
          </w:tcPr>
          <w:p w:rsidR="000D33D2" w:rsidRDefault="00FB4FA1">
            <w:pPr>
              <w:jc w:val="center"/>
            </w:pPr>
            <w:r>
              <w:rPr>
                <w:color w:val="000000"/>
                <w:sz w:val="24"/>
              </w:rPr>
              <w:t>000002</w:t>
            </w:r>
          </w:p>
        </w:tc>
        <w:tc>
          <w:tcPr>
            <w:tcW w:w="1980" w:type="dxa"/>
            <w:vAlign w:val="center"/>
          </w:tcPr>
          <w:p w:rsidR="000D33D2" w:rsidRDefault="00FB4FA1">
            <w:pPr>
              <w:jc w:val="center"/>
            </w:pPr>
            <w:r>
              <w:rPr>
                <w:color w:val="000000"/>
                <w:sz w:val="24"/>
              </w:rPr>
              <w:t>万</w:t>
            </w:r>
            <w:r>
              <w:rPr>
                <w:color w:val="000000"/>
                <w:sz w:val="24"/>
              </w:rPr>
              <w:t xml:space="preserve">  </w:t>
            </w:r>
            <w:r>
              <w:rPr>
                <w:color w:val="000000"/>
                <w:sz w:val="24"/>
              </w:rPr>
              <w:t>科Ａ</w:t>
            </w:r>
          </w:p>
        </w:tc>
        <w:tc>
          <w:tcPr>
            <w:tcW w:w="2879" w:type="dxa"/>
            <w:vAlign w:val="center"/>
          </w:tcPr>
          <w:p w:rsidR="000D33D2" w:rsidRDefault="00FB4FA1">
            <w:pPr>
              <w:jc w:val="right"/>
            </w:pPr>
            <w:r>
              <w:rPr>
                <w:color w:val="000000"/>
                <w:sz w:val="24"/>
              </w:rPr>
              <w:t>7,188,196.00</w:t>
            </w:r>
          </w:p>
        </w:tc>
        <w:tc>
          <w:tcPr>
            <w:tcW w:w="1620" w:type="dxa"/>
            <w:vAlign w:val="center"/>
          </w:tcPr>
          <w:p w:rsidR="000D33D2" w:rsidRDefault="00FB4FA1">
            <w:pPr>
              <w:jc w:val="right"/>
            </w:pPr>
            <w:r>
              <w:rPr>
                <w:color w:val="000000"/>
                <w:sz w:val="24"/>
              </w:rPr>
              <w:t>4.84</w:t>
            </w:r>
          </w:p>
        </w:tc>
      </w:tr>
      <w:tr w:rsidR="000D33D2">
        <w:tc>
          <w:tcPr>
            <w:tcW w:w="869" w:type="dxa"/>
            <w:vAlign w:val="center"/>
          </w:tcPr>
          <w:p w:rsidR="000D33D2" w:rsidRDefault="00FB4FA1">
            <w:pPr>
              <w:jc w:val="center"/>
            </w:pPr>
            <w:r>
              <w:rPr>
                <w:color w:val="000000"/>
                <w:sz w:val="24"/>
              </w:rPr>
              <w:t>8</w:t>
            </w:r>
          </w:p>
        </w:tc>
        <w:tc>
          <w:tcPr>
            <w:tcW w:w="1650" w:type="dxa"/>
            <w:vAlign w:val="center"/>
          </w:tcPr>
          <w:p w:rsidR="000D33D2" w:rsidRDefault="00FB4FA1">
            <w:pPr>
              <w:jc w:val="center"/>
            </w:pPr>
            <w:r>
              <w:rPr>
                <w:color w:val="000000"/>
                <w:sz w:val="24"/>
              </w:rPr>
              <w:t>600885</w:t>
            </w:r>
          </w:p>
        </w:tc>
        <w:tc>
          <w:tcPr>
            <w:tcW w:w="1980" w:type="dxa"/>
            <w:vAlign w:val="center"/>
          </w:tcPr>
          <w:p w:rsidR="000D33D2" w:rsidRDefault="00FB4FA1">
            <w:pPr>
              <w:jc w:val="center"/>
            </w:pPr>
            <w:r>
              <w:rPr>
                <w:color w:val="000000"/>
                <w:sz w:val="24"/>
              </w:rPr>
              <w:t>宏发股份</w:t>
            </w:r>
          </w:p>
        </w:tc>
        <w:tc>
          <w:tcPr>
            <w:tcW w:w="2879" w:type="dxa"/>
            <w:vAlign w:val="center"/>
          </w:tcPr>
          <w:p w:rsidR="000D33D2" w:rsidRDefault="00FB4FA1">
            <w:pPr>
              <w:jc w:val="right"/>
            </w:pPr>
            <w:r>
              <w:rPr>
                <w:color w:val="000000"/>
                <w:sz w:val="24"/>
              </w:rPr>
              <w:t>7,092,523.80</w:t>
            </w:r>
          </w:p>
        </w:tc>
        <w:tc>
          <w:tcPr>
            <w:tcW w:w="1620" w:type="dxa"/>
            <w:vAlign w:val="center"/>
          </w:tcPr>
          <w:p w:rsidR="000D33D2" w:rsidRDefault="00FB4FA1">
            <w:pPr>
              <w:jc w:val="right"/>
            </w:pPr>
            <w:r>
              <w:rPr>
                <w:color w:val="000000"/>
                <w:sz w:val="24"/>
              </w:rPr>
              <w:t>4.78</w:t>
            </w:r>
          </w:p>
        </w:tc>
      </w:tr>
      <w:tr w:rsidR="000D33D2">
        <w:tc>
          <w:tcPr>
            <w:tcW w:w="869" w:type="dxa"/>
            <w:vAlign w:val="center"/>
          </w:tcPr>
          <w:p w:rsidR="000D33D2" w:rsidRDefault="00FB4FA1">
            <w:pPr>
              <w:jc w:val="center"/>
            </w:pPr>
            <w:r>
              <w:rPr>
                <w:color w:val="000000"/>
                <w:sz w:val="24"/>
              </w:rPr>
              <w:t>9</w:t>
            </w:r>
          </w:p>
        </w:tc>
        <w:tc>
          <w:tcPr>
            <w:tcW w:w="1650" w:type="dxa"/>
            <w:vAlign w:val="center"/>
          </w:tcPr>
          <w:p w:rsidR="000D33D2" w:rsidRDefault="00FB4FA1">
            <w:pPr>
              <w:jc w:val="center"/>
            </w:pPr>
            <w:r>
              <w:rPr>
                <w:color w:val="000000"/>
                <w:sz w:val="24"/>
              </w:rPr>
              <w:t>002050</w:t>
            </w:r>
          </w:p>
        </w:tc>
        <w:tc>
          <w:tcPr>
            <w:tcW w:w="1980" w:type="dxa"/>
            <w:vAlign w:val="center"/>
          </w:tcPr>
          <w:p w:rsidR="000D33D2" w:rsidRDefault="00FB4FA1">
            <w:pPr>
              <w:jc w:val="center"/>
            </w:pPr>
            <w:r>
              <w:rPr>
                <w:color w:val="000000"/>
                <w:sz w:val="24"/>
              </w:rPr>
              <w:t>三</w:t>
            </w:r>
            <w:proofErr w:type="gramStart"/>
            <w:r>
              <w:rPr>
                <w:color w:val="000000"/>
                <w:sz w:val="24"/>
              </w:rPr>
              <w:t>花智控</w:t>
            </w:r>
            <w:proofErr w:type="gramEnd"/>
          </w:p>
        </w:tc>
        <w:tc>
          <w:tcPr>
            <w:tcW w:w="2879" w:type="dxa"/>
            <w:vAlign w:val="center"/>
          </w:tcPr>
          <w:p w:rsidR="000D33D2" w:rsidRDefault="00FB4FA1">
            <w:pPr>
              <w:jc w:val="right"/>
            </w:pPr>
            <w:r>
              <w:rPr>
                <w:color w:val="000000"/>
                <w:sz w:val="24"/>
              </w:rPr>
              <w:t>6,769,989.76</w:t>
            </w:r>
          </w:p>
        </w:tc>
        <w:tc>
          <w:tcPr>
            <w:tcW w:w="1620" w:type="dxa"/>
            <w:vAlign w:val="center"/>
          </w:tcPr>
          <w:p w:rsidR="000D33D2" w:rsidRDefault="00FB4FA1">
            <w:pPr>
              <w:jc w:val="right"/>
            </w:pPr>
            <w:r>
              <w:rPr>
                <w:color w:val="000000"/>
                <w:sz w:val="24"/>
              </w:rPr>
              <w:t>4.56</w:t>
            </w:r>
          </w:p>
        </w:tc>
      </w:tr>
      <w:tr w:rsidR="000D33D2">
        <w:tc>
          <w:tcPr>
            <w:tcW w:w="869" w:type="dxa"/>
            <w:vAlign w:val="center"/>
          </w:tcPr>
          <w:p w:rsidR="000D33D2" w:rsidRDefault="00FB4FA1">
            <w:pPr>
              <w:jc w:val="center"/>
            </w:pPr>
            <w:r>
              <w:rPr>
                <w:color w:val="000000"/>
                <w:sz w:val="24"/>
              </w:rPr>
              <w:t>10</w:t>
            </w:r>
          </w:p>
        </w:tc>
        <w:tc>
          <w:tcPr>
            <w:tcW w:w="1650" w:type="dxa"/>
            <w:vAlign w:val="center"/>
          </w:tcPr>
          <w:p w:rsidR="000D33D2" w:rsidRDefault="00FB4FA1">
            <w:pPr>
              <w:jc w:val="center"/>
            </w:pPr>
            <w:r>
              <w:rPr>
                <w:color w:val="000000"/>
                <w:sz w:val="24"/>
              </w:rPr>
              <w:t>002008</w:t>
            </w:r>
          </w:p>
        </w:tc>
        <w:tc>
          <w:tcPr>
            <w:tcW w:w="1980" w:type="dxa"/>
            <w:vAlign w:val="center"/>
          </w:tcPr>
          <w:p w:rsidR="000D33D2" w:rsidRDefault="00FB4FA1">
            <w:pPr>
              <w:jc w:val="center"/>
            </w:pPr>
            <w:r>
              <w:rPr>
                <w:color w:val="000000"/>
                <w:sz w:val="24"/>
              </w:rPr>
              <w:t>大族激光</w:t>
            </w:r>
          </w:p>
        </w:tc>
        <w:tc>
          <w:tcPr>
            <w:tcW w:w="2879" w:type="dxa"/>
            <w:vAlign w:val="center"/>
          </w:tcPr>
          <w:p w:rsidR="000D33D2" w:rsidRDefault="00FB4FA1">
            <w:pPr>
              <w:jc w:val="right"/>
            </w:pPr>
            <w:r>
              <w:rPr>
                <w:color w:val="000000"/>
                <w:sz w:val="24"/>
              </w:rPr>
              <w:t>6,177,454.00</w:t>
            </w:r>
          </w:p>
        </w:tc>
        <w:tc>
          <w:tcPr>
            <w:tcW w:w="1620" w:type="dxa"/>
            <w:vAlign w:val="center"/>
          </w:tcPr>
          <w:p w:rsidR="000D33D2" w:rsidRDefault="00FB4FA1">
            <w:pPr>
              <w:jc w:val="right"/>
            </w:pPr>
            <w:r>
              <w:rPr>
                <w:color w:val="000000"/>
                <w:sz w:val="24"/>
              </w:rPr>
              <w:t>4.16</w:t>
            </w:r>
          </w:p>
        </w:tc>
      </w:tr>
      <w:tr w:rsidR="000D33D2">
        <w:tc>
          <w:tcPr>
            <w:tcW w:w="869" w:type="dxa"/>
            <w:vAlign w:val="center"/>
          </w:tcPr>
          <w:p w:rsidR="000D33D2" w:rsidRDefault="00FB4FA1">
            <w:pPr>
              <w:jc w:val="center"/>
            </w:pPr>
            <w:r>
              <w:rPr>
                <w:color w:val="000000"/>
                <w:sz w:val="24"/>
              </w:rPr>
              <w:t>11</w:t>
            </w:r>
          </w:p>
        </w:tc>
        <w:tc>
          <w:tcPr>
            <w:tcW w:w="1650" w:type="dxa"/>
            <w:vAlign w:val="center"/>
          </w:tcPr>
          <w:p w:rsidR="000D33D2" w:rsidRDefault="00FB4FA1">
            <w:pPr>
              <w:jc w:val="center"/>
            </w:pPr>
            <w:r>
              <w:rPr>
                <w:color w:val="000000"/>
                <w:sz w:val="24"/>
              </w:rPr>
              <w:t>002405</w:t>
            </w:r>
          </w:p>
        </w:tc>
        <w:tc>
          <w:tcPr>
            <w:tcW w:w="1980" w:type="dxa"/>
            <w:vAlign w:val="center"/>
          </w:tcPr>
          <w:p w:rsidR="000D33D2" w:rsidRDefault="00FB4FA1">
            <w:pPr>
              <w:jc w:val="center"/>
            </w:pPr>
            <w:proofErr w:type="gramStart"/>
            <w:r>
              <w:rPr>
                <w:color w:val="000000"/>
                <w:sz w:val="24"/>
              </w:rPr>
              <w:t>四维图</w:t>
            </w:r>
            <w:proofErr w:type="gramEnd"/>
            <w:r>
              <w:rPr>
                <w:color w:val="000000"/>
                <w:sz w:val="24"/>
              </w:rPr>
              <w:t>新</w:t>
            </w:r>
          </w:p>
        </w:tc>
        <w:tc>
          <w:tcPr>
            <w:tcW w:w="2879" w:type="dxa"/>
            <w:vAlign w:val="center"/>
          </w:tcPr>
          <w:p w:rsidR="000D33D2" w:rsidRDefault="00FB4FA1">
            <w:pPr>
              <w:jc w:val="right"/>
            </w:pPr>
            <w:r>
              <w:rPr>
                <w:color w:val="000000"/>
                <w:sz w:val="24"/>
              </w:rPr>
              <w:t>5,882,179.00</w:t>
            </w:r>
          </w:p>
        </w:tc>
        <w:tc>
          <w:tcPr>
            <w:tcW w:w="1620" w:type="dxa"/>
            <w:vAlign w:val="center"/>
          </w:tcPr>
          <w:p w:rsidR="000D33D2" w:rsidRDefault="00FB4FA1">
            <w:pPr>
              <w:jc w:val="right"/>
            </w:pPr>
            <w:r>
              <w:rPr>
                <w:color w:val="000000"/>
                <w:sz w:val="24"/>
              </w:rPr>
              <w:t>3.96</w:t>
            </w:r>
          </w:p>
        </w:tc>
      </w:tr>
      <w:tr w:rsidR="000D33D2">
        <w:tc>
          <w:tcPr>
            <w:tcW w:w="869" w:type="dxa"/>
            <w:vAlign w:val="center"/>
          </w:tcPr>
          <w:p w:rsidR="000D33D2" w:rsidRDefault="00FB4FA1">
            <w:pPr>
              <w:jc w:val="center"/>
            </w:pPr>
            <w:r>
              <w:rPr>
                <w:color w:val="000000"/>
                <w:sz w:val="24"/>
              </w:rPr>
              <w:t>12</w:t>
            </w:r>
          </w:p>
        </w:tc>
        <w:tc>
          <w:tcPr>
            <w:tcW w:w="1650" w:type="dxa"/>
            <w:vAlign w:val="center"/>
          </w:tcPr>
          <w:p w:rsidR="000D33D2" w:rsidRDefault="00FB4FA1">
            <w:pPr>
              <w:jc w:val="center"/>
            </w:pPr>
            <w:r>
              <w:rPr>
                <w:color w:val="000000"/>
                <w:sz w:val="24"/>
              </w:rPr>
              <w:t>002185</w:t>
            </w:r>
          </w:p>
        </w:tc>
        <w:tc>
          <w:tcPr>
            <w:tcW w:w="1980" w:type="dxa"/>
            <w:vAlign w:val="center"/>
          </w:tcPr>
          <w:p w:rsidR="000D33D2" w:rsidRDefault="00FB4FA1">
            <w:pPr>
              <w:jc w:val="center"/>
            </w:pPr>
            <w:r>
              <w:rPr>
                <w:color w:val="000000"/>
                <w:sz w:val="24"/>
              </w:rPr>
              <w:t>华天科技</w:t>
            </w:r>
          </w:p>
        </w:tc>
        <w:tc>
          <w:tcPr>
            <w:tcW w:w="2879" w:type="dxa"/>
            <w:vAlign w:val="center"/>
          </w:tcPr>
          <w:p w:rsidR="000D33D2" w:rsidRDefault="00FB4FA1">
            <w:pPr>
              <w:jc w:val="right"/>
            </w:pPr>
            <w:r>
              <w:rPr>
                <w:color w:val="000000"/>
                <w:sz w:val="24"/>
              </w:rPr>
              <w:t>5,403,786.40</w:t>
            </w:r>
          </w:p>
        </w:tc>
        <w:tc>
          <w:tcPr>
            <w:tcW w:w="1620" w:type="dxa"/>
            <w:vAlign w:val="center"/>
          </w:tcPr>
          <w:p w:rsidR="000D33D2" w:rsidRDefault="00FB4FA1">
            <w:pPr>
              <w:jc w:val="right"/>
            </w:pPr>
            <w:r>
              <w:rPr>
                <w:color w:val="000000"/>
                <w:sz w:val="24"/>
              </w:rPr>
              <w:t>3.64</w:t>
            </w:r>
          </w:p>
        </w:tc>
      </w:tr>
      <w:tr w:rsidR="000D33D2">
        <w:tc>
          <w:tcPr>
            <w:tcW w:w="869" w:type="dxa"/>
            <w:vAlign w:val="center"/>
          </w:tcPr>
          <w:p w:rsidR="000D33D2" w:rsidRDefault="00FB4FA1">
            <w:pPr>
              <w:jc w:val="center"/>
            </w:pPr>
            <w:r>
              <w:rPr>
                <w:color w:val="000000"/>
                <w:sz w:val="24"/>
              </w:rPr>
              <w:t>13</w:t>
            </w:r>
          </w:p>
        </w:tc>
        <w:tc>
          <w:tcPr>
            <w:tcW w:w="1650" w:type="dxa"/>
            <w:vAlign w:val="center"/>
          </w:tcPr>
          <w:p w:rsidR="000D33D2" w:rsidRDefault="00FB4FA1">
            <w:pPr>
              <w:jc w:val="center"/>
            </w:pPr>
            <w:r>
              <w:rPr>
                <w:color w:val="000000"/>
                <w:sz w:val="24"/>
              </w:rPr>
              <w:t>000933</w:t>
            </w:r>
          </w:p>
        </w:tc>
        <w:tc>
          <w:tcPr>
            <w:tcW w:w="1980" w:type="dxa"/>
            <w:vAlign w:val="center"/>
          </w:tcPr>
          <w:p w:rsidR="000D33D2" w:rsidRDefault="00FB4FA1">
            <w:pPr>
              <w:jc w:val="center"/>
            </w:pPr>
            <w:r>
              <w:rPr>
                <w:color w:val="000000"/>
                <w:sz w:val="24"/>
              </w:rPr>
              <w:t>神火股份</w:t>
            </w:r>
          </w:p>
        </w:tc>
        <w:tc>
          <w:tcPr>
            <w:tcW w:w="2879" w:type="dxa"/>
            <w:vAlign w:val="center"/>
          </w:tcPr>
          <w:p w:rsidR="000D33D2" w:rsidRDefault="00FB4FA1">
            <w:pPr>
              <w:jc w:val="right"/>
            </w:pPr>
            <w:r>
              <w:rPr>
                <w:color w:val="000000"/>
                <w:sz w:val="24"/>
              </w:rPr>
              <w:t>5,087,231.94</w:t>
            </w:r>
          </w:p>
        </w:tc>
        <w:tc>
          <w:tcPr>
            <w:tcW w:w="1620" w:type="dxa"/>
            <w:vAlign w:val="center"/>
          </w:tcPr>
          <w:p w:rsidR="000D33D2" w:rsidRDefault="00FB4FA1">
            <w:pPr>
              <w:jc w:val="right"/>
            </w:pPr>
            <w:r>
              <w:rPr>
                <w:color w:val="000000"/>
                <w:sz w:val="24"/>
              </w:rPr>
              <w:t>3.43</w:t>
            </w:r>
          </w:p>
        </w:tc>
      </w:tr>
      <w:tr w:rsidR="000D33D2">
        <w:tc>
          <w:tcPr>
            <w:tcW w:w="869" w:type="dxa"/>
            <w:vAlign w:val="center"/>
          </w:tcPr>
          <w:p w:rsidR="000D33D2" w:rsidRDefault="00FB4FA1">
            <w:pPr>
              <w:jc w:val="center"/>
            </w:pPr>
            <w:r>
              <w:rPr>
                <w:color w:val="000000"/>
                <w:sz w:val="24"/>
              </w:rPr>
              <w:t>14</w:t>
            </w:r>
          </w:p>
        </w:tc>
        <w:tc>
          <w:tcPr>
            <w:tcW w:w="1650" w:type="dxa"/>
            <w:vAlign w:val="center"/>
          </w:tcPr>
          <w:p w:rsidR="000D33D2" w:rsidRDefault="00FB4FA1">
            <w:pPr>
              <w:jc w:val="center"/>
            </w:pPr>
            <w:r>
              <w:rPr>
                <w:color w:val="000000"/>
                <w:sz w:val="24"/>
              </w:rPr>
              <w:t>002463</w:t>
            </w:r>
          </w:p>
        </w:tc>
        <w:tc>
          <w:tcPr>
            <w:tcW w:w="1980" w:type="dxa"/>
            <w:vAlign w:val="center"/>
          </w:tcPr>
          <w:p w:rsidR="000D33D2" w:rsidRDefault="00FB4FA1">
            <w:pPr>
              <w:jc w:val="center"/>
            </w:pPr>
            <w:proofErr w:type="gramStart"/>
            <w:r>
              <w:rPr>
                <w:color w:val="000000"/>
                <w:sz w:val="24"/>
              </w:rPr>
              <w:t>沪电股份</w:t>
            </w:r>
            <w:proofErr w:type="gramEnd"/>
          </w:p>
        </w:tc>
        <w:tc>
          <w:tcPr>
            <w:tcW w:w="2879" w:type="dxa"/>
            <w:vAlign w:val="center"/>
          </w:tcPr>
          <w:p w:rsidR="000D33D2" w:rsidRDefault="00FB4FA1">
            <w:pPr>
              <w:jc w:val="right"/>
            </w:pPr>
            <w:r>
              <w:rPr>
                <w:color w:val="000000"/>
                <w:sz w:val="24"/>
              </w:rPr>
              <w:t>4,840,579.00</w:t>
            </w:r>
          </w:p>
        </w:tc>
        <w:tc>
          <w:tcPr>
            <w:tcW w:w="1620" w:type="dxa"/>
            <w:vAlign w:val="center"/>
          </w:tcPr>
          <w:p w:rsidR="000D33D2" w:rsidRDefault="00FB4FA1">
            <w:pPr>
              <w:jc w:val="right"/>
            </w:pPr>
            <w:r>
              <w:rPr>
                <w:color w:val="000000"/>
                <w:sz w:val="24"/>
              </w:rPr>
              <w:t>3.26</w:t>
            </w:r>
          </w:p>
        </w:tc>
      </w:tr>
      <w:tr w:rsidR="000D33D2">
        <w:tc>
          <w:tcPr>
            <w:tcW w:w="869" w:type="dxa"/>
            <w:vAlign w:val="center"/>
          </w:tcPr>
          <w:p w:rsidR="000D33D2" w:rsidRDefault="00FB4FA1">
            <w:pPr>
              <w:jc w:val="center"/>
            </w:pPr>
            <w:r>
              <w:rPr>
                <w:color w:val="000000"/>
                <w:sz w:val="24"/>
              </w:rPr>
              <w:t>15</w:t>
            </w:r>
          </w:p>
        </w:tc>
        <w:tc>
          <w:tcPr>
            <w:tcW w:w="1650" w:type="dxa"/>
            <w:vAlign w:val="center"/>
          </w:tcPr>
          <w:p w:rsidR="000D33D2" w:rsidRDefault="00FB4FA1">
            <w:pPr>
              <w:jc w:val="center"/>
            </w:pPr>
            <w:r>
              <w:rPr>
                <w:color w:val="000000"/>
                <w:sz w:val="24"/>
              </w:rPr>
              <w:t>600048</w:t>
            </w:r>
          </w:p>
        </w:tc>
        <w:tc>
          <w:tcPr>
            <w:tcW w:w="1980" w:type="dxa"/>
            <w:vAlign w:val="center"/>
          </w:tcPr>
          <w:p w:rsidR="000D33D2" w:rsidRDefault="00FB4FA1">
            <w:pPr>
              <w:jc w:val="center"/>
            </w:pPr>
            <w:r>
              <w:rPr>
                <w:color w:val="000000"/>
                <w:sz w:val="24"/>
              </w:rPr>
              <w:t>保利地产</w:t>
            </w:r>
          </w:p>
        </w:tc>
        <w:tc>
          <w:tcPr>
            <w:tcW w:w="2879" w:type="dxa"/>
            <w:vAlign w:val="center"/>
          </w:tcPr>
          <w:p w:rsidR="000D33D2" w:rsidRDefault="00FB4FA1">
            <w:pPr>
              <w:jc w:val="right"/>
            </w:pPr>
            <w:r>
              <w:rPr>
                <w:color w:val="000000"/>
                <w:sz w:val="24"/>
              </w:rPr>
              <w:t>4,644,960.02</w:t>
            </w:r>
          </w:p>
        </w:tc>
        <w:tc>
          <w:tcPr>
            <w:tcW w:w="1620" w:type="dxa"/>
            <w:vAlign w:val="center"/>
          </w:tcPr>
          <w:p w:rsidR="000D33D2" w:rsidRDefault="00FB4FA1">
            <w:pPr>
              <w:jc w:val="right"/>
            </w:pPr>
            <w:r>
              <w:rPr>
                <w:color w:val="000000"/>
                <w:sz w:val="24"/>
              </w:rPr>
              <w:t>3.13</w:t>
            </w:r>
          </w:p>
        </w:tc>
      </w:tr>
      <w:tr w:rsidR="000D33D2">
        <w:tc>
          <w:tcPr>
            <w:tcW w:w="869" w:type="dxa"/>
            <w:vAlign w:val="center"/>
          </w:tcPr>
          <w:p w:rsidR="000D33D2" w:rsidRDefault="00FB4FA1">
            <w:pPr>
              <w:jc w:val="center"/>
            </w:pPr>
            <w:r>
              <w:rPr>
                <w:color w:val="000000"/>
                <w:sz w:val="24"/>
              </w:rPr>
              <w:t>16</w:t>
            </w:r>
          </w:p>
        </w:tc>
        <w:tc>
          <w:tcPr>
            <w:tcW w:w="1650" w:type="dxa"/>
            <w:vAlign w:val="center"/>
          </w:tcPr>
          <w:p w:rsidR="000D33D2" w:rsidRDefault="00FB4FA1">
            <w:pPr>
              <w:jc w:val="center"/>
            </w:pPr>
            <w:r>
              <w:rPr>
                <w:color w:val="000000"/>
                <w:sz w:val="24"/>
              </w:rPr>
              <w:t>002142</w:t>
            </w:r>
          </w:p>
        </w:tc>
        <w:tc>
          <w:tcPr>
            <w:tcW w:w="1980" w:type="dxa"/>
            <w:vAlign w:val="center"/>
          </w:tcPr>
          <w:p w:rsidR="000D33D2" w:rsidRDefault="00FB4FA1">
            <w:pPr>
              <w:jc w:val="center"/>
            </w:pPr>
            <w:r>
              <w:rPr>
                <w:color w:val="000000"/>
                <w:sz w:val="24"/>
              </w:rPr>
              <w:t>宁波银行</w:t>
            </w:r>
          </w:p>
        </w:tc>
        <w:tc>
          <w:tcPr>
            <w:tcW w:w="2879" w:type="dxa"/>
            <w:vAlign w:val="center"/>
          </w:tcPr>
          <w:p w:rsidR="000D33D2" w:rsidRDefault="00FB4FA1">
            <w:pPr>
              <w:jc w:val="right"/>
            </w:pPr>
            <w:r>
              <w:rPr>
                <w:color w:val="000000"/>
                <w:sz w:val="24"/>
              </w:rPr>
              <w:t>4,532,195.66</w:t>
            </w:r>
          </w:p>
        </w:tc>
        <w:tc>
          <w:tcPr>
            <w:tcW w:w="1620" w:type="dxa"/>
            <w:vAlign w:val="center"/>
          </w:tcPr>
          <w:p w:rsidR="000D33D2" w:rsidRDefault="00FB4FA1">
            <w:pPr>
              <w:jc w:val="right"/>
            </w:pPr>
            <w:r>
              <w:rPr>
                <w:color w:val="000000"/>
                <w:sz w:val="24"/>
              </w:rPr>
              <w:t>3.05</w:t>
            </w:r>
          </w:p>
        </w:tc>
      </w:tr>
      <w:tr w:rsidR="000D33D2">
        <w:tc>
          <w:tcPr>
            <w:tcW w:w="869" w:type="dxa"/>
            <w:vAlign w:val="center"/>
          </w:tcPr>
          <w:p w:rsidR="000D33D2" w:rsidRDefault="00FB4FA1">
            <w:pPr>
              <w:jc w:val="center"/>
            </w:pPr>
            <w:r>
              <w:rPr>
                <w:color w:val="000000"/>
                <w:sz w:val="24"/>
              </w:rPr>
              <w:t>17</w:t>
            </w:r>
          </w:p>
        </w:tc>
        <w:tc>
          <w:tcPr>
            <w:tcW w:w="1650" w:type="dxa"/>
            <w:vAlign w:val="center"/>
          </w:tcPr>
          <w:p w:rsidR="000D33D2" w:rsidRDefault="00FB4FA1">
            <w:pPr>
              <w:jc w:val="center"/>
            </w:pPr>
            <w:r>
              <w:rPr>
                <w:color w:val="000000"/>
                <w:sz w:val="24"/>
              </w:rPr>
              <w:t>600050</w:t>
            </w:r>
          </w:p>
        </w:tc>
        <w:tc>
          <w:tcPr>
            <w:tcW w:w="1980" w:type="dxa"/>
            <w:vAlign w:val="center"/>
          </w:tcPr>
          <w:p w:rsidR="000D33D2" w:rsidRDefault="00FB4FA1">
            <w:pPr>
              <w:jc w:val="center"/>
            </w:pPr>
            <w:r>
              <w:rPr>
                <w:color w:val="000000"/>
                <w:sz w:val="24"/>
              </w:rPr>
              <w:t>中国联通</w:t>
            </w:r>
          </w:p>
        </w:tc>
        <w:tc>
          <w:tcPr>
            <w:tcW w:w="2879" w:type="dxa"/>
            <w:vAlign w:val="center"/>
          </w:tcPr>
          <w:p w:rsidR="000D33D2" w:rsidRDefault="00FB4FA1">
            <w:pPr>
              <w:jc w:val="right"/>
            </w:pPr>
            <w:r>
              <w:rPr>
                <w:color w:val="000000"/>
                <w:sz w:val="24"/>
              </w:rPr>
              <w:t>4,526,108.00</w:t>
            </w:r>
          </w:p>
        </w:tc>
        <w:tc>
          <w:tcPr>
            <w:tcW w:w="1620" w:type="dxa"/>
            <w:vAlign w:val="center"/>
          </w:tcPr>
          <w:p w:rsidR="000D33D2" w:rsidRDefault="00FB4FA1">
            <w:pPr>
              <w:jc w:val="right"/>
            </w:pPr>
            <w:r>
              <w:rPr>
                <w:color w:val="000000"/>
                <w:sz w:val="24"/>
              </w:rPr>
              <w:t>3.05</w:t>
            </w:r>
          </w:p>
        </w:tc>
      </w:tr>
      <w:tr w:rsidR="000D33D2">
        <w:tc>
          <w:tcPr>
            <w:tcW w:w="869" w:type="dxa"/>
            <w:vAlign w:val="center"/>
          </w:tcPr>
          <w:p w:rsidR="000D33D2" w:rsidRDefault="00FB4FA1">
            <w:pPr>
              <w:jc w:val="center"/>
            </w:pPr>
            <w:r>
              <w:rPr>
                <w:color w:val="000000"/>
                <w:sz w:val="24"/>
              </w:rPr>
              <w:t>18</w:t>
            </w:r>
          </w:p>
        </w:tc>
        <w:tc>
          <w:tcPr>
            <w:tcW w:w="1650" w:type="dxa"/>
            <w:vAlign w:val="center"/>
          </w:tcPr>
          <w:p w:rsidR="000D33D2" w:rsidRDefault="00FB4FA1">
            <w:pPr>
              <w:jc w:val="center"/>
            </w:pPr>
            <w:r>
              <w:rPr>
                <w:color w:val="000000"/>
                <w:sz w:val="24"/>
              </w:rPr>
              <w:t>000783</w:t>
            </w:r>
          </w:p>
        </w:tc>
        <w:tc>
          <w:tcPr>
            <w:tcW w:w="1980" w:type="dxa"/>
            <w:vAlign w:val="center"/>
          </w:tcPr>
          <w:p w:rsidR="000D33D2" w:rsidRDefault="00FB4FA1">
            <w:pPr>
              <w:jc w:val="center"/>
            </w:pPr>
            <w:r>
              <w:rPr>
                <w:color w:val="000000"/>
                <w:sz w:val="24"/>
              </w:rPr>
              <w:t>长江证券</w:t>
            </w:r>
          </w:p>
        </w:tc>
        <w:tc>
          <w:tcPr>
            <w:tcW w:w="2879" w:type="dxa"/>
            <w:vAlign w:val="center"/>
          </w:tcPr>
          <w:p w:rsidR="000D33D2" w:rsidRDefault="00FB4FA1">
            <w:pPr>
              <w:jc w:val="right"/>
            </w:pPr>
            <w:r>
              <w:rPr>
                <w:color w:val="000000"/>
                <w:sz w:val="24"/>
              </w:rPr>
              <w:t>4,508,750.00</w:t>
            </w:r>
          </w:p>
        </w:tc>
        <w:tc>
          <w:tcPr>
            <w:tcW w:w="1620" w:type="dxa"/>
            <w:vAlign w:val="center"/>
          </w:tcPr>
          <w:p w:rsidR="000D33D2" w:rsidRDefault="00FB4FA1">
            <w:pPr>
              <w:jc w:val="right"/>
            </w:pPr>
            <w:r>
              <w:rPr>
                <w:color w:val="000000"/>
                <w:sz w:val="24"/>
              </w:rPr>
              <w:t>3.04</w:t>
            </w:r>
          </w:p>
        </w:tc>
      </w:tr>
      <w:tr w:rsidR="000D33D2">
        <w:tc>
          <w:tcPr>
            <w:tcW w:w="869" w:type="dxa"/>
            <w:vAlign w:val="center"/>
          </w:tcPr>
          <w:p w:rsidR="000D33D2" w:rsidRDefault="00FB4FA1">
            <w:pPr>
              <w:jc w:val="center"/>
            </w:pPr>
            <w:r>
              <w:rPr>
                <w:color w:val="000000"/>
                <w:sz w:val="24"/>
              </w:rPr>
              <w:t>19</w:t>
            </w:r>
          </w:p>
        </w:tc>
        <w:tc>
          <w:tcPr>
            <w:tcW w:w="1650" w:type="dxa"/>
            <w:vAlign w:val="center"/>
          </w:tcPr>
          <w:p w:rsidR="000D33D2" w:rsidRDefault="00FB4FA1">
            <w:pPr>
              <w:jc w:val="center"/>
            </w:pPr>
            <w:r>
              <w:rPr>
                <w:color w:val="000000"/>
                <w:sz w:val="24"/>
              </w:rPr>
              <w:t>600584</w:t>
            </w:r>
          </w:p>
        </w:tc>
        <w:tc>
          <w:tcPr>
            <w:tcW w:w="1980" w:type="dxa"/>
            <w:vAlign w:val="center"/>
          </w:tcPr>
          <w:p w:rsidR="000D33D2" w:rsidRDefault="00FB4FA1">
            <w:pPr>
              <w:jc w:val="center"/>
            </w:pPr>
            <w:r>
              <w:rPr>
                <w:color w:val="000000"/>
                <w:sz w:val="24"/>
              </w:rPr>
              <w:t>长电科技</w:t>
            </w:r>
          </w:p>
        </w:tc>
        <w:tc>
          <w:tcPr>
            <w:tcW w:w="2879" w:type="dxa"/>
            <w:vAlign w:val="center"/>
          </w:tcPr>
          <w:p w:rsidR="000D33D2" w:rsidRDefault="00FB4FA1">
            <w:pPr>
              <w:jc w:val="right"/>
            </w:pPr>
            <w:r>
              <w:rPr>
                <w:color w:val="000000"/>
                <w:sz w:val="24"/>
              </w:rPr>
              <w:t>4,141,695.00</w:t>
            </w:r>
          </w:p>
        </w:tc>
        <w:tc>
          <w:tcPr>
            <w:tcW w:w="1620" w:type="dxa"/>
            <w:vAlign w:val="center"/>
          </w:tcPr>
          <w:p w:rsidR="000D33D2" w:rsidRDefault="00FB4FA1">
            <w:pPr>
              <w:jc w:val="right"/>
            </w:pPr>
            <w:r>
              <w:rPr>
                <w:color w:val="000000"/>
                <w:sz w:val="24"/>
              </w:rPr>
              <w:t>2.79</w:t>
            </w:r>
          </w:p>
        </w:tc>
      </w:tr>
      <w:tr w:rsidR="000D33D2">
        <w:tc>
          <w:tcPr>
            <w:tcW w:w="869" w:type="dxa"/>
            <w:vAlign w:val="center"/>
          </w:tcPr>
          <w:p w:rsidR="000D33D2" w:rsidRDefault="00FB4FA1">
            <w:pPr>
              <w:jc w:val="center"/>
            </w:pPr>
            <w:r>
              <w:rPr>
                <w:color w:val="000000"/>
                <w:sz w:val="24"/>
              </w:rPr>
              <w:t>20</w:t>
            </w:r>
          </w:p>
        </w:tc>
        <w:tc>
          <w:tcPr>
            <w:tcW w:w="1650" w:type="dxa"/>
            <w:vAlign w:val="center"/>
          </w:tcPr>
          <w:p w:rsidR="000D33D2" w:rsidRDefault="00FB4FA1">
            <w:pPr>
              <w:jc w:val="center"/>
            </w:pPr>
            <w:r>
              <w:rPr>
                <w:color w:val="000000"/>
                <w:sz w:val="24"/>
              </w:rPr>
              <w:t>601628</w:t>
            </w:r>
          </w:p>
        </w:tc>
        <w:tc>
          <w:tcPr>
            <w:tcW w:w="1980" w:type="dxa"/>
            <w:vAlign w:val="center"/>
          </w:tcPr>
          <w:p w:rsidR="000D33D2" w:rsidRDefault="00FB4FA1">
            <w:pPr>
              <w:jc w:val="center"/>
            </w:pPr>
            <w:r>
              <w:rPr>
                <w:color w:val="000000"/>
                <w:sz w:val="24"/>
              </w:rPr>
              <w:t>中国人寿</w:t>
            </w:r>
          </w:p>
        </w:tc>
        <w:tc>
          <w:tcPr>
            <w:tcW w:w="2879" w:type="dxa"/>
            <w:vAlign w:val="center"/>
          </w:tcPr>
          <w:p w:rsidR="000D33D2" w:rsidRDefault="00FB4FA1">
            <w:pPr>
              <w:jc w:val="right"/>
            </w:pPr>
            <w:r>
              <w:rPr>
                <w:color w:val="000000"/>
                <w:sz w:val="24"/>
              </w:rPr>
              <w:t>3,651,516.88</w:t>
            </w:r>
          </w:p>
        </w:tc>
        <w:tc>
          <w:tcPr>
            <w:tcW w:w="1620" w:type="dxa"/>
            <w:vAlign w:val="center"/>
          </w:tcPr>
          <w:p w:rsidR="000D33D2" w:rsidRDefault="00FB4FA1">
            <w:pPr>
              <w:jc w:val="right"/>
            </w:pPr>
            <w:r>
              <w:rPr>
                <w:color w:val="000000"/>
                <w:sz w:val="24"/>
              </w:rPr>
              <w:t>2.46</w:t>
            </w:r>
          </w:p>
        </w:tc>
      </w:tr>
      <w:tr w:rsidR="000D33D2">
        <w:tc>
          <w:tcPr>
            <w:tcW w:w="869" w:type="dxa"/>
            <w:vAlign w:val="center"/>
          </w:tcPr>
          <w:p w:rsidR="000D33D2" w:rsidRDefault="00FB4FA1">
            <w:pPr>
              <w:jc w:val="center"/>
            </w:pPr>
            <w:r>
              <w:rPr>
                <w:color w:val="000000"/>
                <w:sz w:val="24"/>
              </w:rPr>
              <w:t>21</w:t>
            </w:r>
          </w:p>
        </w:tc>
        <w:tc>
          <w:tcPr>
            <w:tcW w:w="1650" w:type="dxa"/>
            <w:vAlign w:val="center"/>
          </w:tcPr>
          <w:p w:rsidR="000D33D2" w:rsidRDefault="00FB4FA1">
            <w:pPr>
              <w:jc w:val="center"/>
            </w:pPr>
            <w:r>
              <w:rPr>
                <w:color w:val="000000"/>
                <w:sz w:val="24"/>
              </w:rPr>
              <w:t>000538</w:t>
            </w:r>
          </w:p>
        </w:tc>
        <w:tc>
          <w:tcPr>
            <w:tcW w:w="1980" w:type="dxa"/>
            <w:vAlign w:val="center"/>
          </w:tcPr>
          <w:p w:rsidR="000D33D2" w:rsidRDefault="00FB4FA1">
            <w:pPr>
              <w:jc w:val="center"/>
            </w:pPr>
            <w:r>
              <w:rPr>
                <w:color w:val="000000"/>
                <w:sz w:val="24"/>
              </w:rPr>
              <w:t>云南白药</w:t>
            </w:r>
          </w:p>
        </w:tc>
        <w:tc>
          <w:tcPr>
            <w:tcW w:w="2879" w:type="dxa"/>
            <w:vAlign w:val="center"/>
          </w:tcPr>
          <w:p w:rsidR="000D33D2" w:rsidRDefault="00FB4FA1">
            <w:pPr>
              <w:jc w:val="right"/>
            </w:pPr>
            <w:r>
              <w:rPr>
                <w:color w:val="000000"/>
                <w:sz w:val="24"/>
              </w:rPr>
              <w:t>3,621,265.90</w:t>
            </w:r>
          </w:p>
        </w:tc>
        <w:tc>
          <w:tcPr>
            <w:tcW w:w="1620" w:type="dxa"/>
            <w:vAlign w:val="center"/>
          </w:tcPr>
          <w:p w:rsidR="000D33D2" w:rsidRDefault="00FB4FA1">
            <w:pPr>
              <w:jc w:val="right"/>
            </w:pPr>
            <w:r>
              <w:rPr>
                <w:color w:val="000000"/>
                <w:sz w:val="24"/>
              </w:rPr>
              <w:t>2.44</w:t>
            </w:r>
          </w:p>
        </w:tc>
      </w:tr>
      <w:tr w:rsidR="000D33D2">
        <w:tc>
          <w:tcPr>
            <w:tcW w:w="869" w:type="dxa"/>
            <w:vAlign w:val="center"/>
          </w:tcPr>
          <w:p w:rsidR="000D33D2" w:rsidRDefault="00FB4FA1">
            <w:pPr>
              <w:jc w:val="center"/>
            </w:pPr>
            <w:r>
              <w:rPr>
                <w:color w:val="000000"/>
                <w:sz w:val="24"/>
              </w:rPr>
              <w:t>22</w:t>
            </w:r>
          </w:p>
        </w:tc>
        <w:tc>
          <w:tcPr>
            <w:tcW w:w="1650" w:type="dxa"/>
            <w:vAlign w:val="center"/>
          </w:tcPr>
          <w:p w:rsidR="000D33D2" w:rsidRDefault="00FB4FA1">
            <w:pPr>
              <w:jc w:val="center"/>
            </w:pPr>
            <w:r>
              <w:rPr>
                <w:color w:val="000000"/>
                <w:sz w:val="24"/>
              </w:rPr>
              <w:t>300073</w:t>
            </w:r>
          </w:p>
        </w:tc>
        <w:tc>
          <w:tcPr>
            <w:tcW w:w="1980" w:type="dxa"/>
            <w:vAlign w:val="center"/>
          </w:tcPr>
          <w:p w:rsidR="000D33D2" w:rsidRDefault="00FB4FA1">
            <w:pPr>
              <w:jc w:val="center"/>
            </w:pPr>
            <w:r>
              <w:rPr>
                <w:color w:val="000000"/>
                <w:sz w:val="24"/>
              </w:rPr>
              <w:t>当</w:t>
            </w:r>
            <w:proofErr w:type="gramStart"/>
            <w:r>
              <w:rPr>
                <w:color w:val="000000"/>
                <w:sz w:val="24"/>
              </w:rPr>
              <w:t>升科技</w:t>
            </w:r>
            <w:proofErr w:type="gramEnd"/>
          </w:p>
        </w:tc>
        <w:tc>
          <w:tcPr>
            <w:tcW w:w="2879" w:type="dxa"/>
            <w:vAlign w:val="center"/>
          </w:tcPr>
          <w:p w:rsidR="000D33D2" w:rsidRDefault="00FB4FA1">
            <w:pPr>
              <w:jc w:val="right"/>
            </w:pPr>
            <w:r>
              <w:rPr>
                <w:color w:val="000000"/>
                <w:sz w:val="24"/>
              </w:rPr>
              <w:t>3,530,339.00</w:t>
            </w:r>
          </w:p>
        </w:tc>
        <w:tc>
          <w:tcPr>
            <w:tcW w:w="1620" w:type="dxa"/>
            <w:vAlign w:val="center"/>
          </w:tcPr>
          <w:p w:rsidR="000D33D2" w:rsidRDefault="00FB4FA1">
            <w:pPr>
              <w:jc w:val="right"/>
            </w:pPr>
            <w:r>
              <w:rPr>
                <w:color w:val="000000"/>
                <w:sz w:val="24"/>
              </w:rPr>
              <w:t>2.38</w:t>
            </w:r>
          </w:p>
        </w:tc>
      </w:tr>
      <w:tr w:rsidR="000D33D2">
        <w:tc>
          <w:tcPr>
            <w:tcW w:w="869" w:type="dxa"/>
            <w:vAlign w:val="center"/>
          </w:tcPr>
          <w:p w:rsidR="000D33D2" w:rsidRDefault="00FB4FA1">
            <w:pPr>
              <w:jc w:val="center"/>
            </w:pPr>
            <w:r>
              <w:rPr>
                <w:color w:val="000000"/>
                <w:sz w:val="24"/>
              </w:rPr>
              <w:t>23</w:t>
            </w:r>
          </w:p>
        </w:tc>
        <w:tc>
          <w:tcPr>
            <w:tcW w:w="1650" w:type="dxa"/>
            <w:vAlign w:val="center"/>
          </w:tcPr>
          <w:p w:rsidR="000D33D2" w:rsidRDefault="00FB4FA1">
            <w:pPr>
              <w:jc w:val="center"/>
            </w:pPr>
            <w:r>
              <w:rPr>
                <w:color w:val="000000"/>
                <w:sz w:val="24"/>
              </w:rPr>
              <w:t>600111</w:t>
            </w:r>
          </w:p>
        </w:tc>
        <w:tc>
          <w:tcPr>
            <w:tcW w:w="1980" w:type="dxa"/>
            <w:vAlign w:val="center"/>
          </w:tcPr>
          <w:p w:rsidR="000D33D2" w:rsidRDefault="00FB4FA1">
            <w:pPr>
              <w:jc w:val="center"/>
            </w:pPr>
            <w:r>
              <w:rPr>
                <w:color w:val="000000"/>
                <w:sz w:val="24"/>
              </w:rPr>
              <w:t>北方稀土</w:t>
            </w:r>
          </w:p>
        </w:tc>
        <w:tc>
          <w:tcPr>
            <w:tcW w:w="2879" w:type="dxa"/>
            <w:vAlign w:val="center"/>
          </w:tcPr>
          <w:p w:rsidR="000D33D2" w:rsidRDefault="00FB4FA1">
            <w:pPr>
              <w:jc w:val="right"/>
            </w:pPr>
            <w:r>
              <w:rPr>
                <w:color w:val="000000"/>
                <w:sz w:val="24"/>
              </w:rPr>
              <w:t>3,528,274.00</w:t>
            </w:r>
          </w:p>
        </w:tc>
        <w:tc>
          <w:tcPr>
            <w:tcW w:w="1620" w:type="dxa"/>
            <w:vAlign w:val="center"/>
          </w:tcPr>
          <w:p w:rsidR="000D33D2" w:rsidRDefault="00FB4FA1">
            <w:pPr>
              <w:jc w:val="right"/>
            </w:pPr>
            <w:r>
              <w:rPr>
                <w:color w:val="000000"/>
                <w:sz w:val="24"/>
              </w:rPr>
              <w:t>2.38</w:t>
            </w:r>
          </w:p>
        </w:tc>
      </w:tr>
      <w:tr w:rsidR="000D33D2">
        <w:tc>
          <w:tcPr>
            <w:tcW w:w="869" w:type="dxa"/>
            <w:vAlign w:val="center"/>
          </w:tcPr>
          <w:p w:rsidR="000D33D2" w:rsidRDefault="00FB4FA1">
            <w:pPr>
              <w:jc w:val="center"/>
            </w:pPr>
            <w:r>
              <w:rPr>
                <w:color w:val="000000"/>
                <w:sz w:val="24"/>
              </w:rPr>
              <w:t>24</w:t>
            </w:r>
          </w:p>
        </w:tc>
        <w:tc>
          <w:tcPr>
            <w:tcW w:w="1650" w:type="dxa"/>
            <w:vAlign w:val="center"/>
          </w:tcPr>
          <w:p w:rsidR="000D33D2" w:rsidRDefault="00FB4FA1">
            <w:pPr>
              <w:jc w:val="center"/>
            </w:pPr>
            <w:r>
              <w:rPr>
                <w:color w:val="000000"/>
                <w:sz w:val="24"/>
              </w:rPr>
              <w:t>002466</w:t>
            </w:r>
          </w:p>
        </w:tc>
        <w:tc>
          <w:tcPr>
            <w:tcW w:w="1980" w:type="dxa"/>
            <w:vAlign w:val="center"/>
          </w:tcPr>
          <w:p w:rsidR="000D33D2" w:rsidRDefault="00FB4FA1">
            <w:pPr>
              <w:jc w:val="center"/>
            </w:pPr>
            <w:r>
              <w:rPr>
                <w:color w:val="000000"/>
                <w:sz w:val="24"/>
              </w:rPr>
              <w:t>天齐锂业</w:t>
            </w:r>
          </w:p>
        </w:tc>
        <w:tc>
          <w:tcPr>
            <w:tcW w:w="2879" w:type="dxa"/>
            <w:vAlign w:val="center"/>
          </w:tcPr>
          <w:p w:rsidR="000D33D2" w:rsidRDefault="00FB4FA1">
            <w:pPr>
              <w:jc w:val="right"/>
            </w:pPr>
            <w:r>
              <w:rPr>
                <w:color w:val="000000"/>
                <w:sz w:val="24"/>
              </w:rPr>
              <w:t>3,438,752.00</w:t>
            </w:r>
          </w:p>
        </w:tc>
        <w:tc>
          <w:tcPr>
            <w:tcW w:w="1620" w:type="dxa"/>
            <w:vAlign w:val="center"/>
          </w:tcPr>
          <w:p w:rsidR="000D33D2" w:rsidRDefault="00FB4FA1">
            <w:pPr>
              <w:jc w:val="right"/>
            </w:pPr>
            <w:r>
              <w:rPr>
                <w:color w:val="000000"/>
                <w:sz w:val="24"/>
              </w:rPr>
              <w:t>2.32</w:t>
            </w:r>
          </w:p>
        </w:tc>
      </w:tr>
      <w:tr w:rsidR="000D33D2">
        <w:tc>
          <w:tcPr>
            <w:tcW w:w="869" w:type="dxa"/>
            <w:vAlign w:val="center"/>
          </w:tcPr>
          <w:p w:rsidR="000D33D2" w:rsidRDefault="00FB4FA1">
            <w:pPr>
              <w:jc w:val="center"/>
            </w:pPr>
            <w:r>
              <w:rPr>
                <w:color w:val="000000"/>
                <w:sz w:val="24"/>
              </w:rPr>
              <w:t>25</w:t>
            </w:r>
          </w:p>
        </w:tc>
        <w:tc>
          <w:tcPr>
            <w:tcW w:w="1650" w:type="dxa"/>
            <w:vAlign w:val="center"/>
          </w:tcPr>
          <w:p w:rsidR="000D33D2" w:rsidRDefault="00FB4FA1">
            <w:pPr>
              <w:jc w:val="center"/>
            </w:pPr>
            <w:r>
              <w:rPr>
                <w:color w:val="000000"/>
                <w:sz w:val="24"/>
              </w:rPr>
              <w:t>300316</w:t>
            </w:r>
          </w:p>
        </w:tc>
        <w:tc>
          <w:tcPr>
            <w:tcW w:w="1980" w:type="dxa"/>
            <w:vAlign w:val="center"/>
          </w:tcPr>
          <w:p w:rsidR="000D33D2" w:rsidRDefault="00FB4FA1">
            <w:pPr>
              <w:jc w:val="center"/>
            </w:pPr>
            <w:proofErr w:type="gramStart"/>
            <w:r>
              <w:rPr>
                <w:color w:val="000000"/>
                <w:sz w:val="24"/>
              </w:rPr>
              <w:t>晶盛机电</w:t>
            </w:r>
            <w:proofErr w:type="gramEnd"/>
          </w:p>
        </w:tc>
        <w:tc>
          <w:tcPr>
            <w:tcW w:w="2879" w:type="dxa"/>
            <w:vAlign w:val="center"/>
          </w:tcPr>
          <w:p w:rsidR="000D33D2" w:rsidRDefault="00FB4FA1">
            <w:pPr>
              <w:jc w:val="right"/>
            </w:pPr>
            <w:r>
              <w:rPr>
                <w:color w:val="000000"/>
                <w:sz w:val="24"/>
              </w:rPr>
              <w:t>3,349,248.00</w:t>
            </w:r>
          </w:p>
        </w:tc>
        <w:tc>
          <w:tcPr>
            <w:tcW w:w="1620" w:type="dxa"/>
            <w:vAlign w:val="center"/>
          </w:tcPr>
          <w:p w:rsidR="000D33D2" w:rsidRDefault="00FB4FA1">
            <w:pPr>
              <w:jc w:val="right"/>
            </w:pPr>
            <w:r>
              <w:rPr>
                <w:color w:val="000000"/>
                <w:sz w:val="24"/>
              </w:rPr>
              <w:t>2.26</w:t>
            </w:r>
          </w:p>
        </w:tc>
      </w:tr>
      <w:tr w:rsidR="000D33D2">
        <w:tc>
          <w:tcPr>
            <w:tcW w:w="869" w:type="dxa"/>
            <w:vAlign w:val="center"/>
          </w:tcPr>
          <w:p w:rsidR="000D33D2" w:rsidRDefault="00FB4FA1">
            <w:pPr>
              <w:jc w:val="center"/>
            </w:pPr>
            <w:r>
              <w:rPr>
                <w:color w:val="000000"/>
                <w:sz w:val="24"/>
              </w:rPr>
              <w:t>26</w:t>
            </w:r>
          </w:p>
        </w:tc>
        <w:tc>
          <w:tcPr>
            <w:tcW w:w="1650" w:type="dxa"/>
            <w:vAlign w:val="center"/>
          </w:tcPr>
          <w:p w:rsidR="000D33D2" w:rsidRDefault="00FB4FA1">
            <w:pPr>
              <w:jc w:val="center"/>
            </w:pPr>
            <w:r>
              <w:rPr>
                <w:color w:val="000000"/>
                <w:sz w:val="24"/>
              </w:rPr>
              <w:t>002230</w:t>
            </w:r>
          </w:p>
        </w:tc>
        <w:tc>
          <w:tcPr>
            <w:tcW w:w="1980" w:type="dxa"/>
            <w:vAlign w:val="center"/>
          </w:tcPr>
          <w:p w:rsidR="000D33D2" w:rsidRDefault="00FB4FA1">
            <w:pPr>
              <w:jc w:val="center"/>
            </w:pPr>
            <w:proofErr w:type="gramStart"/>
            <w:r>
              <w:rPr>
                <w:color w:val="000000"/>
                <w:sz w:val="24"/>
              </w:rPr>
              <w:t>科大讯飞</w:t>
            </w:r>
            <w:proofErr w:type="gramEnd"/>
          </w:p>
        </w:tc>
        <w:tc>
          <w:tcPr>
            <w:tcW w:w="2879" w:type="dxa"/>
            <w:vAlign w:val="center"/>
          </w:tcPr>
          <w:p w:rsidR="000D33D2" w:rsidRDefault="00FB4FA1">
            <w:pPr>
              <w:jc w:val="right"/>
            </w:pPr>
            <w:r>
              <w:rPr>
                <w:color w:val="000000"/>
                <w:sz w:val="24"/>
              </w:rPr>
              <w:t>3,332,769.00</w:t>
            </w:r>
          </w:p>
        </w:tc>
        <w:tc>
          <w:tcPr>
            <w:tcW w:w="1620" w:type="dxa"/>
            <w:vAlign w:val="center"/>
          </w:tcPr>
          <w:p w:rsidR="000D33D2" w:rsidRDefault="00FB4FA1">
            <w:pPr>
              <w:jc w:val="right"/>
            </w:pPr>
            <w:r>
              <w:rPr>
                <w:color w:val="000000"/>
                <w:sz w:val="24"/>
              </w:rPr>
              <w:t>2.24</w:t>
            </w:r>
          </w:p>
        </w:tc>
      </w:tr>
      <w:tr w:rsidR="000D33D2">
        <w:tc>
          <w:tcPr>
            <w:tcW w:w="869" w:type="dxa"/>
            <w:vAlign w:val="center"/>
          </w:tcPr>
          <w:p w:rsidR="000D33D2" w:rsidRDefault="00FB4FA1">
            <w:pPr>
              <w:jc w:val="center"/>
            </w:pPr>
            <w:r>
              <w:rPr>
                <w:color w:val="000000"/>
                <w:sz w:val="24"/>
              </w:rPr>
              <w:t>27</w:t>
            </w:r>
          </w:p>
        </w:tc>
        <w:tc>
          <w:tcPr>
            <w:tcW w:w="1650" w:type="dxa"/>
            <w:vAlign w:val="center"/>
          </w:tcPr>
          <w:p w:rsidR="000D33D2" w:rsidRDefault="00FB4FA1">
            <w:pPr>
              <w:jc w:val="center"/>
            </w:pPr>
            <w:r>
              <w:rPr>
                <w:color w:val="000000"/>
                <w:sz w:val="24"/>
              </w:rPr>
              <w:t>300373</w:t>
            </w:r>
          </w:p>
        </w:tc>
        <w:tc>
          <w:tcPr>
            <w:tcW w:w="1980" w:type="dxa"/>
            <w:vAlign w:val="center"/>
          </w:tcPr>
          <w:p w:rsidR="000D33D2" w:rsidRDefault="00FB4FA1">
            <w:pPr>
              <w:jc w:val="center"/>
            </w:pPr>
            <w:r>
              <w:rPr>
                <w:color w:val="000000"/>
                <w:sz w:val="24"/>
              </w:rPr>
              <w:t>扬杰科技</w:t>
            </w:r>
          </w:p>
        </w:tc>
        <w:tc>
          <w:tcPr>
            <w:tcW w:w="2879" w:type="dxa"/>
            <w:vAlign w:val="center"/>
          </w:tcPr>
          <w:p w:rsidR="000D33D2" w:rsidRDefault="00FB4FA1">
            <w:pPr>
              <w:jc w:val="right"/>
            </w:pPr>
            <w:r>
              <w:rPr>
                <w:color w:val="000000"/>
                <w:sz w:val="24"/>
              </w:rPr>
              <w:t>3,298,544.98</w:t>
            </w:r>
          </w:p>
        </w:tc>
        <w:tc>
          <w:tcPr>
            <w:tcW w:w="1620" w:type="dxa"/>
            <w:vAlign w:val="center"/>
          </w:tcPr>
          <w:p w:rsidR="000D33D2" w:rsidRDefault="00FB4FA1">
            <w:pPr>
              <w:jc w:val="right"/>
            </w:pPr>
            <w:r>
              <w:rPr>
                <w:color w:val="000000"/>
                <w:sz w:val="24"/>
              </w:rPr>
              <w:t>2.22</w:t>
            </w:r>
          </w:p>
        </w:tc>
      </w:tr>
      <w:tr w:rsidR="000D33D2">
        <w:tc>
          <w:tcPr>
            <w:tcW w:w="869" w:type="dxa"/>
            <w:vAlign w:val="center"/>
          </w:tcPr>
          <w:p w:rsidR="000D33D2" w:rsidRDefault="00FB4FA1">
            <w:pPr>
              <w:jc w:val="center"/>
            </w:pPr>
            <w:r>
              <w:rPr>
                <w:color w:val="000000"/>
                <w:sz w:val="24"/>
              </w:rPr>
              <w:t>28</w:t>
            </w:r>
          </w:p>
        </w:tc>
        <w:tc>
          <w:tcPr>
            <w:tcW w:w="1650" w:type="dxa"/>
            <w:vAlign w:val="center"/>
          </w:tcPr>
          <w:p w:rsidR="000D33D2" w:rsidRDefault="00FB4FA1">
            <w:pPr>
              <w:jc w:val="center"/>
            </w:pPr>
            <w:r>
              <w:rPr>
                <w:color w:val="000000"/>
                <w:sz w:val="24"/>
              </w:rPr>
              <w:t>600068</w:t>
            </w:r>
          </w:p>
        </w:tc>
        <w:tc>
          <w:tcPr>
            <w:tcW w:w="1980" w:type="dxa"/>
            <w:vAlign w:val="center"/>
          </w:tcPr>
          <w:p w:rsidR="000D33D2" w:rsidRDefault="00FB4FA1">
            <w:pPr>
              <w:jc w:val="center"/>
            </w:pPr>
            <w:r>
              <w:rPr>
                <w:color w:val="000000"/>
                <w:sz w:val="24"/>
              </w:rPr>
              <w:t>葛洲坝</w:t>
            </w:r>
          </w:p>
        </w:tc>
        <w:tc>
          <w:tcPr>
            <w:tcW w:w="2879" w:type="dxa"/>
            <w:vAlign w:val="center"/>
          </w:tcPr>
          <w:p w:rsidR="000D33D2" w:rsidRDefault="00FB4FA1">
            <w:pPr>
              <w:jc w:val="right"/>
            </w:pPr>
            <w:r>
              <w:rPr>
                <w:color w:val="000000"/>
                <w:sz w:val="24"/>
              </w:rPr>
              <w:t>3,269,146.00</w:t>
            </w:r>
          </w:p>
        </w:tc>
        <w:tc>
          <w:tcPr>
            <w:tcW w:w="1620" w:type="dxa"/>
            <w:vAlign w:val="center"/>
          </w:tcPr>
          <w:p w:rsidR="000D33D2" w:rsidRDefault="00FB4FA1">
            <w:pPr>
              <w:jc w:val="right"/>
            </w:pPr>
            <w:r>
              <w:rPr>
                <w:color w:val="000000"/>
                <w:sz w:val="24"/>
              </w:rPr>
              <w:t>2.20</w:t>
            </w:r>
          </w:p>
        </w:tc>
      </w:tr>
      <w:tr w:rsidR="000D33D2">
        <w:tc>
          <w:tcPr>
            <w:tcW w:w="869" w:type="dxa"/>
            <w:vAlign w:val="center"/>
          </w:tcPr>
          <w:p w:rsidR="000D33D2" w:rsidRDefault="00FB4FA1">
            <w:pPr>
              <w:jc w:val="center"/>
            </w:pPr>
            <w:r>
              <w:rPr>
                <w:color w:val="000000"/>
                <w:sz w:val="24"/>
              </w:rPr>
              <w:t>29</w:t>
            </w:r>
          </w:p>
        </w:tc>
        <w:tc>
          <w:tcPr>
            <w:tcW w:w="1650" w:type="dxa"/>
            <w:vAlign w:val="center"/>
          </w:tcPr>
          <w:p w:rsidR="000D33D2" w:rsidRDefault="00FB4FA1">
            <w:pPr>
              <w:jc w:val="center"/>
            </w:pPr>
            <w:r>
              <w:rPr>
                <w:color w:val="000000"/>
                <w:sz w:val="24"/>
              </w:rPr>
              <w:t>600703</w:t>
            </w:r>
          </w:p>
        </w:tc>
        <w:tc>
          <w:tcPr>
            <w:tcW w:w="1980" w:type="dxa"/>
            <w:vAlign w:val="center"/>
          </w:tcPr>
          <w:p w:rsidR="000D33D2" w:rsidRDefault="00FB4FA1">
            <w:pPr>
              <w:jc w:val="center"/>
            </w:pPr>
            <w:r>
              <w:rPr>
                <w:color w:val="000000"/>
                <w:sz w:val="24"/>
              </w:rPr>
              <w:t>三安光电</w:t>
            </w:r>
          </w:p>
        </w:tc>
        <w:tc>
          <w:tcPr>
            <w:tcW w:w="2879" w:type="dxa"/>
            <w:vAlign w:val="center"/>
          </w:tcPr>
          <w:p w:rsidR="000D33D2" w:rsidRDefault="00FB4FA1">
            <w:pPr>
              <w:jc w:val="right"/>
            </w:pPr>
            <w:r>
              <w:rPr>
                <w:color w:val="000000"/>
                <w:sz w:val="24"/>
              </w:rPr>
              <w:t>3,161,582.00</w:t>
            </w:r>
          </w:p>
        </w:tc>
        <w:tc>
          <w:tcPr>
            <w:tcW w:w="1620" w:type="dxa"/>
            <w:vAlign w:val="center"/>
          </w:tcPr>
          <w:p w:rsidR="000D33D2" w:rsidRDefault="00FB4FA1">
            <w:pPr>
              <w:jc w:val="right"/>
            </w:pPr>
            <w:r>
              <w:rPr>
                <w:color w:val="000000"/>
                <w:sz w:val="24"/>
              </w:rPr>
              <w:t>2.13</w:t>
            </w:r>
          </w:p>
        </w:tc>
      </w:tr>
      <w:tr w:rsidR="000D33D2">
        <w:tc>
          <w:tcPr>
            <w:tcW w:w="869" w:type="dxa"/>
            <w:vAlign w:val="center"/>
          </w:tcPr>
          <w:p w:rsidR="000D33D2" w:rsidRDefault="00FB4FA1">
            <w:pPr>
              <w:jc w:val="center"/>
            </w:pPr>
            <w:r>
              <w:rPr>
                <w:color w:val="000000"/>
                <w:sz w:val="24"/>
              </w:rPr>
              <w:t>30</w:t>
            </w:r>
          </w:p>
        </w:tc>
        <w:tc>
          <w:tcPr>
            <w:tcW w:w="1650" w:type="dxa"/>
            <w:vAlign w:val="center"/>
          </w:tcPr>
          <w:p w:rsidR="000D33D2" w:rsidRDefault="00FB4FA1">
            <w:pPr>
              <w:jc w:val="center"/>
            </w:pPr>
            <w:r>
              <w:rPr>
                <w:color w:val="000000"/>
                <w:sz w:val="24"/>
              </w:rPr>
              <w:t>601333</w:t>
            </w:r>
          </w:p>
        </w:tc>
        <w:tc>
          <w:tcPr>
            <w:tcW w:w="1980" w:type="dxa"/>
            <w:vAlign w:val="center"/>
          </w:tcPr>
          <w:p w:rsidR="000D33D2" w:rsidRDefault="00FB4FA1">
            <w:pPr>
              <w:jc w:val="center"/>
            </w:pPr>
            <w:r>
              <w:rPr>
                <w:color w:val="000000"/>
                <w:sz w:val="24"/>
              </w:rPr>
              <w:t>广深铁路</w:t>
            </w:r>
          </w:p>
        </w:tc>
        <w:tc>
          <w:tcPr>
            <w:tcW w:w="2879" w:type="dxa"/>
            <w:vAlign w:val="center"/>
          </w:tcPr>
          <w:p w:rsidR="000D33D2" w:rsidRDefault="00FB4FA1">
            <w:pPr>
              <w:jc w:val="right"/>
            </w:pPr>
            <w:r>
              <w:rPr>
                <w:color w:val="000000"/>
                <w:sz w:val="24"/>
              </w:rPr>
              <w:t>3,157,496.00</w:t>
            </w:r>
          </w:p>
        </w:tc>
        <w:tc>
          <w:tcPr>
            <w:tcW w:w="1620" w:type="dxa"/>
            <w:vAlign w:val="center"/>
          </w:tcPr>
          <w:p w:rsidR="000D33D2" w:rsidRDefault="00FB4FA1">
            <w:pPr>
              <w:jc w:val="right"/>
            </w:pPr>
            <w:r>
              <w:rPr>
                <w:color w:val="000000"/>
                <w:sz w:val="24"/>
              </w:rPr>
              <w:t>2.13</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lastRenderedPageBreak/>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316,546,294.29</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317,816,939.11</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14,474,543.10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19.24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46,242,710.30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61.48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46,242,710.30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61.48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1,005,600.00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1.34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3F5AD1">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3F5AD1">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3F5AD1">
            <w:pPr>
              <w:spacing w:before="29" w:line="288" w:lineRule="auto"/>
              <w:ind w:left="17"/>
              <w:jc w:val="right"/>
              <w:rPr>
                <w:sz w:val="24"/>
              </w:rPr>
            </w:pPr>
            <w:r w:rsidRPr="006E14CE">
              <w:rPr>
                <w:sz w:val="24"/>
              </w:rPr>
              <w:t>-</w:t>
            </w:r>
          </w:p>
        </w:tc>
        <w:tc>
          <w:tcPr>
            <w:tcW w:w="2153" w:type="dxa"/>
            <w:vAlign w:val="center"/>
          </w:tcPr>
          <w:p w:rsidR="00804B04" w:rsidRPr="006E14CE" w:rsidRDefault="00804B04" w:rsidP="003F5AD1">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61,722,853.40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82.06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D33D2">
        <w:tc>
          <w:tcPr>
            <w:tcW w:w="1320" w:type="dxa"/>
            <w:vAlign w:val="center"/>
          </w:tcPr>
          <w:p w:rsidR="000D33D2" w:rsidRDefault="00FB4FA1">
            <w:pPr>
              <w:jc w:val="center"/>
            </w:pPr>
            <w:r>
              <w:rPr>
                <w:color w:val="000000"/>
                <w:sz w:val="24"/>
              </w:rPr>
              <w:t>1</w:t>
            </w:r>
          </w:p>
        </w:tc>
        <w:tc>
          <w:tcPr>
            <w:tcW w:w="1382" w:type="dxa"/>
            <w:vAlign w:val="center"/>
          </w:tcPr>
          <w:p w:rsidR="000D33D2" w:rsidRDefault="00FB4FA1">
            <w:pPr>
              <w:jc w:val="center"/>
            </w:pPr>
            <w:r>
              <w:rPr>
                <w:color w:val="000000"/>
                <w:sz w:val="24"/>
              </w:rPr>
              <w:t>018005</w:t>
            </w:r>
          </w:p>
        </w:tc>
        <w:tc>
          <w:tcPr>
            <w:tcW w:w="1353" w:type="dxa"/>
            <w:vAlign w:val="center"/>
          </w:tcPr>
          <w:p w:rsidR="000D33D2" w:rsidRDefault="00FB4FA1">
            <w:pPr>
              <w:jc w:val="center"/>
            </w:pPr>
            <w:r>
              <w:rPr>
                <w:color w:val="000000"/>
                <w:sz w:val="24"/>
              </w:rPr>
              <w:t>国开</w:t>
            </w:r>
            <w:r>
              <w:rPr>
                <w:color w:val="000000"/>
                <w:sz w:val="24"/>
              </w:rPr>
              <w:t>1701</w:t>
            </w:r>
          </w:p>
        </w:tc>
        <w:tc>
          <w:tcPr>
            <w:tcW w:w="1505" w:type="dxa"/>
            <w:vAlign w:val="center"/>
          </w:tcPr>
          <w:p w:rsidR="000D33D2" w:rsidRDefault="00FB4FA1">
            <w:pPr>
              <w:jc w:val="right"/>
            </w:pPr>
            <w:r>
              <w:rPr>
                <w:color w:val="000000"/>
                <w:sz w:val="24"/>
              </w:rPr>
              <w:t>221,270</w:t>
            </w:r>
          </w:p>
        </w:tc>
        <w:tc>
          <w:tcPr>
            <w:tcW w:w="1737" w:type="dxa"/>
            <w:vAlign w:val="center"/>
          </w:tcPr>
          <w:p w:rsidR="000D33D2" w:rsidRDefault="00FB4FA1">
            <w:pPr>
              <w:jc w:val="right"/>
            </w:pPr>
            <w:r>
              <w:rPr>
                <w:color w:val="000000"/>
                <w:sz w:val="24"/>
              </w:rPr>
              <w:t>21,881,390.30</w:t>
            </w:r>
          </w:p>
        </w:tc>
        <w:tc>
          <w:tcPr>
            <w:tcW w:w="1701" w:type="dxa"/>
            <w:vAlign w:val="center"/>
          </w:tcPr>
          <w:p w:rsidR="000D33D2" w:rsidRDefault="00FB4FA1">
            <w:pPr>
              <w:jc w:val="right"/>
            </w:pPr>
            <w:r>
              <w:rPr>
                <w:color w:val="000000"/>
                <w:sz w:val="24"/>
              </w:rPr>
              <w:t>29.09</w:t>
            </w:r>
          </w:p>
        </w:tc>
      </w:tr>
      <w:tr w:rsidR="000D33D2">
        <w:tc>
          <w:tcPr>
            <w:tcW w:w="1320" w:type="dxa"/>
            <w:vAlign w:val="center"/>
          </w:tcPr>
          <w:p w:rsidR="000D33D2" w:rsidRDefault="00FB4FA1">
            <w:pPr>
              <w:jc w:val="center"/>
            </w:pPr>
            <w:r>
              <w:rPr>
                <w:color w:val="000000"/>
                <w:sz w:val="24"/>
              </w:rPr>
              <w:t>2</w:t>
            </w:r>
          </w:p>
        </w:tc>
        <w:tc>
          <w:tcPr>
            <w:tcW w:w="1382" w:type="dxa"/>
            <w:vAlign w:val="center"/>
          </w:tcPr>
          <w:p w:rsidR="000D33D2" w:rsidRDefault="00FB4FA1">
            <w:pPr>
              <w:jc w:val="center"/>
            </w:pPr>
            <w:r>
              <w:rPr>
                <w:color w:val="000000"/>
                <w:sz w:val="24"/>
              </w:rPr>
              <w:t>108601</w:t>
            </w:r>
          </w:p>
        </w:tc>
        <w:tc>
          <w:tcPr>
            <w:tcW w:w="1353" w:type="dxa"/>
            <w:vAlign w:val="center"/>
          </w:tcPr>
          <w:p w:rsidR="000D33D2" w:rsidRDefault="00FB4FA1">
            <w:pPr>
              <w:jc w:val="center"/>
            </w:pPr>
            <w:r>
              <w:rPr>
                <w:color w:val="000000"/>
                <w:sz w:val="24"/>
              </w:rPr>
              <w:t>国开</w:t>
            </w:r>
            <w:r>
              <w:rPr>
                <w:color w:val="000000"/>
                <w:sz w:val="24"/>
              </w:rPr>
              <w:t>1703</w:t>
            </w:r>
          </w:p>
        </w:tc>
        <w:tc>
          <w:tcPr>
            <w:tcW w:w="1505" w:type="dxa"/>
            <w:vAlign w:val="center"/>
          </w:tcPr>
          <w:p w:rsidR="000D33D2" w:rsidRDefault="00FB4FA1">
            <w:pPr>
              <w:jc w:val="right"/>
            </w:pPr>
            <w:r>
              <w:rPr>
                <w:color w:val="000000"/>
                <w:sz w:val="24"/>
              </w:rPr>
              <w:t>144,000</w:t>
            </w:r>
          </w:p>
        </w:tc>
        <w:tc>
          <w:tcPr>
            <w:tcW w:w="1737" w:type="dxa"/>
            <w:vAlign w:val="center"/>
          </w:tcPr>
          <w:p w:rsidR="000D33D2" w:rsidRDefault="00FB4FA1">
            <w:pPr>
              <w:jc w:val="right"/>
            </w:pPr>
            <w:r>
              <w:rPr>
                <w:color w:val="000000"/>
                <w:sz w:val="24"/>
              </w:rPr>
              <w:t>14,368,320.00</w:t>
            </w:r>
          </w:p>
        </w:tc>
        <w:tc>
          <w:tcPr>
            <w:tcW w:w="1701" w:type="dxa"/>
            <w:vAlign w:val="center"/>
          </w:tcPr>
          <w:p w:rsidR="000D33D2" w:rsidRDefault="00FB4FA1">
            <w:pPr>
              <w:jc w:val="right"/>
            </w:pPr>
            <w:r>
              <w:rPr>
                <w:color w:val="000000"/>
                <w:sz w:val="24"/>
              </w:rPr>
              <w:t>19.10</w:t>
            </w:r>
          </w:p>
        </w:tc>
      </w:tr>
      <w:tr w:rsidR="000D33D2">
        <w:tc>
          <w:tcPr>
            <w:tcW w:w="1320" w:type="dxa"/>
            <w:vAlign w:val="center"/>
          </w:tcPr>
          <w:p w:rsidR="000D33D2" w:rsidRDefault="00FB4FA1">
            <w:pPr>
              <w:jc w:val="center"/>
            </w:pPr>
            <w:r>
              <w:rPr>
                <w:color w:val="000000"/>
                <w:sz w:val="24"/>
              </w:rPr>
              <w:t>3</w:t>
            </w:r>
          </w:p>
        </w:tc>
        <w:tc>
          <w:tcPr>
            <w:tcW w:w="1382" w:type="dxa"/>
            <w:vAlign w:val="center"/>
          </w:tcPr>
          <w:p w:rsidR="000D33D2" w:rsidRDefault="00FB4FA1">
            <w:pPr>
              <w:jc w:val="center"/>
            </w:pPr>
            <w:r>
              <w:rPr>
                <w:color w:val="000000"/>
                <w:sz w:val="24"/>
              </w:rPr>
              <w:t>170203</w:t>
            </w:r>
          </w:p>
        </w:tc>
        <w:tc>
          <w:tcPr>
            <w:tcW w:w="1353" w:type="dxa"/>
            <w:vAlign w:val="center"/>
          </w:tcPr>
          <w:p w:rsidR="000D33D2" w:rsidRDefault="00FB4FA1">
            <w:pPr>
              <w:jc w:val="center"/>
            </w:pPr>
            <w:r>
              <w:rPr>
                <w:color w:val="000000"/>
                <w:sz w:val="24"/>
              </w:rPr>
              <w:t>17</w:t>
            </w:r>
            <w:r>
              <w:rPr>
                <w:color w:val="000000"/>
                <w:sz w:val="24"/>
              </w:rPr>
              <w:t>国开</w:t>
            </w:r>
            <w:r>
              <w:rPr>
                <w:color w:val="000000"/>
                <w:sz w:val="24"/>
              </w:rPr>
              <w:t>03</w:t>
            </w:r>
          </w:p>
        </w:tc>
        <w:tc>
          <w:tcPr>
            <w:tcW w:w="1505" w:type="dxa"/>
            <w:vAlign w:val="center"/>
          </w:tcPr>
          <w:p w:rsidR="000D33D2" w:rsidRDefault="00FB4FA1">
            <w:pPr>
              <w:jc w:val="right"/>
            </w:pPr>
            <w:r>
              <w:rPr>
                <w:color w:val="000000"/>
                <w:sz w:val="24"/>
              </w:rPr>
              <w:t>100,000</w:t>
            </w:r>
          </w:p>
        </w:tc>
        <w:tc>
          <w:tcPr>
            <w:tcW w:w="1737" w:type="dxa"/>
            <w:vAlign w:val="center"/>
          </w:tcPr>
          <w:p w:rsidR="000D33D2" w:rsidRDefault="00FB4FA1">
            <w:pPr>
              <w:jc w:val="right"/>
            </w:pPr>
            <w:r>
              <w:rPr>
                <w:color w:val="000000"/>
                <w:sz w:val="24"/>
              </w:rPr>
              <w:t>9,993,000.00</w:t>
            </w:r>
          </w:p>
        </w:tc>
        <w:tc>
          <w:tcPr>
            <w:tcW w:w="1701" w:type="dxa"/>
            <w:vAlign w:val="center"/>
          </w:tcPr>
          <w:p w:rsidR="000D33D2" w:rsidRDefault="00FB4FA1">
            <w:pPr>
              <w:jc w:val="right"/>
            </w:pPr>
            <w:r>
              <w:rPr>
                <w:color w:val="000000"/>
                <w:sz w:val="24"/>
              </w:rPr>
              <w:t>13.28</w:t>
            </w:r>
          </w:p>
        </w:tc>
      </w:tr>
      <w:tr w:rsidR="000D33D2">
        <w:tc>
          <w:tcPr>
            <w:tcW w:w="1320" w:type="dxa"/>
            <w:vAlign w:val="center"/>
          </w:tcPr>
          <w:p w:rsidR="000D33D2" w:rsidRDefault="00FB4FA1">
            <w:pPr>
              <w:jc w:val="center"/>
            </w:pPr>
            <w:r>
              <w:rPr>
                <w:color w:val="000000"/>
                <w:sz w:val="24"/>
              </w:rPr>
              <w:t>4</w:t>
            </w:r>
          </w:p>
        </w:tc>
        <w:tc>
          <w:tcPr>
            <w:tcW w:w="1382" w:type="dxa"/>
            <w:vAlign w:val="center"/>
          </w:tcPr>
          <w:p w:rsidR="000D33D2" w:rsidRDefault="00FB4FA1">
            <w:pPr>
              <w:jc w:val="center"/>
            </w:pPr>
            <w:r>
              <w:rPr>
                <w:color w:val="000000"/>
                <w:sz w:val="24"/>
              </w:rPr>
              <w:t>010303</w:t>
            </w:r>
          </w:p>
        </w:tc>
        <w:tc>
          <w:tcPr>
            <w:tcW w:w="1353" w:type="dxa"/>
            <w:vAlign w:val="center"/>
          </w:tcPr>
          <w:p w:rsidR="000D33D2" w:rsidRDefault="00FB4FA1">
            <w:pPr>
              <w:jc w:val="center"/>
            </w:pPr>
            <w:r>
              <w:rPr>
                <w:color w:val="000000"/>
                <w:sz w:val="24"/>
              </w:rPr>
              <w:t>03</w:t>
            </w:r>
            <w:r>
              <w:rPr>
                <w:color w:val="000000"/>
                <w:sz w:val="24"/>
              </w:rPr>
              <w:t>国债</w:t>
            </w:r>
            <w:r>
              <w:rPr>
                <w:color w:val="000000"/>
                <w:sz w:val="24"/>
              </w:rPr>
              <w:t>⑶</w:t>
            </w:r>
          </w:p>
        </w:tc>
        <w:tc>
          <w:tcPr>
            <w:tcW w:w="1505" w:type="dxa"/>
            <w:vAlign w:val="center"/>
          </w:tcPr>
          <w:p w:rsidR="000D33D2" w:rsidRDefault="00FB4FA1">
            <w:pPr>
              <w:jc w:val="right"/>
            </w:pPr>
            <w:r>
              <w:rPr>
                <w:color w:val="000000"/>
                <w:sz w:val="24"/>
              </w:rPr>
              <w:t>88,470</w:t>
            </w:r>
          </w:p>
        </w:tc>
        <w:tc>
          <w:tcPr>
            <w:tcW w:w="1737" w:type="dxa"/>
            <w:vAlign w:val="center"/>
          </w:tcPr>
          <w:p w:rsidR="000D33D2" w:rsidRDefault="00FB4FA1">
            <w:pPr>
              <w:jc w:val="right"/>
            </w:pPr>
            <w:r>
              <w:rPr>
                <w:color w:val="000000"/>
                <w:sz w:val="24"/>
              </w:rPr>
              <w:t>8,479,849.50</w:t>
            </w:r>
          </w:p>
        </w:tc>
        <w:tc>
          <w:tcPr>
            <w:tcW w:w="1701" w:type="dxa"/>
            <w:vAlign w:val="center"/>
          </w:tcPr>
          <w:p w:rsidR="000D33D2" w:rsidRDefault="00FB4FA1">
            <w:pPr>
              <w:jc w:val="right"/>
            </w:pPr>
            <w:r>
              <w:rPr>
                <w:color w:val="000000"/>
                <w:sz w:val="24"/>
              </w:rPr>
              <w:t>11.27</w:t>
            </w:r>
          </w:p>
        </w:tc>
      </w:tr>
      <w:tr w:rsidR="000D33D2">
        <w:tc>
          <w:tcPr>
            <w:tcW w:w="1320" w:type="dxa"/>
            <w:vAlign w:val="center"/>
          </w:tcPr>
          <w:p w:rsidR="000D33D2" w:rsidRDefault="00FB4FA1">
            <w:pPr>
              <w:jc w:val="center"/>
            </w:pPr>
            <w:r>
              <w:rPr>
                <w:color w:val="000000"/>
                <w:sz w:val="24"/>
              </w:rPr>
              <w:t>5</w:t>
            </w:r>
          </w:p>
        </w:tc>
        <w:tc>
          <w:tcPr>
            <w:tcW w:w="1382" w:type="dxa"/>
            <w:vAlign w:val="center"/>
          </w:tcPr>
          <w:p w:rsidR="000D33D2" w:rsidRDefault="00FB4FA1">
            <w:pPr>
              <w:jc w:val="center"/>
            </w:pPr>
            <w:r>
              <w:rPr>
                <w:color w:val="000000"/>
                <w:sz w:val="24"/>
              </w:rPr>
              <w:t>010107</w:t>
            </w:r>
          </w:p>
        </w:tc>
        <w:tc>
          <w:tcPr>
            <w:tcW w:w="1353" w:type="dxa"/>
            <w:vAlign w:val="center"/>
          </w:tcPr>
          <w:p w:rsidR="000D33D2" w:rsidRDefault="00FB4FA1">
            <w:pPr>
              <w:jc w:val="center"/>
            </w:pPr>
            <w:r>
              <w:rPr>
                <w:color w:val="000000"/>
                <w:sz w:val="24"/>
              </w:rPr>
              <w:t>21</w:t>
            </w:r>
            <w:r>
              <w:rPr>
                <w:color w:val="000000"/>
                <w:sz w:val="24"/>
              </w:rPr>
              <w:t>国债</w:t>
            </w:r>
            <w:r>
              <w:rPr>
                <w:color w:val="000000"/>
                <w:sz w:val="24"/>
              </w:rPr>
              <w:t>⑺</w:t>
            </w:r>
          </w:p>
        </w:tc>
        <w:tc>
          <w:tcPr>
            <w:tcW w:w="1505" w:type="dxa"/>
            <w:vAlign w:val="center"/>
          </w:tcPr>
          <w:p w:rsidR="000D33D2" w:rsidRDefault="00FB4FA1">
            <w:pPr>
              <w:jc w:val="right"/>
            </w:pPr>
            <w:r>
              <w:rPr>
                <w:color w:val="000000"/>
                <w:sz w:val="24"/>
              </w:rPr>
              <w:t>59,720</w:t>
            </w:r>
          </w:p>
        </w:tc>
        <w:tc>
          <w:tcPr>
            <w:tcW w:w="1737" w:type="dxa"/>
            <w:vAlign w:val="center"/>
          </w:tcPr>
          <w:p w:rsidR="000D33D2" w:rsidRDefault="00FB4FA1">
            <w:pPr>
              <w:jc w:val="right"/>
            </w:pPr>
            <w:r>
              <w:rPr>
                <w:color w:val="000000"/>
                <w:sz w:val="24"/>
              </w:rPr>
              <w:t>5,994,693.60</w:t>
            </w:r>
          </w:p>
        </w:tc>
        <w:tc>
          <w:tcPr>
            <w:tcW w:w="1701" w:type="dxa"/>
            <w:vAlign w:val="center"/>
          </w:tcPr>
          <w:p w:rsidR="000D33D2" w:rsidRDefault="00FB4FA1">
            <w:pPr>
              <w:jc w:val="right"/>
            </w:pPr>
            <w:r>
              <w:rPr>
                <w:color w:val="000000"/>
                <w:sz w:val="24"/>
              </w:rPr>
              <w:t>7.97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62,424.66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2,483,619.80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1,462,432.44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1,691.98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4,010,168.88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732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70,249.35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25,060,978.78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48.74%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26,361,547.25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51.26%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129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21,291.68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2,746,626.80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861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62,914.23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25,060,978.78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46.26%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29,108,174.05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53.74%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3F5AD1">
        <w:trPr>
          <w:trHeight w:val="285"/>
        </w:trPr>
        <w:tc>
          <w:tcPr>
            <w:tcW w:w="2268" w:type="dxa"/>
            <w:noWrap/>
            <w:vAlign w:val="center"/>
          </w:tcPr>
          <w:p w:rsidR="00224B72" w:rsidRPr="00640CFF" w:rsidRDefault="00224B72" w:rsidP="003F5AD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3F5AD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3F5AD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3F5AD1">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3F5AD1">
        <w:trPr>
          <w:trHeight w:val="285"/>
        </w:trPr>
        <w:tc>
          <w:tcPr>
            <w:tcW w:w="2268" w:type="dxa"/>
            <w:vMerge w:val="restart"/>
            <w:noWrap/>
            <w:vAlign w:val="center"/>
          </w:tcPr>
          <w:p w:rsidR="00224B72" w:rsidRPr="00D564C7" w:rsidRDefault="00224B72" w:rsidP="003F5AD1">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3F5AD1">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224B72" w:rsidRPr="006E3F38" w:rsidRDefault="00224B72" w:rsidP="003F5AD1">
            <w:pPr>
              <w:widowControl/>
              <w:spacing w:before="29" w:line="288" w:lineRule="auto"/>
              <w:jc w:val="right"/>
              <w:rPr>
                <w:color w:val="000000"/>
                <w:kern w:val="0"/>
                <w:sz w:val="24"/>
              </w:rPr>
            </w:pPr>
            <w:r w:rsidRPr="006E3F38">
              <w:rPr>
                <w:color w:val="000000"/>
                <w:kern w:val="0"/>
                <w:sz w:val="24"/>
              </w:rPr>
              <w:t>7.13</w:t>
            </w:r>
          </w:p>
        </w:tc>
        <w:tc>
          <w:tcPr>
            <w:tcW w:w="1910" w:type="dxa"/>
            <w:noWrap/>
            <w:vAlign w:val="center"/>
          </w:tcPr>
          <w:p w:rsidR="00224B72" w:rsidRPr="006E3F38" w:rsidRDefault="00224B72" w:rsidP="003F5AD1">
            <w:pPr>
              <w:widowControl/>
              <w:spacing w:before="29" w:line="288" w:lineRule="auto"/>
              <w:jc w:val="right"/>
              <w:rPr>
                <w:color w:val="000000"/>
                <w:kern w:val="0"/>
                <w:sz w:val="24"/>
              </w:rPr>
            </w:pPr>
            <w:r w:rsidRPr="006E3F38">
              <w:rPr>
                <w:color w:val="000000"/>
                <w:kern w:val="0"/>
                <w:sz w:val="24"/>
              </w:rPr>
              <w:t>0.00%</w:t>
            </w:r>
          </w:p>
        </w:tc>
      </w:tr>
      <w:tr w:rsidR="00224B72" w:rsidRPr="00D564C7" w:rsidTr="003F5AD1">
        <w:trPr>
          <w:trHeight w:val="285"/>
        </w:trPr>
        <w:tc>
          <w:tcPr>
            <w:tcW w:w="2268" w:type="dxa"/>
            <w:vMerge/>
            <w:vAlign w:val="center"/>
          </w:tcPr>
          <w:p w:rsidR="00224B72" w:rsidRPr="00D564C7" w:rsidRDefault="00224B72" w:rsidP="003F5AD1">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3F5AD1">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224B72" w:rsidRPr="006E3F38" w:rsidRDefault="00224B72" w:rsidP="003F5AD1">
            <w:pPr>
              <w:widowControl/>
              <w:spacing w:before="29" w:line="288" w:lineRule="auto"/>
              <w:jc w:val="right"/>
              <w:rPr>
                <w:color w:val="000000"/>
                <w:kern w:val="0"/>
                <w:sz w:val="24"/>
              </w:rPr>
            </w:pPr>
            <w:r w:rsidRPr="006E3F38">
              <w:rPr>
                <w:color w:val="000000"/>
                <w:kern w:val="0"/>
                <w:sz w:val="24"/>
              </w:rPr>
              <w:t>399.09</w:t>
            </w:r>
          </w:p>
        </w:tc>
        <w:tc>
          <w:tcPr>
            <w:tcW w:w="1910" w:type="dxa"/>
            <w:noWrap/>
            <w:vAlign w:val="center"/>
          </w:tcPr>
          <w:p w:rsidR="00224B72" w:rsidRPr="006E3F38" w:rsidRDefault="00224B72" w:rsidP="003F5AD1">
            <w:pPr>
              <w:widowControl/>
              <w:spacing w:before="29" w:line="288" w:lineRule="auto"/>
              <w:jc w:val="right"/>
              <w:rPr>
                <w:color w:val="000000"/>
                <w:kern w:val="0"/>
                <w:sz w:val="24"/>
              </w:rPr>
            </w:pPr>
            <w:r w:rsidRPr="006E3F38">
              <w:rPr>
                <w:color w:val="000000"/>
                <w:kern w:val="0"/>
                <w:sz w:val="24"/>
              </w:rPr>
              <w:t>0.01%</w:t>
            </w:r>
          </w:p>
        </w:tc>
      </w:tr>
      <w:tr w:rsidR="00224B72" w:rsidRPr="00D564C7" w:rsidTr="003F5AD1">
        <w:trPr>
          <w:trHeight w:val="285"/>
        </w:trPr>
        <w:tc>
          <w:tcPr>
            <w:tcW w:w="2268" w:type="dxa"/>
            <w:vMerge/>
            <w:vAlign w:val="center"/>
          </w:tcPr>
          <w:p w:rsidR="00224B72" w:rsidRPr="00D564C7" w:rsidRDefault="00224B72" w:rsidP="003F5AD1">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3F5AD1">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3F5AD1">
            <w:pPr>
              <w:spacing w:before="29" w:line="288" w:lineRule="auto"/>
              <w:jc w:val="right"/>
              <w:rPr>
                <w:color w:val="000000"/>
                <w:kern w:val="0"/>
                <w:sz w:val="24"/>
              </w:rPr>
            </w:pPr>
            <w:r w:rsidRPr="006E3F38">
              <w:rPr>
                <w:color w:val="000000"/>
                <w:kern w:val="0"/>
                <w:sz w:val="24"/>
              </w:rPr>
              <w:t>406.22</w:t>
            </w:r>
          </w:p>
        </w:tc>
        <w:tc>
          <w:tcPr>
            <w:tcW w:w="1910" w:type="dxa"/>
            <w:noWrap/>
            <w:vAlign w:val="center"/>
          </w:tcPr>
          <w:p w:rsidR="00224B72" w:rsidRPr="006E3F38" w:rsidRDefault="00224B72" w:rsidP="003F5AD1">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w:t>
            </w:r>
            <w:r w:rsidRPr="0028548E">
              <w:rPr>
                <w:rFonts w:hint="eastAsia"/>
                <w:color w:val="000000"/>
                <w:sz w:val="24"/>
              </w:rPr>
              <w:lastRenderedPageBreak/>
              <w:t>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lastRenderedPageBreak/>
              <w:t>交银定期支付月月</w:t>
            </w:r>
            <w:r w:rsidRPr="007D35F8">
              <w:rPr>
                <w:rFonts w:hint="eastAsia"/>
                <w:color w:val="000000"/>
                <w:kern w:val="0"/>
                <w:sz w:val="24"/>
              </w:rPr>
              <w:lastRenderedPageBreak/>
              <w:t>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lastRenderedPageBreak/>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8</w:t>
            </w:r>
            <w:r w:rsidRPr="009440E4">
              <w:rPr>
                <w:sz w:val="24"/>
              </w:rPr>
              <w:t>月</w:t>
            </w:r>
            <w:r w:rsidRPr="009440E4">
              <w:rPr>
                <w:sz w:val="24"/>
              </w:rPr>
              <w:t>13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214,214,667.51</w:t>
            </w:r>
          </w:p>
        </w:tc>
        <w:tc>
          <w:tcPr>
            <w:tcW w:w="1615" w:type="pct"/>
            <w:vAlign w:val="center"/>
          </w:tcPr>
          <w:p w:rsidR="00703495" w:rsidRPr="009440E4" w:rsidRDefault="00703495" w:rsidP="009440E4">
            <w:pPr>
              <w:spacing w:before="29" w:line="288" w:lineRule="auto"/>
              <w:jc w:val="center"/>
              <w:rPr>
                <w:sz w:val="24"/>
              </w:rPr>
            </w:pPr>
            <w:r w:rsidRPr="009440E4">
              <w:rPr>
                <w:sz w:val="24"/>
              </w:rPr>
              <w:t>130,125,578.03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99,523,285.52</w:t>
            </w:r>
          </w:p>
        </w:tc>
        <w:tc>
          <w:tcPr>
            <w:tcW w:w="1615" w:type="pct"/>
            <w:vAlign w:val="bottom"/>
          </w:tcPr>
          <w:p w:rsidR="00703495" w:rsidRPr="009440E4" w:rsidRDefault="00703495" w:rsidP="009440E4">
            <w:pPr>
              <w:spacing w:before="29" w:line="288" w:lineRule="auto"/>
              <w:jc w:val="center"/>
              <w:rPr>
                <w:sz w:val="24"/>
              </w:rPr>
            </w:pPr>
            <w:r w:rsidRPr="009440E4">
              <w:rPr>
                <w:sz w:val="24"/>
              </w:rPr>
              <w:t>8,043,402.69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11,213,655.23</w:t>
            </w:r>
          </w:p>
        </w:tc>
        <w:tc>
          <w:tcPr>
            <w:tcW w:w="1615" w:type="pct"/>
            <w:vAlign w:val="bottom"/>
          </w:tcPr>
          <w:p w:rsidR="00703495" w:rsidRPr="009440E4" w:rsidRDefault="00703495" w:rsidP="009440E4">
            <w:pPr>
              <w:spacing w:before="29" w:line="288" w:lineRule="auto"/>
              <w:jc w:val="center"/>
              <w:rPr>
                <w:sz w:val="24"/>
              </w:rPr>
            </w:pPr>
            <w:r w:rsidRPr="009440E4">
              <w:rPr>
                <w:sz w:val="24"/>
              </w:rPr>
              <w:t>8,571,677.32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59,314,414.72</w:t>
            </w:r>
          </w:p>
        </w:tc>
        <w:tc>
          <w:tcPr>
            <w:tcW w:w="1615" w:type="pct"/>
            <w:vAlign w:val="bottom"/>
          </w:tcPr>
          <w:p w:rsidR="00703495" w:rsidRPr="009440E4" w:rsidRDefault="00703495" w:rsidP="009440E4">
            <w:pPr>
              <w:spacing w:before="29" w:line="288" w:lineRule="auto"/>
              <w:jc w:val="center"/>
              <w:rPr>
                <w:sz w:val="24"/>
              </w:rPr>
            </w:pPr>
            <w:r w:rsidRPr="009440E4">
              <w:rPr>
                <w:sz w:val="24"/>
              </w:rPr>
              <w:t>13,868,453.21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51,422,526.03</w:t>
            </w:r>
          </w:p>
        </w:tc>
        <w:tc>
          <w:tcPr>
            <w:tcW w:w="1615" w:type="pct"/>
            <w:vAlign w:val="center"/>
          </w:tcPr>
          <w:p w:rsidR="00703495" w:rsidRPr="009440E4" w:rsidRDefault="00703495" w:rsidP="009440E4">
            <w:pPr>
              <w:spacing w:before="29" w:line="288" w:lineRule="auto"/>
              <w:jc w:val="center"/>
              <w:rPr>
                <w:sz w:val="24"/>
              </w:rPr>
            </w:pPr>
            <w:r w:rsidRPr="009440E4">
              <w:rPr>
                <w:sz w:val="24"/>
              </w:rPr>
              <w:t>2,746,626.80</w:t>
            </w:r>
          </w:p>
        </w:tc>
      </w:tr>
    </w:tbl>
    <w:p w:rsidR="000D33D2" w:rsidRDefault="00FB4F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0D33D2" w:rsidRDefault="00FB4FA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w:t>
      </w:r>
      <w:r>
        <w:rPr>
          <w:color w:val="000000"/>
          <w:sz w:val="24"/>
        </w:rPr>
        <w:lastRenderedPageBreak/>
        <w:t>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w:t>
      </w:r>
      <w:r w:rsidRPr="00FF415B">
        <w:rPr>
          <w:color w:val="000000"/>
          <w:sz w:val="24"/>
        </w:rPr>
        <w:t>2017</w:t>
      </w:r>
      <w:r w:rsidRPr="00FF415B">
        <w:rPr>
          <w:color w:val="000000"/>
          <w:sz w:val="24"/>
        </w:rPr>
        <w:t>年</w:t>
      </w:r>
      <w:r w:rsidRPr="00FF415B">
        <w:rPr>
          <w:color w:val="000000"/>
          <w:sz w:val="24"/>
        </w:rPr>
        <w:t>9</w:t>
      </w:r>
      <w:r w:rsidRPr="00FF415B">
        <w:rPr>
          <w:color w:val="000000"/>
          <w:sz w:val="24"/>
        </w:rPr>
        <w:t>月</w:t>
      </w:r>
      <w:r w:rsidRPr="00FF415B">
        <w:rPr>
          <w:color w:val="000000"/>
          <w:sz w:val="24"/>
        </w:rPr>
        <w:t>1</w:t>
      </w:r>
      <w:r w:rsidRPr="00FF415B">
        <w:rPr>
          <w:color w:val="000000"/>
          <w:sz w:val="24"/>
        </w:rPr>
        <w:t>日，中国建设银行发布公告，聘任纪伟为中国建设银行资产托管业务部总经理。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50,000.00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0D33D2" w:rsidRDefault="00FB4FA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D33D2" w:rsidRDefault="00FB4FA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D33D2" w:rsidRDefault="00FB4FA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D33D2">
        <w:tc>
          <w:tcPr>
            <w:tcW w:w="1559" w:type="dxa"/>
            <w:vAlign w:val="center"/>
          </w:tcPr>
          <w:p w:rsidR="000D33D2" w:rsidRDefault="00FB4FA1">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0D33D2" w:rsidRDefault="00FB4FA1">
            <w:pPr>
              <w:jc w:val="right"/>
            </w:pPr>
            <w:r>
              <w:rPr>
                <w:color w:val="000000"/>
                <w:szCs w:val="21"/>
              </w:rPr>
              <w:t>2</w:t>
            </w:r>
          </w:p>
        </w:tc>
        <w:tc>
          <w:tcPr>
            <w:tcW w:w="1800" w:type="dxa"/>
            <w:vAlign w:val="center"/>
          </w:tcPr>
          <w:p w:rsidR="000D33D2" w:rsidRDefault="00FB4FA1">
            <w:pPr>
              <w:jc w:val="right"/>
            </w:pPr>
            <w:r>
              <w:rPr>
                <w:color w:val="000000"/>
                <w:szCs w:val="21"/>
              </w:rPr>
              <w:t>321,271,196.13</w:t>
            </w:r>
          </w:p>
        </w:tc>
        <w:tc>
          <w:tcPr>
            <w:tcW w:w="1080" w:type="dxa"/>
            <w:vAlign w:val="center"/>
          </w:tcPr>
          <w:p w:rsidR="000D33D2" w:rsidRDefault="00FB4FA1">
            <w:pPr>
              <w:jc w:val="right"/>
            </w:pPr>
            <w:r>
              <w:rPr>
                <w:color w:val="000000"/>
                <w:szCs w:val="21"/>
              </w:rPr>
              <w:t>50.64%</w:t>
            </w:r>
          </w:p>
        </w:tc>
        <w:tc>
          <w:tcPr>
            <w:tcW w:w="1620" w:type="dxa"/>
            <w:vAlign w:val="center"/>
          </w:tcPr>
          <w:p w:rsidR="000D33D2" w:rsidRDefault="00FB4FA1">
            <w:pPr>
              <w:jc w:val="right"/>
            </w:pPr>
            <w:r>
              <w:rPr>
                <w:color w:val="000000"/>
                <w:szCs w:val="21"/>
              </w:rPr>
              <w:t>299,199.50</w:t>
            </w:r>
          </w:p>
        </w:tc>
        <w:tc>
          <w:tcPr>
            <w:tcW w:w="1080" w:type="dxa"/>
            <w:vAlign w:val="center"/>
          </w:tcPr>
          <w:p w:rsidR="000D33D2" w:rsidRDefault="00FB4FA1">
            <w:pPr>
              <w:jc w:val="right"/>
            </w:pPr>
            <w:r>
              <w:rPr>
                <w:color w:val="000000"/>
                <w:szCs w:val="21"/>
              </w:rPr>
              <w:t>50.64%</w:t>
            </w:r>
          </w:p>
        </w:tc>
        <w:tc>
          <w:tcPr>
            <w:tcW w:w="1080" w:type="dxa"/>
            <w:vAlign w:val="center"/>
          </w:tcPr>
          <w:p w:rsidR="000D33D2" w:rsidRDefault="00FB4FA1">
            <w:pPr>
              <w:jc w:val="left"/>
            </w:pPr>
            <w:r>
              <w:rPr>
                <w:color w:val="000000"/>
                <w:szCs w:val="21"/>
              </w:rPr>
              <w:t>-</w:t>
            </w:r>
          </w:p>
        </w:tc>
      </w:tr>
      <w:tr w:rsidR="000D33D2">
        <w:tc>
          <w:tcPr>
            <w:tcW w:w="1559" w:type="dxa"/>
            <w:vAlign w:val="center"/>
          </w:tcPr>
          <w:p w:rsidR="000D33D2" w:rsidRDefault="00FB4FA1">
            <w:pPr>
              <w:jc w:val="left"/>
            </w:pPr>
            <w:proofErr w:type="gramStart"/>
            <w:r>
              <w:rPr>
                <w:color w:val="000000"/>
                <w:szCs w:val="21"/>
              </w:rPr>
              <w:t>申万宏源证券</w:t>
            </w:r>
            <w:proofErr w:type="gramEnd"/>
            <w:r>
              <w:rPr>
                <w:color w:val="000000"/>
                <w:szCs w:val="21"/>
              </w:rPr>
              <w:t>有限公司</w:t>
            </w:r>
          </w:p>
        </w:tc>
        <w:tc>
          <w:tcPr>
            <w:tcW w:w="779" w:type="dxa"/>
            <w:vAlign w:val="center"/>
          </w:tcPr>
          <w:p w:rsidR="000D33D2" w:rsidRDefault="00FB4FA1">
            <w:pPr>
              <w:jc w:val="right"/>
            </w:pPr>
            <w:r>
              <w:rPr>
                <w:color w:val="000000"/>
                <w:szCs w:val="21"/>
              </w:rPr>
              <w:t>1</w:t>
            </w:r>
          </w:p>
        </w:tc>
        <w:tc>
          <w:tcPr>
            <w:tcW w:w="1800" w:type="dxa"/>
            <w:vAlign w:val="center"/>
          </w:tcPr>
          <w:p w:rsidR="000D33D2" w:rsidRDefault="00FB4FA1">
            <w:pPr>
              <w:jc w:val="right"/>
            </w:pPr>
            <w:r>
              <w:rPr>
                <w:color w:val="000000"/>
                <w:szCs w:val="21"/>
              </w:rPr>
              <w:t>313,092,037.27</w:t>
            </w:r>
          </w:p>
        </w:tc>
        <w:tc>
          <w:tcPr>
            <w:tcW w:w="1080" w:type="dxa"/>
            <w:vAlign w:val="center"/>
          </w:tcPr>
          <w:p w:rsidR="000D33D2" w:rsidRDefault="00FB4FA1">
            <w:pPr>
              <w:jc w:val="right"/>
            </w:pPr>
            <w:r>
              <w:rPr>
                <w:color w:val="000000"/>
                <w:szCs w:val="21"/>
              </w:rPr>
              <w:t>49.36%</w:t>
            </w:r>
          </w:p>
        </w:tc>
        <w:tc>
          <w:tcPr>
            <w:tcW w:w="1620" w:type="dxa"/>
            <w:vAlign w:val="center"/>
          </w:tcPr>
          <w:p w:rsidR="000D33D2" w:rsidRDefault="00FB4FA1">
            <w:pPr>
              <w:jc w:val="right"/>
            </w:pPr>
            <w:r>
              <w:rPr>
                <w:color w:val="000000"/>
                <w:szCs w:val="21"/>
              </w:rPr>
              <w:t>291,583.42</w:t>
            </w:r>
          </w:p>
        </w:tc>
        <w:tc>
          <w:tcPr>
            <w:tcW w:w="1080" w:type="dxa"/>
            <w:vAlign w:val="center"/>
          </w:tcPr>
          <w:p w:rsidR="000D33D2" w:rsidRDefault="00FB4FA1">
            <w:pPr>
              <w:jc w:val="right"/>
            </w:pPr>
            <w:r>
              <w:rPr>
                <w:color w:val="000000"/>
                <w:szCs w:val="21"/>
              </w:rPr>
              <w:t>49.36%</w:t>
            </w:r>
          </w:p>
        </w:tc>
        <w:tc>
          <w:tcPr>
            <w:tcW w:w="1080" w:type="dxa"/>
            <w:vAlign w:val="center"/>
          </w:tcPr>
          <w:p w:rsidR="000D33D2" w:rsidRDefault="00FB4FA1">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0D33D2">
        <w:tc>
          <w:tcPr>
            <w:tcW w:w="1559" w:type="dxa"/>
            <w:vAlign w:val="center"/>
          </w:tcPr>
          <w:p w:rsidR="000D33D2" w:rsidRDefault="00FB4FA1">
            <w:pPr>
              <w:jc w:val="left"/>
            </w:pPr>
            <w:r>
              <w:rPr>
                <w:szCs w:val="21"/>
              </w:rPr>
              <w:t>中</w:t>
            </w:r>
            <w:proofErr w:type="gramStart"/>
            <w:r>
              <w:rPr>
                <w:szCs w:val="21"/>
              </w:rPr>
              <w:t>信建投证券</w:t>
            </w:r>
            <w:proofErr w:type="gramEnd"/>
            <w:r>
              <w:rPr>
                <w:szCs w:val="21"/>
              </w:rPr>
              <w:t>股份有限公司</w:t>
            </w:r>
          </w:p>
        </w:tc>
        <w:tc>
          <w:tcPr>
            <w:tcW w:w="1319" w:type="dxa"/>
            <w:vAlign w:val="center"/>
          </w:tcPr>
          <w:p w:rsidR="000D33D2" w:rsidRDefault="00FB4FA1">
            <w:pPr>
              <w:jc w:val="right"/>
            </w:pPr>
            <w:r>
              <w:rPr>
                <w:szCs w:val="21"/>
              </w:rPr>
              <w:t>116,174,382.63</w:t>
            </w:r>
          </w:p>
        </w:tc>
        <w:tc>
          <w:tcPr>
            <w:tcW w:w="1080" w:type="dxa"/>
            <w:vAlign w:val="center"/>
          </w:tcPr>
          <w:p w:rsidR="000D33D2" w:rsidRDefault="00FB4FA1">
            <w:pPr>
              <w:jc w:val="right"/>
            </w:pPr>
            <w:r>
              <w:rPr>
                <w:szCs w:val="21"/>
              </w:rPr>
              <w:t>45.46%</w:t>
            </w:r>
          </w:p>
        </w:tc>
        <w:tc>
          <w:tcPr>
            <w:tcW w:w="1080" w:type="dxa"/>
            <w:vAlign w:val="center"/>
          </w:tcPr>
          <w:p w:rsidR="000D33D2" w:rsidRDefault="00FB4FA1">
            <w:pPr>
              <w:jc w:val="right"/>
            </w:pPr>
            <w:r>
              <w:rPr>
                <w:szCs w:val="21"/>
              </w:rPr>
              <w:t>46,769,000.00</w:t>
            </w:r>
          </w:p>
        </w:tc>
        <w:tc>
          <w:tcPr>
            <w:tcW w:w="1260" w:type="dxa"/>
            <w:vAlign w:val="center"/>
          </w:tcPr>
          <w:p w:rsidR="000D33D2" w:rsidRDefault="00FB4FA1">
            <w:pPr>
              <w:jc w:val="right"/>
            </w:pPr>
            <w:r>
              <w:rPr>
                <w:szCs w:val="21"/>
              </w:rPr>
              <w:t>12.33%</w:t>
            </w:r>
          </w:p>
        </w:tc>
        <w:tc>
          <w:tcPr>
            <w:tcW w:w="1260" w:type="dxa"/>
            <w:vAlign w:val="center"/>
          </w:tcPr>
          <w:p w:rsidR="000D33D2" w:rsidRDefault="00FB4FA1">
            <w:pPr>
              <w:jc w:val="right"/>
            </w:pPr>
            <w:r>
              <w:rPr>
                <w:szCs w:val="21"/>
              </w:rPr>
              <w:t>-</w:t>
            </w:r>
          </w:p>
        </w:tc>
        <w:tc>
          <w:tcPr>
            <w:tcW w:w="1440" w:type="dxa"/>
            <w:vAlign w:val="center"/>
          </w:tcPr>
          <w:p w:rsidR="000D33D2" w:rsidRDefault="00FB4FA1">
            <w:pPr>
              <w:jc w:val="right"/>
            </w:pPr>
            <w:r>
              <w:rPr>
                <w:szCs w:val="21"/>
              </w:rPr>
              <w:t>-</w:t>
            </w:r>
          </w:p>
        </w:tc>
      </w:tr>
      <w:tr w:rsidR="000D33D2">
        <w:tc>
          <w:tcPr>
            <w:tcW w:w="1559" w:type="dxa"/>
            <w:vAlign w:val="center"/>
          </w:tcPr>
          <w:p w:rsidR="000D33D2" w:rsidRDefault="00FB4FA1">
            <w:pPr>
              <w:jc w:val="left"/>
            </w:pPr>
            <w:proofErr w:type="gramStart"/>
            <w:r>
              <w:rPr>
                <w:szCs w:val="21"/>
              </w:rPr>
              <w:t>申万宏源证券</w:t>
            </w:r>
            <w:proofErr w:type="gramEnd"/>
            <w:r>
              <w:rPr>
                <w:szCs w:val="21"/>
              </w:rPr>
              <w:t>有限公司</w:t>
            </w:r>
          </w:p>
        </w:tc>
        <w:tc>
          <w:tcPr>
            <w:tcW w:w="1319" w:type="dxa"/>
            <w:vAlign w:val="center"/>
          </w:tcPr>
          <w:p w:rsidR="000D33D2" w:rsidRDefault="00FB4FA1">
            <w:pPr>
              <w:jc w:val="right"/>
            </w:pPr>
            <w:r>
              <w:rPr>
                <w:szCs w:val="21"/>
              </w:rPr>
              <w:t>139,402,477.94</w:t>
            </w:r>
          </w:p>
        </w:tc>
        <w:tc>
          <w:tcPr>
            <w:tcW w:w="1080" w:type="dxa"/>
            <w:vAlign w:val="center"/>
          </w:tcPr>
          <w:p w:rsidR="000D33D2" w:rsidRDefault="00FB4FA1">
            <w:pPr>
              <w:jc w:val="right"/>
            </w:pPr>
            <w:r>
              <w:rPr>
                <w:szCs w:val="21"/>
              </w:rPr>
              <w:t>54.54%</w:t>
            </w:r>
          </w:p>
        </w:tc>
        <w:tc>
          <w:tcPr>
            <w:tcW w:w="1080" w:type="dxa"/>
            <w:vAlign w:val="center"/>
          </w:tcPr>
          <w:p w:rsidR="000D33D2" w:rsidRDefault="00FB4FA1">
            <w:pPr>
              <w:jc w:val="right"/>
            </w:pPr>
            <w:r>
              <w:rPr>
                <w:szCs w:val="21"/>
              </w:rPr>
              <w:t>332,500,000.00</w:t>
            </w:r>
          </w:p>
        </w:tc>
        <w:tc>
          <w:tcPr>
            <w:tcW w:w="1260" w:type="dxa"/>
            <w:vAlign w:val="center"/>
          </w:tcPr>
          <w:p w:rsidR="000D33D2" w:rsidRDefault="00FB4FA1">
            <w:pPr>
              <w:jc w:val="right"/>
            </w:pPr>
            <w:r>
              <w:rPr>
                <w:szCs w:val="21"/>
              </w:rPr>
              <w:t>87.67%</w:t>
            </w:r>
          </w:p>
        </w:tc>
        <w:tc>
          <w:tcPr>
            <w:tcW w:w="1260" w:type="dxa"/>
            <w:vAlign w:val="center"/>
          </w:tcPr>
          <w:p w:rsidR="000D33D2" w:rsidRDefault="00FB4FA1">
            <w:pPr>
              <w:jc w:val="right"/>
            </w:pPr>
            <w:r>
              <w:rPr>
                <w:szCs w:val="21"/>
              </w:rPr>
              <w:t>-</w:t>
            </w:r>
          </w:p>
        </w:tc>
        <w:tc>
          <w:tcPr>
            <w:tcW w:w="1440" w:type="dxa"/>
            <w:vAlign w:val="center"/>
          </w:tcPr>
          <w:p w:rsidR="000D33D2" w:rsidRDefault="00FB4FA1">
            <w:pPr>
              <w:jc w:val="right"/>
            </w:pPr>
            <w:r>
              <w:rPr>
                <w:szCs w:val="21"/>
              </w:rPr>
              <w:t>-</w:t>
            </w:r>
          </w:p>
        </w:tc>
      </w:tr>
    </w:tbl>
    <w:p w:rsidR="000D33D2" w:rsidRDefault="00FB4FA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D33D2" w:rsidRDefault="00FB4FA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9E557F" w:rsidRDefault="00A25C9D" w:rsidP="00A25C9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9E557F">
        <w:rPr>
          <w:rFonts w:eastAsiaTheme="minorEastAsia"/>
          <w:b/>
          <w:bCs/>
          <w:szCs w:val="24"/>
          <w:lang w:val="en-US"/>
        </w:rPr>
        <w:t xml:space="preserve">12  </w:t>
      </w:r>
      <w:r w:rsidRPr="009E557F">
        <w:rPr>
          <w:rFonts w:eastAsiaTheme="minorEastAsia"/>
          <w:b/>
          <w:bCs/>
          <w:szCs w:val="24"/>
          <w:lang w:val="en-US"/>
        </w:rPr>
        <w:t>影响投资者决策的其他重要信息</w:t>
      </w:r>
      <w:bookmarkEnd w:id="96"/>
    </w:p>
    <w:p w:rsidR="00A25C9D" w:rsidRPr="009E557F" w:rsidRDefault="00A25C9D" w:rsidP="00A25C9D">
      <w:pPr>
        <w:autoSpaceDE w:val="0"/>
        <w:autoSpaceDN w:val="0"/>
        <w:adjustRightInd w:val="0"/>
        <w:spacing w:line="360" w:lineRule="auto"/>
        <w:jc w:val="left"/>
        <w:rPr>
          <w:rFonts w:ascii="宋体" w:hAnsi="宋体"/>
          <w:b/>
          <w:bCs/>
          <w:color w:val="000000"/>
          <w:kern w:val="0"/>
          <w:sz w:val="24"/>
        </w:rPr>
      </w:pPr>
      <w:r w:rsidRPr="009E557F">
        <w:rPr>
          <w:rFonts w:ascii="宋体" w:hAnsi="宋体"/>
          <w:b/>
          <w:bCs/>
          <w:color w:val="000000"/>
          <w:kern w:val="0"/>
          <w:sz w:val="24"/>
        </w:rPr>
        <w:t>12.</w:t>
      </w:r>
      <w:r w:rsidRPr="009E557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3F5AD1">
        <w:tc>
          <w:tcPr>
            <w:tcW w:w="993" w:type="dxa"/>
            <w:vMerge w:val="restart"/>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3F5AD1">
        <w:tc>
          <w:tcPr>
            <w:tcW w:w="993" w:type="dxa"/>
            <w:vMerge/>
            <w:vAlign w:val="center"/>
          </w:tcPr>
          <w:p w:rsidR="00A25C9D" w:rsidRPr="004F0662" w:rsidRDefault="00A25C9D" w:rsidP="003F5AD1">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3F5AD1">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3F5AD1">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3F5AD1">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3F5AD1">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D33D2">
        <w:tc>
          <w:tcPr>
            <w:tcW w:w="993" w:type="dxa"/>
            <w:vMerge w:val="restart"/>
          </w:tcPr>
          <w:p w:rsidR="000D33D2" w:rsidRDefault="000D33D2"/>
          <w:p w:rsidR="000D33D2" w:rsidRDefault="00FB4FA1">
            <w:r>
              <w:rPr>
                <w:rFonts w:ascii="宋体" w:hAnsi="宋体" w:hint="eastAsia"/>
                <w:bCs/>
                <w:color w:val="000000"/>
                <w:kern w:val="0"/>
                <w:szCs w:val="21"/>
              </w:rPr>
              <w:t>机构</w:t>
            </w:r>
          </w:p>
        </w:tc>
        <w:tc>
          <w:tcPr>
            <w:tcW w:w="992" w:type="dxa"/>
            <w:vAlign w:val="center"/>
          </w:tcPr>
          <w:p w:rsidR="000D33D2" w:rsidRDefault="00FB4FA1">
            <w:pPr>
              <w:jc w:val="center"/>
            </w:pPr>
            <w:r>
              <w:rPr>
                <w:rFonts w:ascii="宋体" w:hAnsi="宋体"/>
                <w:color w:val="000000"/>
                <w:kern w:val="0"/>
                <w:szCs w:val="21"/>
              </w:rPr>
              <w:t>1</w:t>
            </w:r>
          </w:p>
        </w:tc>
        <w:tc>
          <w:tcPr>
            <w:tcW w:w="1843" w:type="dxa"/>
            <w:vAlign w:val="center"/>
          </w:tcPr>
          <w:p w:rsidR="000D33D2" w:rsidRDefault="00FB4FA1">
            <w:pPr>
              <w:jc w:val="center"/>
            </w:pPr>
            <w:r>
              <w:rPr>
                <w:rFonts w:ascii="宋体" w:hAnsi="宋体"/>
                <w:color w:val="000000"/>
                <w:kern w:val="0"/>
                <w:szCs w:val="21"/>
              </w:rPr>
              <w:t>2017/1/1-2017/12/31</w:t>
            </w:r>
          </w:p>
        </w:tc>
        <w:tc>
          <w:tcPr>
            <w:tcW w:w="851" w:type="dxa"/>
            <w:vAlign w:val="center"/>
          </w:tcPr>
          <w:p w:rsidR="000D33D2" w:rsidRDefault="00FB4FA1">
            <w:pPr>
              <w:jc w:val="center"/>
            </w:pPr>
            <w:r>
              <w:rPr>
                <w:rFonts w:ascii="宋体" w:hAnsi="宋体"/>
                <w:color w:val="000000"/>
                <w:kern w:val="0"/>
                <w:szCs w:val="21"/>
              </w:rPr>
              <w:t>18,691,668.48</w:t>
            </w:r>
          </w:p>
        </w:tc>
        <w:tc>
          <w:tcPr>
            <w:tcW w:w="850" w:type="dxa"/>
            <w:vAlign w:val="center"/>
          </w:tcPr>
          <w:p w:rsidR="000D33D2" w:rsidRDefault="00FB4FA1">
            <w:pPr>
              <w:jc w:val="center"/>
            </w:pPr>
            <w:r>
              <w:rPr>
                <w:rFonts w:ascii="宋体" w:hAnsi="宋体"/>
                <w:color w:val="000000"/>
                <w:kern w:val="0"/>
                <w:szCs w:val="21"/>
              </w:rPr>
              <w:t>-</w:t>
            </w:r>
          </w:p>
        </w:tc>
        <w:tc>
          <w:tcPr>
            <w:tcW w:w="1134" w:type="dxa"/>
            <w:vAlign w:val="center"/>
          </w:tcPr>
          <w:p w:rsidR="000D33D2" w:rsidRDefault="00FB4FA1">
            <w:pPr>
              <w:jc w:val="center"/>
            </w:pPr>
            <w:r>
              <w:rPr>
                <w:rFonts w:ascii="宋体" w:hAnsi="宋体"/>
                <w:color w:val="000000"/>
                <w:kern w:val="0"/>
                <w:szCs w:val="21"/>
              </w:rPr>
              <w:t>734,129.88</w:t>
            </w:r>
          </w:p>
        </w:tc>
        <w:tc>
          <w:tcPr>
            <w:tcW w:w="1419" w:type="dxa"/>
            <w:vAlign w:val="center"/>
          </w:tcPr>
          <w:p w:rsidR="000D33D2" w:rsidRDefault="00FB4FA1">
            <w:pPr>
              <w:jc w:val="center"/>
            </w:pPr>
            <w:r>
              <w:rPr>
                <w:rFonts w:ascii="宋体" w:hAnsi="宋体"/>
                <w:color w:val="000000"/>
                <w:kern w:val="0"/>
                <w:szCs w:val="21"/>
              </w:rPr>
              <w:t>17,957,538.60</w:t>
            </w:r>
          </w:p>
        </w:tc>
        <w:tc>
          <w:tcPr>
            <w:tcW w:w="1130" w:type="dxa"/>
            <w:vAlign w:val="center"/>
          </w:tcPr>
          <w:p w:rsidR="000D33D2" w:rsidRDefault="00FB4FA1">
            <w:pPr>
              <w:jc w:val="center"/>
            </w:pPr>
            <w:r>
              <w:rPr>
                <w:rFonts w:ascii="宋体" w:hAnsi="宋体"/>
                <w:color w:val="000000"/>
                <w:kern w:val="0"/>
                <w:szCs w:val="21"/>
              </w:rPr>
              <w:t>33.15%</w:t>
            </w:r>
          </w:p>
        </w:tc>
      </w:tr>
      <w:tr w:rsidR="00A25C9D" w:rsidRPr="004F0662" w:rsidTr="003F5AD1">
        <w:tc>
          <w:tcPr>
            <w:tcW w:w="9212" w:type="dxa"/>
            <w:gridSpan w:val="8"/>
            <w:vAlign w:val="center"/>
          </w:tcPr>
          <w:p w:rsidR="00A25C9D" w:rsidRPr="004F0662" w:rsidRDefault="00A25C9D" w:rsidP="003F5AD1">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3F5AD1">
        <w:tc>
          <w:tcPr>
            <w:tcW w:w="9212" w:type="dxa"/>
            <w:gridSpan w:val="8"/>
            <w:vAlign w:val="center"/>
          </w:tcPr>
          <w:p w:rsidR="00A25C9D" w:rsidRPr="004F0662" w:rsidRDefault="00A25C9D" w:rsidP="003F5AD1">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E557F" w:rsidRDefault="009E557F" w:rsidP="001C1143">
      <w:pPr>
        <w:spacing w:before="29" w:line="288" w:lineRule="auto"/>
        <w:ind w:firstLineChars="200" w:firstLine="482"/>
        <w:jc w:val="right"/>
        <w:rPr>
          <w:b/>
          <w:color w:val="000000"/>
          <w:sz w:val="24"/>
        </w:rPr>
      </w:pPr>
    </w:p>
    <w:p w:rsidR="009E557F" w:rsidRDefault="009E557F"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bookmarkStart w:id="97" w:name="_GoBack"/>
      <w:bookmarkEnd w:id="97"/>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BA4" w:rsidRDefault="00B85BA4">
      <w:r>
        <w:separator/>
      </w:r>
    </w:p>
  </w:endnote>
  <w:endnote w:type="continuationSeparator" w:id="0">
    <w:p w:rsidR="00B85BA4" w:rsidRDefault="00B8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D1" w:rsidRDefault="003F5AD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F5AD1" w:rsidRDefault="003F5AD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D1" w:rsidRDefault="003F5AD1"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E557F">
      <w:rPr>
        <w:noProof/>
        <w:kern w:val="0"/>
        <w:szCs w:val="21"/>
      </w:rPr>
      <w:t>37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E557F">
      <w:rPr>
        <w:noProof/>
        <w:kern w:val="0"/>
        <w:szCs w:val="21"/>
      </w:rPr>
      <w:t>37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BA4" w:rsidRDefault="00B85BA4">
      <w:r>
        <w:separator/>
      </w:r>
    </w:p>
  </w:footnote>
  <w:footnote w:type="continuationSeparator" w:id="0">
    <w:p w:rsidR="00B85BA4" w:rsidRDefault="00B85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AD1" w:rsidRPr="00C2542B" w:rsidRDefault="003F5AD1"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3D2"/>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5AD1"/>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5DE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557F"/>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BA4"/>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4FA1"/>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C4AB48-E14F-4EB6-9AFC-B0762BD5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897667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37</Pages>
  <Words>4154</Words>
  <Characters>23680</Characters>
  <Application>Microsoft Office Word</Application>
  <DocSecurity>0</DocSecurity>
  <Lines>197</Lines>
  <Paragraphs>55</Paragraphs>
  <ScaleCrop>false</ScaleCrop>
  <Company/>
  <LinksUpToDate>false</LinksUpToDate>
  <CharactersWithSpaces>27779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627</cp:revision>
  <cp:lastPrinted>2007-07-19T00:46:00Z</cp:lastPrinted>
  <dcterms:created xsi:type="dcterms:W3CDTF">2013-08-19T02:39:00Z</dcterms:created>
  <dcterms:modified xsi:type="dcterms:W3CDTF">2018-03-26T12:22:00Z</dcterms:modified>
</cp:coreProperties>
</file>