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交银施罗德上证</w:t>
      </w:r>
      <w:r w:rsidRPr="00922D37">
        <w:rPr>
          <w:b/>
          <w:sz w:val="36"/>
          <w:szCs w:val="36"/>
        </w:rPr>
        <w:t>180</w:t>
      </w:r>
      <w:r w:rsidRPr="00922D37">
        <w:rPr>
          <w:b/>
          <w:sz w:val="36"/>
          <w:szCs w:val="36"/>
        </w:rPr>
        <w:t>公司治理交易型开放式指数证券投资基金联接基金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519686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519687(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364,267,762.18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Year" w:val="1899"/>
          <w:attr w:name="Month" w:val="12"/>
          <w:attr w:name="Day" w:val="30"/>
          <w:attr w:name="IsLunarDate" w:val="False"/>
          <w:attr w:name="IsROCDate" w:val="False"/>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上证</w:t>
            </w:r>
            <w:r w:rsidRPr="001A20CE">
              <w:rPr>
                <w:rFonts w:hint="eastAsia"/>
                <w:sz w:val="24"/>
              </w:rPr>
              <w:t>180</w:t>
            </w:r>
            <w:r w:rsidRPr="001A20CE">
              <w:rPr>
                <w:rFonts w:hint="eastAsia"/>
                <w:sz w:val="24"/>
              </w:rPr>
              <w:t>公司治理交易型开放式指数证券投资基金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510010</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上海证券交易所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2009</w:t>
            </w:r>
            <w:r w:rsidRPr="001A20CE">
              <w:rPr>
                <w:rFonts w:hint="eastAsia"/>
                <w:sz w:val="24"/>
              </w:rPr>
              <w:t>年</w:t>
            </w:r>
            <w:r w:rsidRPr="001A20CE">
              <w:rPr>
                <w:rFonts w:hint="eastAsia"/>
                <w:sz w:val="24"/>
              </w:rPr>
              <w:t>12</w:t>
            </w:r>
            <w:r w:rsidRPr="001A20CE">
              <w:rPr>
                <w:rFonts w:hint="eastAsia"/>
                <w:sz w:val="24"/>
              </w:rPr>
              <w:t>月</w:t>
            </w:r>
            <w:r w:rsidRPr="001A20CE">
              <w:rPr>
                <w:rFonts w:hint="eastAsia"/>
                <w:sz w:val="24"/>
              </w:rPr>
              <w:t>15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9A36E4" w:rsidRPr="001A20CE" w:rsidRDefault="009A36E4" w:rsidP="001A20CE">
      <w:pPr>
        <w:tabs>
          <w:tab w:val="left" w:pos="426"/>
        </w:tabs>
        <w:spacing w:before="29" w:line="288" w:lineRule="auto"/>
        <w:jc w:val="left"/>
        <w:rPr>
          <w:kern w:val="0"/>
          <w:sz w:val="24"/>
        </w:rPr>
      </w:pPr>
      <w:r w:rsidRPr="001A20CE">
        <w:rPr>
          <w:rFonts w:hint="eastAsia"/>
          <w:kern w:val="0"/>
          <w:sz w:val="24"/>
        </w:rPr>
        <w:t>注：本表所列的基金主代码</w:t>
      </w:r>
      <w:r w:rsidRPr="001A20CE">
        <w:rPr>
          <w:rFonts w:hint="eastAsia"/>
          <w:kern w:val="0"/>
          <w:sz w:val="24"/>
        </w:rPr>
        <w:t>510010</w:t>
      </w:r>
      <w:r w:rsidRPr="001A20CE">
        <w:rPr>
          <w:rFonts w:hint="eastAsia"/>
          <w:kern w:val="0"/>
          <w:sz w:val="24"/>
        </w:rPr>
        <w:t>为目标基金的二级市场交易代码，目标基金的一级市场申购赎回代码为</w:t>
      </w:r>
      <w:r w:rsidRPr="001A20CE">
        <w:rPr>
          <w:rFonts w:hint="eastAsia"/>
          <w:kern w:val="0"/>
          <w:sz w:val="24"/>
        </w:rPr>
        <w:t>510011</w:t>
      </w:r>
      <w:r w:rsidRPr="001A20CE">
        <w:rPr>
          <w:rFonts w:hint="eastAsia"/>
          <w:kern w:val="0"/>
          <w:sz w:val="24"/>
        </w:rPr>
        <w:t>。</w:t>
      </w:r>
    </w:p>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的比例不低于基金资产净值的</w:t>
            </w:r>
            <w:r w:rsidRPr="00A57672">
              <w:rPr>
                <w:sz w:val="24"/>
              </w:rPr>
              <w:t>90%</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4499"/>
        <w:gridCol w:w="4499"/>
      </w:tblGrid>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紧密跟踪标的指数，追求跟踪偏离度与跟踪误差最小化。</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本基金采用完全复制法，跟踪上证</w:t>
            </w:r>
            <w:r w:rsidRPr="00A57672">
              <w:rPr>
                <w:rFonts w:hint="eastAsia"/>
                <w:sz w:val="24"/>
              </w:rPr>
              <w:t>180</w:t>
            </w:r>
            <w:r w:rsidRPr="00A57672">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上证</w:t>
            </w:r>
            <w:r w:rsidRPr="00A57672">
              <w:rPr>
                <w:rFonts w:hint="eastAsia"/>
                <w:sz w:val="24"/>
              </w:rPr>
              <w:t>180</w:t>
            </w:r>
            <w:r w:rsidRPr="00A57672">
              <w:rPr>
                <w:rFonts w:hint="eastAsia"/>
                <w:sz w:val="24"/>
              </w:rPr>
              <w:t>公司治理指数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33,890,293.79</w:t>
            </w:r>
          </w:p>
        </w:tc>
        <w:tc>
          <w:tcPr>
            <w:tcW w:w="2268" w:type="dxa"/>
            <w:vAlign w:val="center"/>
          </w:tcPr>
          <w:p w:rsidR="00501A91" w:rsidRPr="00931B45" w:rsidRDefault="00501A91" w:rsidP="00D415F5">
            <w:pPr>
              <w:spacing w:before="29" w:line="288" w:lineRule="auto"/>
              <w:jc w:val="right"/>
              <w:rPr>
                <w:szCs w:val="21"/>
              </w:rPr>
            </w:pPr>
            <w:r w:rsidRPr="00931B45">
              <w:rPr>
                <w:szCs w:val="21"/>
              </w:rPr>
              <w:t>32,483,334.64</w:t>
            </w:r>
          </w:p>
        </w:tc>
        <w:tc>
          <w:tcPr>
            <w:tcW w:w="2194" w:type="dxa"/>
            <w:vAlign w:val="center"/>
          </w:tcPr>
          <w:p w:rsidR="00501A91" w:rsidRPr="00931B45" w:rsidRDefault="00501A91" w:rsidP="00D415F5">
            <w:pPr>
              <w:spacing w:before="29" w:line="288" w:lineRule="auto"/>
              <w:jc w:val="right"/>
              <w:rPr>
                <w:szCs w:val="21"/>
              </w:rPr>
            </w:pPr>
            <w:r w:rsidRPr="00931B45">
              <w:rPr>
                <w:szCs w:val="21"/>
              </w:rPr>
              <w:t>547,008,475.99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95,844,744.69</w:t>
            </w:r>
          </w:p>
        </w:tc>
        <w:tc>
          <w:tcPr>
            <w:tcW w:w="2268" w:type="dxa"/>
            <w:vAlign w:val="center"/>
          </w:tcPr>
          <w:p w:rsidR="00501A91" w:rsidRPr="00931B45" w:rsidRDefault="00501A91" w:rsidP="00D415F5">
            <w:pPr>
              <w:spacing w:before="29" w:line="288" w:lineRule="auto"/>
              <w:jc w:val="right"/>
              <w:rPr>
                <w:szCs w:val="21"/>
              </w:rPr>
            </w:pPr>
            <w:r w:rsidRPr="00931B45">
              <w:rPr>
                <w:szCs w:val="21"/>
              </w:rPr>
              <w:t>-29,198,935.19</w:t>
            </w:r>
          </w:p>
        </w:tc>
        <w:tc>
          <w:tcPr>
            <w:tcW w:w="2194" w:type="dxa"/>
            <w:vAlign w:val="center"/>
          </w:tcPr>
          <w:p w:rsidR="00501A91" w:rsidRPr="00931B45" w:rsidRDefault="00501A91" w:rsidP="00D415F5">
            <w:pPr>
              <w:spacing w:before="29" w:line="288" w:lineRule="auto"/>
              <w:jc w:val="right"/>
              <w:rPr>
                <w:szCs w:val="21"/>
              </w:rPr>
            </w:pPr>
            <w:r w:rsidRPr="00931B45">
              <w:rPr>
                <w:szCs w:val="21"/>
              </w:rPr>
              <w:t>157,300,669.25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0.2303</w:t>
            </w:r>
          </w:p>
        </w:tc>
        <w:tc>
          <w:tcPr>
            <w:tcW w:w="2268" w:type="dxa"/>
            <w:vAlign w:val="center"/>
          </w:tcPr>
          <w:p w:rsidR="00501A91" w:rsidRPr="00931B45" w:rsidRDefault="00501A91" w:rsidP="00D415F5">
            <w:pPr>
              <w:spacing w:before="29" w:line="288" w:lineRule="auto"/>
              <w:jc w:val="right"/>
              <w:rPr>
                <w:szCs w:val="21"/>
              </w:rPr>
            </w:pPr>
            <w:r w:rsidRPr="00931B45">
              <w:rPr>
                <w:szCs w:val="21"/>
              </w:rPr>
              <w:t>-0.0459</w:t>
            </w:r>
          </w:p>
        </w:tc>
        <w:tc>
          <w:tcPr>
            <w:tcW w:w="2194" w:type="dxa"/>
            <w:vAlign w:val="center"/>
          </w:tcPr>
          <w:p w:rsidR="00501A91" w:rsidRPr="00931B45" w:rsidRDefault="00501A91" w:rsidP="00D415F5">
            <w:pPr>
              <w:spacing w:before="29" w:line="288" w:lineRule="auto"/>
              <w:jc w:val="right"/>
              <w:rPr>
                <w:szCs w:val="21"/>
              </w:rPr>
            </w:pPr>
            <w:r w:rsidRPr="00931B45">
              <w:rPr>
                <w:szCs w:val="21"/>
              </w:rPr>
              <w:t>0.1649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21.52%</w:t>
            </w:r>
          </w:p>
        </w:tc>
        <w:tc>
          <w:tcPr>
            <w:tcW w:w="2268" w:type="dxa"/>
            <w:vAlign w:val="center"/>
          </w:tcPr>
          <w:p w:rsidR="00501A91" w:rsidRPr="00931B45" w:rsidRDefault="00501A91" w:rsidP="00D415F5">
            <w:pPr>
              <w:spacing w:before="29" w:line="288" w:lineRule="auto"/>
              <w:jc w:val="right"/>
              <w:rPr>
                <w:szCs w:val="21"/>
              </w:rPr>
            </w:pPr>
            <w:r w:rsidRPr="00931B45">
              <w:rPr>
                <w:szCs w:val="21"/>
              </w:rPr>
              <w:t>-5.70%</w:t>
            </w:r>
          </w:p>
        </w:tc>
        <w:tc>
          <w:tcPr>
            <w:tcW w:w="2194" w:type="dxa"/>
            <w:vAlign w:val="center"/>
          </w:tcPr>
          <w:p w:rsidR="00501A91" w:rsidRPr="00931B45" w:rsidRDefault="00501A91" w:rsidP="00D415F5">
            <w:pPr>
              <w:spacing w:before="29" w:line="288" w:lineRule="auto"/>
              <w:jc w:val="right"/>
              <w:rPr>
                <w:szCs w:val="21"/>
              </w:rPr>
            </w:pPr>
            <w:r w:rsidRPr="00931B45">
              <w:rPr>
                <w:szCs w:val="21"/>
              </w:rPr>
              <w:t>-2.44%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0.327</w:t>
            </w:r>
          </w:p>
        </w:tc>
        <w:tc>
          <w:tcPr>
            <w:tcW w:w="2268" w:type="dxa"/>
            <w:vAlign w:val="center"/>
          </w:tcPr>
          <w:p w:rsidR="00501A91" w:rsidRPr="00931B45" w:rsidRDefault="00501A91" w:rsidP="00D415F5">
            <w:pPr>
              <w:spacing w:before="29" w:line="288" w:lineRule="auto"/>
              <w:jc w:val="right"/>
              <w:rPr>
                <w:szCs w:val="21"/>
              </w:rPr>
            </w:pPr>
            <w:r w:rsidRPr="00931B45">
              <w:rPr>
                <w:szCs w:val="21"/>
              </w:rPr>
              <w:t>0.092</w:t>
            </w:r>
          </w:p>
        </w:tc>
        <w:tc>
          <w:tcPr>
            <w:tcW w:w="2194" w:type="dxa"/>
            <w:vAlign w:val="center"/>
          </w:tcPr>
          <w:p w:rsidR="00501A91" w:rsidRPr="00931B45" w:rsidRDefault="00501A91" w:rsidP="00D415F5">
            <w:pPr>
              <w:spacing w:before="29" w:line="288" w:lineRule="auto"/>
              <w:jc w:val="right"/>
              <w:rPr>
                <w:szCs w:val="21"/>
              </w:rPr>
            </w:pPr>
            <w:r w:rsidRPr="00931B45">
              <w:rPr>
                <w:szCs w:val="21"/>
              </w:rPr>
              <w:t>0.158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483,315,531.05</w:t>
            </w:r>
          </w:p>
        </w:tc>
        <w:tc>
          <w:tcPr>
            <w:tcW w:w="2268" w:type="dxa"/>
            <w:vAlign w:val="center"/>
          </w:tcPr>
          <w:p w:rsidR="00501A91" w:rsidRPr="00931B45" w:rsidRDefault="00501A91" w:rsidP="00D415F5">
            <w:pPr>
              <w:spacing w:before="29" w:line="288" w:lineRule="auto"/>
              <w:jc w:val="right"/>
              <w:rPr>
                <w:szCs w:val="21"/>
              </w:rPr>
            </w:pPr>
            <w:r w:rsidRPr="00931B45">
              <w:rPr>
                <w:szCs w:val="21"/>
              </w:rPr>
              <w:t>499,571,581.86</w:t>
            </w:r>
          </w:p>
        </w:tc>
        <w:tc>
          <w:tcPr>
            <w:tcW w:w="2194" w:type="dxa"/>
            <w:vAlign w:val="center"/>
          </w:tcPr>
          <w:p w:rsidR="00501A91" w:rsidRPr="00931B45" w:rsidRDefault="00501A91" w:rsidP="00D415F5">
            <w:pPr>
              <w:spacing w:before="29" w:line="288" w:lineRule="auto"/>
              <w:jc w:val="right"/>
              <w:rPr>
                <w:szCs w:val="21"/>
              </w:rPr>
            </w:pPr>
            <w:r w:rsidRPr="00931B45">
              <w:rPr>
                <w:szCs w:val="21"/>
              </w:rPr>
              <w:t>688,086,325.05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1.327</w:t>
            </w:r>
          </w:p>
        </w:tc>
        <w:tc>
          <w:tcPr>
            <w:tcW w:w="2268" w:type="dxa"/>
            <w:vAlign w:val="center"/>
          </w:tcPr>
          <w:p w:rsidR="00501A91" w:rsidRPr="00931B45" w:rsidRDefault="00501A91" w:rsidP="00D415F5">
            <w:pPr>
              <w:spacing w:before="29" w:line="288" w:lineRule="auto"/>
              <w:jc w:val="right"/>
              <w:rPr>
                <w:szCs w:val="21"/>
              </w:rPr>
            </w:pPr>
            <w:r w:rsidRPr="00931B45">
              <w:rPr>
                <w:szCs w:val="21"/>
              </w:rPr>
              <w:t>1.092</w:t>
            </w:r>
          </w:p>
        </w:tc>
        <w:tc>
          <w:tcPr>
            <w:tcW w:w="2194" w:type="dxa"/>
            <w:vAlign w:val="center"/>
          </w:tcPr>
          <w:p w:rsidR="00501A91" w:rsidRPr="00931B45" w:rsidRDefault="00501A91" w:rsidP="00D415F5">
            <w:pPr>
              <w:spacing w:before="29" w:line="288" w:lineRule="auto"/>
              <w:jc w:val="right"/>
              <w:rPr>
                <w:szCs w:val="21"/>
              </w:rPr>
            </w:pPr>
            <w:r w:rsidRPr="00931B45">
              <w:rPr>
                <w:szCs w:val="21"/>
              </w:rPr>
              <w:t>1.158</w:t>
            </w:r>
          </w:p>
        </w:tc>
      </w:tr>
    </w:tbl>
    <w:p w:rsidR="00CB12A0" w:rsidRDefault="00F3186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CB12A0">
        <w:tc>
          <w:tcPr>
            <w:tcW w:w="1286" w:type="dxa"/>
            <w:vAlign w:val="center"/>
          </w:tcPr>
          <w:p w:rsidR="00CB12A0" w:rsidRDefault="00F31863">
            <w:pPr>
              <w:jc w:val="left"/>
            </w:pPr>
            <w:r>
              <w:rPr>
                <w:color w:val="000000"/>
                <w:sz w:val="24"/>
              </w:rPr>
              <w:t>过去三个月</w:t>
            </w:r>
          </w:p>
        </w:tc>
        <w:tc>
          <w:tcPr>
            <w:tcW w:w="1286" w:type="dxa"/>
            <w:vAlign w:val="center"/>
          </w:tcPr>
          <w:p w:rsidR="00CB12A0" w:rsidRDefault="00F31863">
            <w:pPr>
              <w:jc w:val="center"/>
            </w:pPr>
            <w:r>
              <w:rPr>
                <w:color w:val="000000"/>
                <w:sz w:val="24"/>
              </w:rPr>
              <w:t>5.32%</w:t>
            </w:r>
          </w:p>
        </w:tc>
        <w:tc>
          <w:tcPr>
            <w:tcW w:w="1286" w:type="dxa"/>
            <w:vAlign w:val="center"/>
          </w:tcPr>
          <w:p w:rsidR="00CB12A0" w:rsidRDefault="00F31863">
            <w:pPr>
              <w:jc w:val="center"/>
            </w:pPr>
            <w:r>
              <w:rPr>
                <w:color w:val="000000"/>
                <w:sz w:val="24"/>
              </w:rPr>
              <w:t>0.78%</w:t>
            </w:r>
          </w:p>
        </w:tc>
        <w:tc>
          <w:tcPr>
            <w:tcW w:w="1285" w:type="dxa"/>
            <w:vAlign w:val="center"/>
          </w:tcPr>
          <w:p w:rsidR="00CB12A0" w:rsidRDefault="00F31863">
            <w:pPr>
              <w:jc w:val="center"/>
            </w:pPr>
            <w:r>
              <w:rPr>
                <w:color w:val="000000"/>
                <w:sz w:val="24"/>
              </w:rPr>
              <w:t>5.37%</w:t>
            </w:r>
          </w:p>
        </w:tc>
        <w:tc>
          <w:tcPr>
            <w:tcW w:w="1285" w:type="dxa"/>
            <w:vAlign w:val="center"/>
          </w:tcPr>
          <w:p w:rsidR="00CB12A0" w:rsidRDefault="00F31863">
            <w:pPr>
              <w:jc w:val="center"/>
            </w:pPr>
            <w:r>
              <w:rPr>
                <w:color w:val="000000"/>
                <w:sz w:val="24"/>
              </w:rPr>
              <w:t>0.76%</w:t>
            </w:r>
          </w:p>
        </w:tc>
        <w:tc>
          <w:tcPr>
            <w:tcW w:w="1285" w:type="dxa"/>
            <w:vAlign w:val="center"/>
          </w:tcPr>
          <w:p w:rsidR="00CB12A0" w:rsidRDefault="00F31863">
            <w:pPr>
              <w:jc w:val="center"/>
            </w:pPr>
            <w:r>
              <w:rPr>
                <w:color w:val="000000"/>
                <w:sz w:val="24"/>
              </w:rPr>
              <w:t>-0.05%</w:t>
            </w:r>
          </w:p>
        </w:tc>
        <w:tc>
          <w:tcPr>
            <w:tcW w:w="1285" w:type="dxa"/>
            <w:vAlign w:val="center"/>
          </w:tcPr>
          <w:p w:rsidR="00CB12A0" w:rsidRDefault="00F31863">
            <w:pPr>
              <w:jc w:val="center"/>
            </w:pPr>
            <w:r>
              <w:rPr>
                <w:color w:val="000000"/>
                <w:sz w:val="24"/>
              </w:rPr>
              <w:t>0.02%</w:t>
            </w:r>
          </w:p>
        </w:tc>
      </w:tr>
      <w:tr w:rsidR="00CB12A0">
        <w:tc>
          <w:tcPr>
            <w:tcW w:w="1286" w:type="dxa"/>
            <w:vAlign w:val="center"/>
          </w:tcPr>
          <w:p w:rsidR="00CB12A0" w:rsidRDefault="00F31863">
            <w:pPr>
              <w:jc w:val="left"/>
            </w:pPr>
            <w:r>
              <w:rPr>
                <w:color w:val="000000"/>
                <w:sz w:val="24"/>
              </w:rPr>
              <w:t>过去六个月</w:t>
            </w:r>
          </w:p>
        </w:tc>
        <w:tc>
          <w:tcPr>
            <w:tcW w:w="1286" w:type="dxa"/>
            <w:vAlign w:val="center"/>
          </w:tcPr>
          <w:p w:rsidR="00CB12A0" w:rsidRDefault="00F31863">
            <w:pPr>
              <w:jc w:val="center"/>
            </w:pPr>
            <w:r>
              <w:rPr>
                <w:color w:val="000000"/>
                <w:sz w:val="24"/>
              </w:rPr>
              <w:t>9.76%</w:t>
            </w:r>
          </w:p>
        </w:tc>
        <w:tc>
          <w:tcPr>
            <w:tcW w:w="1286" w:type="dxa"/>
            <w:vAlign w:val="center"/>
          </w:tcPr>
          <w:p w:rsidR="00CB12A0" w:rsidRDefault="00F31863">
            <w:pPr>
              <w:jc w:val="center"/>
            </w:pPr>
            <w:r>
              <w:rPr>
                <w:color w:val="000000"/>
                <w:sz w:val="24"/>
              </w:rPr>
              <w:t>0.68%</w:t>
            </w:r>
          </w:p>
        </w:tc>
        <w:tc>
          <w:tcPr>
            <w:tcW w:w="1285" w:type="dxa"/>
            <w:vAlign w:val="center"/>
          </w:tcPr>
          <w:p w:rsidR="00CB12A0" w:rsidRDefault="00F31863">
            <w:pPr>
              <w:jc w:val="center"/>
            </w:pPr>
            <w:r>
              <w:rPr>
                <w:color w:val="000000"/>
                <w:sz w:val="24"/>
              </w:rPr>
              <w:t>8.63%</w:t>
            </w:r>
          </w:p>
        </w:tc>
        <w:tc>
          <w:tcPr>
            <w:tcW w:w="1285" w:type="dxa"/>
            <w:vAlign w:val="center"/>
          </w:tcPr>
          <w:p w:rsidR="00CB12A0" w:rsidRDefault="00F31863">
            <w:pPr>
              <w:jc w:val="center"/>
            </w:pPr>
            <w:r>
              <w:rPr>
                <w:color w:val="000000"/>
                <w:sz w:val="24"/>
              </w:rPr>
              <w:t>0.67%</w:t>
            </w:r>
          </w:p>
        </w:tc>
        <w:tc>
          <w:tcPr>
            <w:tcW w:w="1285" w:type="dxa"/>
            <w:vAlign w:val="center"/>
          </w:tcPr>
          <w:p w:rsidR="00CB12A0" w:rsidRDefault="00F31863">
            <w:pPr>
              <w:jc w:val="center"/>
            </w:pPr>
            <w:r>
              <w:rPr>
                <w:color w:val="000000"/>
                <w:sz w:val="24"/>
              </w:rPr>
              <w:t>1.13%</w:t>
            </w:r>
          </w:p>
        </w:tc>
        <w:tc>
          <w:tcPr>
            <w:tcW w:w="1285" w:type="dxa"/>
            <w:vAlign w:val="center"/>
          </w:tcPr>
          <w:p w:rsidR="00CB12A0" w:rsidRDefault="00F31863">
            <w:pPr>
              <w:jc w:val="center"/>
            </w:pPr>
            <w:r>
              <w:rPr>
                <w:color w:val="000000"/>
                <w:sz w:val="24"/>
              </w:rPr>
              <w:t>0.01%</w:t>
            </w:r>
          </w:p>
        </w:tc>
      </w:tr>
      <w:tr w:rsidR="00CB12A0">
        <w:tc>
          <w:tcPr>
            <w:tcW w:w="1286" w:type="dxa"/>
            <w:vAlign w:val="center"/>
          </w:tcPr>
          <w:p w:rsidR="00CB12A0" w:rsidRDefault="00F31863">
            <w:pPr>
              <w:jc w:val="left"/>
            </w:pPr>
            <w:r>
              <w:rPr>
                <w:color w:val="000000"/>
                <w:sz w:val="24"/>
              </w:rPr>
              <w:t>过去一年</w:t>
            </w:r>
          </w:p>
        </w:tc>
        <w:tc>
          <w:tcPr>
            <w:tcW w:w="1286" w:type="dxa"/>
            <w:vAlign w:val="center"/>
          </w:tcPr>
          <w:p w:rsidR="00CB12A0" w:rsidRDefault="00F31863">
            <w:pPr>
              <w:jc w:val="center"/>
            </w:pPr>
            <w:r>
              <w:rPr>
                <w:color w:val="000000"/>
                <w:sz w:val="24"/>
              </w:rPr>
              <w:t>21.52%</w:t>
            </w:r>
          </w:p>
        </w:tc>
        <w:tc>
          <w:tcPr>
            <w:tcW w:w="1286" w:type="dxa"/>
            <w:vAlign w:val="center"/>
          </w:tcPr>
          <w:p w:rsidR="00CB12A0" w:rsidRDefault="00F31863">
            <w:pPr>
              <w:jc w:val="center"/>
            </w:pPr>
            <w:r>
              <w:rPr>
                <w:color w:val="000000"/>
                <w:sz w:val="24"/>
              </w:rPr>
              <w:t>0.63%</w:t>
            </w:r>
          </w:p>
        </w:tc>
        <w:tc>
          <w:tcPr>
            <w:tcW w:w="1285" w:type="dxa"/>
            <w:vAlign w:val="center"/>
          </w:tcPr>
          <w:p w:rsidR="00CB12A0" w:rsidRDefault="00F31863">
            <w:pPr>
              <w:jc w:val="center"/>
            </w:pPr>
            <w:r>
              <w:rPr>
                <w:color w:val="000000"/>
                <w:sz w:val="24"/>
              </w:rPr>
              <w:t>19.44%</w:t>
            </w:r>
          </w:p>
        </w:tc>
        <w:tc>
          <w:tcPr>
            <w:tcW w:w="1285" w:type="dxa"/>
            <w:vAlign w:val="center"/>
          </w:tcPr>
          <w:p w:rsidR="00CB12A0" w:rsidRDefault="00F31863">
            <w:pPr>
              <w:jc w:val="center"/>
            </w:pPr>
            <w:r>
              <w:rPr>
                <w:color w:val="000000"/>
                <w:sz w:val="24"/>
              </w:rPr>
              <w:t>0.63%</w:t>
            </w:r>
          </w:p>
        </w:tc>
        <w:tc>
          <w:tcPr>
            <w:tcW w:w="1285" w:type="dxa"/>
            <w:vAlign w:val="center"/>
          </w:tcPr>
          <w:p w:rsidR="00CB12A0" w:rsidRDefault="00F31863">
            <w:pPr>
              <w:jc w:val="center"/>
            </w:pPr>
            <w:r>
              <w:rPr>
                <w:color w:val="000000"/>
                <w:sz w:val="24"/>
              </w:rPr>
              <w:t>2.08%</w:t>
            </w:r>
          </w:p>
        </w:tc>
        <w:tc>
          <w:tcPr>
            <w:tcW w:w="1285" w:type="dxa"/>
            <w:vAlign w:val="center"/>
          </w:tcPr>
          <w:p w:rsidR="00CB12A0" w:rsidRDefault="00F31863">
            <w:pPr>
              <w:jc w:val="center"/>
            </w:pPr>
            <w:r>
              <w:rPr>
                <w:color w:val="000000"/>
                <w:sz w:val="24"/>
              </w:rPr>
              <w:t>0.00%</w:t>
            </w:r>
          </w:p>
        </w:tc>
      </w:tr>
      <w:tr w:rsidR="00CB12A0">
        <w:tc>
          <w:tcPr>
            <w:tcW w:w="1286" w:type="dxa"/>
            <w:vAlign w:val="center"/>
          </w:tcPr>
          <w:p w:rsidR="00CB12A0" w:rsidRDefault="00F31863">
            <w:pPr>
              <w:jc w:val="left"/>
            </w:pPr>
            <w:r>
              <w:rPr>
                <w:color w:val="000000"/>
                <w:sz w:val="24"/>
              </w:rPr>
              <w:t>过去三年</w:t>
            </w:r>
          </w:p>
        </w:tc>
        <w:tc>
          <w:tcPr>
            <w:tcW w:w="1286" w:type="dxa"/>
            <w:vAlign w:val="center"/>
          </w:tcPr>
          <w:p w:rsidR="00CB12A0" w:rsidRDefault="00F31863">
            <w:pPr>
              <w:jc w:val="center"/>
            </w:pPr>
            <w:r>
              <w:rPr>
                <w:color w:val="000000"/>
                <w:sz w:val="24"/>
              </w:rPr>
              <w:t>11.79%</w:t>
            </w:r>
          </w:p>
        </w:tc>
        <w:tc>
          <w:tcPr>
            <w:tcW w:w="1286" w:type="dxa"/>
            <w:vAlign w:val="center"/>
          </w:tcPr>
          <w:p w:rsidR="00CB12A0" w:rsidRDefault="00F31863">
            <w:pPr>
              <w:jc w:val="center"/>
            </w:pPr>
            <w:r>
              <w:rPr>
                <w:color w:val="000000"/>
                <w:sz w:val="24"/>
              </w:rPr>
              <w:t>1.59%</w:t>
            </w:r>
          </w:p>
        </w:tc>
        <w:tc>
          <w:tcPr>
            <w:tcW w:w="1285" w:type="dxa"/>
            <w:vAlign w:val="center"/>
          </w:tcPr>
          <w:p w:rsidR="00CB12A0" w:rsidRDefault="00F31863">
            <w:pPr>
              <w:jc w:val="center"/>
            </w:pPr>
            <w:r>
              <w:rPr>
                <w:color w:val="000000"/>
                <w:sz w:val="24"/>
              </w:rPr>
              <w:t>4.85%</w:t>
            </w:r>
          </w:p>
        </w:tc>
        <w:tc>
          <w:tcPr>
            <w:tcW w:w="1285" w:type="dxa"/>
            <w:vAlign w:val="center"/>
          </w:tcPr>
          <w:p w:rsidR="00CB12A0" w:rsidRDefault="00F31863">
            <w:pPr>
              <w:jc w:val="center"/>
            </w:pPr>
            <w:r>
              <w:rPr>
                <w:color w:val="000000"/>
                <w:sz w:val="24"/>
              </w:rPr>
              <w:t>1.61%</w:t>
            </w:r>
          </w:p>
        </w:tc>
        <w:tc>
          <w:tcPr>
            <w:tcW w:w="1285" w:type="dxa"/>
            <w:vAlign w:val="center"/>
          </w:tcPr>
          <w:p w:rsidR="00CB12A0" w:rsidRDefault="00F31863">
            <w:pPr>
              <w:jc w:val="center"/>
            </w:pPr>
            <w:r>
              <w:rPr>
                <w:color w:val="000000"/>
                <w:sz w:val="24"/>
              </w:rPr>
              <w:t>6.94%</w:t>
            </w:r>
          </w:p>
        </w:tc>
        <w:tc>
          <w:tcPr>
            <w:tcW w:w="1285" w:type="dxa"/>
            <w:vAlign w:val="center"/>
          </w:tcPr>
          <w:p w:rsidR="00CB12A0" w:rsidRDefault="00F31863">
            <w:pPr>
              <w:jc w:val="center"/>
            </w:pPr>
            <w:r>
              <w:rPr>
                <w:color w:val="000000"/>
                <w:sz w:val="24"/>
              </w:rPr>
              <w:t>-0.02%</w:t>
            </w:r>
          </w:p>
        </w:tc>
      </w:tr>
      <w:tr w:rsidR="00CB12A0">
        <w:tc>
          <w:tcPr>
            <w:tcW w:w="1286" w:type="dxa"/>
            <w:vAlign w:val="center"/>
          </w:tcPr>
          <w:p w:rsidR="00CB12A0" w:rsidRDefault="00F31863">
            <w:pPr>
              <w:jc w:val="left"/>
            </w:pPr>
            <w:r>
              <w:rPr>
                <w:color w:val="000000"/>
                <w:sz w:val="24"/>
              </w:rPr>
              <w:t>过去五年</w:t>
            </w:r>
          </w:p>
        </w:tc>
        <w:tc>
          <w:tcPr>
            <w:tcW w:w="1286" w:type="dxa"/>
            <w:vAlign w:val="center"/>
          </w:tcPr>
          <w:p w:rsidR="00CB12A0" w:rsidRDefault="00F31863">
            <w:pPr>
              <w:jc w:val="center"/>
            </w:pPr>
            <w:r>
              <w:rPr>
                <w:color w:val="000000"/>
                <w:sz w:val="24"/>
              </w:rPr>
              <w:t>70.57%</w:t>
            </w:r>
          </w:p>
        </w:tc>
        <w:tc>
          <w:tcPr>
            <w:tcW w:w="1286" w:type="dxa"/>
            <w:vAlign w:val="center"/>
          </w:tcPr>
          <w:p w:rsidR="00CB12A0" w:rsidRDefault="00F31863">
            <w:pPr>
              <w:jc w:val="center"/>
            </w:pPr>
            <w:r>
              <w:rPr>
                <w:color w:val="000000"/>
                <w:sz w:val="24"/>
              </w:rPr>
              <w:t>1.51%</w:t>
            </w:r>
          </w:p>
        </w:tc>
        <w:tc>
          <w:tcPr>
            <w:tcW w:w="1285" w:type="dxa"/>
            <w:vAlign w:val="center"/>
          </w:tcPr>
          <w:p w:rsidR="00CB12A0" w:rsidRDefault="00F31863">
            <w:pPr>
              <w:jc w:val="center"/>
            </w:pPr>
            <w:r>
              <w:rPr>
                <w:color w:val="000000"/>
                <w:sz w:val="24"/>
              </w:rPr>
              <w:t>53.14%</w:t>
            </w:r>
          </w:p>
        </w:tc>
        <w:tc>
          <w:tcPr>
            <w:tcW w:w="1285" w:type="dxa"/>
            <w:vAlign w:val="center"/>
          </w:tcPr>
          <w:p w:rsidR="00CB12A0" w:rsidRDefault="00F31863">
            <w:pPr>
              <w:jc w:val="center"/>
            </w:pPr>
            <w:r>
              <w:rPr>
                <w:color w:val="000000"/>
                <w:sz w:val="24"/>
              </w:rPr>
              <w:t>1.52%</w:t>
            </w:r>
          </w:p>
        </w:tc>
        <w:tc>
          <w:tcPr>
            <w:tcW w:w="1285" w:type="dxa"/>
            <w:vAlign w:val="center"/>
          </w:tcPr>
          <w:p w:rsidR="00CB12A0" w:rsidRDefault="00F31863">
            <w:pPr>
              <w:jc w:val="center"/>
            </w:pPr>
            <w:r>
              <w:rPr>
                <w:color w:val="000000"/>
                <w:sz w:val="24"/>
              </w:rPr>
              <w:t>17.43%</w:t>
            </w:r>
          </w:p>
        </w:tc>
        <w:tc>
          <w:tcPr>
            <w:tcW w:w="1285" w:type="dxa"/>
            <w:vAlign w:val="center"/>
          </w:tcPr>
          <w:p w:rsidR="00CB12A0" w:rsidRDefault="00F31863">
            <w:pPr>
              <w:jc w:val="center"/>
            </w:pPr>
            <w:r>
              <w:rPr>
                <w:color w:val="000000"/>
                <w:sz w:val="24"/>
              </w:rPr>
              <w:t>-0.01%</w:t>
            </w:r>
          </w:p>
        </w:tc>
      </w:tr>
      <w:tr w:rsidR="00CB12A0">
        <w:tc>
          <w:tcPr>
            <w:tcW w:w="1286" w:type="dxa"/>
            <w:vAlign w:val="center"/>
          </w:tcPr>
          <w:p w:rsidR="00CB12A0" w:rsidRDefault="00F31863">
            <w:pPr>
              <w:jc w:val="left"/>
            </w:pPr>
            <w:r>
              <w:rPr>
                <w:color w:val="000000"/>
                <w:sz w:val="24"/>
              </w:rPr>
              <w:t>自基金合同生效起至今</w:t>
            </w:r>
          </w:p>
        </w:tc>
        <w:tc>
          <w:tcPr>
            <w:tcW w:w="1286" w:type="dxa"/>
            <w:vAlign w:val="center"/>
          </w:tcPr>
          <w:p w:rsidR="00CB12A0" w:rsidRDefault="00F31863">
            <w:pPr>
              <w:jc w:val="center"/>
            </w:pPr>
            <w:r>
              <w:rPr>
                <w:color w:val="000000"/>
                <w:sz w:val="24"/>
              </w:rPr>
              <w:t>32.70%</w:t>
            </w:r>
          </w:p>
        </w:tc>
        <w:tc>
          <w:tcPr>
            <w:tcW w:w="1286" w:type="dxa"/>
            <w:vAlign w:val="center"/>
          </w:tcPr>
          <w:p w:rsidR="00CB12A0" w:rsidRDefault="00F31863">
            <w:pPr>
              <w:jc w:val="center"/>
            </w:pPr>
            <w:r>
              <w:rPr>
                <w:color w:val="000000"/>
                <w:sz w:val="24"/>
              </w:rPr>
              <w:t>1.44%</w:t>
            </w:r>
          </w:p>
        </w:tc>
        <w:tc>
          <w:tcPr>
            <w:tcW w:w="1285" w:type="dxa"/>
            <w:vAlign w:val="center"/>
          </w:tcPr>
          <w:p w:rsidR="00CB12A0" w:rsidRDefault="00F31863">
            <w:pPr>
              <w:jc w:val="center"/>
            </w:pPr>
            <w:r>
              <w:rPr>
                <w:color w:val="000000"/>
                <w:sz w:val="24"/>
              </w:rPr>
              <w:t>31.77%</w:t>
            </w:r>
          </w:p>
        </w:tc>
        <w:tc>
          <w:tcPr>
            <w:tcW w:w="1285" w:type="dxa"/>
            <w:vAlign w:val="center"/>
          </w:tcPr>
          <w:p w:rsidR="00CB12A0" w:rsidRDefault="00F31863">
            <w:pPr>
              <w:jc w:val="center"/>
            </w:pPr>
            <w:r>
              <w:rPr>
                <w:color w:val="000000"/>
                <w:sz w:val="24"/>
              </w:rPr>
              <w:t>1.46%</w:t>
            </w:r>
          </w:p>
        </w:tc>
        <w:tc>
          <w:tcPr>
            <w:tcW w:w="1285" w:type="dxa"/>
            <w:vAlign w:val="center"/>
          </w:tcPr>
          <w:p w:rsidR="00CB12A0" w:rsidRDefault="00F31863">
            <w:pPr>
              <w:jc w:val="center"/>
            </w:pPr>
            <w:r>
              <w:rPr>
                <w:color w:val="000000"/>
                <w:sz w:val="24"/>
              </w:rPr>
              <w:t>0.93%</w:t>
            </w:r>
          </w:p>
        </w:tc>
        <w:tc>
          <w:tcPr>
            <w:tcW w:w="1285" w:type="dxa"/>
            <w:vAlign w:val="center"/>
          </w:tcPr>
          <w:p w:rsidR="00CB12A0" w:rsidRDefault="00F31863">
            <w:pPr>
              <w:jc w:val="center"/>
            </w:pPr>
            <w:r>
              <w:rPr>
                <w:color w:val="000000"/>
                <w:sz w:val="24"/>
              </w:rPr>
              <w:t>-0.02%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CB12A0">
        <w:tc>
          <w:tcPr>
            <w:tcW w:w="1499" w:type="dxa"/>
            <w:vAlign w:val="center"/>
          </w:tcPr>
          <w:p w:rsidR="00CB12A0" w:rsidRDefault="00F31863">
            <w:pPr>
              <w:jc w:val="center"/>
            </w:pPr>
            <w:r>
              <w:rPr>
                <w:color w:val="000000"/>
                <w:sz w:val="24"/>
              </w:rPr>
              <w:t>2017</w:t>
            </w:r>
            <w:r>
              <w:rPr>
                <w:color w:val="000000"/>
                <w:sz w:val="24"/>
              </w:rPr>
              <w:t>年</w:t>
            </w:r>
          </w:p>
        </w:tc>
        <w:tc>
          <w:tcPr>
            <w:tcW w:w="1336" w:type="dxa"/>
            <w:vAlign w:val="center"/>
          </w:tcPr>
          <w:p w:rsidR="00CB12A0" w:rsidRDefault="00F31863">
            <w:pPr>
              <w:jc w:val="right"/>
            </w:pPr>
            <w:r>
              <w:rPr>
                <w:color w:val="000000"/>
                <w:sz w:val="24"/>
              </w:rPr>
              <w:t>-</w:t>
            </w:r>
          </w:p>
        </w:tc>
        <w:tc>
          <w:tcPr>
            <w:tcW w:w="1663" w:type="dxa"/>
            <w:vAlign w:val="center"/>
          </w:tcPr>
          <w:p w:rsidR="00CB12A0" w:rsidRDefault="00F31863">
            <w:pPr>
              <w:jc w:val="right"/>
            </w:pPr>
            <w:r>
              <w:rPr>
                <w:color w:val="000000"/>
                <w:sz w:val="24"/>
              </w:rPr>
              <w:t>-</w:t>
            </w:r>
          </w:p>
        </w:tc>
        <w:tc>
          <w:tcPr>
            <w:tcW w:w="1739" w:type="dxa"/>
            <w:vAlign w:val="center"/>
          </w:tcPr>
          <w:p w:rsidR="00CB12A0" w:rsidRDefault="00F31863">
            <w:pPr>
              <w:jc w:val="right"/>
            </w:pPr>
            <w:r>
              <w:rPr>
                <w:color w:val="000000"/>
                <w:sz w:val="24"/>
              </w:rPr>
              <w:t>-</w:t>
            </w:r>
          </w:p>
        </w:tc>
        <w:tc>
          <w:tcPr>
            <w:tcW w:w="1701" w:type="dxa"/>
            <w:vAlign w:val="center"/>
          </w:tcPr>
          <w:p w:rsidR="00CB12A0" w:rsidRDefault="00F31863">
            <w:pPr>
              <w:jc w:val="right"/>
            </w:pPr>
            <w:r>
              <w:rPr>
                <w:color w:val="000000"/>
                <w:sz w:val="24"/>
              </w:rPr>
              <w:t>-</w:t>
            </w:r>
          </w:p>
        </w:tc>
        <w:tc>
          <w:tcPr>
            <w:tcW w:w="1060" w:type="dxa"/>
            <w:vAlign w:val="center"/>
          </w:tcPr>
          <w:p w:rsidR="00CB12A0" w:rsidRDefault="00F31863">
            <w:pPr>
              <w:jc w:val="left"/>
            </w:pPr>
            <w:r>
              <w:rPr>
                <w:color w:val="000000"/>
                <w:sz w:val="24"/>
              </w:rPr>
              <w:t>-</w:t>
            </w:r>
          </w:p>
        </w:tc>
      </w:tr>
      <w:tr w:rsidR="00CB12A0">
        <w:tc>
          <w:tcPr>
            <w:tcW w:w="1499" w:type="dxa"/>
            <w:vAlign w:val="center"/>
          </w:tcPr>
          <w:p w:rsidR="00CB12A0" w:rsidRDefault="00F31863">
            <w:pPr>
              <w:jc w:val="center"/>
            </w:pPr>
            <w:r>
              <w:rPr>
                <w:color w:val="000000"/>
                <w:sz w:val="24"/>
              </w:rPr>
              <w:t>2016</w:t>
            </w:r>
            <w:r>
              <w:rPr>
                <w:color w:val="000000"/>
                <w:sz w:val="24"/>
              </w:rPr>
              <w:t>年</w:t>
            </w:r>
          </w:p>
        </w:tc>
        <w:tc>
          <w:tcPr>
            <w:tcW w:w="1336" w:type="dxa"/>
            <w:vAlign w:val="center"/>
          </w:tcPr>
          <w:p w:rsidR="00CB12A0" w:rsidRDefault="00F31863">
            <w:pPr>
              <w:jc w:val="right"/>
            </w:pPr>
            <w:r>
              <w:rPr>
                <w:color w:val="000000"/>
                <w:sz w:val="24"/>
              </w:rPr>
              <w:t>-</w:t>
            </w:r>
          </w:p>
        </w:tc>
        <w:tc>
          <w:tcPr>
            <w:tcW w:w="1663" w:type="dxa"/>
            <w:vAlign w:val="center"/>
          </w:tcPr>
          <w:p w:rsidR="00CB12A0" w:rsidRDefault="00F31863">
            <w:pPr>
              <w:jc w:val="right"/>
            </w:pPr>
            <w:r>
              <w:rPr>
                <w:color w:val="000000"/>
                <w:sz w:val="24"/>
              </w:rPr>
              <w:t>-</w:t>
            </w:r>
          </w:p>
        </w:tc>
        <w:tc>
          <w:tcPr>
            <w:tcW w:w="1739" w:type="dxa"/>
            <w:vAlign w:val="center"/>
          </w:tcPr>
          <w:p w:rsidR="00CB12A0" w:rsidRDefault="00F31863">
            <w:pPr>
              <w:jc w:val="right"/>
            </w:pPr>
            <w:r>
              <w:rPr>
                <w:color w:val="000000"/>
                <w:sz w:val="24"/>
              </w:rPr>
              <w:t>-</w:t>
            </w:r>
          </w:p>
        </w:tc>
        <w:tc>
          <w:tcPr>
            <w:tcW w:w="1701" w:type="dxa"/>
            <w:vAlign w:val="center"/>
          </w:tcPr>
          <w:p w:rsidR="00CB12A0" w:rsidRDefault="00F31863">
            <w:pPr>
              <w:jc w:val="right"/>
            </w:pPr>
            <w:r>
              <w:rPr>
                <w:color w:val="000000"/>
                <w:sz w:val="24"/>
              </w:rPr>
              <w:t>-</w:t>
            </w:r>
          </w:p>
        </w:tc>
        <w:tc>
          <w:tcPr>
            <w:tcW w:w="1060" w:type="dxa"/>
            <w:vAlign w:val="center"/>
          </w:tcPr>
          <w:p w:rsidR="00CB12A0" w:rsidRDefault="00F31863">
            <w:pPr>
              <w:jc w:val="left"/>
            </w:pPr>
            <w:r>
              <w:rPr>
                <w:color w:val="000000"/>
                <w:sz w:val="24"/>
              </w:rPr>
              <w:t>-</w:t>
            </w:r>
          </w:p>
        </w:tc>
      </w:tr>
      <w:tr w:rsidR="00CB12A0">
        <w:tc>
          <w:tcPr>
            <w:tcW w:w="1499" w:type="dxa"/>
            <w:vAlign w:val="center"/>
          </w:tcPr>
          <w:p w:rsidR="00CB12A0" w:rsidRDefault="00F31863">
            <w:pPr>
              <w:jc w:val="center"/>
            </w:pPr>
            <w:r>
              <w:rPr>
                <w:color w:val="000000"/>
                <w:sz w:val="24"/>
              </w:rPr>
              <w:t>2015</w:t>
            </w:r>
            <w:r>
              <w:rPr>
                <w:color w:val="000000"/>
                <w:sz w:val="24"/>
              </w:rPr>
              <w:t>年</w:t>
            </w:r>
          </w:p>
        </w:tc>
        <w:tc>
          <w:tcPr>
            <w:tcW w:w="1336" w:type="dxa"/>
            <w:vAlign w:val="center"/>
          </w:tcPr>
          <w:p w:rsidR="00CB12A0" w:rsidRDefault="00F31863">
            <w:pPr>
              <w:jc w:val="right"/>
            </w:pPr>
            <w:r>
              <w:rPr>
                <w:color w:val="000000"/>
                <w:sz w:val="24"/>
              </w:rPr>
              <w:t>-</w:t>
            </w:r>
          </w:p>
        </w:tc>
        <w:tc>
          <w:tcPr>
            <w:tcW w:w="1663" w:type="dxa"/>
            <w:vAlign w:val="center"/>
          </w:tcPr>
          <w:p w:rsidR="00CB12A0" w:rsidRDefault="00F31863">
            <w:pPr>
              <w:jc w:val="right"/>
            </w:pPr>
            <w:r>
              <w:rPr>
                <w:color w:val="000000"/>
                <w:sz w:val="24"/>
              </w:rPr>
              <w:t>-</w:t>
            </w:r>
          </w:p>
        </w:tc>
        <w:tc>
          <w:tcPr>
            <w:tcW w:w="1739" w:type="dxa"/>
            <w:vAlign w:val="center"/>
          </w:tcPr>
          <w:p w:rsidR="00CB12A0" w:rsidRDefault="00F31863">
            <w:pPr>
              <w:jc w:val="right"/>
            </w:pPr>
            <w:r>
              <w:rPr>
                <w:color w:val="000000"/>
                <w:sz w:val="24"/>
              </w:rPr>
              <w:t>-</w:t>
            </w:r>
          </w:p>
        </w:tc>
        <w:tc>
          <w:tcPr>
            <w:tcW w:w="1701" w:type="dxa"/>
            <w:vAlign w:val="center"/>
          </w:tcPr>
          <w:p w:rsidR="00CB12A0" w:rsidRDefault="00F31863">
            <w:pPr>
              <w:jc w:val="right"/>
            </w:pPr>
            <w:r>
              <w:rPr>
                <w:color w:val="000000"/>
                <w:sz w:val="24"/>
              </w:rPr>
              <w:t>-</w:t>
            </w:r>
          </w:p>
        </w:tc>
        <w:tc>
          <w:tcPr>
            <w:tcW w:w="1060" w:type="dxa"/>
            <w:vAlign w:val="center"/>
          </w:tcPr>
          <w:p w:rsidR="00CB12A0" w:rsidRDefault="00F31863">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CB12A0" w:rsidRDefault="00F3186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CB12A0">
        <w:tc>
          <w:tcPr>
            <w:tcW w:w="1499" w:type="dxa"/>
            <w:vAlign w:val="center"/>
          </w:tcPr>
          <w:p w:rsidR="00CB12A0" w:rsidRDefault="00F31863">
            <w:pPr>
              <w:jc w:val="center"/>
            </w:pPr>
            <w:r>
              <w:rPr>
                <w:color w:val="000000"/>
                <w:sz w:val="24"/>
              </w:rPr>
              <w:t>蔡铮</w:t>
            </w:r>
          </w:p>
        </w:tc>
        <w:tc>
          <w:tcPr>
            <w:tcW w:w="1499" w:type="dxa"/>
            <w:vAlign w:val="center"/>
          </w:tcPr>
          <w:p w:rsidR="00CB12A0" w:rsidRDefault="00F3186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500" w:type="dxa"/>
            <w:vAlign w:val="center"/>
          </w:tcPr>
          <w:p w:rsidR="00CB12A0" w:rsidRDefault="00F31863">
            <w:pPr>
              <w:jc w:val="center"/>
            </w:pPr>
            <w:r>
              <w:rPr>
                <w:color w:val="000000"/>
                <w:sz w:val="24"/>
              </w:rPr>
              <w:t>2012-12-27</w:t>
            </w:r>
          </w:p>
        </w:tc>
        <w:tc>
          <w:tcPr>
            <w:tcW w:w="1500" w:type="dxa"/>
            <w:vAlign w:val="center"/>
          </w:tcPr>
          <w:p w:rsidR="00CB12A0" w:rsidRDefault="00F31863">
            <w:pPr>
              <w:jc w:val="center"/>
            </w:pPr>
            <w:r>
              <w:rPr>
                <w:color w:val="000000"/>
                <w:sz w:val="24"/>
              </w:rPr>
              <w:t>-</w:t>
            </w:r>
          </w:p>
        </w:tc>
        <w:tc>
          <w:tcPr>
            <w:tcW w:w="1090" w:type="dxa"/>
            <w:vAlign w:val="center"/>
          </w:tcPr>
          <w:p w:rsidR="00CB12A0" w:rsidRDefault="00F31863">
            <w:pPr>
              <w:jc w:val="center"/>
            </w:pPr>
            <w:r>
              <w:rPr>
                <w:color w:val="000000"/>
                <w:sz w:val="24"/>
              </w:rPr>
              <w:t>8</w:t>
            </w:r>
            <w:r>
              <w:rPr>
                <w:color w:val="000000"/>
                <w:sz w:val="24"/>
              </w:rPr>
              <w:t>年</w:t>
            </w:r>
          </w:p>
        </w:tc>
        <w:tc>
          <w:tcPr>
            <w:tcW w:w="1910" w:type="dxa"/>
            <w:vAlign w:val="center"/>
          </w:tcPr>
          <w:p w:rsidR="00CB12A0" w:rsidRDefault="00F3186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CB12A0" w:rsidRDefault="00F3186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B12A0" w:rsidRDefault="00F3186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CB12A0" w:rsidRDefault="00F3186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CB12A0" w:rsidRDefault="00F3186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B12A0" w:rsidRDefault="00F3186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B12A0" w:rsidRDefault="00F3186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B12A0" w:rsidRDefault="00F3186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B12A0" w:rsidRDefault="00F3186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年上半年国内经济延续了</w:t>
      </w:r>
      <w:r w:rsidRPr="0013437B">
        <w:rPr>
          <w:color w:val="000000"/>
          <w:sz w:val="24"/>
        </w:rPr>
        <w:t>2016</w:t>
      </w:r>
      <w:r w:rsidRPr="0013437B">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3437B">
        <w:rPr>
          <w:color w:val="000000"/>
          <w:sz w:val="24"/>
        </w:rPr>
        <w:t>2017</w:t>
      </w:r>
      <w:r w:rsidRPr="0013437B">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3437B">
        <w:rPr>
          <w:color w:val="000000"/>
          <w:sz w:val="24"/>
        </w:rPr>
        <w:t>A</w:t>
      </w:r>
      <w:r w:rsidRPr="0013437B">
        <w:rPr>
          <w:color w:val="000000"/>
          <w:sz w:val="24"/>
        </w:rPr>
        <w:t>股市场在风格上呈现出显著分化的格局，价值风格震荡上行，但中小创板块疲软。三季度</w:t>
      </w:r>
      <w:r w:rsidRPr="0013437B">
        <w:rPr>
          <w:color w:val="000000"/>
          <w:sz w:val="24"/>
        </w:rPr>
        <w:t>A</w:t>
      </w:r>
      <w:r w:rsidRPr="0013437B">
        <w:rPr>
          <w:color w:val="000000"/>
          <w:sz w:val="24"/>
        </w:rPr>
        <w:t>股市场整体涨幅明显，而进入四季度后市场经历了宽幅震荡。作为跟踪基准指数的指数基金，全年基金总体呈现出上行走势。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1.327</w:t>
      </w:r>
      <w:r w:rsidRPr="0013437B">
        <w:rPr>
          <w:color w:val="000000"/>
          <w:sz w:val="24"/>
        </w:rPr>
        <w:t>元，本报告期份额净值增长率为</w:t>
      </w:r>
      <w:r w:rsidRPr="0013437B">
        <w:rPr>
          <w:color w:val="000000"/>
          <w:sz w:val="24"/>
        </w:rPr>
        <w:t>21.52%</w:t>
      </w:r>
      <w:r w:rsidRPr="0013437B">
        <w:rPr>
          <w:color w:val="000000"/>
          <w:sz w:val="24"/>
        </w:rPr>
        <w:t>，同期业绩比较基准增长率为</w:t>
      </w:r>
      <w:r w:rsidRPr="0013437B">
        <w:rPr>
          <w:color w:val="000000"/>
          <w:sz w:val="24"/>
        </w:rPr>
        <w:t>19.44%</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年，我们认为通胀或成国内主要风险，成本推动型通胀压力加速显性化，</w:t>
      </w:r>
      <w:r w:rsidRPr="0013437B">
        <w:rPr>
          <w:color w:val="000000"/>
          <w:sz w:val="24"/>
        </w:rPr>
        <w:t>PPI</w:t>
      </w:r>
      <w:r w:rsidRPr="0013437B">
        <w:rPr>
          <w:color w:val="000000"/>
          <w:sz w:val="24"/>
        </w:rPr>
        <w:t>向</w:t>
      </w:r>
      <w:r w:rsidRPr="0013437B">
        <w:rPr>
          <w:color w:val="000000"/>
          <w:sz w:val="24"/>
        </w:rPr>
        <w:t>CPI</w:t>
      </w:r>
      <w:r w:rsidRPr="0013437B">
        <w:rPr>
          <w:color w:val="000000"/>
          <w:sz w:val="24"/>
        </w:rPr>
        <w:t>传导逐步显现，同时经济数据的阶段性下滑或将继续扰动市场对需求端的预期。总体而言，我们对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CB12A0" w:rsidRDefault="00F3186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B12A0" w:rsidRDefault="00F3186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交银施罗德上证</w:t>
      </w:r>
      <w:r w:rsidRPr="003C6BFD">
        <w:rPr>
          <w:color w:val="000000"/>
          <w:sz w:val="24"/>
        </w:rPr>
        <w:t>180</w:t>
      </w:r>
      <w:r w:rsidRPr="003C6BFD">
        <w:rPr>
          <w:color w:val="000000"/>
          <w:sz w:val="24"/>
        </w:rPr>
        <w:t>公司治理交易型开放式指数证券投资基金联接基金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22003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交银施罗德上证</w:t>
      </w:r>
      <w:r w:rsidRPr="001C5FC7">
        <w:rPr>
          <w:color w:val="000000"/>
          <w:sz w:val="24"/>
        </w:rPr>
        <w:t>180</w:t>
      </w:r>
      <w:r w:rsidRPr="001C5FC7">
        <w:rPr>
          <w:color w:val="000000"/>
          <w:sz w:val="24"/>
        </w:rPr>
        <w:t>公司治理交易型开放式指数证券投资基金联接基金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28,181,101.32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28,857,105.82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61,292.75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33,038.71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456,764,117.95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471,145,972.13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9,195,150.84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7,542,288.20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447,568,967.11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463,603,683.93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48,988.90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6,120.44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6,643.84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15,661.45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58,707.20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485,077,282.81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500,101,467.70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1,620,289.46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116,715.14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13,519.61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18,229.62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2,703.90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3,645.89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35,187.06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191,253.46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90,051.73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200,041.73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1,761,751.76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529,885.84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364,267,762.18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457,478,881.06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119,047,768.87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42,092,700.80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483,315,531.05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499,571,581.86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485,077,282.81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500,101,467.70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1.327</w:t>
      </w:r>
      <w:r w:rsidR="001A59F9" w:rsidRPr="00AA0214">
        <w:rPr>
          <w:kern w:val="0"/>
          <w:sz w:val="24"/>
        </w:rPr>
        <w:t>元，基金份额总额</w:t>
      </w:r>
      <w:r w:rsidR="001A59F9" w:rsidRPr="00AA0214">
        <w:rPr>
          <w:kern w:val="0"/>
          <w:sz w:val="24"/>
        </w:rPr>
        <w:t>364,267,762.18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交银施罗德上证</w:t>
      </w:r>
      <w:r w:rsidRPr="00DA21E1">
        <w:rPr>
          <w:color w:val="000000"/>
          <w:sz w:val="24"/>
        </w:rPr>
        <w:t>180</w:t>
      </w:r>
      <w:r w:rsidRPr="00DA21E1">
        <w:rPr>
          <w:color w:val="000000"/>
          <w:sz w:val="24"/>
        </w:rPr>
        <w:t>公司治理交易型开放式指数证券投资基金联接基金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96,552,125.37</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-27,918,133.37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200,254.66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284,130.39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200,252.61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284,129.55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0.84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34,293,047.58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33,153,087.68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-501,032.86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-2,027,170.09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34,653,486.40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34,804,406.18</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165.95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663.96</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140,428.09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375,187.63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61,954,450.90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-61,682,269.83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104,372.23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326,918.39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707,380.68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1,280,801.82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167,827.22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258,193.62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33,565.39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51,638.71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395,301.13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751,000.70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7.4.7.21</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110,686.94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219,968.79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95,844,744.69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-29,198,935.19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95,844,744.69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-29,198,935.19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交银施罗德上证</w:t>
      </w:r>
      <w:r w:rsidRPr="004C51A0">
        <w:rPr>
          <w:color w:val="000000"/>
          <w:sz w:val="24"/>
        </w:rPr>
        <w:t>180</w:t>
      </w:r>
      <w:r w:rsidRPr="004C51A0">
        <w:rPr>
          <w:color w:val="000000"/>
          <w:sz w:val="24"/>
        </w:rPr>
        <w:t>公司治理交易型开放式指数证券投资基金联接基金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457,478,881.06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42,092,700.80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499,571,581.86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95,844,744.69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95,844,744.69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-93,211,118.88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-18,889,676.62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-112,100,795.50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64,170,467.91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15,400,516.50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79,570,984.41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-157,381,586.79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-34,290,193.12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-191,671,779.91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364,267,762.18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119,047,768.87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483,315,531.05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594,386,665.97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93,699,659.08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688,086,325.05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-29,198,935.19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-29,198,935.19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-136,907,784.91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-22,408,023.09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-159,315,808.00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189,150,657.79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2,897,337.44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192,047,995.23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-326,058,442.70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-25,305,360.53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-351,363,803.23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457,478,881.06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42,092,700.80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499,571,581.86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CB12A0" w:rsidRDefault="00F31863">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CB12A0" w:rsidRDefault="00F31863">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CB12A0" w:rsidRDefault="00F31863">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、新股、债券及中国证监会允许基金投资的其它金融工具。本基金持有的目标</w:t>
      </w:r>
      <w:r>
        <w:rPr>
          <w:color w:val="000000"/>
          <w:sz w:val="24"/>
        </w:rPr>
        <w:t>ETF</w:t>
      </w:r>
      <w:r>
        <w:rPr>
          <w:color w:val="000000"/>
          <w:sz w:val="24"/>
        </w:rPr>
        <w:t>资产占基金资产净值的比例不低于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，也可少量投资于新股、债券及中国证监会允许基金投资的其它金融工具。在正常市场情况下，本基金日均跟踪偏离度的绝对值不超过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CB12A0" w:rsidRDefault="00F3186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颁布的《证券投资基金会计核算业务指引》、《交银施罗德上证</w:t>
      </w:r>
      <w:r>
        <w:rPr>
          <w:color w:val="000000"/>
          <w:sz w:val="24"/>
        </w:rPr>
        <w:t>180</w:t>
      </w:r>
      <w:r>
        <w:rPr>
          <w:color w:val="000000"/>
          <w:sz w:val="24"/>
        </w:rPr>
        <w:t>公司治理交易型开放式指数证券投资基金联接基金基金合同》和在财务报表附注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F31863" w:rsidRDefault="0048417B" w:rsidP="00F31863">
      <w:pPr>
        <w:spacing w:before="29" w:line="288" w:lineRule="auto"/>
        <w:ind w:firstLineChars="200" w:firstLine="480"/>
        <w:rPr>
          <w:color w:val="000000"/>
          <w:sz w:val="24"/>
        </w:rPr>
      </w:pPr>
      <w:r w:rsidRPr="0048417B">
        <w:rPr>
          <w:rFonts w:hint="eastAsia"/>
          <w:color w:val="000000"/>
          <w:sz w:val="24"/>
        </w:rPr>
        <w:t>本报告期所采用的会计政策与最近一期年度报告一致，但会计估计有所变更，详见</w:t>
      </w:r>
      <w:r w:rsidRPr="0048417B">
        <w:rPr>
          <w:rFonts w:hint="eastAsia"/>
          <w:color w:val="000000"/>
          <w:sz w:val="24"/>
        </w:rPr>
        <w:t>7.4.5.2</w:t>
      </w:r>
      <w:r w:rsidRPr="0048417B">
        <w:rPr>
          <w:rFonts w:hint="eastAsia"/>
          <w:color w:val="000000"/>
          <w:sz w:val="24"/>
        </w:rPr>
        <w:t>。</w:t>
      </w:r>
    </w:p>
    <w:p w:rsidR="0048417B" w:rsidRPr="00F31863" w:rsidRDefault="0048417B" w:rsidP="00F31863">
      <w:pPr>
        <w:spacing w:before="29" w:line="288"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Default="0048417B" w:rsidP="00016A50">
      <w:pPr>
        <w:spacing w:line="360" w:lineRule="auto"/>
        <w:ind w:firstLineChars="200" w:firstLine="480"/>
        <w:rPr>
          <w:color w:val="000000"/>
          <w:sz w:val="24"/>
        </w:rPr>
      </w:pPr>
      <w:r w:rsidRPr="0048417B">
        <w:rPr>
          <w:rFonts w:hint="eastAsia"/>
          <w:color w:val="000000"/>
          <w:sz w:val="24"/>
        </w:rPr>
        <w:t>本基金本报告期未发生会计政策变更。</w:t>
      </w:r>
    </w:p>
    <w:p w:rsidR="0048417B" w:rsidRPr="0048417B" w:rsidRDefault="0048417B"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3C280E" w:rsidRPr="00AC056D" w:rsidRDefault="0048417B" w:rsidP="003C280E">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w:t>
      </w:r>
      <w:bookmarkStart w:id="60" w:name="_GoBack"/>
      <w:bookmarkEnd w:id="60"/>
      <w:r w:rsidRPr="00AC056D">
        <w:rPr>
          <w:color w:val="000000"/>
          <w:sz w:val="24"/>
        </w:rPr>
        <w:t>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3C280E" w:rsidRPr="00F713EF">
        <w:rPr>
          <w:rFonts w:hint="eastAsia"/>
          <w:color w:val="000000"/>
          <w:sz w:val="24"/>
        </w:rPr>
        <w:t>该估值技术变更对本基金无影响。</w:t>
      </w:r>
    </w:p>
    <w:p w:rsidR="0048417B" w:rsidRPr="003C280E" w:rsidRDefault="0048417B" w:rsidP="0048417B">
      <w:pPr>
        <w:spacing w:before="29" w:line="288" w:lineRule="auto"/>
        <w:ind w:firstLineChars="200" w:firstLine="480"/>
        <w:rPr>
          <w:color w:val="000000"/>
          <w:sz w:val="24"/>
        </w:rPr>
      </w:pPr>
    </w:p>
    <w:p w:rsidR="0048417B" w:rsidRPr="00C51C77" w:rsidRDefault="0048417B"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CB12A0" w:rsidRDefault="00F3186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B12A0" w:rsidRDefault="00F3186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CB12A0" w:rsidRDefault="00F3186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B12A0" w:rsidRDefault="00F3186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CB12A0">
        <w:tc>
          <w:tcPr>
            <w:tcW w:w="5220" w:type="dxa"/>
            <w:vAlign w:val="center"/>
          </w:tcPr>
          <w:p w:rsidR="00CB12A0" w:rsidRDefault="00F3186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B12A0" w:rsidRDefault="00F31863">
            <w:pPr>
              <w:jc w:val="center"/>
            </w:pPr>
            <w:r>
              <w:rPr>
                <w:color w:val="000000"/>
                <w:sz w:val="24"/>
              </w:rPr>
              <w:t>基金管理人、基金销售机构</w:t>
            </w:r>
          </w:p>
        </w:tc>
      </w:tr>
      <w:tr w:rsidR="00CB12A0">
        <w:tc>
          <w:tcPr>
            <w:tcW w:w="5220" w:type="dxa"/>
            <w:vAlign w:val="center"/>
          </w:tcPr>
          <w:p w:rsidR="00CB12A0" w:rsidRDefault="00F3186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B12A0" w:rsidRDefault="00F31863">
            <w:pPr>
              <w:jc w:val="center"/>
            </w:pPr>
            <w:r>
              <w:rPr>
                <w:color w:val="000000"/>
                <w:sz w:val="24"/>
              </w:rPr>
              <w:t>基金托管人、基金销售机构</w:t>
            </w:r>
          </w:p>
        </w:tc>
      </w:tr>
      <w:tr w:rsidR="00CB12A0">
        <w:tc>
          <w:tcPr>
            <w:tcW w:w="5220" w:type="dxa"/>
            <w:vAlign w:val="center"/>
          </w:tcPr>
          <w:p w:rsidR="00CB12A0" w:rsidRDefault="00F31863">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CB12A0" w:rsidRDefault="00F31863">
            <w:pPr>
              <w:jc w:val="center"/>
            </w:pPr>
            <w:r>
              <w:rPr>
                <w:color w:val="000000"/>
                <w:sz w:val="24"/>
              </w:rPr>
              <w:t>基金管理人的股东、基金销售机构</w:t>
            </w:r>
          </w:p>
        </w:tc>
      </w:tr>
      <w:tr w:rsidR="00CB12A0">
        <w:tc>
          <w:tcPr>
            <w:tcW w:w="5220" w:type="dxa"/>
            <w:vAlign w:val="center"/>
          </w:tcPr>
          <w:p w:rsidR="00CB12A0" w:rsidRDefault="00F31863">
            <w:pPr>
              <w:jc w:val="left"/>
            </w:pPr>
            <w:r>
              <w:rPr>
                <w:color w:val="000000"/>
                <w:sz w:val="24"/>
              </w:rPr>
              <w:t>施罗德投资管理有限公司</w:t>
            </w:r>
          </w:p>
        </w:tc>
        <w:tc>
          <w:tcPr>
            <w:tcW w:w="3780" w:type="dxa"/>
            <w:vAlign w:val="center"/>
          </w:tcPr>
          <w:p w:rsidR="00CB12A0" w:rsidRDefault="00F31863">
            <w:pPr>
              <w:jc w:val="center"/>
            </w:pPr>
            <w:r>
              <w:rPr>
                <w:color w:val="000000"/>
                <w:sz w:val="24"/>
              </w:rPr>
              <w:t>基金管理人的股东</w:t>
            </w:r>
          </w:p>
        </w:tc>
      </w:tr>
      <w:tr w:rsidR="00CB12A0">
        <w:tc>
          <w:tcPr>
            <w:tcW w:w="5220" w:type="dxa"/>
            <w:vAlign w:val="center"/>
          </w:tcPr>
          <w:p w:rsidR="00CB12A0" w:rsidRDefault="00F31863">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CB12A0" w:rsidRDefault="00F31863">
            <w:pPr>
              <w:jc w:val="center"/>
            </w:pPr>
            <w:r>
              <w:rPr>
                <w:color w:val="000000"/>
                <w:sz w:val="24"/>
              </w:rPr>
              <w:t>基金管理人的股东</w:t>
            </w:r>
          </w:p>
        </w:tc>
      </w:tr>
      <w:tr w:rsidR="00CB12A0">
        <w:tc>
          <w:tcPr>
            <w:tcW w:w="5220" w:type="dxa"/>
            <w:vAlign w:val="center"/>
          </w:tcPr>
          <w:p w:rsidR="00CB12A0" w:rsidRDefault="00F31863">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CB12A0" w:rsidRDefault="00F31863">
            <w:pPr>
              <w:jc w:val="center"/>
            </w:pPr>
            <w:r>
              <w:rPr>
                <w:color w:val="000000"/>
                <w:sz w:val="24"/>
              </w:rPr>
              <w:t>本基金的基金管理人管理的其他基金</w:t>
            </w:r>
          </w:p>
        </w:tc>
      </w:tr>
      <w:tr w:rsidR="00CB12A0">
        <w:tc>
          <w:tcPr>
            <w:tcW w:w="5220" w:type="dxa"/>
            <w:vAlign w:val="center"/>
          </w:tcPr>
          <w:p w:rsidR="00CB12A0" w:rsidRDefault="00F31863">
            <w:pPr>
              <w:jc w:val="left"/>
            </w:pPr>
            <w:r>
              <w:rPr>
                <w:color w:val="000000"/>
                <w:sz w:val="24"/>
              </w:rPr>
              <w:t>交银施罗德资产管理有限公司</w:t>
            </w:r>
          </w:p>
        </w:tc>
        <w:tc>
          <w:tcPr>
            <w:tcW w:w="3780" w:type="dxa"/>
            <w:vAlign w:val="center"/>
          </w:tcPr>
          <w:p w:rsidR="00CB12A0" w:rsidRDefault="00F31863">
            <w:pPr>
              <w:jc w:val="center"/>
            </w:pPr>
            <w:r>
              <w:rPr>
                <w:color w:val="000000"/>
                <w:sz w:val="24"/>
              </w:rPr>
              <w:t>基金管理人的子公司</w:t>
            </w:r>
          </w:p>
        </w:tc>
      </w:tr>
      <w:tr w:rsidR="00CB12A0">
        <w:tc>
          <w:tcPr>
            <w:tcW w:w="5220" w:type="dxa"/>
            <w:vAlign w:val="center"/>
          </w:tcPr>
          <w:p w:rsidR="00CB12A0" w:rsidRDefault="00F31863">
            <w:pPr>
              <w:jc w:val="left"/>
            </w:pPr>
            <w:r>
              <w:rPr>
                <w:color w:val="000000"/>
                <w:sz w:val="24"/>
              </w:rPr>
              <w:t>上海直源投资管理有限公司</w:t>
            </w:r>
          </w:p>
        </w:tc>
        <w:tc>
          <w:tcPr>
            <w:tcW w:w="3780" w:type="dxa"/>
            <w:vAlign w:val="center"/>
          </w:tcPr>
          <w:p w:rsidR="00CB12A0" w:rsidRDefault="00F31863">
            <w:pPr>
              <w:jc w:val="center"/>
            </w:pPr>
            <w:r>
              <w:rPr>
                <w:color w:val="000000"/>
                <w:sz w:val="24"/>
              </w:rPr>
              <w:t>受基金管理人控制的公司</w:t>
            </w:r>
          </w:p>
        </w:tc>
      </w:tr>
      <w:tr w:rsidR="00CB12A0">
        <w:tc>
          <w:tcPr>
            <w:tcW w:w="5220" w:type="dxa"/>
            <w:vAlign w:val="center"/>
          </w:tcPr>
          <w:p w:rsidR="00CB12A0" w:rsidRDefault="00F3186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B12A0" w:rsidRDefault="00F31863">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167,827.22</w:t>
            </w:r>
          </w:p>
        </w:tc>
        <w:tc>
          <w:tcPr>
            <w:tcW w:w="2657" w:type="dxa"/>
            <w:vAlign w:val="center"/>
          </w:tcPr>
          <w:p w:rsidR="001A59F9" w:rsidRPr="00924183" w:rsidRDefault="001A59F9" w:rsidP="00924183">
            <w:pPr>
              <w:spacing w:before="29" w:line="288" w:lineRule="auto"/>
              <w:jc w:val="right"/>
              <w:rPr>
                <w:sz w:val="24"/>
              </w:rPr>
            </w:pPr>
            <w:r w:rsidRPr="00924183">
              <w:rPr>
                <w:sz w:val="24"/>
              </w:rPr>
              <w:t>258,193.62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536,092.54</w:t>
            </w:r>
          </w:p>
        </w:tc>
        <w:tc>
          <w:tcPr>
            <w:tcW w:w="2657" w:type="dxa"/>
            <w:vAlign w:val="center"/>
          </w:tcPr>
          <w:p w:rsidR="001A59F9" w:rsidRPr="00924183" w:rsidRDefault="001A59F9" w:rsidP="00924183">
            <w:pPr>
              <w:spacing w:before="29" w:line="288" w:lineRule="auto"/>
              <w:jc w:val="right"/>
              <w:rPr>
                <w:sz w:val="24"/>
              </w:rPr>
            </w:pPr>
            <w:r w:rsidRPr="00924183">
              <w:rPr>
                <w:sz w:val="24"/>
              </w:rPr>
              <w:t>533,317.91</w:t>
            </w:r>
          </w:p>
        </w:tc>
      </w:tr>
    </w:tbl>
    <w:p w:rsidR="00CB12A0" w:rsidRDefault="00F31863">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)×0.50%÷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33,565.39</w:t>
            </w:r>
          </w:p>
        </w:tc>
        <w:tc>
          <w:tcPr>
            <w:tcW w:w="2657" w:type="dxa"/>
            <w:vAlign w:val="center"/>
          </w:tcPr>
          <w:p w:rsidR="001A59F9" w:rsidRPr="00243BD8" w:rsidRDefault="001A59F9" w:rsidP="00243BD8">
            <w:pPr>
              <w:spacing w:before="29" w:line="288" w:lineRule="auto"/>
              <w:jc w:val="right"/>
              <w:rPr>
                <w:sz w:val="24"/>
              </w:rPr>
            </w:pPr>
            <w:r w:rsidRPr="00243BD8">
              <w:rPr>
                <w:sz w:val="24"/>
              </w:rPr>
              <w:t>51,638.71</w:t>
            </w:r>
          </w:p>
        </w:tc>
      </w:tr>
    </w:tbl>
    <w:p w:rsidR="00CB12A0" w:rsidRDefault="00F31863">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 xml:space="preserve">)×0.10%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CB12A0" w:rsidRDefault="00CB12A0">
      <w:pPr>
        <w:tabs>
          <w:tab w:val="left" w:pos="426"/>
        </w:tabs>
        <w:spacing w:before="29" w:line="288" w:lineRule="auto"/>
        <w:jc w:val="left"/>
        <w:rPr>
          <w:kern w:val="0"/>
          <w:sz w:val="24"/>
        </w:rPr>
      </w:pP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CB12A0">
        <w:tc>
          <w:tcPr>
            <w:tcW w:w="1701" w:type="dxa"/>
            <w:vAlign w:val="center"/>
          </w:tcPr>
          <w:p w:rsidR="00CB12A0" w:rsidRDefault="00F31863">
            <w:pPr>
              <w:jc w:val="left"/>
            </w:pPr>
            <w:r>
              <w:rPr>
                <w:color w:val="000000"/>
                <w:szCs w:val="21"/>
              </w:rPr>
              <w:t>中国农业银行</w:t>
            </w:r>
          </w:p>
        </w:tc>
        <w:tc>
          <w:tcPr>
            <w:tcW w:w="1985" w:type="dxa"/>
            <w:vAlign w:val="center"/>
          </w:tcPr>
          <w:p w:rsidR="00CB12A0" w:rsidRDefault="00F31863">
            <w:pPr>
              <w:jc w:val="right"/>
            </w:pPr>
            <w:r>
              <w:rPr>
                <w:color w:val="000000"/>
                <w:szCs w:val="21"/>
              </w:rPr>
              <w:t>28,181,101.32</w:t>
            </w:r>
          </w:p>
        </w:tc>
        <w:tc>
          <w:tcPr>
            <w:tcW w:w="1701" w:type="dxa"/>
            <w:vAlign w:val="center"/>
          </w:tcPr>
          <w:p w:rsidR="00CB12A0" w:rsidRDefault="00F31863">
            <w:pPr>
              <w:jc w:val="right"/>
            </w:pPr>
            <w:r>
              <w:rPr>
                <w:color w:val="000000"/>
                <w:szCs w:val="21"/>
              </w:rPr>
              <w:t>198,422.48</w:t>
            </w:r>
          </w:p>
        </w:tc>
        <w:tc>
          <w:tcPr>
            <w:tcW w:w="1843" w:type="dxa"/>
            <w:vAlign w:val="center"/>
          </w:tcPr>
          <w:p w:rsidR="00CB12A0" w:rsidRDefault="00F31863">
            <w:pPr>
              <w:jc w:val="right"/>
            </w:pPr>
            <w:r>
              <w:rPr>
                <w:color w:val="000000"/>
                <w:szCs w:val="21"/>
              </w:rPr>
              <w:t>28,857,105.82</w:t>
            </w:r>
          </w:p>
        </w:tc>
        <w:tc>
          <w:tcPr>
            <w:tcW w:w="1768" w:type="dxa"/>
            <w:vAlign w:val="center"/>
          </w:tcPr>
          <w:p w:rsidR="00CB12A0" w:rsidRDefault="00F31863">
            <w:pPr>
              <w:jc w:val="right"/>
            </w:pPr>
            <w:r>
              <w:rPr>
                <w:color w:val="000000"/>
                <w:szCs w:val="21"/>
              </w:rPr>
              <w:t>274,910.91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376,424,699.00</w:t>
      </w:r>
      <w:r w:rsidRPr="00A22283">
        <w:rPr>
          <w:color w:val="000000"/>
          <w:sz w:val="24"/>
        </w:rPr>
        <w:t>份目标</w:t>
      </w:r>
      <w:r w:rsidRPr="00A22283">
        <w:rPr>
          <w:color w:val="000000"/>
          <w:sz w:val="24"/>
        </w:rPr>
        <w:t>ETF</w:t>
      </w:r>
      <w:r w:rsidRPr="00A22283">
        <w:rPr>
          <w:color w:val="000000"/>
          <w:sz w:val="24"/>
        </w:rPr>
        <w:t>基金份额，占其份额的比例为</w:t>
      </w:r>
      <w:r w:rsidRPr="00A22283">
        <w:rPr>
          <w:color w:val="000000"/>
          <w:sz w:val="24"/>
        </w:rPr>
        <w:t>93.52%(2016</w:t>
      </w:r>
      <w:r w:rsidRPr="00A22283">
        <w:rPr>
          <w:color w:val="000000"/>
          <w:sz w:val="24"/>
        </w:rPr>
        <w:t>年：持有</w:t>
      </w:r>
      <w:r w:rsidRPr="00A22283">
        <w:rPr>
          <w:color w:val="000000"/>
          <w:sz w:val="24"/>
        </w:rPr>
        <w:t>479,424,699.00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92.10%)</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CB12A0">
        <w:tc>
          <w:tcPr>
            <w:tcW w:w="616" w:type="dxa"/>
            <w:vAlign w:val="center"/>
          </w:tcPr>
          <w:p w:rsidR="00CB12A0" w:rsidRDefault="00F31863">
            <w:pPr>
              <w:jc w:val="center"/>
            </w:pPr>
            <w:r>
              <w:rPr>
                <w:sz w:val="18"/>
                <w:szCs w:val="18"/>
              </w:rPr>
              <w:t>600309</w:t>
            </w:r>
          </w:p>
        </w:tc>
        <w:tc>
          <w:tcPr>
            <w:tcW w:w="686" w:type="dxa"/>
            <w:vAlign w:val="center"/>
          </w:tcPr>
          <w:p w:rsidR="00CB12A0" w:rsidRDefault="00F31863">
            <w:pPr>
              <w:jc w:val="center"/>
            </w:pPr>
            <w:r>
              <w:rPr>
                <w:sz w:val="18"/>
                <w:szCs w:val="18"/>
              </w:rPr>
              <w:t>万华化学</w:t>
            </w:r>
          </w:p>
        </w:tc>
        <w:tc>
          <w:tcPr>
            <w:tcW w:w="742" w:type="dxa"/>
            <w:vAlign w:val="center"/>
          </w:tcPr>
          <w:p w:rsidR="00CB12A0" w:rsidRDefault="00F31863">
            <w:pPr>
              <w:jc w:val="center"/>
            </w:pPr>
            <w:r>
              <w:rPr>
                <w:sz w:val="18"/>
                <w:szCs w:val="18"/>
              </w:rPr>
              <w:t>2017-12-05</w:t>
            </w:r>
          </w:p>
        </w:tc>
        <w:tc>
          <w:tcPr>
            <w:tcW w:w="798" w:type="dxa"/>
            <w:vAlign w:val="center"/>
          </w:tcPr>
          <w:p w:rsidR="00CB12A0" w:rsidRDefault="00F31863">
            <w:pPr>
              <w:jc w:val="center"/>
            </w:pPr>
            <w:r>
              <w:rPr>
                <w:sz w:val="18"/>
                <w:szCs w:val="18"/>
              </w:rPr>
              <w:t>重大事项</w:t>
            </w:r>
          </w:p>
        </w:tc>
        <w:tc>
          <w:tcPr>
            <w:tcW w:w="798" w:type="dxa"/>
            <w:vAlign w:val="center"/>
          </w:tcPr>
          <w:p w:rsidR="00CB12A0" w:rsidRDefault="00F31863">
            <w:pPr>
              <w:jc w:val="center"/>
            </w:pPr>
            <w:r>
              <w:rPr>
                <w:sz w:val="18"/>
                <w:szCs w:val="18"/>
              </w:rPr>
              <w:t>37.94</w:t>
            </w:r>
          </w:p>
        </w:tc>
        <w:tc>
          <w:tcPr>
            <w:tcW w:w="686" w:type="dxa"/>
            <w:vAlign w:val="center"/>
          </w:tcPr>
          <w:p w:rsidR="00CB12A0" w:rsidRDefault="00F31863">
            <w:pPr>
              <w:jc w:val="center"/>
            </w:pPr>
            <w:r>
              <w:rPr>
                <w:sz w:val="18"/>
                <w:szCs w:val="18"/>
              </w:rPr>
              <w:t>-</w:t>
            </w:r>
          </w:p>
        </w:tc>
        <w:tc>
          <w:tcPr>
            <w:tcW w:w="658" w:type="dxa"/>
            <w:vAlign w:val="center"/>
          </w:tcPr>
          <w:p w:rsidR="00CB12A0" w:rsidRDefault="00F31863">
            <w:pPr>
              <w:jc w:val="center"/>
            </w:pPr>
            <w:r>
              <w:rPr>
                <w:sz w:val="18"/>
                <w:szCs w:val="18"/>
              </w:rPr>
              <w:t>-</w:t>
            </w:r>
          </w:p>
        </w:tc>
        <w:tc>
          <w:tcPr>
            <w:tcW w:w="1049" w:type="dxa"/>
            <w:vAlign w:val="center"/>
          </w:tcPr>
          <w:p w:rsidR="00CB12A0" w:rsidRDefault="00F31863">
            <w:pPr>
              <w:jc w:val="center"/>
            </w:pPr>
            <w:r>
              <w:rPr>
                <w:sz w:val="18"/>
                <w:szCs w:val="18"/>
              </w:rPr>
              <w:t>5,800</w:t>
            </w:r>
          </w:p>
        </w:tc>
        <w:tc>
          <w:tcPr>
            <w:tcW w:w="1218" w:type="dxa"/>
            <w:vAlign w:val="center"/>
          </w:tcPr>
          <w:p w:rsidR="00CB12A0" w:rsidRDefault="00F31863">
            <w:pPr>
              <w:jc w:val="center"/>
            </w:pPr>
            <w:r>
              <w:rPr>
                <w:sz w:val="18"/>
                <w:szCs w:val="18"/>
              </w:rPr>
              <w:t>223,244.00</w:t>
            </w:r>
          </w:p>
        </w:tc>
        <w:tc>
          <w:tcPr>
            <w:tcW w:w="1160" w:type="dxa"/>
            <w:vAlign w:val="center"/>
          </w:tcPr>
          <w:p w:rsidR="00CB12A0" w:rsidRDefault="00F31863">
            <w:pPr>
              <w:jc w:val="center"/>
            </w:pPr>
            <w:r>
              <w:rPr>
                <w:sz w:val="18"/>
                <w:szCs w:val="18"/>
              </w:rPr>
              <w:t>220,052.00</w:t>
            </w:r>
          </w:p>
        </w:tc>
        <w:tc>
          <w:tcPr>
            <w:tcW w:w="601" w:type="dxa"/>
            <w:vAlign w:val="center"/>
          </w:tcPr>
          <w:p w:rsidR="00CB12A0" w:rsidRDefault="00F31863">
            <w:pPr>
              <w:jc w:val="center"/>
            </w:pPr>
            <w:r>
              <w:rPr>
                <w:sz w:val="18"/>
                <w:szCs w:val="18"/>
              </w:rPr>
              <w:t>-</w:t>
            </w:r>
          </w:p>
        </w:tc>
      </w:tr>
      <w:tr w:rsidR="00CB12A0">
        <w:tc>
          <w:tcPr>
            <w:tcW w:w="616" w:type="dxa"/>
            <w:vAlign w:val="center"/>
          </w:tcPr>
          <w:p w:rsidR="00CB12A0" w:rsidRDefault="00F31863">
            <w:pPr>
              <w:jc w:val="center"/>
            </w:pPr>
            <w:r>
              <w:rPr>
                <w:sz w:val="18"/>
                <w:szCs w:val="18"/>
              </w:rPr>
              <w:t>600332</w:t>
            </w:r>
          </w:p>
        </w:tc>
        <w:tc>
          <w:tcPr>
            <w:tcW w:w="686" w:type="dxa"/>
            <w:vAlign w:val="center"/>
          </w:tcPr>
          <w:p w:rsidR="00CB12A0" w:rsidRDefault="00F31863">
            <w:pPr>
              <w:jc w:val="center"/>
            </w:pPr>
            <w:r>
              <w:rPr>
                <w:sz w:val="18"/>
                <w:szCs w:val="18"/>
              </w:rPr>
              <w:t>白云山</w:t>
            </w:r>
          </w:p>
        </w:tc>
        <w:tc>
          <w:tcPr>
            <w:tcW w:w="742" w:type="dxa"/>
            <w:vAlign w:val="center"/>
          </w:tcPr>
          <w:p w:rsidR="00CB12A0" w:rsidRDefault="00F31863">
            <w:pPr>
              <w:jc w:val="center"/>
            </w:pPr>
            <w:r>
              <w:rPr>
                <w:sz w:val="18"/>
                <w:szCs w:val="18"/>
              </w:rPr>
              <w:t>2017-10-31</w:t>
            </w:r>
          </w:p>
        </w:tc>
        <w:tc>
          <w:tcPr>
            <w:tcW w:w="798" w:type="dxa"/>
            <w:vAlign w:val="center"/>
          </w:tcPr>
          <w:p w:rsidR="00CB12A0" w:rsidRDefault="00F31863">
            <w:pPr>
              <w:jc w:val="center"/>
            </w:pPr>
            <w:r>
              <w:rPr>
                <w:sz w:val="18"/>
                <w:szCs w:val="18"/>
              </w:rPr>
              <w:t>重大事项</w:t>
            </w:r>
          </w:p>
        </w:tc>
        <w:tc>
          <w:tcPr>
            <w:tcW w:w="798" w:type="dxa"/>
            <w:vAlign w:val="center"/>
          </w:tcPr>
          <w:p w:rsidR="00CB12A0" w:rsidRDefault="00F31863">
            <w:pPr>
              <w:jc w:val="center"/>
            </w:pPr>
            <w:r>
              <w:rPr>
                <w:sz w:val="18"/>
                <w:szCs w:val="18"/>
              </w:rPr>
              <w:t>32.14</w:t>
            </w:r>
          </w:p>
        </w:tc>
        <w:tc>
          <w:tcPr>
            <w:tcW w:w="686" w:type="dxa"/>
            <w:vAlign w:val="center"/>
          </w:tcPr>
          <w:p w:rsidR="00CB12A0" w:rsidRDefault="00F31863">
            <w:pPr>
              <w:jc w:val="center"/>
            </w:pPr>
            <w:r>
              <w:rPr>
                <w:sz w:val="18"/>
                <w:szCs w:val="18"/>
              </w:rPr>
              <w:t>2018-01-08</w:t>
            </w:r>
          </w:p>
        </w:tc>
        <w:tc>
          <w:tcPr>
            <w:tcW w:w="658" w:type="dxa"/>
            <w:vAlign w:val="center"/>
          </w:tcPr>
          <w:p w:rsidR="00CB12A0" w:rsidRDefault="00F31863">
            <w:pPr>
              <w:jc w:val="center"/>
            </w:pPr>
            <w:r>
              <w:rPr>
                <w:sz w:val="18"/>
                <w:szCs w:val="18"/>
              </w:rPr>
              <w:t>30.15</w:t>
            </w:r>
          </w:p>
        </w:tc>
        <w:tc>
          <w:tcPr>
            <w:tcW w:w="1049" w:type="dxa"/>
            <w:vAlign w:val="center"/>
          </w:tcPr>
          <w:p w:rsidR="00CB12A0" w:rsidRDefault="00F31863">
            <w:pPr>
              <w:jc w:val="center"/>
            </w:pPr>
            <w:r>
              <w:rPr>
                <w:sz w:val="18"/>
                <w:szCs w:val="18"/>
              </w:rPr>
              <w:t>3,300</w:t>
            </w:r>
          </w:p>
        </w:tc>
        <w:tc>
          <w:tcPr>
            <w:tcW w:w="1218" w:type="dxa"/>
            <w:vAlign w:val="center"/>
          </w:tcPr>
          <w:p w:rsidR="00CB12A0" w:rsidRDefault="00F31863">
            <w:pPr>
              <w:jc w:val="center"/>
            </w:pPr>
            <w:r>
              <w:rPr>
                <w:sz w:val="18"/>
                <w:szCs w:val="18"/>
              </w:rPr>
              <w:t>106,128.00</w:t>
            </w:r>
          </w:p>
        </w:tc>
        <w:tc>
          <w:tcPr>
            <w:tcW w:w="1160" w:type="dxa"/>
            <w:vAlign w:val="center"/>
          </w:tcPr>
          <w:p w:rsidR="00CB12A0" w:rsidRDefault="00F31863">
            <w:pPr>
              <w:jc w:val="center"/>
            </w:pPr>
            <w:r>
              <w:rPr>
                <w:sz w:val="18"/>
                <w:szCs w:val="18"/>
              </w:rPr>
              <w:t>106,062.00</w:t>
            </w:r>
          </w:p>
        </w:tc>
        <w:tc>
          <w:tcPr>
            <w:tcW w:w="601" w:type="dxa"/>
            <w:vAlign w:val="center"/>
          </w:tcPr>
          <w:p w:rsidR="00CB12A0" w:rsidRDefault="00F31863">
            <w:pPr>
              <w:jc w:val="center"/>
            </w:pPr>
            <w:r>
              <w:rPr>
                <w:sz w:val="18"/>
                <w:szCs w:val="18"/>
              </w:rPr>
              <w:t>-</w:t>
            </w:r>
          </w:p>
        </w:tc>
      </w:tr>
      <w:tr w:rsidR="00CB12A0">
        <w:tc>
          <w:tcPr>
            <w:tcW w:w="616" w:type="dxa"/>
            <w:vAlign w:val="center"/>
          </w:tcPr>
          <w:p w:rsidR="00CB12A0" w:rsidRDefault="00F31863">
            <w:pPr>
              <w:jc w:val="center"/>
            </w:pPr>
            <w:r>
              <w:rPr>
                <w:sz w:val="18"/>
                <w:szCs w:val="18"/>
              </w:rPr>
              <w:t>600645</w:t>
            </w:r>
          </w:p>
        </w:tc>
        <w:tc>
          <w:tcPr>
            <w:tcW w:w="686" w:type="dxa"/>
            <w:vAlign w:val="center"/>
          </w:tcPr>
          <w:p w:rsidR="00CB12A0" w:rsidRDefault="00F31863">
            <w:pPr>
              <w:jc w:val="center"/>
            </w:pPr>
            <w:r>
              <w:rPr>
                <w:sz w:val="18"/>
                <w:szCs w:val="18"/>
              </w:rPr>
              <w:t>中源协和</w:t>
            </w:r>
          </w:p>
        </w:tc>
        <w:tc>
          <w:tcPr>
            <w:tcW w:w="742" w:type="dxa"/>
            <w:vAlign w:val="center"/>
          </w:tcPr>
          <w:p w:rsidR="00CB12A0" w:rsidRDefault="00F31863">
            <w:pPr>
              <w:jc w:val="center"/>
            </w:pPr>
            <w:r>
              <w:rPr>
                <w:sz w:val="18"/>
                <w:szCs w:val="18"/>
              </w:rPr>
              <w:t>2017-10-09</w:t>
            </w:r>
          </w:p>
        </w:tc>
        <w:tc>
          <w:tcPr>
            <w:tcW w:w="798" w:type="dxa"/>
            <w:vAlign w:val="center"/>
          </w:tcPr>
          <w:p w:rsidR="00CB12A0" w:rsidRDefault="00F31863">
            <w:pPr>
              <w:jc w:val="center"/>
            </w:pPr>
            <w:r>
              <w:rPr>
                <w:sz w:val="18"/>
                <w:szCs w:val="18"/>
              </w:rPr>
              <w:t>重大事项</w:t>
            </w:r>
          </w:p>
        </w:tc>
        <w:tc>
          <w:tcPr>
            <w:tcW w:w="798" w:type="dxa"/>
            <w:vAlign w:val="center"/>
          </w:tcPr>
          <w:p w:rsidR="00CB12A0" w:rsidRDefault="00F31863">
            <w:pPr>
              <w:jc w:val="center"/>
            </w:pPr>
            <w:r>
              <w:rPr>
                <w:sz w:val="18"/>
                <w:szCs w:val="18"/>
              </w:rPr>
              <w:t>28.40</w:t>
            </w:r>
          </w:p>
        </w:tc>
        <w:tc>
          <w:tcPr>
            <w:tcW w:w="686" w:type="dxa"/>
            <w:vAlign w:val="center"/>
          </w:tcPr>
          <w:p w:rsidR="00CB12A0" w:rsidRDefault="00F31863">
            <w:pPr>
              <w:jc w:val="center"/>
            </w:pPr>
            <w:r>
              <w:rPr>
                <w:sz w:val="18"/>
                <w:szCs w:val="18"/>
              </w:rPr>
              <w:t>2018-01-19</w:t>
            </w:r>
          </w:p>
        </w:tc>
        <w:tc>
          <w:tcPr>
            <w:tcW w:w="658" w:type="dxa"/>
            <w:vAlign w:val="center"/>
          </w:tcPr>
          <w:p w:rsidR="00CB12A0" w:rsidRDefault="00F31863">
            <w:pPr>
              <w:jc w:val="center"/>
            </w:pPr>
            <w:r>
              <w:rPr>
                <w:sz w:val="18"/>
                <w:szCs w:val="18"/>
              </w:rPr>
              <w:t>25.56</w:t>
            </w:r>
          </w:p>
        </w:tc>
        <w:tc>
          <w:tcPr>
            <w:tcW w:w="1049" w:type="dxa"/>
            <w:vAlign w:val="center"/>
          </w:tcPr>
          <w:p w:rsidR="00CB12A0" w:rsidRDefault="00F31863">
            <w:pPr>
              <w:jc w:val="center"/>
            </w:pPr>
            <w:r>
              <w:rPr>
                <w:sz w:val="18"/>
                <w:szCs w:val="18"/>
              </w:rPr>
              <w:t>2,800</w:t>
            </w:r>
          </w:p>
        </w:tc>
        <w:tc>
          <w:tcPr>
            <w:tcW w:w="1218" w:type="dxa"/>
            <w:vAlign w:val="center"/>
          </w:tcPr>
          <w:p w:rsidR="00CB12A0" w:rsidRDefault="00F31863">
            <w:pPr>
              <w:jc w:val="center"/>
            </w:pPr>
            <w:r>
              <w:rPr>
                <w:sz w:val="18"/>
                <w:szCs w:val="18"/>
              </w:rPr>
              <w:t>77,854.17</w:t>
            </w:r>
          </w:p>
        </w:tc>
        <w:tc>
          <w:tcPr>
            <w:tcW w:w="1160" w:type="dxa"/>
            <w:vAlign w:val="center"/>
          </w:tcPr>
          <w:p w:rsidR="00CB12A0" w:rsidRDefault="00F31863">
            <w:pPr>
              <w:jc w:val="center"/>
            </w:pPr>
            <w:r>
              <w:rPr>
                <w:sz w:val="18"/>
                <w:szCs w:val="18"/>
              </w:rPr>
              <w:t>79,520.00</w:t>
            </w:r>
          </w:p>
        </w:tc>
        <w:tc>
          <w:tcPr>
            <w:tcW w:w="601" w:type="dxa"/>
            <w:vAlign w:val="center"/>
          </w:tcPr>
          <w:p w:rsidR="00CB12A0" w:rsidRDefault="00F31863">
            <w:pPr>
              <w:jc w:val="center"/>
            </w:pPr>
            <w:r>
              <w:rPr>
                <w:sz w:val="18"/>
                <w:szCs w:val="18"/>
              </w:rPr>
              <w:t>-</w:t>
            </w:r>
          </w:p>
        </w:tc>
      </w:tr>
      <w:tr w:rsidR="00CB12A0">
        <w:tc>
          <w:tcPr>
            <w:tcW w:w="616" w:type="dxa"/>
            <w:vAlign w:val="center"/>
          </w:tcPr>
          <w:p w:rsidR="00CB12A0" w:rsidRDefault="00F31863">
            <w:pPr>
              <w:jc w:val="center"/>
            </w:pPr>
            <w:r>
              <w:rPr>
                <w:sz w:val="18"/>
                <w:szCs w:val="18"/>
              </w:rPr>
              <w:t>600685</w:t>
            </w:r>
          </w:p>
        </w:tc>
        <w:tc>
          <w:tcPr>
            <w:tcW w:w="686" w:type="dxa"/>
            <w:vAlign w:val="center"/>
          </w:tcPr>
          <w:p w:rsidR="00CB12A0" w:rsidRDefault="00F31863">
            <w:pPr>
              <w:jc w:val="center"/>
            </w:pPr>
            <w:r>
              <w:rPr>
                <w:sz w:val="18"/>
                <w:szCs w:val="18"/>
              </w:rPr>
              <w:t>中船防务</w:t>
            </w:r>
          </w:p>
        </w:tc>
        <w:tc>
          <w:tcPr>
            <w:tcW w:w="742" w:type="dxa"/>
            <w:vAlign w:val="center"/>
          </w:tcPr>
          <w:p w:rsidR="00CB12A0" w:rsidRDefault="00F31863">
            <w:pPr>
              <w:jc w:val="center"/>
            </w:pPr>
            <w:r>
              <w:rPr>
                <w:sz w:val="18"/>
                <w:szCs w:val="18"/>
              </w:rPr>
              <w:t>2017-09-27</w:t>
            </w:r>
          </w:p>
        </w:tc>
        <w:tc>
          <w:tcPr>
            <w:tcW w:w="798" w:type="dxa"/>
            <w:vAlign w:val="center"/>
          </w:tcPr>
          <w:p w:rsidR="00CB12A0" w:rsidRDefault="00F31863">
            <w:pPr>
              <w:jc w:val="center"/>
            </w:pPr>
            <w:r>
              <w:rPr>
                <w:sz w:val="18"/>
                <w:szCs w:val="18"/>
              </w:rPr>
              <w:t>重大事项</w:t>
            </w:r>
          </w:p>
        </w:tc>
        <w:tc>
          <w:tcPr>
            <w:tcW w:w="798" w:type="dxa"/>
            <w:vAlign w:val="center"/>
          </w:tcPr>
          <w:p w:rsidR="00CB12A0" w:rsidRDefault="00F31863">
            <w:pPr>
              <w:jc w:val="center"/>
            </w:pPr>
            <w:r>
              <w:rPr>
                <w:sz w:val="18"/>
                <w:szCs w:val="18"/>
              </w:rPr>
              <w:t>26.66</w:t>
            </w:r>
          </w:p>
        </w:tc>
        <w:tc>
          <w:tcPr>
            <w:tcW w:w="686" w:type="dxa"/>
            <w:vAlign w:val="center"/>
          </w:tcPr>
          <w:p w:rsidR="00CB12A0" w:rsidRDefault="00F31863">
            <w:pPr>
              <w:jc w:val="center"/>
            </w:pPr>
            <w:r>
              <w:rPr>
                <w:sz w:val="18"/>
                <w:szCs w:val="18"/>
              </w:rPr>
              <w:t>2018-03-21</w:t>
            </w:r>
          </w:p>
        </w:tc>
        <w:tc>
          <w:tcPr>
            <w:tcW w:w="658" w:type="dxa"/>
            <w:vAlign w:val="center"/>
          </w:tcPr>
          <w:p w:rsidR="00CB12A0" w:rsidRDefault="00F31863">
            <w:pPr>
              <w:jc w:val="center"/>
            </w:pPr>
            <w:r>
              <w:rPr>
                <w:sz w:val="18"/>
                <w:szCs w:val="18"/>
              </w:rPr>
              <w:t>24.05</w:t>
            </w:r>
          </w:p>
        </w:tc>
        <w:tc>
          <w:tcPr>
            <w:tcW w:w="1049" w:type="dxa"/>
            <w:vAlign w:val="center"/>
          </w:tcPr>
          <w:p w:rsidR="00CB12A0" w:rsidRDefault="00F31863">
            <w:pPr>
              <w:jc w:val="center"/>
            </w:pPr>
            <w:r>
              <w:rPr>
                <w:sz w:val="18"/>
                <w:szCs w:val="18"/>
              </w:rPr>
              <w:t>3,800</w:t>
            </w:r>
          </w:p>
        </w:tc>
        <w:tc>
          <w:tcPr>
            <w:tcW w:w="1218" w:type="dxa"/>
            <w:vAlign w:val="center"/>
          </w:tcPr>
          <w:p w:rsidR="00CB12A0" w:rsidRDefault="00F31863">
            <w:pPr>
              <w:jc w:val="center"/>
            </w:pPr>
            <w:r>
              <w:rPr>
                <w:sz w:val="18"/>
                <w:szCs w:val="18"/>
              </w:rPr>
              <w:t>101,380.41</w:t>
            </w:r>
          </w:p>
        </w:tc>
        <w:tc>
          <w:tcPr>
            <w:tcW w:w="1160" w:type="dxa"/>
            <w:vAlign w:val="center"/>
          </w:tcPr>
          <w:p w:rsidR="00CB12A0" w:rsidRDefault="00F31863">
            <w:pPr>
              <w:jc w:val="center"/>
            </w:pPr>
            <w:r>
              <w:rPr>
                <w:sz w:val="18"/>
                <w:szCs w:val="18"/>
              </w:rPr>
              <w:t>101,308.00</w:t>
            </w:r>
          </w:p>
        </w:tc>
        <w:tc>
          <w:tcPr>
            <w:tcW w:w="601" w:type="dxa"/>
            <w:vAlign w:val="center"/>
          </w:tcPr>
          <w:p w:rsidR="00CB12A0" w:rsidRDefault="00F31863">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CB12A0" w:rsidRDefault="00F31863">
      <w:pPr>
        <w:spacing w:before="29" w:line="288" w:lineRule="auto"/>
        <w:ind w:firstLineChars="200" w:firstLine="480"/>
        <w:rPr>
          <w:color w:val="000000"/>
          <w:sz w:val="24"/>
        </w:rPr>
      </w:pPr>
      <w:r>
        <w:rPr>
          <w:color w:val="000000"/>
          <w:sz w:val="24"/>
        </w:rPr>
        <w:t xml:space="preserve">(1) </w:t>
      </w:r>
      <w:r>
        <w:rPr>
          <w:color w:val="000000"/>
          <w:sz w:val="24"/>
        </w:rPr>
        <w:t>公允价值</w:t>
      </w:r>
    </w:p>
    <w:p w:rsidR="00CB12A0" w:rsidRDefault="00F3186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B12A0" w:rsidRDefault="00F3186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B12A0" w:rsidRDefault="00F31863">
      <w:pPr>
        <w:spacing w:before="29" w:line="288" w:lineRule="auto"/>
        <w:ind w:firstLineChars="200" w:firstLine="480"/>
        <w:rPr>
          <w:color w:val="000000"/>
          <w:sz w:val="24"/>
        </w:rPr>
      </w:pPr>
      <w:r>
        <w:rPr>
          <w:color w:val="000000"/>
          <w:sz w:val="24"/>
        </w:rPr>
        <w:t>第一层次：相同资产或负债在活跃市场上未经调整的报价。</w:t>
      </w:r>
    </w:p>
    <w:p w:rsidR="00CB12A0" w:rsidRDefault="00F3186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B12A0" w:rsidRDefault="00F31863">
      <w:pPr>
        <w:spacing w:before="29" w:line="288" w:lineRule="auto"/>
        <w:ind w:firstLineChars="200" w:firstLine="480"/>
        <w:rPr>
          <w:color w:val="000000"/>
          <w:sz w:val="24"/>
        </w:rPr>
      </w:pPr>
      <w:r>
        <w:rPr>
          <w:color w:val="000000"/>
          <w:sz w:val="24"/>
        </w:rPr>
        <w:t>第三层次：相关资产或负债的不可观察输入值。</w:t>
      </w:r>
    </w:p>
    <w:p w:rsidR="00CB12A0" w:rsidRDefault="00F3186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B12A0" w:rsidRDefault="00F3186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F737A" w:rsidRDefault="00FF737A">
      <w:pPr>
        <w:spacing w:before="29" w:line="288" w:lineRule="auto"/>
        <w:ind w:firstLineChars="200" w:firstLine="480"/>
        <w:rPr>
          <w:color w:val="000000"/>
          <w:sz w:val="24"/>
        </w:rPr>
      </w:pPr>
      <w:r w:rsidRPr="00FF737A">
        <w:rPr>
          <w:rFonts w:hint="eastAsia"/>
          <w:color w:val="000000"/>
          <w:sz w:val="24"/>
        </w:rPr>
        <w:t>于</w:t>
      </w:r>
      <w:r w:rsidRPr="00FF737A">
        <w:rPr>
          <w:rFonts w:hint="eastAsia"/>
          <w:color w:val="000000"/>
          <w:sz w:val="24"/>
        </w:rPr>
        <w:t>2017</w:t>
      </w:r>
      <w:r w:rsidRPr="00FF737A">
        <w:rPr>
          <w:rFonts w:hint="eastAsia"/>
          <w:color w:val="000000"/>
          <w:sz w:val="24"/>
        </w:rPr>
        <w:t>年</w:t>
      </w:r>
      <w:r w:rsidRPr="00FF737A">
        <w:rPr>
          <w:rFonts w:hint="eastAsia"/>
          <w:color w:val="000000"/>
          <w:sz w:val="24"/>
        </w:rPr>
        <w:t>12</w:t>
      </w:r>
      <w:r w:rsidRPr="00FF737A">
        <w:rPr>
          <w:rFonts w:hint="eastAsia"/>
          <w:color w:val="000000"/>
          <w:sz w:val="24"/>
        </w:rPr>
        <w:t>月</w:t>
      </w:r>
      <w:r w:rsidRPr="00FF737A">
        <w:rPr>
          <w:rFonts w:hint="eastAsia"/>
          <w:color w:val="000000"/>
          <w:sz w:val="24"/>
        </w:rPr>
        <w:t>31</w:t>
      </w:r>
      <w:r w:rsidRPr="00FF737A">
        <w:rPr>
          <w:rFonts w:hint="eastAsia"/>
          <w:color w:val="000000"/>
          <w:sz w:val="24"/>
        </w:rPr>
        <w:t>日，本基金持有的以公允价值计量且其变动计入当期损益的金融资产中属于第一层次的余额为</w:t>
      </w:r>
      <w:r w:rsidRPr="00FF737A">
        <w:rPr>
          <w:rFonts w:hint="eastAsia"/>
          <w:color w:val="000000"/>
          <w:sz w:val="24"/>
        </w:rPr>
        <w:t xml:space="preserve">456,257,175.95 </w:t>
      </w:r>
      <w:r w:rsidRPr="00FF737A">
        <w:rPr>
          <w:rFonts w:hint="eastAsia"/>
          <w:color w:val="000000"/>
          <w:sz w:val="24"/>
        </w:rPr>
        <w:t>元，属于第二层次的余额为</w:t>
      </w:r>
      <w:r w:rsidRPr="00FF737A">
        <w:rPr>
          <w:rFonts w:hint="eastAsia"/>
          <w:color w:val="000000"/>
          <w:sz w:val="24"/>
        </w:rPr>
        <w:t>506,942.00</w:t>
      </w:r>
      <w:r w:rsidRPr="00FF737A">
        <w:rPr>
          <w:rFonts w:hint="eastAsia"/>
          <w:color w:val="000000"/>
          <w:sz w:val="24"/>
        </w:rPr>
        <w:t>元，无属于第三层次的余额</w:t>
      </w:r>
      <w:r w:rsidRPr="00FF737A">
        <w:rPr>
          <w:rFonts w:hint="eastAsia"/>
          <w:color w:val="000000"/>
          <w:sz w:val="24"/>
        </w:rPr>
        <w:t>(2016</w:t>
      </w:r>
      <w:r w:rsidRPr="00FF737A">
        <w:rPr>
          <w:rFonts w:hint="eastAsia"/>
          <w:color w:val="000000"/>
          <w:sz w:val="24"/>
        </w:rPr>
        <w:t>年</w:t>
      </w:r>
      <w:r w:rsidRPr="00FF737A">
        <w:rPr>
          <w:rFonts w:hint="eastAsia"/>
          <w:color w:val="000000"/>
          <w:sz w:val="24"/>
        </w:rPr>
        <w:t>12</w:t>
      </w:r>
      <w:r w:rsidRPr="00FF737A">
        <w:rPr>
          <w:rFonts w:hint="eastAsia"/>
          <w:color w:val="000000"/>
          <w:sz w:val="24"/>
        </w:rPr>
        <w:t>月</w:t>
      </w:r>
      <w:r w:rsidRPr="00FF737A">
        <w:rPr>
          <w:rFonts w:hint="eastAsia"/>
          <w:color w:val="000000"/>
          <w:sz w:val="24"/>
        </w:rPr>
        <w:t>31</w:t>
      </w:r>
      <w:r w:rsidRPr="00FF737A">
        <w:rPr>
          <w:rFonts w:hint="eastAsia"/>
          <w:color w:val="000000"/>
          <w:sz w:val="24"/>
        </w:rPr>
        <w:t>日：第一层次</w:t>
      </w:r>
      <w:r w:rsidRPr="00FF737A">
        <w:rPr>
          <w:rFonts w:hint="eastAsia"/>
          <w:color w:val="000000"/>
          <w:sz w:val="24"/>
        </w:rPr>
        <w:t>468,050,289.13</w:t>
      </w:r>
      <w:r w:rsidRPr="00FF737A">
        <w:rPr>
          <w:rFonts w:hint="eastAsia"/>
          <w:color w:val="000000"/>
          <w:sz w:val="24"/>
        </w:rPr>
        <w:t>元，第二层次</w:t>
      </w:r>
      <w:r w:rsidRPr="00FF737A">
        <w:rPr>
          <w:rFonts w:hint="eastAsia"/>
          <w:color w:val="000000"/>
          <w:sz w:val="24"/>
        </w:rPr>
        <w:t>3,095,683.00</w:t>
      </w:r>
      <w:r w:rsidRPr="00FF737A">
        <w:rPr>
          <w:rFonts w:hint="eastAsia"/>
          <w:color w:val="000000"/>
          <w:sz w:val="24"/>
        </w:rPr>
        <w:t>元，无属于第三层次的余额</w:t>
      </w:r>
      <w:r w:rsidRPr="00FF737A">
        <w:rPr>
          <w:rFonts w:hint="eastAsia"/>
          <w:color w:val="000000"/>
          <w:sz w:val="24"/>
        </w:rPr>
        <w:t>)</w:t>
      </w:r>
      <w:r w:rsidRPr="00FF737A">
        <w:rPr>
          <w:rFonts w:hint="eastAsia"/>
          <w:color w:val="000000"/>
          <w:sz w:val="24"/>
        </w:rPr>
        <w:t>。</w:t>
      </w:r>
    </w:p>
    <w:p w:rsidR="00CB12A0" w:rsidRDefault="00F3186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B12A0" w:rsidRDefault="00F3186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B12A0" w:rsidRDefault="00F3186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B12A0" w:rsidRDefault="00F31863">
      <w:pPr>
        <w:spacing w:before="29" w:line="288" w:lineRule="auto"/>
        <w:ind w:firstLineChars="200" w:firstLine="480"/>
        <w:rPr>
          <w:color w:val="000000"/>
          <w:sz w:val="24"/>
        </w:rPr>
      </w:pPr>
      <w:r>
        <w:rPr>
          <w:color w:val="000000"/>
          <w:sz w:val="24"/>
        </w:rPr>
        <w:t>无。</w:t>
      </w:r>
    </w:p>
    <w:p w:rsidR="00CB12A0" w:rsidRDefault="00F3186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B12A0" w:rsidRDefault="00F3186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B12A0" w:rsidRDefault="00F3186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B12A0" w:rsidRDefault="00F3186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B12A0" w:rsidRDefault="00F31863">
      <w:pPr>
        <w:spacing w:before="29" w:line="288" w:lineRule="auto"/>
        <w:ind w:firstLineChars="200" w:firstLine="480"/>
        <w:rPr>
          <w:color w:val="000000"/>
          <w:sz w:val="24"/>
        </w:rPr>
      </w:pPr>
      <w:r>
        <w:rPr>
          <w:color w:val="000000"/>
          <w:sz w:val="24"/>
        </w:rPr>
        <w:t xml:space="preserve">(2) </w:t>
      </w:r>
      <w:r>
        <w:rPr>
          <w:color w:val="000000"/>
          <w:sz w:val="24"/>
        </w:rPr>
        <w:t>增值税</w:t>
      </w:r>
    </w:p>
    <w:p w:rsidR="00CB12A0" w:rsidRDefault="00F3186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CB12A0" w:rsidRDefault="00F3186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B12A0" w:rsidRDefault="00F3186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CB12A0" w:rsidRDefault="00F3186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9,195,150.84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1.90</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9,195,150.84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1.90</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447,568,967.11</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92.27</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28,181,101.32</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5.81</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132,063.54</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0.03</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485,077,282.81</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8.2</w:t>
      </w:r>
      <w:bookmarkStart w:id="65"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5"/>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CB12A0">
        <w:trPr>
          <w:jc w:val="center"/>
        </w:trPr>
        <w:tc>
          <w:tcPr>
            <w:tcW w:w="710" w:type="dxa"/>
            <w:vAlign w:val="center"/>
          </w:tcPr>
          <w:p w:rsidR="00CB12A0" w:rsidRDefault="00F31863">
            <w:pPr>
              <w:jc w:val="center"/>
            </w:pPr>
            <w:r>
              <w:rPr>
                <w:sz w:val="24"/>
              </w:rPr>
              <w:t>1</w:t>
            </w:r>
          </w:p>
        </w:tc>
        <w:tc>
          <w:tcPr>
            <w:tcW w:w="1276" w:type="dxa"/>
            <w:vAlign w:val="center"/>
          </w:tcPr>
          <w:p w:rsidR="00CB12A0" w:rsidRDefault="00F31863">
            <w:pPr>
              <w:jc w:val="center"/>
            </w:pPr>
            <w:r>
              <w:rPr>
                <w:sz w:val="24"/>
              </w:rPr>
              <w:t>上证</w:t>
            </w:r>
            <w:r>
              <w:rPr>
                <w:sz w:val="24"/>
              </w:rPr>
              <w:t>180</w:t>
            </w:r>
            <w:r>
              <w:rPr>
                <w:sz w:val="24"/>
              </w:rPr>
              <w:t>公司治理交易型开放式指数证券投资基金</w:t>
            </w:r>
          </w:p>
        </w:tc>
        <w:tc>
          <w:tcPr>
            <w:tcW w:w="1276" w:type="dxa"/>
            <w:vAlign w:val="center"/>
          </w:tcPr>
          <w:p w:rsidR="00CB12A0" w:rsidRDefault="00F31863">
            <w:pPr>
              <w:jc w:val="center"/>
            </w:pPr>
            <w:r>
              <w:rPr>
                <w:sz w:val="24"/>
              </w:rPr>
              <w:t>股票型</w:t>
            </w:r>
          </w:p>
        </w:tc>
        <w:tc>
          <w:tcPr>
            <w:tcW w:w="1134" w:type="dxa"/>
            <w:vAlign w:val="center"/>
          </w:tcPr>
          <w:p w:rsidR="00CB12A0" w:rsidRDefault="00F31863">
            <w:pPr>
              <w:jc w:val="center"/>
            </w:pPr>
            <w:r>
              <w:rPr>
                <w:sz w:val="24"/>
              </w:rPr>
              <w:t>交易型开放式</w:t>
            </w:r>
          </w:p>
        </w:tc>
        <w:tc>
          <w:tcPr>
            <w:tcW w:w="1843" w:type="dxa"/>
            <w:vAlign w:val="center"/>
          </w:tcPr>
          <w:p w:rsidR="00CB12A0" w:rsidRDefault="00F31863">
            <w:pPr>
              <w:jc w:val="center"/>
            </w:pPr>
            <w:r>
              <w:rPr>
                <w:sz w:val="24"/>
              </w:rPr>
              <w:t>交银施罗德基金管理有限公司</w:t>
            </w:r>
          </w:p>
        </w:tc>
        <w:tc>
          <w:tcPr>
            <w:tcW w:w="1701" w:type="dxa"/>
            <w:vAlign w:val="center"/>
          </w:tcPr>
          <w:p w:rsidR="00CB12A0" w:rsidRDefault="00F31863">
            <w:pPr>
              <w:jc w:val="right"/>
            </w:pPr>
            <w:r>
              <w:rPr>
                <w:sz w:val="24"/>
              </w:rPr>
              <w:t>447,568,967.11</w:t>
            </w:r>
          </w:p>
        </w:tc>
        <w:tc>
          <w:tcPr>
            <w:tcW w:w="1416" w:type="dxa"/>
            <w:vAlign w:val="center"/>
          </w:tcPr>
          <w:p w:rsidR="00CB12A0" w:rsidRDefault="00F31863">
            <w:pPr>
              <w:jc w:val="right"/>
            </w:pPr>
            <w:r>
              <w:rPr>
                <w:sz w:val="24"/>
              </w:rPr>
              <w:t>92.60</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6" w:name="_Toc225498274"/>
      <w:bookmarkStart w:id="67"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6"/>
      <w:bookmarkEnd w:id="67"/>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8.3.1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16,095.00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460,375.00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2,261,796.04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414,275.00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578,442.00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198,543.20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353,324.00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173,530.00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4,260,908.00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377,823.80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79,520.00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498.80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20,020.00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9,195,150.84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8.3.2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8"/>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CB12A0">
        <w:trPr>
          <w:jc w:val="center"/>
        </w:trPr>
        <w:tc>
          <w:tcPr>
            <w:tcW w:w="817" w:type="dxa"/>
            <w:vAlign w:val="center"/>
          </w:tcPr>
          <w:p w:rsidR="00CB12A0" w:rsidRDefault="00F31863">
            <w:pPr>
              <w:jc w:val="center"/>
            </w:pPr>
            <w:r>
              <w:rPr>
                <w:color w:val="000000"/>
                <w:sz w:val="24"/>
              </w:rPr>
              <w:t>1</w:t>
            </w:r>
          </w:p>
        </w:tc>
        <w:tc>
          <w:tcPr>
            <w:tcW w:w="1276" w:type="dxa"/>
            <w:vAlign w:val="center"/>
          </w:tcPr>
          <w:p w:rsidR="00CB12A0" w:rsidRDefault="00F31863">
            <w:pPr>
              <w:jc w:val="center"/>
            </w:pPr>
            <w:r>
              <w:rPr>
                <w:color w:val="000000"/>
                <w:sz w:val="24"/>
              </w:rPr>
              <w:t>601318</w:t>
            </w:r>
          </w:p>
        </w:tc>
        <w:tc>
          <w:tcPr>
            <w:tcW w:w="1701" w:type="dxa"/>
            <w:vAlign w:val="center"/>
          </w:tcPr>
          <w:p w:rsidR="00CB12A0" w:rsidRDefault="00F31863">
            <w:pPr>
              <w:jc w:val="center"/>
            </w:pPr>
            <w:r>
              <w:rPr>
                <w:color w:val="000000"/>
                <w:sz w:val="24"/>
              </w:rPr>
              <w:t>中国平安</w:t>
            </w:r>
          </w:p>
        </w:tc>
        <w:tc>
          <w:tcPr>
            <w:tcW w:w="1559" w:type="dxa"/>
            <w:vAlign w:val="center"/>
          </w:tcPr>
          <w:p w:rsidR="00CB12A0" w:rsidRDefault="00F31863">
            <w:pPr>
              <w:jc w:val="right"/>
            </w:pPr>
            <w:r>
              <w:rPr>
                <w:color w:val="000000"/>
                <w:sz w:val="24"/>
              </w:rPr>
              <w:t>19,400</w:t>
            </w:r>
          </w:p>
        </w:tc>
        <w:tc>
          <w:tcPr>
            <w:tcW w:w="1701" w:type="dxa"/>
            <w:vAlign w:val="center"/>
          </w:tcPr>
          <w:p w:rsidR="00CB12A0" w:rsidRDefault="00F31863">
            <w:pPr>
              <w:jc w:val="right"/>
            </w:pPr>
            <w:r>
              <w:rPr>
                <w:color w:val="000000"/>
                <w:sz w:val="24"/>
              </w:rPr>
              <w:t>1,357,612.00</w:t>
            </w:r>
          </w:p>
        </w:tc>
        <w:tc>
          <w:tcPr>
            <w:tcW w:w="1843" w:type="dxa"/>
            <w:vAlign w:val="center"/>
          </w:tcPr>
          <w:p w:rsidR="00CB12A0" w:rsidRDefault="00F31863">
            <w:pPr>
              <w:jc w:val="right"/>
            </w:pPr>
            <w:r>
              <w:rPr>
                <w:color w:val="000000"/>
                <w:sz w:val="24"/>
              </w:rPr>
              <w:t>0.28</w:t>
            </w:r>
          </w:p>
        </w:tc>
      </w:tr>
      <w:tr w:rsidR="00CB12A0">
        <w:trPr>
          <w:jc w:val="center"/>
        </w:trPr>
        <w:tc>
          <w:tcPr>
            <w:tcW w:w="817" w:type="dxa"/>
            <w:vAlign w:val="center"/>
          </w:tcPr>
          <w:p w:rsidR="00CB12A0" w:rsidRDefault="00F31863">
            <w:pPr>
              <w:jc w:val="center"/>
            </w:pPr>
            <w:r>
              <w:rPr>
                <w:color w:val="000000"/>
                <w:sz w:val="24"/>
              </w:rPr>
              <w:t>2</w:t>
            </w:r>
          </w:p>
        </w:tc>
        <w:tc>
          <w:tcPr>
            <w:tcW w:w="1276" w:type="dxa"/>
            <w:vAlign w:val="center"/>
          </w:tcPr>
          <w:p w:rsidR="00CB12A0" w:rsidRDefault="00F31863">
            <w:pPr>
              <w:jc w:val="center"/>
            </w:pPr>
            <w:r>
              <w:rPr>
                <w:color w:val="000000"/>
                <w:sz w:val="24"/>
              </w:rPr>
              <w:t>600036</w:t>
            </w:r>
          </w:p>
        </w:tc>
        <w:tc>
          <w:tcPr>
            <w:tcW w:w="1701" w:type="dxa"/>
            <w:vAlign w:val="center"/>
          </w:tcPr>
          <w:p w:rsidR="00CB12A0" w:rsidRDefault="00F31863">
            <w:pPr>
              <w:jc w:val="center"/>
            </w:pPr>
            <w:r>
              <w:rPr>
                <w:color w:val="000000"/>
                <w:sz w:val="24"/>
              </w:rPr>
              <w:t>招商银行</w:t>
            </w:r>
          </w:p>
        </w:tc>
        <w:tc>
          <w:tcPr>
            <w:tcW w:w="1559" w:type="dxa"/>
            <w:vAlign w:val="center"/>
          </w:tcPr>
          <w:p w:rsidR="00CB12A0" w:rsidRDefault="00F31863">
            <w:pPr>
              <w:jc w:val="right"/>
            </w:pPr>
            <w:r>
              <w:rPr>
                <w:color w:val="000000"/>
                <w:sz w:val="24"/>
              </w:rPr>
              <w:t>18,400</w:t>
            </w:r>
          </w:p>
        </w:tc>
        <w:tc>
          <w:tcPr>
            <w:tcW w:w="1701" w:type="dxa"/>
            <w:vAlign w:val="center"/>
          </w:tcPr>
          <w:p w:rsidR="00CB12A0" w:rsidRDefault="00F31863">
            <w:pPr>
              <w:jc w:val="right"/>
            </w:pPr>
            <w:r>
              <w:rPr>
                <w:color w:val="000000"/>
                <w:sz w:val="24"/>
              </w:rPr>
              <w:t>533,968.00</w:t>
            </w:r>
          </w:p>
        </w:tc>
        <w:tc>
          <w:tcPr>
            <w:tcW w:w="1843" w:type="dxa"/>
            <w:vAlign w:val="center"/>
          </w:tcPr>
          <w:p w:rsidR="00CB12A0" w:rsidRDefault="00F31863">
            <w:pPr>
              <w:jc w:val="right"/>
            </w:pPr>
            <w:r>
              <w:rPr>
                <w:color w:val="000000"/>
                <w:sz w:val="24"/>
              </w:rPr>
              <w:t>0.11</w:t>
            </w:r>
          </w:p>
        </w:tc>
      </w:tr>
      <w:tr w:rsidR="00CB12A0">
        <w:trPr>
          <w:jc w:val="center"/>
        </w:trPr>
        <w:tc>
          <w:tcPr>
            <w:tcW w:w="817" w:type="dxa"/>
            <w:vAlign w:val="center"/>
          </w:tcPr>
          <w:p w:rsidR="00CB12A0" w:rsidRDefault="00F31863">
            <w:pPr>
              <w:jc w:val="center"/>
            </w:pPr>
            <w:r>
              <w:rPr>
                <w:color w:val="000000"/>
                <w:sz w:val="24"/>
              </w:rPr>
              <w:t>3</w:t>
            </w:r>
          </w:p>
        </w:tc>
        <w:tc>
          <w:tcPr>
            <w:tcW w:w="1276" w:type="dxa"/>
            <w:vAlign w:val="center"/>
          </w:tcPr>
          <w:p w:rsidR="00CB12A0" w:rsidRDefault="00F31863">
            <w:pPr>
              <w:jc w:val="center"/>
            </w:pPr>
            <w:r>
              <w:rPr>
                <w:color w:val="000000"/>
                <w:sz w:val="24"/>
              </w:rPr>
              <w:t>601166</w:t>
            </w:r>
          </w:p>
        </w:tc>
        <w:tc>
          <w:tcPr>
            <w:tcW w:w="1701" w:type="dxa"/>
            <w:vAlign w:val="center"/>
          </w:tcPr>
          <w:p w:rsidR="00CB12A0" w:rsidRDefault="00F31863">
            <w:pPr>
              <w:jc w:val="center"/>
            </w:pPr>
            <w:r>
              <w:rPr>
                <w:color w:val="000000"/>
                <w:sz w:val="24"/>
              </w:rPr>
              <w:t>兴业银行</w:t>
            </w:r>
          </w:p>
        </w:tc>
        <w:tc>
          <w:tcPr>
            <w:tcW w:w="1559" w:type="dxa"/>
            <w:vAlign w:val="center"/>
          </w:tcPr>
          <w:p w:rsidR="00CB12A0" w:rsidRDefault="00F31863">
            <w:pPr>
              <w:jc w:val="right"/>
            </w:pPr>
            <w:r>
              <w:rPr>
                <w:color w:val="000000"/>
                <w:sz w:val="24"/>
              </w:rPr>
              <w:t>22,300</w:t>
            </w:r>
          </w:p>
        </w:tc>
        <w:tc>
          <w:tcPr>
            <w:tcW w:w="1701" w:type="dxa"/>
            <w:vAlign w:val="center"/>
          </w:tcPr>
          <w:p w:rsidR="00CB12A0" w:rsidRDefault="00F31863">
            <w:pPr>
              <w:jc w:val="right"/>
            </w:pPr>
            <w:r>
              <w:rPr>
                <w:color w:val="000000"/>
                <w:sz w:val="24"/>
              </w:rPr>
              <w:t>378,877.00</w:t>
            </w:r>
          </w:p>
        </w:tc>
        <w:tc>
          <w:tcPr>
            <w:tcW w:w="1843" w:type="dxa"/>
            <w:vAlign w:val="center"/>
          </w:tcPr>
          <w:p w:rsidR="00CB12A0" w:rsidRDefault="00F31863">
            <w:pPr>
              <w:jc w:val="right"/>
            </w:pPr>
            <w:r>
              <w:rPr>
                <w:color w:val="000000"/>
                <w:sz w:val="24"/>
              </w:rPr>
              <w:t>0.08</w:t>
            </w:r>
          </w:p>
        </w:tc>
      </w:tr>
      <w:tr w:rsidR="00CB12A0">
        <w:trPr>
          <w:jc w:val="center"/>
        </w:trPr>
        <w:tc>
          <w:tcPr>
            <w:tcW w:w="817" w:type="dxa"/>
            <w:vAlign w:val="center"/>
          </w:tcPr>
          <w:p w:rsidR="00CB12A0" w:rsidRDefault="00F31863">
            <w:pPr>
              <w:jc w:val="center"/>
            </w:pPr>
            <w:r>
              <w:rPr>
                <w:color w:val="000000"/>
                <w:sz w:val="24"/>
              </w:rPr>
              <w:t>4</w:t>
            </w:r>
          </w:p>
        </w:tc>
        <w:tc>
          <w:tcPr>
            <w:tcW w:w="1276" w:type="dxa"/>
            <w:vAlign w:val="center"/>
          </w:tcPr>
          <w:p w:rsidR="00CB12A0" w:rsidRDefault="00F31863">
            <w:pPr>
              <w:jc w:val="center"/>
            </w:pPr>
            <w:r>
              <w:rPr>
                <w:color w:val="000000"/>
                <w:sz w:val="24"/>
              </w:rPr>
              <w:t>600016</w:t>
            </w:r>
          </w:p>
        </w:tc>
        <w:tc>
          <w:tcPr>
            <w:tcW w:w="1701" w:type="dxa"/>
            <w:vAlign w:val="center"/>
          </w:tcPr>
          <w:p w:rsidR="00CB12A0" w:rsidRDefault="00F31863">
            <w:pPr>
              <w:jc w:val="center"/>
            </w:pPr>
            <w:r>
              <w:rPr>
                <w:color w:val="000000"/>
                <w:sz w:val="24"/>
              </w:rPr>
              <w:t>民生银行</w:t>
            </w:r>
          </w:p>
        </w:tc>
        <w:tc>
          <w:tcPr>
            <w:tcW w:w="1559" w:type="dxa"/>
            <w:vAlign w:val="center"/>
          </w:tcPr>
          <w:p w:rsidR="00CB12A0" w:rsidRDefault="00F31863">
            <w:pPr>
              <w:jc w:val="right"/>
            </w:pPr>
            <w:r>
              <w:rPr>
                <w:color w:val="000000"/>
                <w:sz w:val="24"/>
              </w:rPr>
              <w:t>42,200</w:t>
            </w:r>
          </w:p>
        </w:tc>
        <w:tc>
          <w:tcPr>
            <w:tcW w:w="1701" w:type="dxa"/>
            <w:vAlign w:val="center"/>
          </w:tcPr>
          <w:p w:rsidR="00CB12A0" w:rsidRDefault="00F31863">
            <w:pPr>
              <w:jc w:val="right"/>
            </w:pPr>
            <w:r>
              <w:rPr>
                <w:color w:val="000000"/>
                <w:sz w:val="24"/>
              </w:rPr>
              <w:t>354,058.00</w:t>
            </w:r>
          </w:p>
        </w:tc>
        <w:tc>
          <w:tcPr>
            <w:tcW w:w="1843" w:type="dxa"/>
            <w:vAlign w:val="center"/>
          </w:tcPr>
          <w:p w:rsidR="00CB12A0" w:rsidRDefault="00F31863">
            <w:pPr>
              <w:jc w:val="right"/>
            </w:pPr>
            <w:r>
              <w:rPr>
                <w:color w:val="000000"/>
                <w:sz w:val="24"/>
              </w:rPr>
              <w:t>0.07</w:t>
            </w:r>
          </w:p>
        </w:tc>
      </w:tr>
      <w:tr w:rsidR="00CB12A0">
        <w:trPr>
          <w:jc w:val="center"/>
        </w:trPr>
        <w:tc>
          <w:tcPr>
            <w:tcW w:w="817" w:type="dxa"/>
            <w:vAlign w:val="center"/>
          </w:tcPr>
          <w:p w:rsidR="00CB12A0" w:rsidRDefault="00F31863">
            <w:pPr>
              <w:jc w:val="center"/>
            </w:pPr>
            <w:r>
              <w:rPr>
                <w:color w:val="000000"/>
                <w:sz w:val="24"/>
              </w:rPr>
              <w:t>5</w:t>
            </w:r>
          </w:p>
        </w:tc>
        <w:tc>
          <w:tcPr>
            <w:tcW w:w="1276" w:type="dxa"/>
            <w:vAlign w:val="center"/>
          </w:tcPr>
          <w:p w:rsidR="00CB12A0" w:rsidRDefault="00F31863">
            <w:pPr>
              <w:jc w:val="center"/>
            </w:pPr>
            <w:r>
              <w:rPr>
                <w:color w:val="000000"/>
                <w:sz w:val="24"/>
              </w:rPr>
              <w:t>600000</w:t>
            </w:r>
          </w:p>
        </w:tc>
        <w:tc>
          <w:tcPr>
            <w:tcW w:w="1701" w:type="dxa"/>
            <w:vAlign w:val="center"/>
          </w:tcPr>
          <w:p w:rsidR="00CB12A0" w:rsidRDefault="00F31863">
            <w:pPr>
              <w:jc w:val="center"/>
            </w:pPr>
            <w:r>
              <w:rPr>
                <w:color w:val="000000"/>
                <w:sz w:val="24"/>
              </w:rPr>
              <w:t>浦发银行</w:t>
            </w:r>
          </w:p>
        </w:tc>
        <w:tc>
          <w:tcPr>
            <w:tcW w:w="1559" w:type="dxa"/>
            <w:vAlign w:val="center"/>
          </w:tcPr>
          <w:p w:rsidR="00CB12A0" w:rsidRDefault="00F31863">
            <w:pPr>
              <w:jc w:val="right"/>
            </w:pPr>
            <w:r>
              <w:rPr>
                <w:color w:val="000000"/>
                <w:sz w:val="24"/>
              </w:rPr>
              <w:t>21,000</w:t>
            </w:r>
          </w:p>
        </w:tc>
        <w:tc>
          <w:tcPr>
            <w:tcW w:w="1701" w:type="dxa"/>
            <w:vAlign w:val="center"/>
          </w:tcPr>
          <w:p w:rsidR="00CB12A0" w:rsidRDefault="00F31863">
            <w:pPr>
              <w:jc w:val="right"/>
            </w:pPr>
            <w:r>
              <w:rPr>
                <w:color w:val="000000"/>
                <w:sz w:val="24"/>
              </w:rPr>
              <w:t>264,390.00</w:t>
            </w:r>
          </w:p>
        </w:tc>
        <w:tc>
          <w:tcPr>
            <w:tcW w:w="1843" w:type="dxa"/>
            <w:vAlign w:val="center"/>
          </w:tcPr>
          <w:p w:rsidR="00CB12A0" w:rsidRDefault="00F31863">
            <w:pPr>
              <w:jc w:val="right"/>
            </w:pPr>
            <w:r>
              <w:rPr>
                <w:color w:val="000000"/>
                <w:sz w:val="24"/>
              </w:rPr>
              <w:t>0.05</w:t>
            </w:r>
          </w:p>
        </w:tc>
      </w:tr>
      <w:tr w:rsidR="00CB12A0">
        <w:trPr>
          <w:jc w:val="center"/>
        </w:trPr>
        <w:tc>
          <w:tcPr>
            <w:tcW w:w="817" w:type="dxa"/>
            <w:vAlign w:val="center"/>
          </w:tcPr>
          <w:p w:rsidR="00CB12A0" w:rsidRDefault="00F31863">
            <w:pPr>
              <w:jc w:val="center"/>
            </w:pPr>
            <w:r>
              <w:rPr>
                <w:color w:val="000000"/>
                <w:sz w:val="24"/>
              </w:rPr>
              <w:t>6</w:t>
            </w:r>
          </w:p>
        </w:tc>
        <w:tc>
          <w:tcPr>
            <w:tcW w:w="1276" w:type="dxa"/>
            <w:vAlign w:val="center"/>
          </w:tcPr>
          <w:p w:rsidR="00CB12A0" w:rsidRDefault="00F31863">
            <w:pPr>
              <w:jc w:val="center"/>
            </w:pPr>
            <w:r>
              <w:rPr>
                <w:color w:val="000000"/>
                <w:sz w:val="24"/>
              </w:rPr>
              <w:t>601668</w:t>
            </w:r>
          </w:p>
        </w:tc>
        <w:tc>
          <w:tcPr>
            <w:tcW w:w="1701" w:type="dxa"/>
            <w:vAlign w:val="center"/>
          </w:tcPr>
          <w:p w:rsidR="00CB12A0" w:rsidRDefault="00F31863">
            <w:pPr>
              <w:jc w:val="center"/>
            </w:pPr>
            <w:r>
              <w:rPr>
                <w:color w:val="000000"/>
                <w:sz w:val="24"/>
              </w:rPr>
              <w:t>中国建筑</w:t>
            </w:r>
          </w:p>
        </w:tc>
        <w:tc>
          <w:tcPr>
            <w:tcW w:w="1559" w:type="dxa"/>
            <w:vAlign w:val="center"/>
          </w:tcPr>
          <w:p w:rsidR="00CB12A0" w:rsidRDefault="00F31863">
            <w:pPr>
              <w:jc w:val="right"/>
            </w:pPr>
            <w:r>
              <w:rPr>
                <w:color w:val="000000"/>
                <w:sz w:val="24"/>
              </w:rPr>
              <w:t>26,800</w:t>
            </w:r>
          </w:p>
        </w:tc>
        <w:tc>
          <w:tcPr>
            <w:tcW w:w="1701" w:type="dxa"/>
            <w:vAlign w:val="center"/>
          </w:tcPr>
          <w:p w:rsidR="00CB12A0" w:rsidRDefault="00F31863">
            <w:pPr>
              <w:jc w:val="right"/>
            </w:pPr>
            <w:r>
              <w:rPr>
                <w:color w:val="000000"/>
                <w:sz w:val="24"/>
              </w:rPr>
              <w:t>241,736.00</w:t>
            </w:r>
          </w:p>
        </w:tc>
        <w:tc>
          <w:tcPr>
            <w:tcW w:w="1843" w:type="dxa"/>
            <w:vAlign w:val="center"/>
          </w:tcPr>
          <w:p w:rsidR="00CB12A0" w:rsidRDefault="00F31863">
            <w:pPr>
              <w:jc w:val="right"/>
            </w:pPr>
            <w:r>
              <w:rPr>
                <w:color w:val="000000"/>
                <w:sz w:val="24"/>
              </w:rPr>
              <w:t>0.05</w:t>
            </w:r>
          </w:p>
        </w:tc>
      </w:tr>
      <w:tr w:rsidR="00CB12A0">
        <w:trPr>
          <w:jc w:val="center"/>
        </w:trPr>
        <w:tc>
          <w:tcPr>
            <w:tcW w:w="817" w:type="dxa"/>
            <w:vAlign w:val="center"/>
          </w:tcPr>
          <w:p w:rsidR="00CB12A0" w:rsidRDefault="00F31863">
            <w:pPr>
              <w:jc w:val="center"/>
            </w:pPr>
            <w:r>
              <w:rPr>
                <w:color w:val="000000"/>
                <w:sz w:val="24"/>
              </w:rPr>
              <w:t>7</w:t>
            </w:r>
          </w:p>
        </w:tc>
        <w:tc>
          <w:tcPr>
            <w:tcW w:w="1276" w:type="dxa"/>
            <w:vAlign w:val="center"/>
          </w:tcPr>
          <w:p w:rsidR="00CB12A0" w:rsidRDefault="00F31863">
            <w:pPr>
              <w:jc w:val="center"/>
            </w:pPr>
            <w:r>
              <w:rPr>
                <w:color w:val="000000"/>
                <w:sz w:val="24"/>
              </w:rPr>
              <w:t>601398</w:t>
            </w:r>
          </w:p>
        </w:tc>
        <w:tc>
          <w:tcPr>
            <w:tcW w:w="1701" w:type="dxa"/>
            <w:vAlign w:val="center"/>
          </w:tcPr>
          <w:p w:rsidR="00CB12A0" w:rsidRDefault="00F31863">
            <w:pPr>
              <w:jc w:val="center"/>
            </w:pPr>
            <w:r>
              <w:rPr>
                <w:color w:val="000000"/>
                <w:sz w:val="24"/>
              </w:rPr>
              <w:t>工商银行</w:t>
            </w:r>
          </w:p>
        </w:tc>
        <w:tc>
          <w:tcPr>
            <w:tcW w:w="1559" w:type="dxa"/>
            <w:vAlign w:val="center"/>
          </w:tcPr>
          <w:p w:rsidR="00CB12A0" w:rsidRDefault="00F31863">
            <w:pPr>
              <w:jc w:val="right"/>
            </w:pPr>
            <w:r>
              <w:rPr>
                <w:color w:val="000000"/>
                <w:sz w:val="24"/>
              </w:rPr>
              <w:t>38,500</w:t>
            </w:r>
          </w:p>
        </w:tc>
        <w:tc>
          <w:tcPr>
            <w:tcW w:w="1701" w:type="dxa"/>
            <w:vAlign w:val="center"/>
          </w:tcPr>
          <w:p w:rsidR="00CB12A0" w:rsidRDefault="00F31863">
            <w:pPr>
              <w:jc w:val="right"/>
            </w:pPr>
            <w:r>
              <w:rPr>
                <w:color w:val="000000"/>
                <w:sz w:val="24"/>
              </w:rPr>
              <w:t>238,700.00</w:t>
            </w:r>
          </w:p>
        </w:tc>
        <w:tc>
          <w:tcPr>
            <w:tcW w:w="1843" w:type="dxa"/>
            <w:vAlign w:val="center"/>
          </w:tcPr>
          <w:p w:rsidR="00CB12A0" w:rsidRDefault="00F31863">
            <w:pPr>
              <w:jc w:val="right"/>
            </w:pPr>
            <w:r>
              <w:rPr>
                <w:color w:val="000000"/>
                <w:sz w:val="24"/>
              </w:rPr>
              <w:t>0.05</w:t>
            </w:r>
          </w:p>
        </w:tc>
      </w:tr>
      <w:tr w:rsidR="00CB12A0">
        <w:trPr>
          <w:jc w:val="center"/>
        </w:trPr>
        <w:tc>
          <w:tcPr>
            <w:tcW w:w="817" w:type="dxa"/>
            <w:vAlign w:val="center"/>
          </w:tcPr>
          <w:p w:rsidR="00CB12A0" w:rsidRDefault="00F31863">
            <w:pPr>
              <w:jc w:val="center"/>
            </w:pPr>
            <w:r>
              <w:rPr>
                <w:color w:val="000000"/>
                <w:sz w:val="24"/>
              </w:rPr>
              <w:t>8</w:t>
            </w:r>
          </w:p>
        </w:tc>
        <w:tc>
          <w:tcPr>
            <w:tcW w:w="1276" w:type="dxa"/>
            <w:vAlign w:val="center"/>
          </w:tcPr>
          <w:p w:rsidR="00CB12A0" w:rsidRDefault="00F31863">
            <w:pPr>
              <w:jc w:val="center"/>
            </w:pPr>
            <w:r>
              <w:rPr>
                <w:color w:val="000000"/>
                <w:sz w:val="24"/>
              </w:rPr>
              <w:t>601601</w:t>
            </w:r>
          </w:p>
        </w:tc>
        <w:tc>
          <w:tcPr>
            <w:tcW w:w="1701" w:type="dxa"/>
            <w:vAlign w:val="center"/>
          </w:tcPr>
          <w:p w:rsidR="00CB12A0" w:rsidRDefault="00F31863">
            <w:pPr>
              <w:jc w:val="center"/>
            </w:pPr>
            <w:r>
              <w:rPr>
                <w:color w:val="000000"/>
                <w:sz w:val="24"/>
              </w:rPr>
              <w:t>中国太保</w:t>
            </w:r>
          </w:p>
        </w:tc>
        <w:tc>
          <w:tcPr>
            <w:tcW w:w="1559" w:type="dxa"/>
            <w:vAlign w:val="center"/>
          </w:tcPr>
          <w:p w:rsidR="00CB12A0" w:rsidRDefault="00F31863">
            <w:pPr>
              <w:jc w:val="right"/>
            </w:pPr>
            <w:r>
              <w:rPr>
                <w:color w:val="000000"/>
                <w:sz w:val="24"/>
              </w:rPr>
              <w:t>5,700</w:t>
            </w:r>
          </w:p>
        </w:tc>
        <w:tc>
          <w:tcPr>
            <w:tcW w:w="1701" w:type="dxa"/>
            <w:vAlign w:val="center"/>
          </w:tcPr>
          <w:p w:rsidR="00CB12A0" w:rsidRDefault="00F31863">
            <w:pPr>
              <w:jc w:val="right"/>
            </w:pPr>
            <w:r>
              <w:rPr>
                <w:color w:val="000000"/>
                <w:sz w:val="24"/>
              </w:rPr>
              <w:t>236,094.00</w:t>
            </w:r>
          </w:p>
        </w:tc>
        <w:tc>
          <w:tcPr>
            <w:tcW w:w="1843" w:type="dxa"/>
            <w:vAlign w:val="center"/>
          </w:tcPr>
          <w:p w:rsidR="00CB12A0" w:rsidRDefault="00F31863">
            <w:pPr>
              <w:jc w:val="right"/>
            </w:pPr>
            <w:r>
              <w:rPr>
                <w:color w:val="000000"/>
                <w:sz w:val="24"/>
              </w:rPr>
              <w:t>0.05</w:t>
            </w:r>
          </w:p>
        </w:tc>
      </w:tr>
      <w:tr w:rsidR="00CB12A0">
        <w:trPr>
          <w:jc w:val="center"/>
        </w:trPr>
        <w:tc>
          <w:tcPr>
            <w:tcW w:w="817" w:type="dxa"/>
            <w:vAlign w:val="center"/>
          </w:tcPr>
          <w:p w:rsidR="00CB12A0" w:rsidRDefault="00F31863">
            <w:pPr>
              <w:jc w:val="center"/>
            </w:pPr>
            <w:r>
              <w:rPr>
                <w:color w:val="000000"/>
                <w:sz w:val="24"/>
              </w:rPr>
              <w:t>9</w:t>
            </w:r>
          </w:p>
        </w:tc>
        <w:tc>
          <w:tcPr>
            <w:tcW w:w="1276" w:type="dxa"/>
            <w:vAlign w:val="center"/>
          </w:tcPr>
          <w:p w:rsidR="00CB12A0" w:rsidRDefault="00F31863">
            <w:pPr>
              <w:jc w:val="center"/>
            </w:pPr>
            <w:r>
              <w:rPr>
                <w:color w:val="000000"/>
                <w:sz w:val="24"/>
              </w:rPr>
              <w:t>600309</w:t>
            </w:r>
          </w:p>
        </w:tc>
        <w:tc>
          <w:tcPr>
            <w:tcW w:w="1701" w:type="dxa"/>
            <w:vAlign w:val="center"/>
          </w:tcPr>
          <w:p w:rsidR="00CB12A0" w:rsidRDefault="00F31863">
            <w:pPr>
              <w:jc w:val="center"/>
            </w:pPr>
            <w:r>
              <w:rPr>
                <w:color w:val="000000"/>
                <w:sz w:val="24"/>
              </w:rPr>
              <w:t>万华化学</w:t>
            </w:r>
          </w:p>
        </w:tc>
        <w:tc>
          <w:tcPr>
            <w:tcW w:w="1559" w:type="dxa"/>
            <w:vAlign w:val="center"/>
          </w:tcPr>
          <w:p w:rsidR="00CB12A0" w:rsidRDefault="00F31863">
            <w:pPr>
              <w:jc w:val="right"/>
            </w:pPr>
            <w:r>
              <w:rPr>
                <w:color w:val="000000"/>
                <w:sz w:val="24"/>
              </w:rPr>
              <w:t>5,800</w:t>
            </w:r>
          </w:p>
        </w:tc>
        <w:tc>
          <w:tcPr>
            <w:tcW w:w="1701" w:type="dxa"/>
            <w:vAlign w:val="center"/>
          </w:tcPr>
          <w:p w:rsidR="00CB12A0" w:rsidRDefault="00F31863">
            <w:pPr>
              <w:jc w:val="right"/>
            </w:pPr>
            <w:r>
              <w:rPr>
                <w:color w:val="000000"/>
                <w:sz w:val="24"/>
              </w:rPr>
              <w:t>220,052.00</w:t>
            </w:r>
          </w:p>
        </w:tc>
        <w:tc>
          <w:tcPr>
            <w:tcW w:w="1843" w:type="dxa"/>
            <w:vAlign w:val="center"/>
          </w:tcPr>
          <w:p w:rsidR="00CB12A0" w:rsidRDefault="00F31863">
            <w:pPr>
              <w:jc w:val="right"/>
            </w:pPr>
            <w:r>
              <w:rPr>
                <w:color w:val="000000"/>
                <w:sz w:val="24"/>
              </w:rPr>
              <w:t>0.05</w:t>
            </w:r>
          </w:p>
        </w:tc>
      </w:tr>
      <w:tr w:rsidR="00CB12A0">
        <w:trPr>
          <w:jc w:val="center"/>
        </w:trPr>
        <w:tc>
          <w:tcPr>
            <w:tcW w:w="817" w:type="dxa"/>
            <w:vAlign w:val="center"/>
          </w:tcPr>
          <w:p w:rsidR="00CB12A0" w:rsidRDefault="00F31863">
            <w:pPr>
              <w:jc w:val="center"/>
            </w:pPr>
            <w:r>
              <w:rPr>
                <w:color w:val="000000"/>
                <w:sz w:val="24"/>
              </w:rPr>
              <w:t>10</w:t>
            </w:r>
          </w:p>
        </w:tc>
        <w:tc>
          <w:tcPr>
            <w:tcW w:w="1276" w:type="dxa"/>
            <w:vAlign w:val="center"/>
          </w:tcPr>
          <w:p w:rsidR="00CB12A0" w:rsidRDefault="00F31863">
            <w:pPr>
              <w:jc w:val="center"/>
            </w:pPr>
            <w:r>
              <w:rPr>
                <w:color w:val="000000"/>
                <w:sz w:val="24"/>
              </w:rPr>
              <w:t>600104</w:t>
            </w:r>
          </w:p>
        </w:tc>
        <w:tc>
          <w:tcPr>
            <w:tcW w:w="1701" w:type="dxa"/>
            <w:vAlign w:val="center"/>
          </w:tcPr>
          <w:p w:rsidR="00CB12A0" w:rsidRDefault="00F31863">
            <w:pPr>
              <w:jc w:val="center"/>
            </w:pPr>
            <w:r>
              <w:rPr>
                <w:color w:val="000000"/>
                <w:sz w:val="24"/>
              </w:rPr>
              <w:t>上汽集团</w:t>
            </w:r>
          </w:p>
        </w:tc>
        <w:tc>
          <w:tcPr>
            <w:tcW w:w="1559" w:type="dxa"/>
            <w:vAlign w:val="center"/>
          </w:tcPr>
          <w:p w:rsidR="00CB12A0" w:rsidRDefault="00F31863">
            <w:pPr>
              <w:jc w:val="right"/>
            </w:pPr>
            <w:r>
              <w:rPr>
                <w:color w:val="000000"/>
                <w:sz w:val="24"/>
              </w:rPr>
              <w:t>6,300</w:t>
            </w:r>
          </w:p>
        </w:tc>
        <w:tc>
          <w:tcPr>
            <w:tcW w:w="1701" w:type="dxa"/>
            <w:vAlign w:val="center"/>
          </w:tcPr>
          <w:p w:rsidR="00CB12A0" w:rsidRDefault="00F31863">
            <w:pPr>
              <w:jc w:val="right"/>
            </w:pPr>
            <w:r>
              <w:rPr>
                <w:color w:val="000000"/>
                <w:sz w:val="24"/>
              </w:rPr>
              <w:t>201,852.00</w:t>
            </w:r>
          </w:p>
        </w:tc>
        <w:tc>
          <w:tcPr>
            <w:tcW w:w="1843" w:type="dxa"/>
            <w:vAlign w:val="center"/>
          </w:tcPr>
          <w:p w:rsidR="00CB12A0" w:rsidRDefault="00F31863">
            <w:pPr>
              <w:jc w:val="right"/>
            </w:pPr>
            <w:r>
              <w:rPr>
                <w:color w:val="000000"/>
                <w:sz w:val="24"/>
              </w:rPr>
              <w:t>0.04</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650162"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2"/>
      <w:r w:rsidRPr="00245C29">
        <w:rPr>
          <w:rFonts w:ascii="Times New Roman" w:hAnsi="Times New Roman"/>
          <w:kern w:val="0"/>
          <w:szCs w:val="24"/>
        </w:rPr>
        <w:t>8.5</w:t>
      </w:r>
      <w:bookmarkStart w:id="70"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9"/>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CB12A0">
        <w:tc>
          <w:tcPr>
            <w:tcW w:w="870" w:type="dxa"/>
            <w:vAlign w:val="center"/>
          </w:tcPr>
          <w:p w:rsidR="00CB12A0" w:rsidRDefault="00F31863">
            <w:pPr>
              <w:jc w:val="center"/>
            </w:pPr>
            <w:r>
              <w:rPr>
                <w:color w:val="000000"/>
                <w:sz w:val="24"/>
              </w:rPr>
              <w:t>1</w:t>
            </w:r>
          </w:p>
        </w:tc>
        <w:tc>
          <w:tcPr>
            <w:tcW w:w="1650" w:type="dxa"/>
            <w:vAlign w:val="center"/>
          </w:tcPr>
          <w:p w:rsidR="00CB12A0" w:rsidRDefault="00F31863">
            <w:pPr>
              <w:jc w:val="center"/>
            </w:pPr>
            <w:r>
              <w:rPr>
                <w:color w:val="000000"/>
                <w:sz w:val="24"/>
              </w:rPr>
              <w:t>601318</w:t>
            </w:r>
          </w:p>
        </w:tc>
        <w:tc>
          <w:tcPr>
            <w:tcW w:w="1980" w:type="dxa"/>
            <w:vAlign w:val="center"/>
          </w:tcPr>
          <w:p w:rsidR="00CB12A0" w:rsidRDefault="00F31863">
            <w:pPr>
              <w:jc w:val="center"/>
            </w:pPr>
            <w:r>
              <w:rPr>
                <w:color w:val="000000"/>
                <w:sz w:val="24"/>
              </w:rPr>
              <w:t>中国平安</w:t>
            </w:r>
          </w:p>
        </w:tc>
        <w:tc>
          <w:tcPr>
            <w:tcW w:w="2880" w:type="dxa"/>
            <w:vAlign w:val="center"/>
          </w:tcPr>
          <w:p w:rsidR="00CB12A0" w:rsidRDefault="00F31863">
            <w:pPr>
              <w:jc w:val="right"/>
            </w:pPr>
            <w:r>
              <w:rPr>
                <w:color w:val="000000"/>
                <w:sz w:val="24"/>
              </w:rPr>
              <w:t>7,262,642.00</w:t>
            </w:r>
          </w:p>
        </w:tc>
        <w:tc>
          <w:tcPr>
            <w:tcW w:w="1620" w:type="dxa"/>
            <w:vAlign w:val="center"/>
          </w:tcPr>
          <w:p w:rsidR="00CB12A0" w:rsidRDefault="00F31863">
            <w:pPr>
              <w:jc w:val="right"/>
            </w:pPr>
            <w:r>
              <w:rPr>
                <w:color w:val="000000"/>
                <w:sz w:val="24"/>
              </w:rPr>
              <w:t>1.45</w:t>
            </w:r>
          </w:p>
        </w:tc>
      </w:tr>
      <w:tr w:rsidR="00CB12A0">
        <w:tc>
          <w:tcPr>
            <w:tcW w:w="870" w:type="dxa"/>
            <w:vAlign w:val="center"/>
          </w:tcPr>
          <w:p w:rsidR="00CB12A0" w:rsidRDefault="00F31863">
            <w:pPr>
              <w:jc w:val="center"/>
            </w:pPr>
            <w:r>
              <w:rPr>
                <w:color w:val="000000"/>
                <w:sz w:val="24"/>
              </w:rPr>
              <w:t>2</w:t>
            </w:r>
          </w:p>
        </w:tc>
        <w:tc>
          <w:tcPr>
            <w:tcW w:w="1650" w:type="dxa"/>
            <w:vAlign w:val="center"/>
          </w:tcPr>
          <w:p w:rsidR="00CB12A0" w:rsidRDefault="00F31863">
            <w:pPr>
              <w:jc w:val="center"/>
            </w:pPr>
            <w:r>
              <w:rPr>
                <w:color w:val="000000"/>
                <w:sz w:val="24"/>
              </w:rPr>
              <w:t>600036</w:t>
            </w:r>
          </w:p>
        </w:tc>
        <w:tc>
          <w:tcPr>
            <w:tcW w:w="1980" w:type="dxa"/>
            <w:vAlign w:val="center"/>
          </w:tcPr>
          <w:p w:rsidR="00CB12A0" w:rsidRDefault="00F31863">
            <w:pPr>
              <w:jc w:val="center"/>
            </w:pPr>
            <w:r>
              <w:rPr>
                <w:color w:val="000000"/>
                <w:sz w:val="24"/>
              </w:rPr>
              <w:t>招商银行</w:t>
            </w:r>
          </w:p>
        </w:tc>
        <w:tc>
          <w:tcPr>
            <w:tcW w:w="2880" w:type="dxa"/>
            <w:vAlign w:val="center"/>
          </w:tcPr>
          <w:p w:rsidR="00CB12A0" w:rsidRDefault="00F31863">
            <w:pPr>
              <w:jc w:val="right"/>
            </w:pPr>
            <w:r>
              <w:rPr>
                <w:color w:val="000000"/>
                <w:sz w:val="24"/>
              </w:rPr>
              <w:t>3,175,937.00</w:t>
            </w:r>
          </w:p>
        </w:tc>
        <w:tc>
          <w:tcPr>
            <w:tcW w:w="1620" w:type="dxa"/>
            <w:vAlign w:val="center"/>
          </w:tcPr>
          <w:p w:rsidR="00CB12A0" w:rsidRDefault="00F31863">
            <w:pPr>
              <w:jc w:val="right"/>
            </w:pPr>
            <w:r>
              <w:rPr>
                <w:color w:val="000000"/>
                <w:sz w:val="24"/>
              </w:rPr>
              <w:t>0.64</w:t>
            </w:r>
          </w:p>
        </w:tc>
      </w:tr>
      <w:tr w:rsidR="00CB12A0">
        <w:tc>
          <w:tcPr>
            <w:tcW w:w="870" w:type="dxa"/>
            <w:vAlign w:val="center"/>
          </w:tcPr>
          <w:p w:rsidR="00CB12A0" w:rsidRDefault="00F31863">
            <w:pPr>
              <w:jc w:val="center"/>
            </w:pPr>
            <w:r>
              <w:rPr>
                <w:color w:val="000000"/>
                <w:sz w:val="24"/>
              </w:rPr>
              <w:t>3</w:t>
            </w:r>
          </w:p>
        </w:tc>
        <w:tc>
          <w:tcPr>
            <w:tcW w:w="1650" w:type="dxa"/>
            <w:vAlign w:val="center"/>
          </w:tcPr>
          <w:p w:rsidR="00CB12A0" w:rsidRDefault="00F31863">
            <w:pPr>
              <w:jc w:val="center"/>
            </w:pPr>
            <w:r>
              <w:rPr>
                <w:color w:val="000000"/>
                <w:sz w:val="24"/>
              </w:rPr>
              <w:t>601166</w:t>
            </w:r>
          </w:p>
        </w:tc>
        <w:tc>
          <w:tcPr>
            <w:tcW w:w="1980" w:type="dxa"/>
            <w:vAlign w:val="center"/>
          </w:tcPr>
          <w:p w:rsidR="00CB12A0" w:rsidRDefault="00F31863">
            <w:pPr>
              <w:jc w:val="center"/>
            </w:pPr>
            <w:r>
              <w:rPr>
                <w:color w:val="000000"/>
                <w:sz w:val="24"/>
              </w:rPr>
              <w:t>兴业银行</w:t>
            </w:r>
          </w:p>
        </w:tc>
        <w:tc>
          <w:tcPr>
            <w:tcW w:w="2880" w:type="dxa"/>
            <w:vAlign w:val="center"/>
          </w:tcPr>
          <w:p w:rsidR="00CB12A0" w:rsidRDefault="00F31863">
            <w:pPr>
              <w:jc w:val="right"/>
            </w:pPr>
            <w:r>
              <w:rPr>
                <w:color w:val="000000"/>
                <w:sz w:val="24"/>
              </w:rPr>
              <w:t>2,819,359.00</w:t>
            </w:r>
          </w:p>
        </w:tc>
        <w:tc>
          <w:tcPr>
            <w:tcW w:w="1620" w:type="dxa"/>
            <w:vAlign w:val="center"/>
          </w:tcPr>
          <w:p w:rsidR="00CB12A0" w:rsidRDefault="00F31863">
            <w:pPr>
              <w:jc w:val="right"/>
            </w:pPr>
            <w:r>
              <w:rPr>
                <w:color w:val="000000"/>
                <w:sz w:val="24"/>
              </w:rPr>
              <w:t>0.56</w:t>
            </w:r>
          </w:p>
        </w:tc>
      </w:tr>
      <w:tr w:rsidR="00CB12A0">
        <w:tc>
          <w:tcPr>
            <w:tcW w:w="870" w:type="dxa"/>
            <w:vAlign w:val="center"/>
          </w:tcPr>
          <w:p w:rsidR="00CB12A0" w:rsidRDefault="00F31863">
            <w:pPr>
              <w:jc w:val="center"/>
            </w:pPr>
            <w:r>
              <w:rPr>
                <w:color w:val="000000"/>
                <w:sz w:val="24"/>
              </w:rPr>
              <w:t>4</w:t>
            </w:r>
          </w:p>
        </w:tc>
        <w:tc>
          <w:tcPr>
            <w:tcW w:w="1650" w:type="dxa"/>
            <w:vAlign w:val="center"/>
          </w:tcPr>
          <w:p w:rsidR="00CB12A0" w:rsidRDefault="00F31863">
            <w:pPr>
              <w:jc w:val="center"/>
            </w:pPr>
            <w:r>
              <w:rPr>
                <w:color w:val="000000"/>
                <w:sz w:val="24"/>
              </w:rPr>
              <w:t>600016</w:t>
            </w:r>
          </w:p>
        </w:tc>
        <w:tc>
          <w:tcPr>
            <w:tcW w:w="1980" w:type="dxa"/>
            <w:vAlign w:val="center"/>
          </w:tcPr>
          <w:p w:rsidR="00CB12A0" w:rsidRDefault="00F31863">
            <w:pPr>
              <w:jc w:val="center"/>
            </w:pPr>
            <w:r>
              <w:rPr>
                <w:color w:val="000000"/>
                <w:sz w:val="24"/>
              </w:rPr>
              <w:t>民生银行</w:t>
            </w:r>
          </w:p>
        </w:tc>
        <w:tc>
          <w:tcPr>
            <w:tcW w:w="2880" w:type="dxa"/>
            <w:vAlign w:val="center"/>
          </w:tcPr>
          <w:p w:rsidR="00CB12A0" w:rsidRDefault="00F31863">
            <w:pPr>
              <w:jc w:val="right"/>
            </w:pPr>
            <w:r>
              <w:rPr>
                <w:color w:val="000000"/>
                <w:sz w:val="24"/>
              </w:rPr>
              <w:t>2,525,185.68</w:t>
            </w:r>
          </w:p>
        </w:tc>
        <w:tc>
          <w:tcPr>
            <w:tcW w:w="1620" w:type="dxa"/>
            <w:vAlign w:val="center"/>
          </w:tcPr>
          <w:p w:rsidR="00CB12A0" w:rsidRDefault="00F31863">
            <w:pPr>
              <w:jc w:val="right"/>
            </w:pPr>
            <w:r>
              <w:rPr>
                <w:color w:val="000000"/>
                <w:sz w:val="24"/>
              </w:rPr>
              <w:t>0.51</w:t>
            </w:r>
          </w:p>
        </w:tc>
      </w:tr>
      <w:tr w:rsidR="00CB12A0">
        <w:tc>
          <w:tcPr>
            <w:tcW w:w="870" w:type="dxa"/>
            <w:vAlign w:val="center"/>
          </w:tcPr>
          <w:p w:rsidR="00CB12A0" w:rsidRDefault="00F31863">
            <w:pPr>
              <w:jc w:val="center"/>
            </w:pPr>
            <w:r>
              <w:rPr>
                <w:color w:val="000000"/>
                <w:sz w:val="24"/>
              </w:rPr>
              <w:t>5</w:t>
            </w:r>
          </w:p>
        </w:tc>
        <w:tc>
          <w:tcPr>
            <w:tcW w:w="1650" w:type="dxa"/>
            <w:vAlign w:val="center"/>
          </w:tcPr>
          <w:p w:rsidR="00CB12A0" w:rsidRDefault="00F31863">
            <w:pPr>
              <w:jc w:val="center"/>
            </w:pPr>
            <w:r>
              <w:rPr>
                <w:color w:val="000000"/>
                <w:sz w:val="24"/>
              </w:rPr>
              <w:t>600000</w:t>
            </w:r>
          </w:p>
        </w:tc>
        <w:tc>
          <w:tcPr>
            <w:tcW w:w="1980" w:type="dxa"/>
            <w:vAlign w:val="center"/>
          </w:tcPr>
          <w:p w:rsidR="00CB12A0" w:rsidRDefault="00F31863">
            <w:pPr>
              <w:jc w:val="center"/>
            </w:pPr>
            <w:r>
              <w:rPr>
                <w:color w:val="000000"/>
                <w:sz w:val="24"/>
              </w:rPr>
              <w:t>浦发银行</w:t>
            </w:r>
          </w:p>
        </w:tc>
        <w:tc>
          <w:tcPr>
            <w:tcW w:w="2880" w:type="dxa"/>
            <w:vAlign w:val="center"/>
          </w:tcPr>
          <w:p w:rsidR="00CB12A0" w:rsidRDefault="00F31863">
            <w:pPr>
              <w:jc w:val="right"/>
            </w:pPr>
            <w:r>
              <w:rPr>
                <w:color w:val="000000"/>
                <w:sz w:val="24"/>
              </w:rPr>
              <w:t>1,904,577.00</w:t>
            </w:r>
          </w:p>
        </w:tc>
        <w:tc>
          <w:tcPr>
            <w:tcW w:w="1620" w:type="dxa"/>
            <w:vAlign w:val="center"/>
          </w:tcPr>
          <w:p w:rsidR="00CB12A0" w:rsidRDefault="00F31863">
            <w:pPr>
              <w:jc w:val="right"/>
            </w:pPr>
            <w:r>
              <w:rPr>
                <w:color w:val="000000"/>
                <w:sz w:val="24"/>
              </w:rPr>
              <w:t>0.38</w:t>
            </w:r>
          </w:p>
        </w:tc>
      </w:tr>
      <w:tr w:rsidR="00CB12A0">
        <w:tc>
          <w:tcPr>
            <w:tcW w:w="870" w:type="dxa"/>
            <w:vAlign w:val="center"/>
          </w:tcPr>
          <w:p w:rsidR="00CB12A0" w:rsidRDefault="00F31863">
            <w:pPr>
              <w:jc w:val="center"/>
            </w:pPr>
            <w:r>
              <w:rPr>
                <w:color w:val="000000"/>
                <w:sz w:val="24"/>
              </w:rPr>
              <w:t>6</w:t>
            </w:r>
          </w:p>
        </w:tc>
        <w:tc>
          <w:tcPr>
            <w:tcW w:w="1650" w:type="dxa"/>
            <w:vAlign w:val="center"/>
          </w:tcPr>
          <w:p w:rsidR="00CB12A0" w:rsidRDefault="00F31863">
            <w:pPr>
              <w:jc w:val="center"/>
            </w:pPr>
            <w:r>
              <w:rPr>
                <w:color w:val="000000"/>
                <w:sz w:val="24"/>
              </w:rPr>
              <w:t>601668</w:t>
            </w:r>
          </w:p>
        </w:tc>
        <w:tc>
          <w:tcPr>
            <w:tcW w:w="1980" w:type="dxa"/>
            <w:vAlign w:val="center"/>
          </w:tcPr>
          <w:p w:rsidR="00CB12A0" w:rsidRDefault="00F31863">
            <w:pPr>
              <w:jc w:val="center"/>
            </w:pPr>
            <w:r>
              <w:rPr>
                <w:color w:val="000000"/>
                <w:sz w:val="24"/>
              </w:rPr>
              <w:t>中国建筑</w:t>
            </w:r>
          </w:p>
        </w:tc>
        <w:tc>
          <w:tcPr>
            <w:tcW w:w="2880" w:type="dxa"/>
            <w:vAlign w:val="center"/>
          </w:tcPr>
          <w:p w:rsidR="00CB12A0" w:rsidRDefault="00F31863">
            <w:pPr>
              <w:jc w:val="right"/>
            </w:pPr>
            <w:r>
              <w:rPr>
                <w:color w:val="000000"/>
                <w:sz w:val="24"/>
              </w:rPr>
              <w:t>1,881,297.00</w:t>
            </w:r>
          </w:p>
        </w:tc>
        <w:tc>
          <w:tcPr>
            <w:tcW w:w="1620" w:type="dxa"/>
            <w:vAlign w:val="center"/>
          </w:tcPr>
          <w:p w:rsidR="00CB12A0" w:rsidRDefault="00F31863">
            <w:pPr>
              <w:jc w:val="right"/>
            </w:pPr>
            <w:r>
              <w:rPr>
                <w:color w:val="000000"/>
                <w:sz w:val="24"/>
              </w:rPr>
              <w:t>0.38</w:t>
            </w:r>
          </w:p>
        </w:tc>
      </w:tr>
      <w:tr w:rsidR="00CB12A0">
        <w:tc>
          <w:tcPr>
            <w:tcW w:w="870" w:type="dxa"/>
            <w:vAlign w:val="center"/>
          </w:tcPr>
          <w:p w:rsidR="00CB12A0" w:rsidRDefault="00F31863">
            <w:pPr>
              <w:jc w:val="center"/>
            </w:pPr>
            <w:r>
              <w:rPr>
                <w:color w:val="000000"/>
                <w:sz w:val="24"/>
              </w:rPr>
              <w:t>7</w:t>
            </w:r>
          </w:p>
        </w:tc>
        <w:tc>
          <w:tcPr>
            <w:tcW w:w="1650" w:type="dxa"/>
            <w:vAlign w:val="center"/>
          </w:tcPr>
          <w:p w:rsidR="00CB12A0" w:rsidRDefault="00F31863">
            <w:pPr>
              <w:jc w:val="center"/>
            </w:pPr>
            <w:r>
              <w:rPr>
                <w:color w:val="000000"/>
                <w:sz w:val="24"/>
              </w:rPr>
              <w:t>601398</w:t>
            </w:r>
          </w:p>
        </w:tc>
        <w:tc>
          <w:tcPr>
            <w:tcW w:w="1980" w:type="dxa"/>
            <w:vAlign w:val="center"/>
          </w:tcPr>
          <w:p w:rsidR="00CB12A0" w:rsidRDefault="00F31863">
            <w:pPr>
              <w:jc w:val="center"/>
            </w:pPr>
            <w:r>
              <w:rPr>
                <w:color w:val="000000"/>
                <w:sz w:val="24"/>
              </w:rPr>
              <w:t>工商银行</w:t>
            </w:r>
          </w:p>
        </w:tc>
        <w:tc>
          <w:tcPr>
            <w:tcW w:w="2880" w:type="dxa"/>
            <w:vAlign w:val="center"/>
          </w:tcPr>
          <w:p w:rsidR="00CB12A0" w:rsidRDefault="00F31863">
            <w:pPr>
              <w:jc w:val="right"/>
            </w:pPr>
            <w:r>
              <w:rPr>
                <w:color w:val="000000"/>
                <w:sz w:val="24"/>
              </w:rPr>
              <w:t>1,427,139.00</w:t>
            </w:r>
          </w:p>
        </w:tc>
        <w:tc>
          <w:tcPr>
            <w:tcW w:w="1620" w:type="dxa"/>
            <w:vAlign w:val="center"/>
          </w:tcPr>
          <w:p w:rsidR="00CB12A0" w:rsidRDefault="00F31863">
            <w:pPr>
              <w:jc w:val="right"/>
            </w:pPr>
            <w:r>
              <w:rPr>
                <w:color w:val="000000"/>
                <w:sz w:val="24"/>
              </w:rPr>
              <w:t>0.29</w:t>
            </w:r>
          </w:p>
        </w:tc>
      </w:tr>
      <w:tr w:rsidR="00CB12A0">
        <w:tc>
          <w:tcPr>
            <w:tcW w:w="870" w:type="dxa"/>
            <w:vAlign w:val="center"/>
          </w:tcPr>
          <w:p w:rsidR="00CB12A0" w:rsidRDefault="00F31863">
            <w:pPr>
              <w:jc w:val="center"/>
            </w:pPr>
            <w:r>
              <w:rPr>
                <w:color w:val="000000"/>
                <w:sz w:val="24"/>
              </w:rPr>
              <w:t>8</w:t>
            </w:r>
          </w:p>
        </w:tc>
        <w:tc>
          <w:tcPr>
            <w:tcW w:w="1650" w:type="dxa"/>
            <w:vAlign w:val="center"/>
          </w:tcPr>
          <w:p w:rsidR="00CB12A0" w:rsidRDefault="00F31863">
            <w:pPr>
              <w:jc w:val="center"/>
            </w:pPr>
            <w:r>
              <w:rPr>
                <w:color w:val="000000"/>
                <w:sz w:val="24"/>
              </w:rPr>
              <w:t>601601</w:t>
            </w:r>
          </w:p>
        </w:tc>
        <w:tc>
          <w:tcPr>
            <w:tcW w:w="1980" w:type="dxa"/>
            <w:vAlign w:val="center"/>
          </w:tcPr>
          <w:p w:rsidR="00CB12A0" w:rsidRDefault="00F31863">
            <w:pPr>
              <w:jc w:val="center"/>
            </w:pPr>
            <w:r>
              <w:rPr>
                <w:color w:val="000000"/>
                <w:sz w:val="24"/>
              </w:rPr>
              <w:t>中国太保</w:t>
            </w:r>
          </w:p>
        </w:tc>
        <w:tc>
          <w:tcPr>
            <w:tcW w:w="2880" w:type="dxa"/>
            <w:vAlign w:val="center"/>
          </w:tcPr>
          <w:p w:rsidR="00CB12A0" w:rsidRDefault="00F31863">
            <w:pPr>
              <w:jc w:val="right"/>
            </w:pPr>
            <w:r>
              <w:rPr>
                <w:color w:val="000000"/>
                <w:sz w:val="24"/>
              </w:rPr>
              <w:t>1,393,188.00</w:t>
            </w:r>
          </w:p>
        </w:tc>
        <w:tc>
          <w:tcPr>
            <w:tcW w:w="1620" w:type="dxa"/>
            <w:vAlign w:val="center"/>
          </w:tcPr>
          <w:p w:rsidR="00CB12A0" w:rsidRDefault="00F31863">
            <w:pPr>
              <w:jc w:val="right"/>
            </w:pPr>
            <w:r>
              <w:rPr>
                <w:color w:val="000000"/>
                <w:sz w:val="24"/>
              </w:rPr>
              <w:t>0.28</w:t>
            </w:r>
          </w:p>
        </w:tc>
      </w:tr>
      <w:tr w:rsidR="00CB12A0">
        <w:tc>
          <w:tcPr>
            <w:tcW w:w="870" w:type="dxa"/>
            <w:vAlign w:val="center"/>
          </w:tcPr>
          <w:p w:rsidR="00CB12A0" w:rsidRDefault="00F31863">
            <w:pPr>
              <w:jc w:val="center"/>
            </w:pPr>
            <w:r>
              <w:rPr>
                <w:color w:val="000000"/>
                <w:sz w:val="24"/>
              </w:rPr>
              <w:t>9</w:t>
            </w:r>
          </w:p>
        </w:tc>
        <w:tc>
          <w:tcPr>
            <w:tcW w:w="1650" w:type="dxa"/>
            <w:vAlign w:val="center"/>
          </w:tcPr>
          <w:p w:rsidR="00CB12A0" w:rsidRDefault="00F31863">
            <w:pPr>
              <w:jc w:val="center"/>
            </w:pPr>
            <w:r>
              <w:rPr>
                <w:color w:val="000000"/>
                <w:sz w:val="24"/>
              </w:rPr>
              <w:t>600104</w:t>
            </w:r>
          </w:p>
        </w:tc>
        <w:tc>
          <w:tcPr>
            <w:tcW w:w="1980" w:type="dxa"/>
            <w:vAlign w:val="center"/>
          </w:tcPr>
          <w:p w:rsidR="00CB12A0" w:rsidRDefault="00F31863">
            <w:pPr>
              <w:jc w:val="center"/>
            </w:pPr>
            <w:r>
              <w:rPr>
                <w:color w:val="000000"/>
                <w:sz w:val="24"/>
              </w:rPr>
              <w:t>上汽集团</w:t>
            </w:r>
          </w:p>
        </w:tc>
        <w:tc>
          <w:tcPr>
            <w:tcW w:w="2880" w:type="dxa"/>
            <w:vAlign w:val="center"/>
          </w:tcPr>
          <w:p w:rsidR="00CB12A0" w:rsidRDefault="00F31863">
            <w:pPr>
              <w:jc w:val="right"/>
            </w:pPr>
            <w:r>
              <w:rPr>
                <w:color w:val="000000"/>
                <w:sz w:val="24"/>
              </w:rPr>
              <w:t>1,374,570.00</w:t>
            </w:r>
          </w:p>
        </w:tc>
        <w:tc>
          <w:tcPr>
            <w:tcW w:w="1620" w:type="dxa"/>
            <w:vAlign w:val="center"/>
          </w:tcPr>
          <w:p w:rsidR="00CB12A0" w:rsidRDefault="00F31863">
            <w:pPr>
              <w:jc w:val="right"/>
            </w:pPr>
            <w:r>
              <w:rPr>
                <w:color w:val="000000"/>
                <w:sz w:val="24"/>
              </w:rPr>
              <w:t>0.28</w:t>
            </w:r>
          </w:p>
        </w:tc>
      </w:tr>
      <w:tr w:rsidR="00CB12A0">
        <w:tc>
          <w:tcPr>
            <w:tcW w:w="870" w:type="dxa"/>
            <w:vAlign w:val="center"/>
          </w:tcPr>
          <w:p w:rsidR="00CB12A0" w:rsidRDefault="00F31863">
            <w:pPr>
              <w:jc w:val="center"/>
            </w:pPr>
            <w:r>
              <w:rPr>
                <w:color w:val="000000"/>
                <w:sz w:val="24"/>
              </w:rPr>
              <w:t>10</w:t>
            </w:r>
          </w:p>
        </w:tc>
        <w:tc>
          <w:tcPr>
            <w:tcW w:w="1650" w:type="dxa"/>
            <w:vAlign w:val="center"/>
          </w:tcPr>
          <w:p w:rsidR="00CB12A0" w:rsidRDefault="00F31863">
            <w:pPr>
              <w:jc w:val="center"/>
            </w:pPr>
            <w:r>
              <w:rPr>
                <w:color w:val="000000"/>
                <w:sz w:val="24"/>
              </w:rPr>
              <w:t>600900</w:t>
            </w:r>
          </w:p>
        </w:tc>
        <w:tc>
          <w:tcPr>
            <w:tcW w:w="1980" w:type="dxa"/>
            <w:vAlign w:val="center"/>
          </w:tcPr>
          <w:p w:rsidR="00CB12A0" w:rsidRDefault="00F31863">
            <w:pPr>
              <w:jc w:val="center"/>
            </w:pPr>
            <w:r>
              <w:rPr>
                <w:color w:val="000000"/>
                <w:sz w:val="24"/>
              </w:rPr>
              <w:t>长江电力</w:t>
            </w:r>
          </w:p>
        </w:tc>
        <w:tc>
          <w:tcPr>
            <w:tcW w:w="2880" w:type="dxa"/>
            <w:vAlign w:val="center"/>
          </w:tcPr>
          <w:p w:rsidR="00CB12A0" w:rsidRDefault="00F31863">
            <w:pPr>
              <w:jc w:val="right"/>
            </w:pPr>
            <w:r>
              <w:rPr>
                <w:color w:val="000000"/>
                <w:sz w:val="24"/>
              </w:rPr>
              <w:t>1,230,544.00</w:t>
            </w:r>
          </w:p>
        </w:tc>
        <w:tc>
          <w:tcPr>
            <w:tcW w:w="1620" w:type="dxa"/>
            <w:vAlign w:val="center"/>
          </w:tcPr>
          <w:p w:rsidR="00CB12A0" w:rsidRDefault="00F31863">
            <w:pPr>
              <w:jc w:val="right"/>
            </w:pPr>
            <w:r>
              <w:rPr>
                <w:color w:val="000000"/>
                <w:sz w:val="24"/>
              </w:rPr>
              <w:t>0.25</w:t>
            </w:r>
          </w:p>
        </w:tc>
      </w:tr>
      <w:tr w:rsidR="00CB12A0">
        <w:tc>
          <w:tcPr>
            <w:tcW w:w="870" w:type="dxa"/>
            <w:vAlign w:val="center"/>
          </w:tcPr>
          <w:p w:rsidR="00CB12A0" w:rsidRDefault="00F31863">
            <w:pPr>
              <w:jc w:val="center"/>
            </w:pPr>
            <w:r>
              <w:rPr>
                <w:color w:val="000000"/>
                <w:sz w:val="24"/>
              </w:rPr>
              <w:t>11</w:t>
            </w:r>
          </w:p>
        </w:tc>
        <w:tc>
          <w:tcPr>
            <w:tcW w:w="1650" w:type="dxa"/>
            <w:vAlign w:val="center"/>
          </w:tcPr>
          <w:p w:rsidR="00CB12A0" w:rsidRDefault="00F31863">
            <w:pPr>
              <w:jc w:val="center"/>
            </w:pPr>
            <w:r>
              <w:rPr>
                <w:color w:val="000000"/>
                <w:sz w:val="24"/>
              </w:rPr>
              <w:t>601766</w:t>
            </w:r>
          </w:p>
        </w:tc>
        <w:tc>
          <w:tcPr>
            <w:tcW w:w="1980" w:type="dxa"/>
            <w:vAlign w:val="center"/>
          </w:tcPr>
          <w:p w:rsidR="00CB12A0" w:rsidRDefault="00F31863">
            <w:pPr>
              <w:jc w:val="center"/>
            </w:pPr>
            <w:r>
              <w:rPr>
                <w:color w:val="000000"/>
                <w:sz w:val="24"/>
              </w:rPr>
              <w:t>中国中车</w:t>
            </w:r>
          </w:p>
        </w:tc>
        <w:tc>
          <w:tcPr>
            <w:tcW w:w="2880" w:type="dxa"/>
            <w:vAlign w:val="center"/>
          </w:tcPr>
          <w:p w:rsidR="00CB12A0" w:rsidRDefault="00F31863">
            <w:pPr>
              <w:jc w:val="right"/>
            </w:pPr>
            <w:r>
              <w:rPr>
                <w:color w:val="000000"/>
                <w:sz w:val="24"/>
              </w:rPr>
              <w:t>1,212,753.00</w:t>
            </w:r>
          </w:p>
        </w:tc>
        <w:tc>
          <w:tcPr>
            <w:tcW w:w="1620" w:type="dxa"/>
            <w:vAlign w:val="center"/>
          </w:tcPr>
          <w:p w:rsidR="00CB12A0" w:rsidRDefault="00F31863">
            <w:pPr>
              <w:jc w:val="right"/>
            </w:pPr>
            <w:r>
              <w:rPr>
                <w:color w:val="000000"/>
                <w:sz w:val="24"/>
              </w:rPr>
              <w:t>0.24</w:t>
            </w:r>
          </w:p>
        </w:tc>
      </w:tr>
      <w:tr w:rsidR="00CB12A0">
        <w:tc>
          <w:tcPr>
            <w:tcW w:w="870" w:type="dxa"/>
            <w:vAlign w:val="center"/>
          </w:tcPr>
          <w:p w:rsidR="00CB12A0" w:rsidRDefault="00F31863">
            <w:pPr>
              <w:jc w:val="center"/>
            </w:pPr>
            <w:r>
              <w:rPr>
                <w:color w:val="000000"/>
                <w:sz w:val="24"/>
              </w:rPr>
              <w:t>12</w:t>
            </w:r>
          </w:p>
        </w:tc>
        <w:tc>
          <w:tcPr>
            <w:tcW w:w="1650" w:type="dxa"/>
            <w:vAlign w:val="center"/>
          </w:tcPr>
          <w:p w:rsidR="00CB12A0" w:rsidRDefault="00F31863">
            <w:pPr>
              <w:jc w:val="center"/>
            </w:pPr>
            <w:r>
              <w:rPr>
                <w:color w:val="000000"/>
                <w:sz w:val="24"/>
              </w:rPr>
              <w:t>601988</w:t>
            </w:r>
          </w:p>
        </w:tc>
        <w:tc>
          <w:tcPr>
            <w:tcW w:w="1980" w:type="dxa"/>
            <w:vAlign w:val="center"/>
          </w:tcPr>
          <w:p w:rsidR="00CB12A0" w:rsidRDefault="00F31863">
            <w:pPr>
              <w:jc w:val="center"/>
            </w:pPr>
            <w:r>
              <w:rPr>
                <w:color w:val="000000"/>
                <w:sz w:val="24"/>
              </w:rPr>
              <w:t>中国银行</w:t>
            </w:r>
          </w:p>
        </w:tc>
        <w:tc>
          <w:tcPr>
            <w:tcW w:w="2880" w:type="dxa"/>
            <w:vAlign w:val="center"/>
          </w:tcPr>
          <w:p w:rsidR="00CB12A0" w:rsidRDefault="00F31863">
            <w:pPr>
              <w:jc w:val="right"/>
            </w:pPr>
            <w:r>
              <w:rPr>
                <w:color w:val="000000"/>
                <w:sz w:val="24"/>
              </w:rPr>
              <w:t>993,618.00</w:t>
            </w:r>
          </w:p>
        </w:tc>
        <w:tc>
          <w:tcPr>
            <w:tcW w:w="1620" w:type="dxa"/>
            <w:vAlign w:val="center"/>
          </w:tcPr>
          <w:p w:rsidR="00CB12A0" w:rsidRDefault="00F31863">
            <w:pPr>
              <w:jc w:val="right"/>
            </w:pPr>
            <w:r>
              <w:rPr>
                <w:color w:val="000000"/>
                <w:sz w:val="24"/>
              </w:rPr>
              <w:t>0.20</w:t>
            </w:r>
          </w:p>
        </w:tc>
      </w:tr>
      <w:tr w:rsidR="00CB12A0">
        <w:tc>
          <w:tcPr>
            <w:tcW w:w="870" w:type="dxa"/>
            <w:vAlign w:val="center"/>
          </w:tcPr>
          <w:p w:rsidR="00CB12A0" w:rsidRDefault="00F31863">
            <w:pPr>
              <w:jc w:val="center"/>
            </w:pPr>
            <w:r>
              <w:rPr>
                <w:color w:val="000000"/>
                <w:sz w:val="24"/>
              </w:rPr>
              <w:t>13</w:t>
            </w:r>
          </w:p>
        </w:tc>
        <w:tc>
          <w:tcPr>
            <w:tcW w:w="1650" w:type="dxa"/>
            <w:vAlign w:val="center"/>
          </w:tcPr>
          <w:p w:rsidR="00CB12A0" w:rsidRDefault="00F31863">
            <w:pPr>
              <w:jc w:val="center"/>
            </w:pPr>
            <w:r>
              <w:rPr>
                <w:color w:val="000000"/>
                <w:sz w:val="24"/>
              </w:rPr>
              <w:t>600048</w:t>
            </w:r>
          </w:p>
        </w:tc>
        <w:tc>
          <w:tcPr>
            <w:tcW w:w="1980" w:type="dxa"/>
            <w:vAlign w:val="center"/>
          </w:tcPr>
          <w:p w:rsidR="00CB12A0" w:rsidRDefault="00F31863">
            <w:pPr>
              <w:jc w:val="center"/>
            </w:pPr>
            <w:r>
              <w:rPr>
                <w:color w:val="000000"/>
                <w:sz w:val="24"/>
              </w:rPr>
              <w:t>保利地产</w:t>
            </w:r>
          </w:p>
        </w:tc>
        <w:tc>
          <w:tcPr>
            <w:tcW w:w="2880" w:type="dxa"/>
            <w:vAlign w:val="center"/>
          </w:tcPr>
          <w:p w:rsidR="00CB12A0" w:rsidRDefault="00F31863">
            <w:pPr>
              <w:jc w:val="right"/>
            </w:pPr>
            <w:r>
              <w:rPr>
                <w:color w:val="000000"/>
                <w:sz w:val="24"/>
              </w:rPr>
              <w:t>959,398.00</w:t>
            </w:r>
          </w:p>
        </w:tc>
        <w:tc>
          <w:tcPr>
            <w:tcW w:w="1620" w:type="dxa"/>
            <w:vAlign w:val="center"/>
          </w:tcPr>
          <w:p w:rsidR="00CB12A0" w:rsidRDefault="00F31863">
            <w:pPr>
              <w:jc w:val="right"/>
            </w:pPr>
            <w:r>
              <w:rPr>
                <w:color w:val="000000"/>
                <w:sz w:val="24"/>
              </w:rPr>
              <w:t>0.19</w:t>
            </w:r>
          </w:p>
        </w:tc>
      </w:tr>
      <w:tr w:rsidR="00CB12A0">
        <w:tc>
          <w:tcPr>
            <w:tcW w:w="870" w:type="dxa"/>
            <w:vAlign w:val="center"/>
          </w:tcPr>
          <w:p w:rsidR="00CB12A0" w:rsidRDefault="00F31863">
            <w:pPr>
              <w:jc w:val="center"/>
            </w:pPr>
            <w:r>
              <w:rPr>
                <w:color w:val="000000"/>
                <w:sz w:val="24"/>
              </w:rPr>
              <w:t>14</w:t>
            </w:r>
          </w:p>
        </w:tc>
        <w:tc>
          <w:tcPr>
            <w:tcW w:w="1650" w:type="dxa"/>
            <w:vAlign w:val="center"/>
          </w:tcPr>
          <w:p w:rsidR="00CB12A0" w:rsidRDefault="00F31863">
            <w:pPr>
              <w:jc w:val="center"/>
            </w:pPr>
            <w:r>
              <w:rPr>
                <w:color w:val="000000"/>
                <w:sz w:val="24"/>
              </w:rPr>
              <w:t>601818</w:t>
            </w:r>
          </w:p>
        </w:tc>
        <w:tc>
          <w:tcPr>
            <w:tcW w:w="1980" w:type="dxa"/>
            <w:vAlign w:val="center"/>
          </w:tcPr>
          <w:p w:rsidR="00CB12A0" w:rsidRDefault="00F31863">
            <w:pPr>
              <w:jc w:val="center"/>
            </w:pPr>
            <w:r>
              <w:rPr>
                <w:color w:val="000000"/>
                <w:sz w:val="24"/>
              </w:rPr>
              <w:t>光大银行</w:t>
            </w:r>
          </w:p>
        </w:tc>
        <w:tc>
          <w:tcPr>
            <w:tcW w:w="2880" w:type="dxa"/>
            <w:vAlign w:val="center"/>
          </w:tcPr>
          <w:p w:rsidR="00CB12A0" w:rsidRDefault="00F31863">
            <w:pPr>
              <w:jc w:val="right"/>
            </w:pPr>
            <w:r>
              <w:rPr>
                <w:color w:val="000000"/>
                <w:sz w:val="24"/>
              </w:rPr>
              <w:t>853,003.00</w:t>
            </w:r>
          </w:p>
        </w:tc>
        <w:tc>
          <w:tcPr>
            <w:tcW w:w="1620" w:type="dxa"/>
            <w:vAlign w:val="center"/>
          </w:tcPr>
          <w:p w:rsidR="00CB12A0" w:rsidRDefault="00F31863">
            <w:pPr>
              <w:jc w:val="right"/>
            </w:pPr>
            <w:r>
              <w:rPr>
                <w:color w:val="000000"/>
                <w:sz w:val="24"/>
              </w:rPr>
              <w:t>0.17</w:t>
            </w:r>
          </w:p>
        </w:tc>
      </w:tr>
      <w:tr w:rsidR="00CB12A0">
        <w:tc>
          <w:tcPr>
            <w:tcW w:w="870" w:type="dxa"/>
            <w:vAlign w:val="center"/>
          </w:tcPr>
          <w:p w:rsidR="00CB12A0" w:rsidRDefault="00F31863">
            <w:pPr>
              <w:jc w:val="center"/>
            </w:pPr>
            <w:r>
              <w:rPr>
                <w:color w:val="000000"/>
                <w:sz w:val="24"/>
              </w:rPr>
              <w:t>15</w:t>
            </w:r>
          </w:p>
        </w:tc>
        <w:tc>
          <w:tcPr>
            <w:tcW w:w="1650" w:type="dxa"/>
            <w:vAlign w:val="center"/>
          </w:tcPr>
          <w:p w:rsidR="00CB12A0" w:rsidRDefault="00F31863">
            <w:pPr>
              <w:jc w:val="center"/>
            </w:pPr>
            <w:r>
              <w:rPr>
                <w:color w:val="000000"/>
                <w:sz w:val="24"/>
              </w:rPr>
              <w:t>600028</w:t>
            </w:r>
          </w:p>
        </w:tc>
        <w:tc>
          <w:tcPr>
            <w:tcW w:w="1980" w:type="dxa"/>
            <w:vAlign w:val="center"/>
          </w:tcPr>
          <w:p w:rsidR="00CB12A0" w:rsidRDefault="00F31863">
            <w:pPr>
              <w:jc w:val="center"/>
            </w:pPr>
            <w:r>
              <w:rPr>
                <w:color w:val="000000"/>
                <w:sz w:val="24"/>
              </w:rPr>
              <w:t>中国石化</w:t>
            </w:r>
          </w:p>
        </w:tc>
        <w:tc>
          <w:tcPr>
            <w:tcW w:w="2880" w:type="dxa"/>
            <w:vAlign w:val="center"/>
          </w:tcPr>
          <w:p w:rsidR="00CB12A0" w:rsidRDefault="00F31863">
            <w:pPr>
              <w:jc w:val="right"/>
            </w:pPr>
            <w:r>
              <w:rPr>
                <w:color w:val="000000"/>
                <w:sz w:val="24"/>
              </w:rPr>
              <w:t>823,723.00</w:t>
            </w:r>
          </w:p>
        </w:tc>
        <w:tc>
          <w:tcPr>
            <w:tcW w:w="1620" w:type="dxa"/>
            <w:vAlign w:val="center"/>
          </w:tcPr>
          <w:p w:rsidR="00CB12A0" w:rsidRDefault="00F31863">
            <w:pPr>
              <w:jc w:val="right"/>
            </w:pPr>
            <w:r>
              <w:rPr>
                <w:color w:val="000000"/>
                <w:sz w:val="24"/>
              </w:rPr>
              <w:t>0.16</w:t>
            </w:r>
          </w:p>
        </w:tc>
      </w:tr>
      <w:tr w:rsidR="00CB12A0">
        <w:tc>
          <w:tcPr>
            <w:tcW w:w="870" w:type="dxa"/>
            <w:vAlign w:val="center"/>
          </w:tcPr>
          <w:p w:rsidR="00CB12A0" w:rsidRDefault="00F31863">
            <w:pPr>
              <w:jc w:val="center"/>
            </w:pPr>
            <w:r>
              <w:rPr>
                <w:color w:val="000000"/>
                <w:sz w:val="24"/>
              </w:rPr>
              <w:t>16</w:t>
            </w:r>
          </w:p>
        </w:tc>
        <w:tc>
          <w:tcPr>
            <w:tcW w:w="1650" w:type="dxa"/>
            <w:vAlign w:val="center"/>
          </w:tcPr>
          <w:p w:rsidR="00CB12A0" w:rsidRDefault="00F31863">
            <w:pPr>
              <w:jc w:val="center"/>
            </w:pPr>
            <w:r>
              <w:rPr>
                <w:color w:val="000000"/>
                <w:sz w:val="24"/>
              </w:rPr>
              <w:t>601390</w:t>
            </w:r>
          </w:p>
        </w:tc>
        <w:tc>
          <w:tcPr>
            <w:tcW w:w="1980" w:type="dxa"/>
            <w:vAlign w:val="center"/>
          </w:tcPr>
          <w:p w:rsidR="00CB12A0" w:rsidRDefault="00F31863">
            <w:pPr>
              <w:jc w:val="center"/>
            </w:pPr>
            <w:r>
              <w:rPr>
                <w:color w:val="000000"/>
                <w:sz w:val="24"/>
              </w:rPr>
              <w:t>中国中铁</w:t>
            </w:r>
          </w:p>
        </w:tc>
        <w:tc>
          <w:tcPr>
            <w:tcW w:w="2880" w:type="dxa"/>
            <w:vAlign w:val="center"/>
          </w:tcPr>
          <w:p w:rsidR="00CB12A0" w:rsidRDefault="00F31863">
            <w:pPr>
              <w:jc w:val="right"/>
            </w:pPr>
            <w:r>
              <w:rPr>
                <w:color w:val="000000"/>
                <w:sz w:val="24"/>
              </w:rPr>
              <w:t>818,229.00</w:t>
            </w:r>
          </w:p>
        </w:tc>
        <w:tc>
          <w:tcPr>
            <w:tcW w:w="1620" w:type="dxa"/>
            <w:vAlign w:val="center"/>
          </w:tcPr>
          <w:p w:rsidR="00CB12A0" w:rsidRDefault="00F31863">
            <w:pPr>
              <w:jc w:val="right"/>
            </w:pPr>
            <w:r>
              <w:rPr>
                <w:color w:val="000000"/>
                <w:sz w:val="24"/>
              </w:rPr>
              <w:t>0.16</w:t>
            </w:r>
          </w:p>
        </w:tc>
      </w:tr>
      <w:tr w:rsidR="00CB12A0">
        <w:tc>
          <w:tcPr>
            <w:tcW w:w="870" w:type="dxa"/>
            <w:vAlign w:val="center"/>
          </w:tcPr>
          <w:p w:rsidR="00CB12A0" w:rsidRDefault="00F31863">
            <w:pPr>
              <w:jc w:val="center"/>
            </w:pPr>
            <w:r>
              <w:rPr>
                <w:color w:val="000000"/>
                <w:sz w:val="24"/>
              </w:rPr>
              <w:t>17</w:t>
            </w:r>
          </w:p>
        </w:tc>
        <w:tc>
          <w:tcPr>
            <w:tcW w:w="1650" w:type="dxa"/>
            <w:vAlign w:val="center"/>
          </w:tcPr>
          <w:p w:rsidR="00CB12A0" w:rsidRDefault="00F31863">
            <w:pPr>
              <w:jc w:val="center"/>
            </w:pPr>
            <w:r>
              <w:rPr>
                <w:color w:val="000000"/>
                <w:sz w:val="24"/>
              </w:rPr>
              <w:t>600019</w:t>
            </w:r>
          </w:p>
        </w:tc>
        <w:tc>
          <w:tcPr>
            <w:tcW w:w="1980" w:type="dxa"/>
            <w:vAlign w:val="center"/>
          </w:tcPr>
          <w:p w:rsidR="00CB12A0" w:rsidRDefault="00F31863">
            <w:pPr>
              <w:jc w:val="center"/>
            </w:pPr>
            <w:r>
              <w:rPr>
                <w:color w:val="000000"/>
                <w:sz w:val="24"/>
              </w:rPr>
              <w:t>宝钢股份</w:t>
            </w:r>
          </w:p>
        </w:tc>
        <w:tc>
          <w:tcPr>
            <w:tcW w:w="2880" w:type="dxa"/>
            <w:vAlign w:val="center"/>
          </w:tcPr>
          <w:p w:rsidR="00CB12A0" w:rsidRDefault="00F31863">
            <w:pPr>
              <w:jc w:val="right"/>
            </w:pPr>
            <w:r>
              <w:rPr>
                <w:color w:val="000000"/>
                <w:sz w:val="24"/>
              </w:rPr>
              <w:t>794,288.00</w:t>
            </w:r>
          </w:p>
        </w:tc>
        <w:tc>
          <w:tcPr>
            <w:tcW w:w="1620" w:type="dxa"/>
            <w:vAlign w:val="center"/>
          </w:tcPr>
          <w:p w:rsidR="00CB12A0" w:rsidRDefault="00F31863">
            <w:pPr>
              <w:jc w:val="right"/>
            </w:pPr>
            <w:r>
              <w:rPr>
                <w:color w:val="000000"/>
                <w:sz w:val="24"/>
              </w:rPr>
              <w:t>0.16</w:t>
            </w:r>
          </w:p>
        </w:tc>
      </w:tr>
      <w:tr w:rsidR="00CB12A0">
        <w:tc>
          <w:tcPr>
            <w:tcW w:w="870" w:type="dxa"/>
            <w:vAlign w:val="center"/>
          </w:tcPr>
          <w:p w:rsidR="00CB12A0" w:rsidRDefault="00F31863">
            <w:pPr>
              <w:jc w:val="center"/>
            </w:pPr>
            <w:r>
              <w:rPr>
                <w:color w:val="000000"/>
                <w:sz w:val="24"/>
              </w:rPr>
              <w:t>18</w:t>
            </w:r>
          </w:p>
        </w:tc>
        <w:tc>
          <w:tcPr>
            <w:tcW w:w="1650" w:type="dxa"/>
            <w:vAlign w:val="center"/>
          </w:tcPr>
          <w:p w:rsidR="00CB12A0" w:rsidRDefault="00F31863">
            <w:pPr>
              <w:jc w:val="center"/>
            </w:pPr>
            <w:r>
              <w:rPr>
                <w:color w:val="000000"/>
                <w:sz w:val="24"/>
              </w:rPr>
              <w:t>600518</w:t>
            </w:r>
          </w:p>
        </w:tc>
        <w:tc>
          <w:tcPr>
            <w:tcW w:w="1980" w:type="dxa"/>
            <w:vAlign w:val="center"/>
          </w:tcPr>
          <w:p w:rsidR="00CB12A0" w:rsidRDefault="00F31863">
            <w:pPr>
              <w:jc w:val="center"/>
            </w:pPr>
            <w:r>
              <w:rPr>
                <w:color w:val="000000"/>
                <w:sz w:val="24"/>
              </w:rPr>
              <w:t>康美药业</w:t>
            </w:r>
          </w:p>
        </w:tc>
        <w:tc>
          <w:tcPr>
            <w:tcW w:w="2880" w:type="dxa"/>
            <w:vAlign w:val="center"/>
          </w:tcPr>
          <w:p w:rsidR="00CB12A0" w:rsidRDefault="00F31863">
            <w:pPr>
              <w:jc w:val="right"/>
            </w:pPr>
            <w:r>
              <w:rPr>
                <w:color w:val="000000"/>
                <w:sz w:val="24"/>
              </w:rPr>
              <w:t>750,741.00</w:t>
            </w:r>
          </w:p>
        </w:tc>
        <w:tc>
          <w:tcPr>
            <w:tcW w:w="1620" w:type="dxa"/>
            <w:vAlign w:val="center"/>
          </w:tcPr>
          <w:p w:rsidR="00CB12A0" w:rsidRDefault="00F31863">
            <w:pPr>
              <w:jc w:val="right"/>
            </w:pPr>
            <w:r>
              <w:rPr>
                <w:color w:val="000000"/>
                <w:sz w:val="24"/>
              </w:rPr>
              <w:t>0.15</w:t>
            </w:r>
          </w:p>
        </w:tc>
      </w:tr>
      <w:tr w:rsidR="00CB12A0">
        <w:tc>
          <w:tcPr>
            <w:tcW w:w="870" w:type="dxa"/>
            <w:vAlign w:val="center"/>
          </w:tcPr>
          <w:p w:rsidR="00CB12A0" w:rsidRDefault="00F31863">
            <w:pPr>
              <w:jc w:val="center"/>
            </w:pPr>
            <w:r>
              <w:rPr>
                <w:color w:val="000000"/>
                <w:sz w:val="24"/>
              </w:rPr>
              <w:t>19</w:t>
            </w:r>
          </w:p>
        </w:tc>
        <w:tc>
          <w:tcPr>
            <w:tcW w:w="1650" w:type="dxa"/>
            <w:vAlign w:val="center"/>
          </w:tcPr>
          <w:p w:rsidR="00CB12A0" w:rsidRDefault="00F31863">
            <w:pPr>
              <w:jc w:val="center"/>
            </w:pPr>
            <w:r>
              <w:rPr>
                <w:color w:val="000000"/>
                <w:sz w:val="24"/>
              </w:rPr>
              <w:t>601186</w:t>
            </w:r>
          </w:p>
        </w:tc>
        <w:tc>
          <w:tcPr>
            <w:tcW w:w="1980" w:type="dxa"/>
            <w:vAlign w:val="center"/>
          </w:tcPr>
          <w:p w:rsidR="00CB12A0" w:rsidRDefault="00F31863">
            <w:pPr>
              <w:jc w:val="center"/>
            </w:pPr>
            <w:r>
              <w:rPr>
                <w:color w:val="000000"/>
                <w:sz w:val="24"/>
              </w:rPr>
              <w:t>中国铁建</w:t>
            </w:r>
          </w:p>
        </w:tc>
        <w:tc>
          <w:tcPr>
            <w:tcW w:w="2880" w:type="dxa"/>
            <w:vAlign w:val="center"/>
          </w:tcPr>
          <w:p w:rsidR="00CB12A0" w:rsidRDefault="00F31863">
            <w:pPr>
              <w:jc w:val="right"/>
            </w:pPr>
            <w:r>
              <w:rPr>
                <w:color w:val="000000"/>
                <w:sz w:val="24"/>
              </w:rPr>
              <w:t>749,745.00</w:t>
            </w:r>
          </w:p>
        </w:tc>
        <w:tc>
          <w:tcPr>
            <w:tcW w:w="1620" w:type="dxa"/>
            <w:vAlign w:val="center"/>
          </w:tcPr>
          <w:p w:rsidR="00CB12A0" w:rsidRDefault="00F31863">
            <w:pPr>
              <w:jc w:val="right"/>
            </w:pPr>
            <w:r>
              <w:rPr>
                <w:color w:val="000000"/>
                <w:sz w:val="24"/>
              </w:rPr>
              <w:t>0.15</w:t>
            </w:r>
          </w:p>
        </w:tc>
      </w:tr>
      <w:tr w:rsidR="00CB12A0">
        <w:tc>
          <w:tcPr>
            <w:tcW w:w="870" w:type="dxa"/>
            <w:vAlign w:val="center"/>
          </w:tcPr>
          <w:p w:rsidR="00CB12A0" w:rsidRDefault="00F31863">
            <w:pPr>
              <w:jc w:val="center"/>
            </w:pPr>
            <w:r>
              <w:rPr>
                <w:color w:val="000000"/>
                <w:sz w:val="24"/>
              </w:rPr>
              <w:t>20</w:t>
            </w:r>
          </w:p>
        </w:tc>
        <w:tc>
          <w:tcPr>
            <w:tcW w:w="1650" w:type="dxa"/>
            <w:vAlign w:val="center"/>
          </w:tcPr>
          <w:p w:rsidR="00CB12A0" w:rsidRDefault="00F31863">
            <w:pPr>
              <w:jc w:val="center"/>
            </w:pPr>
            <w:r>
              <w:rPr>
                <w:color w:val="000000"/>
                <w:sz w:val="24"/>
              </w:rPr>
              <w:t>601006</w:t>
            </w:r>
          </w:p>
        </w:tc>
        <w:tc>
          <w:tcPr>
            <w:tcW w:w="1980" w:type="dxa"/>
            <w:vAlign w:val="center"/>
          </w:tcPr>
          <w:p w:rsidR="00CB12A0" w:rsidRDefault="00F31863">
            <w:pPr>
              <w:jc w:val="center"/>
            </w:pPr>
            <w:r>
              <w:rPr>
                <w:color w:val="000000"/>
                <w:sz w:val="24"/>
              </w:rPr>
              <w:t>大秦铁路</w:t>
            </w:r>
          </w:p>
        </w:tc>
        <w:tc>
          <w:tcPr>
            <w:tcW w:w="2880" w:type="dxa"/>
            <w:vAlign w:val="center"/>
          </w:tcPr>
          <w:p w:rsidR="00CB12A0" w:rsidRDefault="00F31863">
            <w:pPr>
              <w:jc w:val="right"/>
            </w:pPr>
            <w:r>
              <w:rPr>
                <w:color w:val="000000"/>
                <w:sz w:val="24"/>
              </w:rPr>
              <w:t>660,673.00</w:t>
            </w:r>
          </w:p>
        </w:tc>
        <w:tc>
          <w:tcPr>
            <w:tcW w:w="1620" w:type="dxa"/>
            <w:vAlign w:val="center"/>
          </w:tcPr>
          <w:p w:rsidR="00CB12A0" w:rsidRDefault="00F31863">
            <w:pPr>
              <w:jc w:val="right"/>
            </w:pPr>
            <w:r>
              <w:rPr>
                <w:color w:val="000000"/>
                <w:sz w:val="24"/>
              </w:rPr>
              <w:t>0.13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CB12A0">
        <w:tc>
          <w:tcPr>
            <w:tcW w:w="870" w:type="dxa"/>
            <w:vAlign w:val="center"/>
          </w:tcPr>
          <w:p w:rsidR="00CB12A0" w:rsidRDefault="00F31863">
            <w:pPr>
              <w:jc w:val="center"/>
            </w:pPr>
            <w:r>
              <w:t>1</w:t>
            </w:r>
          </w:p>
        </w:tc>
        <w:tc>
          <w:tcPr>
            <w:tcW w:w="1650" w:type="dxa"/>
            <w:vAlign w:val="center"/>
          </w:tcPr>
          <w:p w:rsidR="00CB12A0" w:rsidRDefault="00F31863">
            <w:pPr>
              <w:jc w:val="center"/>
            </w:pPr>
            <w:r>
              <w:t>601318</w:t>
            </w:r>
          </w:p>
        </w:tc>
        <w:tc>
          <w:tcPr>
            <w:tcW w:w="1980" w:type="dxa"/>
            <w:vAlign w:val="center"/>
          </w:tcPr>
          <w:p w:rsidR="00CB12A0" w:rsidRDefault="00F31863">
            <w:pPr>
              <w:jc w:val="center"/>
            </w:pPr>
            <w:r>
              <w:t>中国平安</w:t>
            </w:r>
          </w:p>
        </w:tc>
        <w:tc>
          <w:tcPr>
            <w:tcW w:w="2880" w:type="dxa"/>
            <w:vAlign w:val="center"/>
          </w:tcPr>
          <w:p w:rsidR="00CB12A0" w:rsidRDefault="00F31863">
            <w:pPr>
              <w:jc w:val="right"/>
            </w:pPr>
            <w:r>
              <w:t>20,299,983.50</w:t>
            </w:r>
          </w:p>
        </w:tc>
        <w:tc>
          <w:tcPr>
            <w:tcW w:w="1620" w:type="dxa"/>
            <w:vAlign w:val="center"/>
          </w:tcPr>
          <w:p w:rsidR="00CB12A0" w:rsidRDefault="00F31863">
            <w:pPr>
              <w:jc w:val="right"/>
            </w:pPr>
            <w:r>
              <w:t>4.06</w:t>
            </w:r>
          </w:p>
        </w:tc>
      </w:tr>
      <w:tr w:rsidR="00CB12A0">
        <w:tc>
          <w:tcPr>
            <w:tcW w:w="870" w:type="dxa"/>
            <w:vAlign w:val="center"/>
          </w:tcPr>
          <w:p w:rsidR="00CB12A0" w:rsidRDefault="00F31863">
            <w:pPr>
              <w:jc w:val="center"/>
            </w:pPr>
            <w:r>
              <w:t>2</w:t>
            </w:r>
          </w:p>
        </w:tc>
        <w:tc>
          <w:tcPr>
            <w:tcW w:w="1650" w:type="dxa"/>
            <w:vAlign w:val="center"/>
          </w:tcPr>
          <w:p w:rsidR="00CB12A0" w:rsidRDefault="00F31863">
            <w:pPr>
              <w:jc w:val="center"/>
            </w:pPr>
            <w:r>
              <w:t>600036</w:t>
            </w:r>
          </w:p>
        </w:tc>
        <w:tc>
          <w:tcPr>
            <w:tcW w:w="1980" w:type="dxa"/>
            <w:vAlign w:val="center"/>
          </w:tcPr>
          <w:p w:rsidR="00CB12A0" w:rsidRDefault="00F31863">
            <w:pPr>
              <w:jc w:val="center"/>
            </w:pPr>
            <w:r>
              <w:t>招商银行</w:t>
            </w:r>
          </w:p>
        </w:tc>
        <w:tc>
          <w:tcPr>
            <w:tcW w:w="2880" w:type="dxa"/>
            <w:vAlign w:val="center"/>
          </w:tcPr>
          <w:p w:rsidR="00CB12A0" w:rsidRDefault="00F31863">
            <w:pPr>
              <w:jc w:val="right"/>
            </w:pPr>
            <w:r>
              <w:t>9,091,158.71</w:t>
            </w:r>
          </w:p>
        </w:tc>
        <w:tc>
          <w:tcPr>
            <w:tcW w:w="1620" w:type="dxa"/>
            <w:vAlign w:val="center"/>
          </w:tcPr>
          <w:p w:rsidR="00CB12A0" w:rsidRDefault="00F31863">
            <w:pPr>
              <w:jc w:val="right"/>
            </w:pPr>
            <w:r>
              <w:t>1.82</w:t>
            </w:r>
          </w:p>
        </w:tc>
      </w:tr>
      <w:tr w:rsidR="00CB12A0">
        <w:tc>
          <w:tcPr>
            <w:tcW w:w="870" w:type="dxa"/>
            <w:vAlign w:val="center"/>
          </w:tcPr>
          <w:p w:rsidR="00CB12A0" w:rsidRDefault="00F31863">
            <w:pPr>
              <w:jc w:val="center"/>
            </w:pPr>
            <w:r>
              <w:t>3</w:t>
            </w:r>
          </w:p>
        </w:tc>
        <w:tc>
          <w:tcPr>
            <w:tcW w:w="1650" w:type="dxa"/>
            <w:vAlign w:val="center"/>
          </w:tcPr>
          <w:p w:rsidR="00CB12A0" w:rsidRDefault="00F31863">
            <w:pPr>
              <w:jc w:val="center"/>
            </w:pPr>
            <w:r>
              <w:t>601166</w:t>
            </w:r>
          </w:p>
        </w:tc>
        <w:tc>
          <w:tcPr>
            <w:tcW w:w="1980" w:type="dxa"/>
            <w:vAlign w:val="center"/>
          </w:tcPr>
          <w:p w:rsidR="00CB12A0" w:rsidRDefault="00F31863">
            <w:pPr>
              <w:jc w:val="center"/>
            </w:pPr>
            <w:r>
              <w:t>兴业银行</w:t>
            </w:r>
          </w:p>
        </w:tc>
        <w:tc>
          <w:tcPr>
            <w:tcW w:w="2880" w:type="dxa"/>
            <w:vAlign w:val="center"/>
          </w:tcPr>
          <w:p w:rsidR="00CB12A0" w:rsidRDefault="00F31863">
            <w:pPr>
              <w:jc w:val="right"/>
            </w:pPr>
            <w:r>
              <w:t>7,925,516.00</w:t>
            </w:r>
          </w:p>
        </w:tc>
        <w:tc>
          <w:tcPr>
            <w:tcW w:w="1620" w:type="dxa"/>
            <w:vAlign w:val="center"/>
          </w:tcPr>
          <w:p w:rsidR="00CB12A0" w:rsidRDefault="00F31863">
            <w:pPr>
              <w:jc w:val="right"/>
            </w:pPr>
            <w:r>
              <w:t>1.59</w:t>
            </w:r>
          </w:p>
        </w:tc>
      </w:tr>
      <w:tr w:rsidR="00CB12A0">
        <w:tc>
          <w:tcPr>
            <w:tcW w:w="870" w:type="dxa"/>
            <w:vAlign w:val="center"/>
          </w:tcPr>
          <w:p w:rsidR="00CB12A0" w:rsidRDefault="00F31863">
            <w:pPr>
              <w:jc w:val="center"/>
            </w:pPr>
            <w:r>
              <w:t>4</w:t>
            </w:r>
          </w:p>
        </w:tc>
        <w:tc>
          <w:tcPr>
            <w:tcW w:w="1650" w:type="dxa"/>
            <w:vAlign w:val="center"/>
          </w:tcPr>
          <w:p w:rsidR="00CB12A0" w:rsidRDefault="00F31863">
            <w:pPr>
              <w:jc w:val="center"/>
            </w:pPr>
            <w:r>
              <w:t>600016</w:t>
            </w:r>
          </w:p>
        </w:tc>
        <w:tc>
          <w:tcPr>
            <w:tcW w:w="1980" w:type="dxa"/>
            <w:vAlign w:val="center"/>
          </w:tcPr>
          <w:p w:rsidR="00CB12A0" w:rsidRDefault="00F31863">
            <w:pPr>
              <w:jc w:val="center"/>
            </w:pPr>
            <w:r>
              <w:t>民生银行</w:t>
            </w:r>
          </w:p>
        </w:tc>
        <w:tc>
          <w:tcPr>
            <w:tcW w:w="2880" w:type="dxa"/>
            <w:vAlign w:val="center"/>
          </w:tcPr>
          <w:p w:rsidR="00CB12A0" w:rsidRDefault="00F31863">
            <w:pPr>
              <w:jc w:val="right"/>
            </w:pPr>
            <w:r>
              <w:t>7,268,974.00</w:t>
            </w:r>
          </w:p>
        </w:tc>
        <w:tc>
          <w:tcPr>
            <w:tcW w:w="1620" w:type="dxa"/>
            <w:vAlign w:val="center"/>
          </w:tcPr>
          <w:p w:rsidR="00CB12A0" w:rsidRDefault="00F31863">
            <w:pPr>
              <w:jc w:val="right"/>
            </w:pPr>
            <w:r>
              <w:t>1.46</w:t>
            </w:r>
          </w:p>
        </w:tc>
      </w:tr>
      <w:tr w:rsidR="00CB12A0">
        <w:tc>
          <w:tcPr>
            <w:tcW w:w="870" w:type="dxa"/>
            <w:vAlign w:val="center"/>
          </w:tcPr>
          <w:p w:rsidR="00CB12A0" w:rsidRDefault="00F31863">
            <w:pPr>
              <w:jc w:val="center"/>
            </w:pPr>
            <w:r>
              <w:t>5</w:t>
            </w:r>
          </w:p>
        </w:tc>
        <w:tc>
          <w:tcPr>
            <w:tcW w:w="1650" w:type="dxa"/>
            <w:vAlign w:val="center"/>
          </w:tcPr>
          <w:p w:rsidR="00CB12A0" w:rsidRDefault="00F31863">
            <w:pPr>
              <w:jc w:val="center"/>
            </w:pPr>
            <w:r>
              <w:t>601668</w:t>
            </w:r>
          </w:p>
        </w:tc>
        <w:tc>
          <w:tcPr>
            <w:tcW w:w="1980" w:type="dxa"/>
            <w:vAlign w:val="center"/>
          </w:tcPr>
          <w:p w:rsidR="00CB12A0" w:rsidRDefault="00F31863">
            <w:pPr>
              <w:jc w:val="center"/>
            </w:pPr>
            <w:r>
              <w:t>中国建筑</w:t>
            </w:r>
          </w:p>
        </w:tc>
        <w:tc>
          <w:tcPr>
            <w:tcW w:w="2880" w:type="dxa"/>
            <w:vAlign w:val="center"/>
          </w:tcPr>
          <w:p w:rsidR="00CB12A0" w:rsidRDefault="00F31863">
            <w:pPr>
              <w:jc w:val="right"/>
            </w:pPr>
            <w:r>
              <w:t>5,283,866.00</w:t>
            </w:r>
          </w:p>
        </w:tc>
        <w:tc>
          <w:tcPr>
            <w:tcW w:w="1620" w:type="dxa"/>
            <w:vAlign w:val="center"/>
          </w:tcPr>
          <w:p w:rsidR="00CB12A0" w:rsidRDefault="00F31863">
            <w:pPr>
              <w:jc w:val="right"/>
            </w:pPr>
            <w:r>
              <w:t>1.06</w:t>
            </w:r>
          </w:p>
        </w:tc>
      </w:tr>
      <w:tr w:rsidR="00CB12A0">
        <w:tc>
          <w:tcPr>
            <w:tcW w:w="870" w:type="dxa"/>
            <w:vAlign w:val="center"/>
          </w:tcPr>
          <w:p w:rsidR="00CB12A0" w:rsidRDefault="00F31863">
            <w:pPr>
              <w:jc w:val="center"/>
            </w:pPr>
            <w:r>
              <w:t>6</w:t>
            </w:r>
          </w:p>
        </w:tc>
        <w:tc>
          <w:tcPr>
            <w:tcW w:w="1650" w:type="dxa"/>
            <w:vAlign w:val="center"/>
          </w:tcPr>
          <w:p w:rsidR="00CB12A0" w:rsidRDefault="00F31863">
            <w:pPr>
              <w:jc w:val="center"/>
            </w:pPr>
            <w:r>
              <w:t>600000</w:t>
            </w:r>
          </w:p>
        </w:tc>
        <w:tc>
          <w:tcPr>
            <w:tcW w:w="1980" w:type="dxa"/>
            <w:vAlign w:val="center"/>
          </w:tcPr>
          <w:p w:rsidR="00CB12A0" w:rsidRDefault="00F31863">
            <w:pPr>
              <w:jc w:val="center"/>
            </w:pPr>
            <w:r>
              <w:t>浦发银行</w:t>
            </w:r>
          </w:p>
        </w:tc>
        <w:tc>
          <w:tcPr>
            <w:tcW w:w="2880" w:type="dxa"/>
            <w:vAlign w:val="center"/>
          </w:tcPr>
          <w:p w:rsidR="00CB12A0" w:rsidRDefault="00F31863">
            <w:pPr>
              <w:jc w:val="right"/>
            </w:pPr>
            <w:r>
              <w:t>5,254,398.64</w:t>
            </w:r>
          </w:p>
        </w:tc>
        <w:tc>
          <w:tcPr>
            <w:tcW w:w="1620" w:type="dxa"/>
            <w:vAlign w:val="center"/>
          </w:tcPr>
          <w:p w:rsidR="00CB12A0" w:rsidRDefault="00F31863">
            <w:pPr>
              <w:jc w:val="right"/>
            </w:pPr>
            <w:r>
              <w:t>1.05</w:t>
            </w:r>
          </w:p>
        </w:tc>
      </w:tr>
      <w:tr w:rsidR="00CB12A0">
        <w:tc>
          <w:tcPr>
            <w:tcW w:w="870" w:type="dxa"/>
            <w:vAlign w:val="center"/>
          </w:tcPr>
          <w:p w:rsidR="00CB12A0" w:rsidRDefault="00F31863">
            <w:pPr>
              <w:jc w:val="center"/>
            </w:pPr>
            <w:r>
              <w:t>7</w:t>
            </w:r>
          </w:p>
        </w:tc>
        <w:tc>
          <w:tcPr>
            <w:tcW w:w="1650" w:type="dxa"/>
            <w:vAlign w:val="center"/>
          </w:tcPr>
          <w:p w:rsidR="00CB12A0" w:rsidRDefault="00F31863">
            <w:pPr>
              <w:jc w:val="center"/>
            </w:pPr>
            <w:r>
              <w:t>601398</w:t>
            </w:r>
          </w:p>
        </w:tc>
        <w:tc>
          <w:tcPr>
            <w:tcW w:w="1980" w:type="dxa"/>
            <w:vAlign w:val="center"/>
          </w:tcPr>
          <w:p w:rsidR="00CB12A0" w:rsidRDefault="00F31863">
            <w:pPr>
              <w:jc w:val="center"/>
            </w:pPr>
            <w:r>
              <w:t>工商银行</w:t>
            </w:r>
          </w:p>
        </w:tc>
        <w:tc>
          <w:tcPr>
            <w:tcW w:w="2880" w:type="dxa"/>
            <w:vAlign w:val="center"/>
          </w:tcPr>
          <w:p w:rsidR="00CB12A0" w:rsidRDefault="00F31863">
            <w:pPr>
              <w:jc w:val="right"/>
            </w:pPr>
            <w:r>
              <w:t>4,315,201.95</w:t>
            </w:r>
          </w:p>
        </w:tc>
        <w:tc>
          <w:tcPr>
            <w:tcW w:w="1620" w:type="dxa"/>
            <w:vAlign w:val="center"/>
          </w:tcPr>
          <w:p w:rsidR="00CB12A0" w:rsidRDefault="00F31863">
            <w:pPr>
              <w:jc w:val="right"/>
            </w:pPr>
            <w:r>
              <w:t>0.86</w:t>
            </w:r>
          </w:p>
        </w:tc>
      </w:tr>
      <w:tr w:rsidR="00CB12A0">
        <w:tc>
          <w:tcPr>
            <w:tcW w:w="870" w:type="dxa"/>
            <w:vAlign w:val="center"/>
          </w:tcPr>
          <w:p w:rsidR="00CB12A0" w:rsidRDefault="00F31863">
            <w:pPr>
              <w:jc w:val="center"/>
            </w:pPr>
            <w:r>
              <w:t>8</w:t>
            </w:r>
          </w:p>
        </w:tc>
        <w:tc>
          <w:tcPr>
            <w:tcW w:w="1650" w:type="dxa"/>
            <w:vAlign w:val="center"/>
          </w:tcPr>
          <w:p w:rsidR="00CB12A0" w:rsidRDefault="00F31863">
            <w:pPr>
              <w:jc w:val="center"/>
            </w:pPr>
            <w:r>
              <w:t>601601</w:t>
            </w:r>
          </w:p>
        </w:tc>
        <w:tc>
          <w:tcPr>
            <w:tcW w:w="1980" w:type="dxa"/>
            <w:vAlign w:val="center"/>
          </w:tcPr>
          <w:p w:rsidR="00CB12A0" w:rsidRDefault="00F31863">
            <w:pPr>
              <w:jc w:val="center"/>
            </w:pPr>
            <w:r>
              <w:t>中国太保</w:t>
            </w:r>
          </w:p>
        </w:tc>
        <w:tc>
          <w:tcPr>
            <w:tcW w:w="2880" w:type="dxa"/>
            <w:vAlign w:val="center"/>
          </w:tcPr>
          <w:p w:rsidR="00CB12A0" w:rsidRDefault="00F31863">
            <w:pPr>
              <w:jc w:val="right"/>
            </w:pPr>
            <w:r>
              <w:t>4,068,286.75</w:t>
            </w:r>
          </w:p>
        </w:tc>
        <w:tc>
          <w:tcPr>
            <w:tcW w:w="1620" w:type="dxa"/>
            <w:vAlign w:val="center"/>
          </w:tcPr>
          <w:p w:rsidR="00CB12A0" w:rsidRDefault="00F31863">
            <w:pPr>
              <w:jc w:val="right"/>
            </w:pPr>
            <w:r>
              <w:t>0.81</w:t>
            </w:r>
          </w:p>
        </w:tc>
      </w:tr>
      <w:tr w:rsidR="00CB12A0">
        <w:tc>
          <w:tcPr>
            <w:tcW w:w="870" w:type="dxa"/>
            <w:vAlign w:val="center"/>
          </w:tcPr>
          <w:p w:rsidR="00CB12A0" w:rsidRDefault="00F31863">
            <w:pPr>
              <w:jc w:val="center"/>
            </w:pPr>
            <w:r>
              <w:t>9</w:t>
            </w:r>
          </w:p>
        </w:tc>
        <w:tc>
          <w:tcPr>
            <w:tcW w:w="1650" w:type="dxa"/>
            <w:vAlign w:val="center"/>
          </w:tcPr>
          <w:p w:rsidR="00CB12A0" w:rsidRDefault="00F31863">
            <w:pPr>
              <w:jc w:val="center"/>
            </w:pPr>
            <w:r>
              <w:t>600104</w:t>
            </w:r>
          </w:p>
        </w:tc>
        <w:tc>
          <w:tcPr>
            <w:tcW w:w="1980" w:type="dxa"/>
            <w:vAlign w:val="center"/>
          </w:tcPr>
          <w:p w:rsidR="00CB12A0" w:rsidRDefault="00F31863">
            <w:pPr>
              <w:jc w:val="center"/>
            </w:pPr>
            <w:r>
              <w:t>上汽集团</w:t>
            </w:r>
          </w:p>
        </w:tc>
        <w:tc>
          <w:tcPr>
            <w:tcW w:w="2880" w:type="dxa"/>
            <w:vAlign w:val="center"/>
          </w:tcPr>
          <w:p w:rsidR="00CB12A0" w:rsidRDefault="00F31863">
            <w:pPr>
              <w:jc w:val="right"/>
            </w:pPr>
            <w:r>
              <w:t>3,799,611.00</w:t>
            </w:r>
          </w:p>
        </w:tc>
        <w:tc>
          <w:tcPr>
            <w:tcW w:w="1620" w:type="dxa"/>
            <w:vAlign w:val="center"/>
          </w:tcPr>
          <w:p w:rsidR="00CB12A0" w:rsidRDefault="00F31863">
            <w:pPr>
              <w:jc w:val="right"/>
            </w:pPr>
            <w:r>
              <w:t>0.76</w:t>
            </w:r>
          </w:p>
        </w:tc>
      </w:tr>
      <w:tr w:rsidR="00CB12A0">
        <w:tc>
          <w:tcPr>
            <w:tcW w:w="870" w:type="dxa"/>
            <w:vAlign w:val="center"/>
          </w:tcPr>
          <w:p w:rsidR="00CB12A0" w:rsidRDefault="00F31863">
            <w:pPr>
              <w:jc w:val="center"/>
            </w:pPr>
            <w:r>
              <w:t>10</w:t>
            </w:r>
          </w:p>
        </w:tc>
        <w:tc>
          <w:tcPr>
            <w:tcW w:w="1650" w:type="dxa"/>
            <w:vAlign w:val="center"/>
          </w:tcPr>
          <w:p w:rsidR="00CB12A0" w:rsidRDefault="00F31863">
            <w:pPr>
              <w:jc w:val="center"/>
            </w:pPr>
            <w:r>
              <w:t>601766</w:t>
            </w:r>
          </w:p>
        </w:tc>
        <w:tc>
          <w:tcPr>
            <w:tcW w:w="1980" w:type="dxa"/>
            <w:vAlign w:val="center"/>
          </w:tcPr>
          <w:p w:rsidR="00CB12A0" w:rsidRDefault="00F31863">
            <w:pPr>
              <w:jc w:val="center"/>
            </w:pPr>
            <w:r>
              <w:t>中国中车</w:t>
            </w:r>
          </w:p>
        </w:tc>
        <w:tc>
          <w:tcPr>
            <w:tcW w:w="2880" w:type="dxa"/>
            <w:vAlign w:val="center"/>
          </w:tcPr>
          <w:p w:rsidR="00CB12A0" w:rsidRDefault="00F31863">
            <w:pPr>
              <w:jc w:val="right"/>
            </w:pPr>
            <w:r>
              <w:t>3,634,758.60</w:t>
            </w:r>
          </w:p>
        </w:tc>
        <w:tc>
          <w:tcPr>
            <w:tcW w:w="1620" w:type="dxa"/>
            <w:vAlign w:val="center"/>
          </w:tcPr>
          <w:p w:rsidR="00CB12A0" w:rsidRDefault="00F31863">
            <w:pPr>
              <w:jc w:val="right"/>
            </w:pPr>
            <w:r>
              <w:t>0.73</w:t>
            </w:r>
          </w:p>
        </w:tc>
      </w:tr>
      <w:tr w:rsidR="00CB12A0">
        <w:tc>
          <w:tcPr>
            <w:tcW w:w="870" w:type="dxa"/>
            <w:vAlign w:val="center"/>
          </w:tcPr>
          <w:p w:rsidR="00CB12A0" w:rsidRDefault="00F31863">
            <w:pPr>
              <w:jc w:val="center"/>
            </w:pPr>
            <w:r>
              <w:t>11</w:t>
            </w:r>
          </w:p>
        </w:tc>
        <w:tc>
          <w:tcPr>
            <w:tcW w:w="1650" w:type="dxa"/>
            <w:vAlign w:val="center"/>
          </w:tcPr>
          <w:p w:rsidR="00CB12A0" w:rsidRDefault="00F31863">
            <w:pPr>
              <w:jc w:val="center"/>
            </w:pPr>
            <w:r>
              <w:t>600900</w:t>
            </w:r>
          </w:p>
        </w:tc>
        <w:tc>
          <w:tcPr>
            <w:tcW w:w="1980" w:type="dxa"/>
            <w:vAlign w:val="center"/>
          </w:tcPr>
          <w:p w:rsidR="00CB12A0" w:rsidRDefault="00F31863">
            <w:pPr>
              <w:jc w:val="center"/>
            </w:pPr>
            <w:r>
              <w:t>长江电力</w:t>
            </w:r>
          </w:p>
        </w:tc>
        <w:tc>
          <w:tcPr>
            <w:tcW w:w="2880" w:type="dxa"/>
            <w:vAlign w:val="center"/>
          </w:tcPr>
          <w:p w:rsidR="00CB12A0" w:rsidRDefault="00F31863">
            <w:pPr>
              <w:jc w:val="right"/>
            </w:pPr>
            <w:r>
              <w:t>3,613,874.54</w:t>
            </w:r>
          </w:p>
        </w:tc>
        <w:tc>
          <w:tcPr>
            <w:tcW w:w="1620" w:type="dxa"/>
            <w:vAlign w:val="center"/>
          </w:tcPr>
          <w:p w:rsidR="00CB12A0" w:rsidRDefault="00F31863">
            <w:pPr>
              <w:jc w:val="right"/>
            </w:pPr>
            <w:r>
              <w:t>0.72</w:t>
            </w:r>
          </w:p>
        </w:tc>
      </w:tr>
      <w:tr w:rsidR="00CB12A0">
        <w:tc>
          <w:tcPr>
            <w:tcW w:w="870" w:type="dxa"/>
            <w:vAlign w:val="center"/>
          </w:tcPr>
          <w:p w:rsidR="00CB12A0" w:rsidRDefault="00F31863">
            <w:pPr>
              <w:jc w:val="center"/>
            </w:pPr>
            <w:r>
              <w:t>12</w:t>
            </w:r>
          </w:p>
        </w:tc>
        <w:tc>
          <w:tcPr>
            <w:tcW w:w="1650" w:type="dxa"/>
            <w:vAlign w:val="center"/>
          </w:tcPr>
          <w:p w:rsidR="00CB12A0" w:rsidRDefault="00F31863">
            <w:pPr>
              <w:jc w:val="center"/>
            </w:pPr>
            <w:r>
              <w:t>601988</w:t>
            </w:r>
          </w:p>
        </w:tc>
        <w:tc>
          <w:tcPr>
            <w:tcW w:w="1980" w:type="dxa"/>
            <w:vAlign w:val="center"/>
          </w:tcPr>
          <w:p w:rsidR="00CB12A0" w:rsidRDefault="00F31863">
            <w:pPr>
              <w:jc w:val="center"/>
            </w:pPr>
            <w:r>
              <w:t>中国银行</w:t>
            </w:r>
          </w:p>
        </w:tc>
        <w:tc>
          <w:tcPr>
            <w:tcW w:w="2880" w:type="dxa"/>
            <w:vAlign w:val="center"/>
          </w:tcPr>
          <w:p w:rsidR="00CB12A0" w:rsidRDefault="00F31863">
            <w:pPr>
              <w:jc w:val="right"/>
            </w:pPr>
            <w:r>
              <w:t>2,998,167.00</w:t>
            </w:r>
          </w:p>
        </w:tc>
        <w:tc>
          <w:tcPr>
            <w:tcW w:w="1620" w:type="dxa"/>
            <w:vAlign w:val="center"/>
          </w:tcPr>
          <w:p w:rsidR="00CB12A0" w:rsidRDefault="00F31863">
            <w:pPr>
              <w:jc w:val="right"/>
            </w:pPr>
            <w:r>
              <w:t>0.60</w:t>
            </w:r>
          </w:p>
        </w:tc>
      </w:tr>
      <w:tr w:rsidR="00CB12A0">
        <w:tc>
          <w:tcPr>
            <w:tcW w:w="870" w:type="dxa"/>
            <w:vAlign w:val="center"/>
          </w:tcPr>
          <w:p w:rsidR="00CB12A0" w:rsidRDefault="00F31863">
            <w:pPr>
              <w:jc w:val="center"/>
            </w:pPr>
            <w:r>
              <w:t>13</w:t>
            </w:r>
          </w:p>
        </w:tc>
        <w:tc>
          <w:tcPr>
            <w:tcW w:w="1650" w:type="dxa"/>
            <w:vAlign w:val="center"/>
          </w:tcPr>
          <w:p w:rsidR="00CB12A0" w:rsidRDefault="00F31863">
            <w:pPr>
              <w:jc w:val="center"/>
            </w:pPr>
            <w:r>
              <w:t>600048</w:t>
            </w:r>
          </w:p>
        </w:tc>
        <w:tc>
          <w:tcPr>
            <w:tcW w:w="1980" w:type="dxa"/>
            <w:vAlign w:val="center"/>
          </w:tcPr>
          <w:p w:rsidR="00CB12A0" w:rsidRDefault="00F31863">
            <w:pPr>
              <w:jc w:val="center"/>
            </w:pPr>
            <w:r>
              <w:t>保利地产</w:t>
            </w:r>
          </w:p>
        </w:tc>
        <w:tc>
          <w:tcPr>
            <w:tcW w:w="2880" w:type="dxa"/>
            <w:vAlign w:val="center"/>
          </w:tcPr>
          <w:p w:rsidR="00CB12A0" w:rsidRDefault="00F31863">
            <w:pPr>
              <w:jc w:val="right"/>
            </w:pPr>
            <w:r>
              <w:t>2,643,166.00</w:t>
            </w:r>
          </w:p>
        </w:tc>
        <w:tc>
          <w:tcPr>
            <w:tcW w:w="1620" w:type="dxa"/>
            <w:vAlign w:val="center"/>
          </w:tcPr>
          <w:p w:rsidR="00CB12A0" w:rsidRDefault="00F31863">
            <w:pPr>
              <w:jc w:val="right"/>
            </w:pPr>
            <w:r>
              <w:t>0.53</w:t>
            </w:r>
          </w:p>
        </w:tc>
      </w:tr>
      <w:tr w:rsidR="00CB12A0">
        <w:tc>
          <w:tcPr>
            <w:tcW w:w="870" w:type="dxa"/>
            <w:vAlign w:val="center"/>
          </w:tcPr>
          <w:p w:rsidR="00CB12A0" w:rsidRDefault="00F31863">
            <w:pPr>
              <w:jc w:val="center"/>
            </w:pPr>
            <w:r>
              <w:t>14</w:t>
            </w:r>
          </w:p>
        </w:tc>
        <w:tc>
          <w:tcPr>
            <w:tcW w:w="1650" w:type="dxa"/>
            <w:vAlign w:val="center"/>
          </w:tcPr>
          <w:p w:rsidR="00CB12A0" w:rsidRDefault="00F31863">
            <w:pPr>
              <w:jc w:val="center"/>
            </w:pPr>
            <w:r>
              <w:t>601818</w:t>
            </w:r>
          </w:p>
        </w:tc>
        <w:tc>
          <w:tcPr>
            <w:tcW w:w="1980" w:type="dxa"/>
            <w:vAlign w:val="center"/>
          </w:tcPr>
          <w:p w:rsidR="00CB12A0" w:rsidRDefault="00F31863">
            <w:pPr>
              <w:jc w:val="center"/>
            </w:pPr>
            <w:r>
              <w:t>光大银行</w:t>
            </w:r>
          </w:p>
        </w:tc>
        <w:tc>
          <w:tcPr>
            <w:tcW w:w="2880" w:type="dxa"/>
            <w:vAlign w:val="center"/>
          </w:tcPr>
          <w:p w:rsidR="00CB12A0" w:rsidRDefault="00F31863">
            <w:pPr>
              <w:jc w:val="right"/>
            </w:pPr>
            <w:r>
              <w:t>2,388,090.00</w:t>
            </w:r>
          </w:p>
        </w:tc>
        <w:tc>
          <w:tcPr>
            <w:tcW w:w="1620" w:type="dxa"/>
            <w:vAlign w:val="center"/>
          </w:tcPr>
          <w:p w:rsidR="00CB12A0" w:rsidRDefault="00F31863">
            <w:pPr>
              <w:jc w:val="right"/>
            </w:pPr>
            <w:r>
              <w:t>0.48</w:t>
            </w:r>
          </w:p>
        </w:tc>
      </w:tr>
      <w:tr w:rsidR="00CB12A0">
        <w:tc>
          <w:tcPr>
            <w:tcW w:w="870" w:type="dxa"/>
            <w:vAlign w:val="center"/>
          </w:tcPr>
          <w:p w:rsidR="00CB12A0" w:rsidRDefault="00F31863">
            <w:pPr>
              <w:jc w:val="center"/>
            </w:pPr>
            <w:r>
              <w:t>15</w:t>
            </w:r>
          </w:p>
        </w:tc>
        <w:tc>
          <w:tcPr>
            <w:tcW w:w="1650" w:type="dxa"/>
            <w:vAlign w:val="center"/>
          </w:tcPr>
          <w:p w:rsidR="00CB12A0" w:rsidRDefault="00F31863">
            <w:pPr>
              <w:jc w:val="center"/>
            </w:pPr>
            <w:r>
              <w:t>601727</w:t>
            </w:r>
          </w:p>
        </w:tc>
        <w:tc>
          <w:tcPr>
            <w:tcW w:w="1980" w:type="dxa"/>
            <w:vAlign w:val="center"/>
          </w:tcPr>
          <w:p w:rsidR="00CB12A0" w:rsidRDefault="00F31863">
            <w:pPr>
              <w:jc w:val="center"/>
            </w:pPr>
            <w:r>
              <w:t>上海电气</w:t>
            </w:r>
          </w:p>
        </w:tc>
        <w:tc>
          <w:tcPr>
            <w:tcW w:w="2880" w:type="dxa"/>
            <w:vAlign w:val="center"/>
          </w:tcPr>
          <w:p w:rsidR="00CB12A0" w:rsidRDefault="00F31863">
            <w:pPr>
              <w:jc w:val="right"/>
            </w:pPr>
            <w:r>
              <w:t>2,377,575.17</w:t>
            </w:r>
          </w:p>
        </w:tc>
        <w:tc>
          <w:tcPr>
            <w:tcW w:w="1620" w:type="dxa"/>
            <w:vAlign w:val="center"/>
          </w:tcPr>
          <w:p w:rsidR="00CB12A0" w:rsidRDefault="00F31863">
            <w:pPr>
              <w:jc w:val="right"/>
            </w:pPr>
            <w:r>
              <w:t>0.48</w:t>
            </w:r>
          </w:p>
        </w:tc>
      </w:tr>
      <w:tr w:rsidR="00CB12A0">
        <w:tc>
          <w:tcPr>
            <w:tcW w:w="870" w:type="dxa"/>
            <w:vAlign w:val="center"/>
          </w:tcPr>
          <w:p w:rsidR="00CB12A0" w:rsidRDefault="00F31863">
            <w:pPr>
              <w:jc w:val="center"/>
            </w:pPr>
            <w:r>
              <w:t>16</w:t>
            </w:r>
          </w:p>
        </w:tc>
        <w:tc>
          <w:tcPr>
            <w:tcW w:w="1650" w:type="dxa"/>
            <w:vAlign w:val="center"/>
          </w:tcPr>
          <w:p w:rsidR="00CB12A0" w:rsidRDefault="00F31863">
            <w:pPr>
              <w:jc w:val="center"/>
            </w:pPr>
            <w:r>
              <w:t>601390</w:t>
            </w:r>
          </w:p>
        </w:tc>
        <w:tc>
          <w:tcPr>
            <w:tcW w:w="1980" w:type="dxa"/>
            <w:vAlign w:val="center"/>
          </w:tcPr>
          <w:p w:rsidR="00CB12A0" w:rsidRDefault="00F31863">
            <w:pPr>
              <w:jc w:val="center"/>
            </w:pPr>
            <w:r>
              <w:t>中国中铁</w:t>
            </w:r>
          </w:p>
        </w:tc>
        <w:tc>
          <w:tcPr>
            <w:tcW w:w="2880" w:type="dxa"/>
            <w:vAlign w:val="center"/>
          </w:tcPr>
          <w:p w:rsidR="00CB12A0" w:rsidRDefault="00F31863">
            <w:pPr>
              <w:jc w:val="right"/>
            </w:pPr>
            <w:r>
              <w:t>2,373,368.09</w:t>
            </w:r>
          </w:p>
        </w:tc>
        <w:tc>
          <w:tcPr>
            <w:tcW w:w="1620" w:type="dxa"/>
            <w:vAlign w:val="center"/>
          </w:tcPr>
          <w:p w:rsidR="00CB12A0" w:rsidRDefault="00F31863">
            <w:pPr>
              <w:jc w:val="right"/>
            </w:pPr>
            <w:r>
              <w:t>0.48</w:t>
            </w:r>
          </w:p>
        </w:tc>
      </w:tr>
      <w:tr w:rsidR="00CB12A0">
        <w:tc>
          <w:tcPr>
            <w:tcW w:w="870" w:type="dxa"/>
            <w:vAlign w:val="center"/>
          </w:tcPr>
          <w:p w:rsidR="00CB12A0" w:rsidRDefault="00F31863">
            <w:pPr>
              <w:jc w:val="center"/>
            </w:pPr>
            <w:r>
              <w:t>17</w:t>
            </w:r>
          </w:p>
        </w:tc>
        <w:tc>
          <w:tcPr>
            <w:tcW w:w="1650" w:type="dxa"/>
            <w:vAlign w:val="center"/>
          </w:tcPr>
          <w:p w:rsidR="00CB12A0" w:rsidRDefault="00F31863">
            <w:pPr>
              <w:jc w:val="center"/>
            </w:pPr>
            <w:r>
              <w:t>600019</w:t>
            </w:r>
          </w:p>
        </w:tc>
        <w:tc>
          <w:tcPr>
            <w:tcW w:w="1980" w:type="dxa"/>
            <w:vAlign w:val="center"/>
          </w:tcPr>
          <w:p w:rsidR="00CB12A0" w:rsidRDefault="00F31863">
            <w:pPr>
              <w:jc w:val="center"/>
            </w:pPr>
            <w:r>
              <w:t>宝钢股份</w:t>
            </w:r>
          </w:p>
        </w:tc>
        <w:tc>
          <w:tcPr>
            <w:tcW w:w="2880" w:type="dxa"/>
            <w:vAlign w:val="center"/>
          </w:tcPr>
          <w:p w:rsidR="00CB12A0" w:rsidRDefault="00F31863">
            <w:pPr>
              <w:jc w:val="right"/>
            </w:pPr>
            <w:r>
              <w:t>2,372,229.24</w:t>
            </w:r>
          </w:p>
        </w:tc>
        <w:tc>
          <w:tcPr>
            <w:tcW w:w="1620" w:type="dxa"/>
            <w:vAlign w:val="center"/>
          </w:tcPr>
          <w:p w:rsidR="00CB12A0" w:rsidRDefault="00F31863">
            <w:pPr>
              <w:jc w:val="right"/>
            </w:pPr>
            <w:r>
              <w:t>0.47</w:t>
            </w:r>
          </w:p>
        </w:tc>
      </w:tr>
      <w:tr w:rsidR="00CB12A0">
        <w:tc>
          <w:tcPr>
            <w:tcW w:w="870" w:type="dxa"/>
            <w:vAlign w:val="center"/>
          </w:tcPr>
          <w:p w:rsidR="00CB12A0" w:rsidRDefault="00F31863">
            <w:pPr>
              <w:jc w:val="center"/>
            </w:pPr>
            <w:r>
              <w:t>18</w:t>
            </w:r>
          </w:p>
        </w:tc>
        <w:tc>
          <w:tcPr>
            <w:tcW w:w="1650" w:type="dxa"/>
            <w:vAlign w:val="center"/>
          </w:tcPr>
          <w:p w:rsidR="00CB12A0" w:rsidRDefault="00F31863">
            <w:pPr>
              <w:jc w:val="center"/>
            </w:pPr>
            <w:r>
              <w:t>600028</w:t>
            </w:r>
          </w:p>
        </w:tc>
        <w:tc>
          <w:tcPr>
            <w:tcW w:w="1980" w:type="dxa"/>
            <w:vAlign w:val="center"/>
          </w:tcPr>
          <w:p w:rsidR="00CB12A0" w:rsidRDefault="00F31863">
            <w:pPr>
              <w:jc w:val="center"/>
            </w:pPr>
            <w:r>
              <w:t>中国石化</w:t>
            </w:r>
          </w:p>
        </w:tc>
        <w:tc>
          <w:tcPr>
            <w:tcW w:w="2880" w:type="dxa"/>
            <w:vAlign w:val="center"/>
          </w:tcPr>
          <w:p w:rsidR="00CB12A0" w:rsidRDefault="00F31863">
            <w:pPr>
              <w:jc w:val="right"/>
            </w:pPr>
            <w:r>
              <w:t>2,296,459.00</w:t>
            </w:r>
          </w:p>
        </w:tc>
        <w:tc>
          <w:tcPr>
            <w:tcW w:w="1620" w:type="dxa"/>
            <w:vAlign w:val="center"/>
          </w:tcPr>
          <w:p w:rsidR="00CB12A0" w:rsidRDefault="00F31863">
            <w:pPr>
              <w:jc w:val="right"/>
            </w:pPr>
            <w:r>
              <w:t>0.46</w:t>
            </w:r>
          </w:p>
        </w:tc>
      </w:tr>
      <w:tr w:rsidR="00CB12A0">
        <w:tc>
          <w:tcPr>
            <w:tcW w:w="870" w:type="dxa"/>
            <w:vAlign w:val="center"/>
          </w:tcPr>
          <w:p w:rsidR="00CB12A0" w:rsidRDefault="00F31863">
            <w:pPr>
              <w:jc w:val="center"/>
            </w:pPr>
            <w:r>
              <w:t>19</w:t>
            </w:r>
          </w:p>
        </w:tc>
        <w:tc>
          <w:tcPr>
            <w:tcW w:w="1650" w:type="dxa"/>
            <w:vAlign w:val="center"/>
          </w:tcPr>
          <w:p w:rsidR="00CB12A0" w:rsidRDefault="00F31863">
            <w:pPr>
              <w:jc w:val="center"/>
            </w:pPr>
            <w:r>
              <w:t>600518</w:t>
            </w:r>
          </w:p>
        </w:tc>
        <w:tc>
          <w:tcPr>
            <w:tcW w:w="1980" w:type="dxa"/>
            <w:vAlign w:val="center"/>
          </w:tcPr>
          <w:p w:rsidR="00CB12A0" w:rsidRDefault="00F31863">
            <w:pPr>
              <w:jc w:val="center"/>
            </w:pPr>
            <w:r>
              <w:t>康美药业</w:t>
            </w:r>
          </w:p>
        </w:tc>
        <w:tc>
          <w:tcPr>
            <w:tcW w:w="2880" w:type="dxa"/>
            <w:vAlign w:val="center"/>
          </w:tcPr>
          <w:p w:rsidR="00CB12A0" w:rsidRDefault="00F31863">
            <w:pPr>
              <w:jc w:val="right"/>
            </w:pPr>
            <w:r>
              <w:t>2,208,685.34</w:t>
            </w:r>
          </w:p>
        </w:tc>
        <w:tc>
          <w:tcPr>
            <w:tcW w:w="1620" w:type="dxa"/>
            <w:vAlign w:val="center"/>
          </w:tcPr>
          <w:p w:rsidR="00CB12A0" w:rsidRDefault="00F31863">
            <w:pPr>
              <w:jc w:val="right"/>
            </w:pPr>
            <w:r>
              <w:t>0.44</w:t>
            </w:r>
          </w:p>
        </w:tc>
      </w:tr>
      <w:tr w:rsidR="00CB12A0">
        <w:tc>
          <w:tcPr>
            <w:tcW w:w="870" w:type="dxa"/>
            <w:vAlign w:val="center"/>
          </w:tcPr>
          <w:p w:rsidR="00CB12A0" w:rsidRDefault="00F31863">
            <w:pPr>
              <w:jc w:val="center"/>
            </w:pPr>
            <w:r>
              <w:t>20</w:t>
            </w:r>
          </w:p>
        </w:tc>
        <w:tc>
          <w:tcPr>
            <w:tcW w:w="1650" w:type="dxa"/>
            <w:vAlign w:val="center"/>
          </w:tcPr>
          <w:p w:rsidR="00CB12A0" w:rsidRDefault="00F31863">
            <w:pPr>
              <w:jc w:val="center"/>
            </w:pPr>
            <w:r>
              <w:t>601186</w:t>
            </w:r>
          </w:p>
        </w:tc>
        <w:tc>
          <w:tcPr>
            <w:tcW w:w="1980" w:type="dxa"/>
            <w:vAlign w:val="center"/>
          </w:tcPr>
          <w:p w:rsidR="00CB12A0" w:rsidRDefault="00F31863">
            <w:pPr>
              <w:jc w:val="center"/>
            </w:pPr>
            <w:r>
              <w:t>中国铁建</w:t>
            </w:r>
          </w:p>
        </w:tc>
        <w:tc>
          <w:tcPr>
            <w:tcW w:w="2880" w:type="dxa"/>
            <w:vAlign w:val="center"/>
          </w:tcPr>
          <w:p w:rsidR="00CB12A0" w:rsidRDefault="00F31863">
            <w:pPr>
              <w:jc w:val="right"/>
            </w:pPr>
            <w:r>
              <w:t>2,047,012.00</w:t>
            </w:r>
          </w:p>
        </w:tc>
        <w:tc>
          <w:tcPr>
            <w:tcW w:w="1620" w:type="dxa"/>
            <w:vAlign w:val="center"/>
          </w:tcPr>
          <w:p w:rsidR="00CB12A0" w:rsidRDefault="00F31863">
            <w:pPr>
              <w:jc w:val="right"/>
            </w:pPr>
            <w:r>
              <w:t>0.41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53,467,390.27</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164,524,944.73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234814104"/>
      <w:bookmarkStart w:id="72"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1"/>
      <w:bookmarkEnd w:id="72"/>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3" w:name="_Toc361324884"/>
      <w:r w:rsidRPr="00245C29">
        <w:rPr>
          <w:rFonts w:ascii="Times New Roman" w:hAnsi="Times New Roman"/>
          <w:kern w:val="0"/>
          <w:szCs w:val="24"/>
        </w:rPr>
        <w:t>8.7</w:t>
      </w:r>
      <w:bookmarkStart w:id="74"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3"/>
      <w:bookmarkEnd w:id="74"/>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5" w:name="_Toc361324885"/>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5"/>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6"/>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7"/>
      <w:r w:rsidRPr="00245C29">
        <w:rPr>
          <w:rFonts w:ascii="Times New Roman" w:hAnsi="Times New Roman"/>
          <w:kern w:val="0"/>
          <w:szCs w:val="24"/>
        </w:rPr>
        <w:t xml:space="preserve">8.13 </w:t>
      </w:r>
      <w:r w:rsidRPr="00245C29">
        <w:rPr>
          <w:rFonts w:ascii="Times New Roman" w:hAnsi="Times New Roman" w:hint="eastAsia"/>
          <w:kern w:val="0"/>
          <w:szCs w:val="24"/>
        </w:rPr>
        <w:t>投资组合报告附注</w:t>
      </w:r>
      <w:bookmarkEnd w:id="77"/>
    </w:p>
    <w:p w:rsidR="001A59F9"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报告期内本基金投资的前十名证券的发行主体除万华化学（证券代码</w:t>
      </w:r>
      <w:r w:rsidRPr="00463BF5">
        <w:rPr>
          <w:color w:val="000000"/>
          <w:sz w:val="24"/>
        </w:rPr>
        <w:t>: 600309</w:t>
      </w:r>
      <w:r w:rsidRPr="00463BF5">
        <w:rPr>
          <w:color w:val="000000"/>
          <w:sz w:val="24"/>
        </w:rPr>
        <w:t>）外，未出现被监管部门立案调查，或在报告编制日前一年内受到公开谴责、处罚的情形。</w:t>
      </w:r>
    </w:p>
    <w:p w:rsidR="00CB12A0" w:rsidRDefault="00F31863">
      <w:pPr>
        <w:spacing w:before="29" w:line="288" w:lineRule="auto"/>
        <w:rPr>
          <w:color w:val="000000"/>
          <w:sz w:val="24"/>
        </w:rPr>
      </w:pPr>
      <w:r>
        <w:rPr>
          <w:color w:val="000000"/>
          <w:sz w:val="24"/>
        </w:rPr>
        <w:t>报告期内本基金投资的前十名证券之一万华化学（证券代码</w:t>
      </w:r>
      <w:r>
        <w:rPr>
          <w:color w:val="000000"/>
          <w:sz w:val="24"/>
        </w:rPr>
        <w:t>:600309</w:t>
      </w:r>
      <w:r>
        <w:rPr>
          <w:color w:val="000000"/>
          <w:sz w:val="24"/>
        </w:rPr>
        <w:t>）于</w:t>
      </w:r>
      <w:r>
        <w:rPr>
          <w:color w:val="000000"/>
          <w:sz w:val="24"/>
        </w:rPr>
        <w:t>2017</w:t>
      </w:r>
      <w:r>
        <w:rPr>
          <w:color w:val="000000"/>
          <w:sz w:val="24"/>
        </w:rPr>
        <w:t>年</w:t>
      </w:r>
      <w:r>
        <w:rPr>
          <w:color w:val="000000"/>
          <w:sz w:val="24"/>
        </w:rPr>
        <w:t>7</w:t>
      </w:r>
      <w:r>
        <w:rPr>
          <w:color w:val="000000"/>
          <w:sz w:val="24"/>
        </w:rPr>
        <w:t>月</w:t>
      </w:r>
      <w:r>
        <w:rPr>
          <w:color w:val="000000"/>
          <w:sz w:val="24"/>
        </w:rPr>
        <w:t>6</w:t>
      </w:r>
      <w:r>
        <w:rPr>
          <w:color w:val="000000"/>
          <w:sz w:val="24"/>
        </w:rPr>
        <w:t>日公告，根据烟台市人民政府批复的《万华化学集团股份有限公司烟台工业园</w:t>
      </w:r>
      <w:r>
        <w:rPr>
          <w:color w:val="000000"/>
          <w:sz w:val="24"/>
        </w:rPr>
        <w:t>“9.20”</w:t>
      </w:r>
      <w:r>
        <w:rPr>
          <w:color w:val="000000"/>
          <w:sz w:val="24"/>
        </w:rPr>
        <w:t>较大爆炸事故调查报告》的建议，烟台市安监局对公司处以</w:t>
      </w:r>
      <w:r>
        <w:rPr>
          <w:color w:val="000000"/>
          <w:sz w:val="24"/>
        </w:rPr>
        <w:t>80</w:t>
      </w:r>
      <w:r>
        <w:rPr>
          <w:color w:val="000000"/>
          <w:sz w:val="24"/>
        </w:rPr>
        <w:t>万元罚款。</w:t>
      </w:r>
    </w:p>
    <w:p w:rsidR="00CB12A0" w:rsidRDefault="00F31863">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61,292.75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48,988.90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6,120.44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15,661.45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132,063.54</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CB12A0">
        <w:tc>
          <w:tcPr>
            <w:tcW w:w="1058" w:type="dxa"/>
            <w:vAlign w:val="center"/>
          </w:tcPr>
          <w:p w:rsidR="00CB12A0" w:rsidRDefault="00F31863">
            <w:pPr>
              <w:jc w:val="center"/>
            </w:pPr>
            <w:r>
              <w:rPr>
                <w:color w:val="000000"/>
                <w:sz w:val="24"/>
              </w:rPr>
              <w:t>1</w:t>
            </w:r>
          </w:p>
        </w:tc>
        <w:tc>
          <w:tcPr>
            <w:tcW w:w="1272" w:type="dxa"/>
            <w:vAlign w:val="center"/>
          </w:tcPr>
          <w:p w:rsidR="00CB12A0" w:rsidRDefault="00F31863">
            <w:pPr>
              <w:jc w:val="center"/>
            </w:pPr>
            <w:r>
              <w:rPr>
                <w:color w:val="000000"/>
                <w:sz w:val="24"/>
              </w:rPr>
              <w:t>600309</w:t>
            </w:r>
          </w:p>
        </w:tc>
        <w:tc>
          <w:tcPr>
            <w:tcW w:w="1271" w:type="dxa"/>
            <w:vAlign w:val="center"/>
          </w:tcPr>
          <w:p w:rsidR="00CB12A0" w:rsidRDefault="00F31863">
            <w:pPr>
              <w:jc w:val="center"/>
            </w:pPr>
            <w:r>
              <w:rPr>
                <w:color w:val="000000"/>
                <w:sz w:val="24"/>
              </w:rPr>
              <w:t>万华化学</w:t>
            </w:r>
          </w:p>
        </w:tc>
        <w:tc>
          <w:tcPr>
            <w:tcW w:w="1870" w:type="dxa"/>
            <w:vAlign w:val="center"/>
          </w:tcPr>
          <w:p w:rsidR="00CB12A0" w:rsidRDefault="00F31863">
            <w:pPr>
              <w:jc w:val="right"/>
            </w:pPr>
            <w:r>
              <w:rPr>
                <w:color w:val="000000"/>
                <w:sz w:val="24"/>
              </w:rPr>
              <w:t>220,052.00</w:t>
            </w:r>
          </w:p>
        </w:tc>
        <w:tc>
          <w:tcPr>
            <w:tcW w:w="1522" w:type="dxa"/>
            <w:vAlign w:val="center"/>
          </w:tcPr>
          <w:p w:rsidR="00CB12A0" w:rsidRDefault="00F31863">
            <w:pPr>
              <w:jc w:val="right"/>
            </w:pPr>
            <w:r>
              <w:rPr>
                <w:color w:val="000000"/>
                <w:sz w:val="24"/>
              </w:rPr>
              <w:t>0.05</w:t>
            </w:r>
          </w:p>
        </w:tc>
        <w:tc>
          <w:tcPr>
            <w:tcW w:w="2005" w:type="dxa"/>
            <w:vAlign w:val="center"/>
          </w:tcPr>
          <w:p w:rsidR="00CB12A0" w:rsidRDefault="00F31863">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8"/>
      <w:bookmarkEnd w:id="79"/>
    </w:p>
    <w:p w:rsidR="001A59F9" w:rsidRPr="00245C29"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0"/>
      <w:bookmarkEnd w:id="81"/>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31863" w:rsidRPr="004B25B0" w:rsidTr="00F31863">
        <w:tc>
          <w:tcPr>
            <w:tcW w:w="964" w:type="pct"/>
            <w:vMerge w:val="restart"/>
            <w:tcBorders>
              <w:top w:val="single" w:sz="8" w:space="0" w:color="000000"/>
              <w:left w:val="single" w:sz="8" w:space="0" w:color="000000"/>
              <w:right w:val="single" w:sz="8" w:space="0" w:color="000000"/>
            </w:tcBorders>
            <w:vAlign w:val="center"/>
          </w:tcPr>
          <w:p w:rsidR="00CB12A0" w:rsidRDefault="00F31863">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F31863" w:rsidRPr="004B25B0" w:rsidTr="00F31863">
        <w:tc>
          <w:tcPr>
            <w:tcW w:w="964" w:type="pct"/>
            <w:vMerge/>
            <w:tcBorders>
              <w:left w:val="single" w:sz="8" w:space="0" w:color="000000"/>
              <w:right w:val="single" w:sz="8" w:space="0" w:color="000000"/>
            </w:tcBorders>
          </w:tcPr>
          <w:p w:rsidR="00CB12A0" w:rsidRDefault="00CB12A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31863" w:rsidRPr="004B25B0" w:rsidTr="00F31863">
        <w:tc>
          <w:tcPr>
            <w:tcW w:w="964" w:type="pct"/>
            <w:vMerge/>
            <w:tcBorders>
              <w:left w:val="single" w:sz="8" w:space="0" w:color="000000"/>
              <w:bottom w:val="single" w:sz="8" w:space="0" w:color="000000"/>
              <w:right w:val="single" w:sz="8" w:space="0" w:color="000000"/>
            </w:tcBorders>
          </w:tcPr>
          <w:p w:rsidR="00CB12A0" w:rsidRDefault="00CB12A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31863" w:rsidRPr="004B25B0" w:rsidTr="00F31863">
        <w:tc>
          <w:tcPr>
            <w:tcW w:w="964" w:type="pct"/>
            <w:tcBorders>
              <w:top w:val="single" w:sz="8" w:space="0" w:color="000000"/>
              <w:left w:val="single" w:sz="8" w:space="0" w:color="000000"/>
              <w:bottom w:val="single" w:sz="8" w:space="0" w:color="000000"/>
              <w:right w:val="single" w:sz="8" w:space="0" w:color="000000"/>
            </w:tcBorders>
            <w:vAlign w:val="center"/>
          </w:tcPr>
          <w:p w:rsidR="00CB12A0" w:rsidRDefault="00F31863">
            <w:pPr>
              <w:jc w:val="center"/>
            </w:pPr>
            <w:r>
              <w:rPr>
                <w:bCs/>
                <w:color w:val="000000"/>
                <w:szCs w:val="21"/>
              </w:rPr>
              <w:t>9,064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40,188.41</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30,004,676.50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8.24%</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334,263,085.68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91.76%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32,313.50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7,090,257,767.14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457,478,881.06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64,170,467.91</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157,381,586.79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364,267,762.18</w:t>
            </w:r>
          </w:p>
        </w:tc>
      </w:tr>
    </w:tbl>
    <w:p w:rsidR="00CB12A0" w:rsidRDefault="00F318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CB12A0" w:rsidRDefault="00F3186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CB12A0" w:rsidRDefault="00F3186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B12A0" w:rsidRDefault="00F3186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B12A0" w:rsidRDefault="00F3186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CB12A0">
        <w:tc>
          <w:tcPr>
            <w:tcW w:w="1559" w:type="dxa"/>
            <w:vAlign w:val="center"/>
          </w:tcPr>
          <w:p w:rsidR="00CB12A0" w:rsidRDefault="00F31863">
            <w:pPr>
              <w:jc w:val="left"/>
            </w:pPr>
            <w:r>
              <w:rPr>
                <w:color w:val="000000"/>
                <w:szCs w:val="21"/>
              </w:rPr>
              <w:t>海通证券股份有限公司</w:t>
            </w:r>
          </w:p>
        </w:tc>
        <w:tc>
          <w:tcPr>
            <w:tcW w:w="779" w:type="dxa"/>
            <w:vAlign w:val="center"/>
          </w:tcPr>
          <w:p w:rsidR="00CB12A0" w:rsidRDefault="00F31863">
            <w:pPr>
              <w:jc w:val="right"/>
            </w:pPr>
            <w:r>
              <w:rPr>
                <w:color w:val="000000"/>
                <w:szCs w:val="21"/>
              </w:rPr>
              <w:t>1</w:t>
            </w:r>
          </w:p>
        </w:tc>
        <w:tc>
          <w:tcPr>
            <w:tcW w:w="1800" w:type="dxa"/>
            <w:vAlign w:val="center"/>
          </w:tcPr>
          <w:p w:rsidR="00CB12A0" w:rsidRDefault="00F31863">
            <w:pPr>
              <w:jc w:val="right"/>
            </w:pPr>
            <w:r>
              <w:rPr>
                <w:color w:val="000000"/>
                <w:szCs w:val="21"/>
              </w:rPr>
              <w:t>217,986,283.52</w:t>
            </w:r>
          </w:p>
        </w:tc>
        <w:tc>
          <w:tcPr>
            <w:tcW w:w="1080" w:type="dxa"/>
            <w:vAlign w:val="center"/>
          </w:tcPr>
          <w:p w:rsidR="00CB12A0" w:rsidRDefault="00F31863">
            <w:pPr>
              <w:jc w:val="right"/>
            </w:pPr>
            <w:r>
              <w:rPr>
                <w:color w:val="000000"/>
                <w:szCs w:val="21"/>
              </w:rPr>
              <w:t>100.00%</w:t>
            </w:r>
          </w:p>
        </w:tc>
        <w:tc>
          <w:tcPr>
            <w:tcW w:w="1620" w:type="dxa"/>
            <w:vAlign w:val="center"/>
          </w:tcPr>
          <w:p w:rsidR="00CB12A0" w:rsidRDefault="00F31863">
            <w:pPr>
              <w:jc w:val="right"/>
            </w:pPr>
            <w:r>
              <w:rPr>
                <w:color w:val="000000"/>
                <w:szCs w:val="21"/>
              </w:rPr>
              <w:t>203,002.59</w:t>
            </w:r>
          </w:p>
        </w:tc>
        <w:tc>
          <w:tcPr>
            <w:tcW w:w="1080" w:type="dxa"/>
            <w:vAlign w:val="center"/>
          </w:tcPr>
          <w:p w:rsidR="00CB12A0" w:rsidRDefault="00F31863">
            <w:pPr>
              <w:jc w:val="right"/>
            </w:pPr>
            <w:r>
              <w:rPr>
                <w:color w:val="000000"/>
                <w:szCs w:val="21"/>
              </w:rPr>
              <w:t>100.00%</w:t>
            </w:r>
          </w:p>
        </w:tc>
        <w:tc>
          <w:tcPr>
            <w:tcW w:w="1080" w:type="dxa"/>
            <w:vAlign w:val="center"/>
          </w:tcPr>
          <w:p w:rsidR="00CB12A0" w:rsidRDefault="00F31863">
            <w:pPr>
              <w:jc w:val="left"/>
            </w:pPr>
            <w:r>
              <w:rPr>
                <w:color w:val="000000"/>
                <w:szCs w:val="21"/>
              </w:rPr>
              <w:t>-</w:t>
            </w:r>
          </w:p>
        </w:tc>
      </w:tr>
      <w:tr w:rsidR="00CB12A0">
        <w:tc>
          <w:tcPr>
            <w:tcW w:w="1559" w:type="dxa"/>
            <w:vAlign w:val="center"/>
          </w:tcPr>
          <w:p w:rsidR="00CB12A0" w:rsidRDefault="00F31863">
            <w:pPr>
              <w:jc w:val="left"/>
            </w:pPr>
            <w:r>
              <w:rPr>
                <w:color w:val="000000"/>
                <w:szCs w:val="21"/>
              </w:rPr>
              <w:t>中国国际金融股份有限公司</w:t>
            </w:r>
          </w:p>
        </w:tc>
        <w:tc>
          <w:tcPr>
            <w:tcW w:w="779" w:type="dxa"/>
            <w:vAlign w:val="center"/>
          </w:tcPr>
          <w:p w:rsidR="00CB12A0" w:rsidRDefault="00F31863">
            <w:pPr>
              <w:jc w:val="right"/>
            </w:pPr>
            <w:r>
              <w:rPr>
                <w:color w:val="000000"/>
                <w:szCs w:val="21"/>
              </w:rPr>
              <w:t>1</w:t>
            </w:r>
          </w:p>
        </w:tc>
        <w:tc>
          <w:tcPr>
            <w:tcW w:w="1800" w:type="dxa"/>
            <w:vAlign w:val="center"/>
          </w:tcPr>
          <w:p w:rsidR="00CB12A0" w:rsidRDefault="00F31863">
            <w:pPr>
              <w:jc w:val="right"/>
            </w:pPr>
            <w:r>
              <w:rPr>
                <w:color w:val="000000"/>
                <w:szCs w:val="21"/>
              </w:rPr>
              <w:t>-</w:t>
            </w:r>
          </w:p>
        </w:tc>
        <w:tc>
          <w:tcPr>
            <w:tcW w:w="1080" w:type="dxa"/>
            <w:vAlign w:val="center"/>
          </w:tcPr>
          <w:p w:rsidR="00CB12A0" w:rsidRDefault="00F31863">
            <w:pPr>
              <w:jc w:val="right"/>
            </w:pPr>
            <w:r>
              <w:rPr>
                <w:color w:val="000000"/>
                <w:szCs w:val="21"/>
              </w:rPr>
              <w:t>-</w:t>
            </w:r>
          </w:p>
        </w:tc>
        <w:tc>
          <w:tcPr>
            <w:tcW w:w="1620" w:type="dxa"/>
            <w:vAlign w:val="center"/>
          </w:tcPr>
          <w:p w:rsidR="00CB12A0" w:rsidRDefault="00F31863">
            <w:pPr>
              <w:jc w:val="right"/>
            </w:pPr>
            <w:r>
              <w:rPr>
                <w:color w:val="000000"/>
                <w:szCs w:val="21"/>
              </w:rPr>
              <w:t>-</w:t>
            </w:r>
          </w:p>
        </w:tc>
        <w:tc>
          <w:tcPr>
            <w:tcW w:w="1080" w:type="dxa"/>
            <w:vAlign w:val="center"/>
          </w:tcPr>
          <w:p w:rsidR="00CB12A0" w:rsidRDefault="00F31863">
            <w:pPr>
              <w:jc w:val="right"/>
            </w:pPr>
            <w:r>
              <w:rPr>
                <w:color w:val="000000"/>
                <w:szCs w:val="21"/>
              </w:rPr>
              <w:t>-</w:t>
            </w:r>
          </w:p>
        </w:tc>
        <w:tc>
          <w:tcPr>
            <w:tcW w:w="1080" w:type="dxa"/>
            <w:vAlign w:val="center"/>
          </w:tcPr>
          <w:p w:rsidR="00CB12A0" w:rsidRDefault="00F31863">
            <w:pPr>
              <w:jc w:val="left"/>
            </w:pPr>
            <w:r>
              <w:rPr>
                <w:color w:val="000000"/>
                <w:szCs w:val="21"/>
              </w:rPr>
              <w:t>-</w:t>
            </w:r>
          </w:p>
        </w:tc>
      </w:tr>
      <w:tr w:rsidR="00CB12A0">
        <w:tc>
          <w:tcPr>
            <w:tcW w:w="1559" w:type="dxa"/>
            <w:vAlign w:val="center"/>
          </w:tcPr>
          <w:p w:rsidR="00CB12A0" w:rsidRDefault="00F31863">
            <w:pPr>
              <w:jc w:val="left"/>
            </w:pPr>
            <w:r>
              <w:rPr>
                <w:color w:val="000000"/>
                <w:szCs w:val="21"/>
              </w:rPr>
              <w:t>国泰君安证券股份有限公司</w:t>
            </w:r>
          </w:p>
        </w:tc>
        <w:tc>
          <w:tcPr>
            <w:tcW w:w="779" w:type="dxa"/>
            <w:vAlign w:val="center"/>
          </w:tcPr>
          <w:p w:rsidR="00CB12A0" w:rsidRDefault="00F31863">
            <w:pPr>
              <w:jc w:val="right"/>
            </w:pPr>
            <w:r>
              <w:rPr>
                <w:color w:val="000000"/>
                <w:szCs w:val="21"/>
              </w:rPr>
              <w:t>2</w:t>
            </w:r>
          </w:p>
        </w:tc>
        <w:tc>
          <w:tcPr>
            <w:tcW w:w="1800" w:type="dxa"/>
            <w:vAlign w:val="center"/>
          </w:tcPr>
          <w:p w:rsidR="00CB12A0" w:rsidRDefault="00F31863">
            <w:pPr>
              <w:jc w:val="right"/>
            </w:pPr>
            <w:r>
              <w:rPr>
                <w:color w:val="000000"/>
                <w:szCs w:val="21"/>
              </w:rPr>
              <w:t>-</w:t>
            </w:r>
          </w:p>
        </w:tc>
        <w:tc>
          <w:tcPr>
            <w:tcW w:w="1080" w:type="dxa"/>
            <w:vAlign w:val="center"/>
          </w:tcPr>
          <w:p w:rsidR="00CB12A0" w:rsidRDefault="00F31863">
            <w:pPr>
              <w:jc w:val="right"/>
            </w:pPr>
            <w:r>
              <w:rPr>
                <w:color w:val="000000"/>
                <w:szCs w:val="21"/>
              </w:rPr>
              <w:t>-</w:t>
            </w:r>
          </w:p>
        </w:tc>
        <w:tc>
          <w:tcPr>
            <w:tcW w:w="1620" w:type="dxa"/>
            <w:vAlign w:val="center"/>
          </w:tcPr>
          <w:p w:rsidR="00CB12A0" w:rsidRDefault="00F31863">
            <w:pPr>
              <w:jc w:val="right"/>
            </w:pPr>
            <w:r>
              <w:rPr>
                <w:color w:val="000000"/>
                <w:szCs w:val="21"/>
              </w:rPr>
              <w:t>-</w:t>
            </w:r>
          </w:p>
        </w:tc>
        <w:tc>
          <w:tcPr>
            <w:tcW w:w="1080" w:type="dxa"/>
            <w:vAlign w:val="center"/>
          </w:tcPr>
          <w:p w:rsidR="00CB12A0" w:rsidRDefault="00F31863">
            <w:pPr>
              <w:jc w:val="right"/>
            </w:pPr>
            <w:r>
              <w:rPr>
                <w:color w:val="000000"/>
                <w:szCs w:val="21"/>
              </w:rPr>
              <w:t>-</w:t>
            </w:r>
          </w:p>
        </w:tc>
        <w:tc>
          <w:tcPr>
            <w:tcW w:w="1080" w:type="dxa"/>
            <w:vAlign w:val="center"/>
          </w:tcPr>
          <w:p w:rsidR="00CB12A0" w:rsidRDefault="00F31863">
            <w:pPr>
              <w:jc w:val="left"/>
            </w:pPr>
            <w:r>
              <w:rPr>
                <w:color w:val="000000"/>
                <w:szCs w:val="21"/>
              </w:rPr>
              <w:t>-</w:t>
            </w:r>
          </w:p>
        </w:tc>
      </w:tr>
      <w:tr w:rsidR="00CB12A0">
        <w:tc>
          <w:tcPr>
            <w:tcW w:w="1559" w:type="dxa"/>
            <w:vAlign w:val="center"/>
          </w:tcPr>
          <w:p w:rsidR="00CB12A0" w:rsidRDefault="00F31863">
            <w:pPr>
              <w:jc w:val="left"/>
            </w:pPr>
            <w:r>
              <w:rPr>
                <w:color w:val="000000"/>
                <w:szCs w:val="21"/>
              </w:rPr>
              <w:t>光大证券股份有限公司</w:t>
            </w:r>
          </w:p>
        </w:tc>
        <w:tc>
          <w:tcPr>
            <w:tcW w:w="779" w:type="dxa"/>
            <w:vAlign w:val="center"/>
          </w:tcPr>
          <w:p w:rsidR="00CB12A0" w:rsidRDefault="00F31863">
            <w:pPr>
              <w:jc w:val="right"/>
            </w:pPr>
            <w:r>
              <w:rPr>
                <w:color w:val="000000"/>
                <w:szCs w:val="21"/>
              </w:rPr>
              <w:t>1</w:t>
            </w:r>
          </w:p>
        </w:tc>
        <w:tc>
          <w:tcPr>
            <w:tcW w:w="1800" w:type="dxa"/>
            <w:vAlign w:val="center"/>
          </w:tcPr>
          <w:p w:rsidR="00CB12A0" w:rsidRDefault="00F31863">
            <w:pPr>
              <w:jc w:val="right"/>
            </w:pPr>
            <w:r>
              <w:rPr>
                <w:color w:val="000000"/>
                <w:szCs w:val="21"/>
              </w:rPr>
              <w:t>-</w:t>
            </w:r>
          </w:p>
        </w:tc>
        <w:tc>
          <w:tcPr>
            <w:tcW w:w="1080" w:type="dxa"/>
            <w:vAlign w:val="center"/>
          </w:tcPr>
          <w:p w:rsidR="00CB12A0" w:rsidRDefault="00F31863">
            <w:pPr>
              <w:jc w:val="right"/>
            </w:pPr>
            <w:r>
              <w:rPr>
                <w:color w:val="000000"/>
                <w:szCs w:val="21"/>
              </w:rPr>
              <w:t>-</w:t>
            </w:r>
          </w:p>
        </w:tc>
        <w:tc>
          <w:tcPr>
            <w:tcW w:w="1620" w:type="dxa"/>
            <w:vAlign w:val="center"/>
          </w:tcPr>
          <w:p w:rsidR="00CB12A0" w:rsidRDefault="00F31863">
            <w:pPr>
              <w:jc w:val="right"/>
            </w:pPr>
            <w:r>
              <w:rPr>
                <w:color w:val="000000"/>
                <w:szCs w:val="21"/>
              </w:rPr>
              <w:t>-</w:t>
            </w:r>
          </w:p>
        </w:tc>
        <w:tc>
          <w:tcPr>
            <w:tcW w:w="1080" w:type="dxa"/>
            <w:vAlign w:val="center"/>
          </w:tcPr>
          <w:p w:rsidR="00CB12A0" w:rsidRDefault="00F31863">
            <w:pPr>
              <w:jc w:val="right"/>
            </w:pPr>
            <w:r>
              <w:rPr>
                <w:color w:val="000000"/>
                <w:szCs w:val="21"/>
              </w:rPr>
              <w:t>-</w:t>
            </w:r>
          </w:p>
        </w:tc>
        <w:tc>
          <w:tcPr>
            <w:tcW w:w="1080" w:type="dxa"/>
            <w:vAlign w:val="center"/>
          </w:tcPr>
          <w:p w:rsidR="00CB12A0" w:rsidRDefault="00F31863">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bookmarkStart w:id="97" w:name="_Toc249707408"/>
      <w:r w:rsidRPr="00FC1A5A">
        <w:rPr>
          <w:rFonts w:hint="eastAsia"/>
          <w:color w:val="000000"/>
          <w:sz w:val="24"/>
        </w:rPr>
        <w:t>金额单位：人民币元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9A36E4" w:rsidRPr="00070E4D" w:rsidTr="00EA2417">
        <w:tc>
          <w:tcPr>
            <w:tcW w:w="709" w:type="dxa"/>
            <w:vMerge w:val="restart"/>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券商名称</w:t>
            </w:r>
          </w:p>
        </w:tc>
        <w:tc>
          <w:tcPr>
            <w:tcW w:w="1985"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债券交易</w:t>
            </w:r>
          </w:p>
        </w:tc>
        <w:tc>
          <w:tcPr>
            <w:tcW w:w="2023"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回购交易</w:t>
            </w:r>
          </w:p>
        </w:tc>
        <w:tc>
          <w:tcPr>
            <w:tcW w:w="2164" w:type="dxa"/>
            <w:gridSpan w:val="2"/>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权证交易</w:t>
            </w:r>
          </w:p>
        </w:tc>
        <w:tc>
          <w:tcPr>
            <w:tcW w:w="1962" w:type="dxa"/>
            <w:gridSpan w:val="2"/>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基金交易</w:t>
            </w:r>
          </w:p>
        </w:tc>
      </w:tr>
      <w:tr w:rsidR="009A36E4" w:rsidRPr="00070E4D" w:rsidTr="00EA2417">
        <w:tc>
          <w:tcPr>
            <w:tcW w:w="709" w:type="dxa"/>
            <w:vMerge/>
            <w:vAlign w:val="center"/>
          </w:tcPr>
          <w:p w:rsidR="009A36E4" w:rsidRPr="00070E4D" w:rsidRDefault="009A36E4" w:rsidP="00A97873">
            <w:pPr>
              <w:spacing w:before="29" w:line="288" w:lineRule="auto"/>
              <w:ind w:left="17"/>
              <w:jc w:val="center"/>
              <w:rPr>
                <w:color w:val="000000"/>
                <w:szCs w:val="21"/>
              </w:rPr>
            </w:pP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51"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占当期债券成交总额的比例</w:t>
            </w:r>
          </w:p>
        </w:tc>
        <w:tc>
          <w:tcPr>
            <w:tcW w:w="1134"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889"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占当期回购成交总额的比例</w:t>
            </w:r>
          </w:p>
        </w:tc>
        <w:tc>
          <w:tcPr>
            <w:tcW w:w="123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2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占当期权证成交总额的比例</w:t>
            </w:r>
          </w:p>
        </w:tc>
        <w:tc>
          <w:tcPr>
            <w:tcW w:w="1057"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成交金额</w:t>
            </w:r>
          </w:p>
        </w:tc>
        <w:tc>
          <w:tcPr>
            <w:tcW w:w="905" w:type="dxa"/>
            <w:vAlign w:val="center"/>
          </w:tcPr>
          <w:p w:rsidR="009A36E4" w:rsidRPr="00070E4D" w:rsidRDefault="009A36E4" w:rsidP="00A97873">
            <w:pPr>
              <w:spacing w:before="29" w:line="288" w:lineRule="auto"/>
              <w:ind w:left="17"/>
              <w:jc w:val="center"/>
              <w:rPr>
                <w:color w:val="000000"/>
                <w:szCs w:val="21"/>
              </w:rPr>
            </w:pPr>
            <w:r w:rsidRPr="00070E4D">
              <w:rPr>
                <w:rFonts w:hint="eastAsia"/>
                <w:color w:val="000000"/>
                <w:szCs w:val="21"/>
              </w:rPr>
              <w:t>占当期基金成交总额的比例</w:t>
            </w:r>
          </w:p>
        </w:tc>
      </w:tr>
      <w:tr w:rsidR="00CB12A0">
        <w:tc>
          <w:tcPr>
            <w:tcW w:w="720" w:type="dxa"/>
            <w:vAlign w:val="center"/>
          </w:tcPr>
          <w:p w:rsidR="00CB12A0" w:rsidRDefault="00F31863">
            <w:pPr>
              <w:jc w:val="left"/>
            </w:pPr>
            <w:r>
              <w:rPr>
                <w:color w:val="000000"/>
                <w:szCs w:val="21"/>
              </w:rPr>
              <w:t>海通证券股份有限公司</w:t>
            </w:r>
          </w:p>
        </w:tc>
        <w:tc>
          <w:tcPr>
            <w:tcW w:w="1154" w:type="dxa"/>
            <w:vAlign w:val="center"/>
          </w:tcPr>
          <w:p w:rsidR="00CB12A0" w:rsidRDefault="00F31863">
            <w:pPr>
              <w:jc w:val="right"/>
            </w:pPr>
            <w:r>
              <w:rPr>
                <w:color w:val="000000"/>
                <w:szCs w:val="21"/>
              </w:rPr>
              <w:t>12,168.00</w:t>
            </w:r>
          </w:p>
        </w:tc>
        <w:tc>
          <w:tcPr>
            <w:tcW w:w="866" w:type="dxa"/>
            <w:vAlign w:val="center"/>
          </w:tcPr>
          <w:p w:rsidR="00CB12A0" w:rsidRDefault="00F31863">
            <w:pPr>
              <w:jc w:val="right"/>
            </w:pPr>
            <w:r>
              <w:rPr>
                <w:color w:val="000000"/>
                <w:szCs w:val="21"/>
              </w:rPr>
              <w:t>100.00%</w:t>
            </w:r>
          </w:p>
        </w:tc>
        <w:tc>
          <w:tcPr>
            <w:tcW w:w="1154" w:type="dxa"/>
            <w:vAlign w:val="center"/>
          </w:tcPr>
          <w:p w:rsidR="00CB12A0" w:rsidRDefault="00F31863">
            <w:pPr>
              <w:jc w:val="right"/>
            </w:pPr>
            <w:r>
              <w:rPr>
                <w:color w:val="000000"/>
                <w:szCs w:val="21"/>
              </w:rPr>
              <w:t>-</w:t>
            </w:r>
          </w:p>
        </w:tc>
        <w:tc>
          <w:tcPr>
            <w:tcW w:w="905" w:type="dxa"/>
            <w:vAlign w:val="center"/>
          </w:tcPr>
          <w:p w:rsidR="00CB12A0" w:rsidRDefault="00F31863">
            <w:pPr>
              <w:jc w:val="right"/>
            </w:pPr>
            <w:r>
              <w:rPr>
                <w:color w:val="000000"/>
                <w:szCs w:val="21"/>
              </w:rPr>
              <w:t>-</w:t>
            </w:r>
          </w:p>
        </w:tc>
        <w:tc>
          <w:tcPr>
            <w:tcW w:w="1259" w:type="dxa"/>
            <w:vAlign w:val="center"/>
          </w:tcPr>
          <w:p w:rsidR="00CB12A0" w:rsidRDefault="00F31863">
            <w:pPr>
              <w:jc w:val="right"/>
            </w:pPr>
            <w:r>
              <w:rPr>
                <w:color w:val="000000"/>
                <w:szCs w:val="21"/>
              </w:rPr>
              <w:t>-</w:t>
            </w:r>
          </w:p>
        </w:tc>
        <w:tc>
          <w:tcPr>
            <w:tcW w:w="943" w:type="dxa"/>
            <w:vAlign w:val="center"/>
          </w:tcPr>
          <w:p w:rsidR="00CB12A0" w:rsidRDefault="00F31863">
            <w:pPr>
              <w:jc w:val="right"/>
            </w:pPr>
            <w:r>
              <w:rPr>
                <w:color w:val="000000"/>
                <w:szCs w:val="21"/>
              </w:rPr>
              <w:t>-</w:t>
            </w:r>
          </w:p>
        </w:tc>
        <w:tc>
          <w:tcPr>
            <w:tcW w:w="1076" w:type="dxa"/>
            <w:vAlign w:val="center"/>
          </w:tcPr>
          <w:p w:rsidR="00CB12A0" w:rsidRDefault="00F31863">
            <w:pPr>
              <w:jc w:val="right"/>
            </w:pPr>
            <w:r>
              <w:rPr>
                <w:color w:val="000000"/>
                <w:szCs w:val="21"/>
              </w:rPr>
              <w:t>-</w:t>
            </w:r>
          </w:p>
        </w:tc>
        <w:tc>
          <w:tcPr>
            <w:tcW w:w="921" w:type="dxa"/>
            <w:vAlign w:val="center"/>
          </w:tcPr>
          <w:p w:rsidR="00CB12A0" w:rsidRDefault="00F31863">
            <w:pPr>
              <w:jc w:val="right"/>
            </w:pPr>
            <w:r>
              <w:rPr>
                <w:color w:val="000000"/>
                <w:szCs w:val="21"/>
              </w:rPr>
              <w:t>-</w:t>
            </w:r>
          </w:p>
        </w:tc>
      </w:tr>
    </w:tbl>
    <w:p w:rsidR="00CB12A0" w:rsidRDefault="00F3186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CB12A0" w:rsidRDefault="00F3186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D3" w:rsidRDefault="00F506D3">
      <w:r>
        <w:separator/>
      </w:r>
    </w:p>
  </w:endnote>
  <w:endnote w:type="continuationSeparator" w:id="0">
    <w:p w:rsidR="00F506D3" w:rsidRDefault="00F5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C06F35">
      <w:rPr>
        <w:noProof/>
        <w:kern w:val="0"/>
        <w:szCs w:val="21"/>
      </w:rPr>
      <w:t>18</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C06F35">
      <w:rPr>
        <w:noProof/>
        <w:kern w:val="0"/>
        <w:szCs w:val="21"/>
      </w:rPr>
      <w:t>32</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D3" w:rsidRDefault="00F506D3">
      <w:r>
        <w:separator/>
      </w:r>
    </w:p>
  </w:footnote>
  <w:footnote w:type="continuationSeparator" w:id="0">
    <w:p w:rsidR="00F506D3" w:rsidRDefault="00F50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280E"/>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417B"/>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162"/>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279"/>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2CD3"/>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6F35"/>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26D0"/>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2A0"/>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65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863"/>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6D3"/>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37A"/>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9B20374B-763F-40D6-93BF-AE45D5604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32</Pages>
  <Words>3548</Words>
  <Characters>20225</Characters>
  <Application>Microsoft Office Word</Application>
  <DocSecurity>0</DocSecurity>
  <Lines>168</Lines>
  <Paragraphs>47</Paragraphs>
  <ScaleCrop>false</ScaleCrop>
  <Company/>
  <LinksUpToDate>false</LinksUpToDate>
  <CharactersWithSpaces>23726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561</cp:revision>
  <cp:lastPrinted>2007-07-19T00:46:00Z</cp:lastPrinted>
  <dcterms:created xsi:type="dcterms:W3CDTF">2013-10-15T01:57:00Z</dcterms:created>
  <dcterms:modified xsi:type="dcterms:W3CDTF">2018-03-26T12:21:00Z</dcterms:modified>
</cp:coreProperties>
</file>