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bookmarkStart w:id="0" w:name="_GoBack"/>
      <w:bookmarkEnd w:id="0"/>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1" w:name="_Toc352254876"/>
      <w:bookmarkStart w:id="2" w:name="_Toc352255956"/>
      <w:bookmarkStart w:id="3" w:name="_Toc352256024"/>
      <w:bookmarkStart w:id="4" w:name="_Toc352256201"/>
      <w:bookmarkStart w:id="5" w:name="_Toc352331202"/>
      <w:bookmarkStart w:id="6" w:name="_Toc362423980"/>
    </w:p>
    <w:p w:rsidR="007B62FA" w:rsidRPr="00665064" w:rsidRDefault="007B62FA" w:rsidP="00665064">
      <w:pPr>
        <w:spacing w:before="29" w:line="288" w:lineRule="auto"/>
        <w:jc w:val="center"/>
        <w:rPr>
          <w:b/>
          <w:sz w:val="36"/>
          <w:szCs w:val="36"/>
        </w:rPr>
      </w:pPr>
      <w:r w:rsidRPr="00665064">
        <w:rPr>
          <w:b/>
          <w:sz w:val="36"/>
          <w:szCs w:val="36"/>
        </w:rPr>
        <w:t>交银施罗德环球精选价值证券投资基金</w:t>
      </w:r>
      <w:bookmarkEnd w:id="1"/>
      <w:bookmarkEnd w:id="2"/>
      <w:bookmarkEnd w:id="3"/>
      <w:bookmarkEnd w:id="4"/>
      <w:bookmarkEnd w:id="5"/>
      <w:bookmarkEnd w:id="6"/>
    </w:p>
    <w:p w:rsidR="007B62FA" w:rsidRPr="00665064" w:rsidRDefault="007B62FA" w:rsidP="00665064">
      <w:pPr>
        <w:spacing w:before="29" w:line="288" w:lineRule="auto"/>
        <w:jc w:val="center"/>
        <w:rPr>
          <w:b/>
          <w:sz w:val="36"/>
          <w:szCs w:val="36"/>
        </w:rPr>
      </w:pPr>
      <w:bookmarkStart w:id="7" w:name="_Toc352254877"/>
      <w:bookmarkStart w:id="8" w:name="_Toc352255957"/>
      <w:bookmarkStart w:id="9" w:name="_Toc352256025"/>
      <w:bookmarkStart w:id="10" w:name="_Toc352256202"/>
      <w:bookmarkStart w:id="11" w:name="_Toc352331203"/>
      <w:bookmarkStart w:id="12" w:name="_Toc362423981"/>
      <w:r w:rsidRPr="00665064">
        <w:rPr>
          <w:b/>
          <w:sz w:val="36"/>
          <w:szCs w:val="36"/>
        </w:rPr>
        <w:t>2017</w:t>
      </w:r>
      <w:r w:rsidRPr="00665064">
        <w:rPr>
          <w:b/>
          <w:sz w:val="36"/>
          <w:szCs w:val="36"/>
        </w:rPr>
        <w:t>年年度报告</w:t>
      </w:r>
      <w:bookmarkEnd w:id="7"/>
      <w:bookmarkEnd w:id="8"/>
      <w:bookmarkEnd w:id="9"/>
      <w:bookmarkEnd w:id="10"/>
      <w:bookmarkEnd w:id="11"/>
      <w:bookmarkEnd w:id="12"/>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2017</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中国建设银行股份有限公司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二〇一八年三月二十八日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headerReference w:type="default" r:id="rId7"/>
          <w:pgSz w:w="11926" w:h="15840"/>
          <w:pgMar w:top="1418" w:right="1418" w:bottom="851" w:left="1418" w:header="851" w:footer="992" w:gutter="0"/>
          <w:cols w:space="720"/>
        </w:sect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3" w:name="_Toc225498243"/>
      <w:bookmarkStart w:id="14" w:name="_Toc352255958"/>
      <w:bookmarkStart w:id="15" w:name="_Toc352256026"/>
      <w:bookmarkStart w:id="16" w:name="_Toc352331204"/>
      <w:bookmarkStart w:id="17"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3"/>
      <w:bookmarkEnd w:id="14"/>
      <w:bookmarkEnd w:id="15"/>
      <w:bookmarkEnd w:id="16"/>
      <w:bookmarkEnd w:id="17"/>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8"/>
      <w:bookmarkEnd w:id="19"/>
      <w:bookmarkEnd w:id="20"/>
      <w:bookmarkEnd w:id="21"/>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中国建设银行股份有限公司</w:t>
      </w:r>
      <w:r w:rsidR="00FC32C8">
        <w:rPr>
          <w:color w:val="000000"/>
          <w:sz w:val="24"/>
        </w:rPr>
        <w:t>(</w:t>
      </w:r>
      <w:r w:rsidR="00FC32C8">
        <w:rPr>
          <w:rFonts w:hint="eastAsia"/>
          <w:color w:val="000000"/>
          <w:sz w:val="24"/>
        </w:rPr>
        <w:t>以下简称“</w:t>
      </w:r>
      <w:r w:rsidR="00FC32C8">
        <w:rPr>
          <w:color w:val="000000"/>
          <w:sz w:val="24"/>
        </w:rPr>
        <w:t>中国建设银行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2018</w:t>
      </w:r>
      <w:r w:rsidRPr="00394FD2">
        <w:rPr>
          <w:color w:val="000000"/>
          <w:sz w:val="24"/>
        </w:rPr>
        <w:t>年</w:t>
      </w:r>
      <w:r w:rsidRPr="00394FD2">
        <w:rPr>
          <w:color w:val="000000"/>
          <w:sz w:val="24"/>
        </w:rPr>
        <w:t>3</w:t>
      </w:r>
      <w:r w:rsidRPr="00394FD2">
        <w:rPr>
          <w:color w:val="000000"/>
          <w:sz w:val="24"/>
        </w:rPr>
        <w:t>月</w:t>
      </w:r>
      <w:r w:rsidRPr="00394FD2">
        <w:rPr>
          <w:color w:val="000000"/>
          <w:sz w:val="24"/>
        </w:rPr>
        <w:t>27</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r w:rsidR="00B0014E" w:rsidRPr="00394FD2">
        <w:rPr>
          <w:rFonts w:hint="eastAsia"/>
          <w:color w:val="000000"/>
          <w:sz w:val="24"/>
        </w:rPr>
        <w:t>作</w:t>
      </w:r>
      <w:r w:rsidRPr="00394FD2">
        <w:rPr>
          <w:rFonts w:hint="eastAsia"/>
          <w:color w:val="000000"/>
          <w:sz w:val="24"/>
        </w:rPr>
        <w:t>出投资决策前应仔细阅读本基金的招募说明书及其更新。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2017</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2" w:name="_Toc225498244"/>
      <w:bookmarkStart w:id="23" w:name="_Toc352255960"/>
      <w:bookmarkStart w:id="24" w:name="_Toc352256028"/>
      <w:bookmarkStart w:id="25" w:name="_Toc352331206"/>
      <w:bookmarkStart w:id="26" w:name="_Toc362423984"/>
      <w:r w:rsidRPr="007D37D0">
        <w:rPr>
          <w:rFonts w:hint="eastAsia"/>
          <w:b/>
          <w:bCs/>
          <w:szCs w:val="24"/>
          <w:lang w:val="en-US"/>
        </w:rPr>
        <w:lastRenderedPageBreak/>
        <w:t>§</w:t>
      </w:r>
      <w:r w:rsidRPr="007D37D0">
        <w:rPr>
          <w:b/>
          <w:bCs/>
          <w:szCs w:val="24"/>
          <w:lang w:val="en-US"/>
        </w:rPr>
        <w:t xml:space="preserve">2  </w:t>
      </w:r>
      <w:r w:rsidRPr="007D37D0">
        <w:rPr>
          <w:rFonts w:hint="eastAsia"/>
          <w:b/>
          <w:bCs/>
          <w:szCs w:val="24"/>
          <w:lang w:val="en-US"/>
        </w:rPr>
        <w:t>基金简介</w:t>
      </w:r>
      <w:bookmarkEnd w:id="22"/>
      <w:bookmarkEnd w:id="23"/>
      <w:bookmarkEnd w:id="24"/>
      <w:bookmarkEnd w:id="25"/>
      <w:bookmarkEnd w:id="26"/>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7" w:name="_Toc352255961"/>
      <w:bookmarkStart w:id="28" w:name="_Toc352256029"/>
      <w:bookmarkStart w:id="29" w:name="_Toc352331207"/>
      <w:bookmarkStart w:id="30"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交银环球精选混合</w:t>
            </w:r>
            <w:r w:rsidRPr="007D37D0">
              <w:rPr>
                <w:sz w:val="24"/>
              </w:rPr>
              <w:t>(QDII)</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519696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519696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契约型开放式</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2008</w:t>
            </w:r>
            <w:r w:rsidRPr="007D37D0">
              <w:rPr>
                <w:sz w:val="24"/>
              </w:rPr>
              <w:t>年</w:t>
            </w:r>
            <w:r w:rsidRPr="007D37D0">
              <w:rPr>
                <w:sz w:val="24"/>
              </w:rPr>
              <w:t>8</w:t>
            </w:r>
            <w:r w:rsidRPr="007D37D0">
              <w:rPr>
                <w:sz w:val="24"/>
              </w:rPr>
              <w:t>月</w:t>
            </w:r>
            <w:r w:rsidRPr="007D37D0">
              <w:rPr>
                <w:sz w:val="24"/>
              </w:rPr>
              <w:t>22</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中国建设银行股份有限公司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64,619,702.83</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1" w:name="_Toc352255962"/>
      <w:bookmarkStart w:id="32" w:name="_Toc352256030"/>
      <w:bookmarkStart w:id="33" w:name="_Toc352331208"/>
      <w:bookmarkStart w:id="34"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1"/>
      <w:bookmarkEnd w:id="32"/>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通过全球资产配置和灵活分散投资，在有效分散和控制风险的前提下，实现长期资本增值。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70%×</w:t>
            </w:r>
            <w:r w:rsidRPr="00390099">
              <w:rPr>
                <w:sz w:val="24"/>
              </w:rPr>
              <w:t>标准普尔全球大中盘指数</w:t>
            </w:r>
            <w:r w:rsidRPr="00390099">
              <w:rPr>
                <w:sz w:val="24"/>
              </w:rPr>
              <w:t>(S&amp;P Global LargeMidCap Index)+30%×</w:t>
            </w:r>
            <w:r w:rsidRPr="00390099">
              <w:rPr>
                <w:sz w:val="24"/>
              </w:rPr>
              <w:t>恒生指数</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5" w:name="_Toc225498247"/>
      <w:bookmarkStart w:id="36" w:name="_Toc352255963"/>
      <w:bookmarkStart w:id="37" w:name="_Toc352256031"/>
      <w:bookmarkStart w:id="38" w:name="_Toc352331209"/>
      <w:bookmarkStart w:id="39"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5"/>
      <w:bookmarkEnd w:id="36"/>
      <w:bookmarkEnd w:id="37"/>
      <w:bookmarkEnd w:id="38"/>
      <w:bookmarkEnd w:id="3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中国建设银行股份有限公司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w:t>
            </w:r>
            <w:r w:rsidRPr="00A43F14">
              <w:rPr>
                <w:rFonts w:hint="eastAsia"/>
                <w:color w:val="000000"/>
                <w:kern w:val="0"/>
                <w:sz w:val="24"/>
              </w:rPr>
              <w:lastRenderedPageBreak/>
              <w:t>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lastRenderedPageBreak/>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王晚婷</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田青</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tianqing1.zh@ccb.com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010-66275853</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0" w:name="_Toc224618346"/>
      <w:bookmarkStart w:id="41" w:name="_Toc235605676"/>
      <w:bookmarkStart w:id="42" w:name="_Toc286929724"/>
      <w:bookmarkStart w:id="43" w:name="_Toc352255964"/>
      <w:bookmarkStart w:id="44" w:name="_Toc352256032"/>
      <w:bookmarkStart w:id="45" w:name="_Toc352331210"/>
      <w:bookmarkStart w:id="46"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40"/>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Schroder Investment Management Limited</w:t>
            </w:r>
          </w:p>
        </w:tc>
        <w:tc>
          <w:tcPr>
            <w:tcW w:w="2902" w:type="dxa"/>
            <w:vAlign w:val="center"/>
          </w:tcPr>
          <w:p w:rsidR="007B62FA" w:rsidRPr="00941EEA" w:rsidRDefault="007B62FA" w:rsidP="00941EEA">
            <w:pPr>
              <w:spacing w:before="29" w:line="288" w:lineRule="auto"/>
              <w:rPr>
                <w:sz w:val="24"/>
              </w:rPr>
            </w:pPr>
            <w:r w:rsidRPr="00941EEA">
              <w:rPr>
                <w:sz w:val="24"/>
              </w:rPr>
              <w:t>JPMorgan Chase Bank</w:t>
            </w:r>
            <w:r w:rsidRPr="00941EEA">
              <w:rPr>
                <w:sz w:val="24"/>
              </w:rPr>
              <w:t>，</w:t>
            </w:r>
            <w:r w:rsidRPr="00941EEA">
              <w:rPr>
                <w:sz w:val="24"/>
              </w:rPr>
              <w:t>National Association</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施罗德投资管理有限公司</w:t>
            </w:r>
          </w:p>
        </w:tc>
        <w:tc>
          <w:tcPr>
            <w:tcW w:w="2902" w:type="dxa"/>
            <w:vAlign w:val="center"/>
          </w:tcPr>
          <w:p w:rsidR="007B62FA" w:rsidRPr="00941EEA" w:rsidRDefault="007B62FA" w:rsidP="00941EEA">
            <w:pPr>
              <w:spacing w:before="29" w:line="288" w:lineRule="auto"/>
              <w:rPr>
                <w:sz w:val="24"/>
              </w:rPr>
            </w:pPr>
            <w:r w:rsidRPr="00941EEA">
              <w:rPr>
                <w:sz w:val="24"/>
              </w:rPr>
              <w:t>摩根大通银行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英国伦敦</w:t>
            </w:r>
          </w:p>
        </w:tc>
        <w:tc>
          <w:tcPr>
            <w:tcW w:w="2902" w:type="dxa"/>
            <w:vAlign w:val="center"/>
          </w:tcPr>
          <w:p w:rsidR="007B62FA" w:rsidRPr="00941EEA" w:rsidRDefault="007B62FA" w:rsidP="00941EEA">
            <w:pPr>
              <w:spacing w:before="29" w:line="288" w:lineRule="auto"/>
              <w:rPr>
                <w:sz w:val="24"/>
              </w:rPr>
            </w:pPr>
            <w:r w:rsidRPr="00941EEA">
              <w:rPr>
                <w:sz w:val="24"/>
              </w:rPr>
              <w:t>1111 Polaris Parkway, Columbus, OH43240, U.S.A.</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31 Gresham Street London</w:t>
            </w:r>
          </w:p>
        </w:tc>
        <w:tc>
          <w:tcPr>
            <w:tcW w:w="2902" w:type="dxa"/>
            <w:vAlign w:val="center"/>
          </w:tcPr>
          <w:p w:rsidR="007B62FA" w:rsidRPr="00941EEA" w:rsidRDefault="007B62FA" w:rsidP="00941EEA">
            <w:pPr>
              <w:spacing w:before="29" w:line="288" w:lineRule="auto"/>
              <w:rPr>
                <w:sz w:val="24"/>
              </w:rPr>
            </w:pPr>
            <w:r w:rsidRPr="00941EEA">
              <w:rPr>
                <w:sz w:val="24"/>
              </w:rPr>
              <w:t>270 Park Avenue, New York, New York 10017</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EC2V 7QA</w:t>
            </w:r>
          </w:p>
        </w:tc>
        <w:tc>
          <w:tcPr>
            <w:tcW w:w="2902" w:type="dxa"/>
            <w:vAlign w:val="center"/>
          </w:tcPr>
          <w:p w:rsidR="007B62FA" w:rsidRPr="00941EEA" w:rsidRDefault="007B62FA" w:rsidP="00941EEA">
            <w:pPr>
              <w:spacing w:before="29" w:line="288" w:lineRule="auto"/>
              <w:rPr>
                <w:sz w:val="24"/>
              </w:rPr>
            </w:pPr>
            <w:r w:rsidRPr="00941EEA">
              <w:rPr>
                <w:sz w:val="24"/>
              </w:rPr>
              <w:t>10017</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7" w:name="_Toc225498248"/>
      <w:bookmarkStart w:id="48" w:name="_Toc352255965"/>
      <w:bookmarkStart w:id="49" w:name="_Toc352256033"/>
      <w:bookmarkStart w:id="50" w:name="_Toc352331211"/>
      <w:bookmarkStart w:id="51"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7"/>
      <w:bookmarkEnd w:id="48"/>
      <w:bookmarkEnd w:id="49"/>
      <w:bookmarkEnd w:id="50"/>
      <w:bookmarkEnd w:id="5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r w:rsidRPr="001D004C">
              <w:rPr>
                <w:color w:val="000000"/>
                <w:sz w:val="24"/>
              </w:rPr>
              <w:t>，</w:t>
            </w:r>
            <w:r w:rsidRPr="001D004C">
              <w:rPr>
                <w:color w:val="000000"/>
                <w:sz w:val="24"/>
              </w:rPr>
              <w:t>www.bocomschroder.com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52" w:name="_Toc352255967"/>
      <w:bookmarkStart w:id="53" w:name="_Toc352256035"/>
      <w:bookmarkStart w:id="54" w:name="_Toc352331213"/>
      <w:bookmarkStart w:id="55"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2"/>
      <w:bookmarkEnd w:id="53"/>
      <w:bookmarkEnd w:id="54"/>
      <w:bookmarkEnd w:id="55"/>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6" w:name="_Toc286996129"/>
      <w:bookmarkStart w:id="57" w:name="_Toc352255968"/>
      <w:bookmarkStart w:id="58" w:name="_Toc352256036"/>
      <w:bookmarkStart w:id="59" w:name="_Toc352331214"/>
      <w:bookmarkStart w:id="60" w:name="_Toc362423992"/>
      <w:r w:rsidRPr="00390099">
        <w:rPr>
          <w:rFonts w:ascii="Times New Roman" w:hAnsi="Times New Roman"/>
          <w:kern w:val="0"/>
          <w:szCs w:val="24"/>
        </w:rPr>
        <w:t xml:space="preserve">3.1 </w:t>
      </w:r>
      <w:r w:rsidRPr="00390099">
        <w:rPr>
          <w:rFonts w:ascii="Times New Roman" w:hAnsi="Times New Roman" w:hint="eastAsia"/>
          <w:kern w:val="0"/>
          <w:szCs w:val="24"/>
        </w:rPr>
        <w:t>主要会计数据和财务指标</w:t>
      </w:r>
      <w:bookmarkEnd w:id="56"/>
      <w:bookmarkEnd w:id="57"/>
      <w:bookmarkEnd w:id="58"/>
      <w:bookmarkEnd w:id="59"/>
      <w:bookmarkEnd w:id="60"/>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2017</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2016</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2015</w:t>
            </w:r>
            <w:r w:rsidRPr="00310CC3">
              <w:rPr>
                <w:b/>
                <w:szCs w:val="21"/>
              </w:rPr>
              <w:t>年</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8,566,609.20</w:t>
            </w:r>
          </w:p>
        </w:tc>
        <w:tc>
          <w:tcPr>
            <w:tcW w:w="1215" w:type="pct"/>
            <w:vAlign w:val="center"/>
          </w:tcPr>
          <w:p w:rsidR="007B62FA" w:rsidRPr="00310CC3" w:rsidRDefault="007B62FA" w:rsidP="001449BE">
            <w:pPr>
              <w:spacing w:before="29" w:line="288" w:lineRule="auto"/>
              <w:jc w:val="right"/>
              <w:rPr>
                <w:szCs w:val="21"/>
              </w:rPr>
            </w:pPr>
            <w:r w:rsidRPr="00310CC3">
              <w:rPr>
                <w:szCs w:val="21"/>
              </w:rPr>
              <w:t>-2,028,238.47</w:t>
            </w:r>
          </w:p>
        </w:tc>
        <w:tc>
          <w:tcPr>
            <w:tcW w:w="1215" w:type="pct"/>
            <w:vAlign w:val="center"/>
          </w:tcPr>
          <w:p w:rsidR="007B62FA" w:rsidRPr="00310CC3" w:rsidRDefault="007B62FA" w:rsidP="001449BE">
            <w:pPr>
              <w:spacing w:before="29" w:line="288" w:lineRule="auto"/>
              <w:jc w:val="right"/>
              <w:rPr>
                <w:szCs w:val="21"/>
              </w:rPr>
            </w:pPr>
            <w:r w:rsidRPr="00310CC3">
              <w:rPr>
                <w:szCs w:val="21"/>
              </w:rPr>
              <w:t>4,491,773.60</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20,462,376.95</w:t>
            </w:r>
          </w:p>
        </w:tc>
        <w:tc>
          <w:tcPr>
            <w:tcW w:w="1215" w:type="pct"/>
            <w:vAlign w:val="center"/>
          </w:tcPr>
          <w:p w:rsidR="007B62FA" w:rsidRPr="00310CC3" w:rsidRDefault="007B62FA" w:rsidP="001449BE">
            <w:pPr>
              <w:spacing w:before="29" w:line="288" w:lineRule="auto"/>
              <w:jc w:val="right"/>
              <w:rPr>
                <w:szCs w:val="21"/>
              </w:rPr>
            </w:pPr>
            <w:r w:rsidRPr="00310CC3">
              <w:rPr>
                <w:szCs w:val="21"/>
              </w:rPr>
              <w:t>6,396,541.93</w:t>
            </w:r>
          </w:p>
        </w:tc>
        <w:tc>
          <w:tcPr>
            <w:tcW w:w="1215" w:type="pct"/>
            <w:vAlign w:val="center"/>
          </w:tcPr>
          <w:p w:rsidR="007B62FA" w:rsidRPr="00310CC3" w:rsidRDefault="007B62FA" w:rsidP="001449BE">
            <w:pPr>
              <w:spacing w:before="29" w:line="288" w:lineRule="auto"/>
              <w:jc w:val="right"/>
              <w:rPr>
                <w:szCs w:val="21"/>
              </w:rPr>
            </w:pPr>
            <w:r w:rsidRPr="00310CC3">
              <w:rPr>
                <w:szCs w:val="21"/>
              </w:rPr>
              <w:t>262,832.59</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0.2970</w:t>
            </w:r>
          </w:p>
        </w:tc>
        <w:tc>
          <w:tcPr>
            <w:tcW w:w="1215" w:type="pct"/>
            <w:vAlign w:val="center"/>
          </w:tcPr>
          <w:p w:rsidR="007B62FA" w:rsidRPr="00310CC3" w:rsidRDefault="007B62FA" w:rsidP="001449BE">
            <w:pPr>
              <w:spacing w:before="29" w:line="288" w:lineRule="auto"/>
              <w:jc w:val="right"/>
              <w:rPr>
                <w:szCs w:val="21"/>
              </w:rPr>
            </w:pPr>
            <w:r w:rsidRPr="00310CC3">
              <w:rPr>
                <w:szCs w:val="21"/>
              </w:rPr>
              <w:t>0.1077</w:t>
            </w:r>
          </w:p>
        </w:tc>
        <w:tc>
          <w:tcPr>
            <w:tcW w:w="1215" w:type="pct"/>
            <w:vAlign w:val="center"/>
          </w:tcPr>
          <w:p w:rsidR="007B62FA" w:rsidRPr="00310CC3" w:rsidRDefault="007B62FA" w:rsidP="001449BE">
            <w:pPr>
              <w:spacing w:before="29" w:line="288" w:lineRule="auto"/>
              <w:jc w:val="right"/>
              <w:rPr>
                <w:szCs w:val="21"/>
              </w:rPr>
            </w:pPr>
            <w:r w:rsidRPr="00310CC3">
              <w:rPr>
                <w:szCs w:val="21"/>
              </w:rPr>
              <w:t>0.0040</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w:t>
            </w:r>
            <w:r w:rsidRPr="00310CC3">
              <w:rPr>
                <w:rFonts w:hint="eastAsia"/>
                <w:szCs w:val="21"/>
              </w:rPr>
              <w:lastRenderedPageBreak/>
              <w:t>率</w:t>
            </w:r>
          </w:p>
        </w:tc>
        <w:tc>
          <w:tcPr>
            <w:tcW w:w="1214" w:type="pct"/>
            <w:vAlign w:val="center"/>
          </w:tcPr>
          <w:p w:rsidR="007B62FA" w:rsidRPr="00310CC3" w:rsidRDefault="007B62FA" w:rsidP="001449BE">
            <w:pPr>
              <w:spacing w:before="29" w:line="288" w:lineRule="auto"/>
              <w:jc w:val="right"/>
              <w:rPr>
                <w:szCs w:val="21"/>
              </w:rPr>
            </w:pPr>
            <w:r w:rsidRPr="00310CC3">
              <w:rPr>
                <w:szCs w:val="21"/>
              </w:rPr>
              <w:lastRenderedPageBreak/>
              <w:t>19.20%</w:t>
            </w:r>
          </w:p>
        </w:tc>
        <w:tc>
          <w:tcPr>
            <w:tcW w:w="1215" w:type="pct"/>
            <w:vAlign w:val="center"/>
          </w:tcPr>
          <w:p w:rsidR="007B62FA" w:rsidRPr="00310CC3" w:rsidRDefault="007B62FA" w:rsidP="001449BE">
            <w:pPr>
              <w:spacing w:before="29" w:line="288" w:lineRule="auto"/>
              <w:jc w:val="right"/>
              <w:rPr>
                <w:szCs w:val="21"/>
              </w:rPr>
            </w:pPr>
            <w:r w:rsidRPr="00310CC3">
              <w:rPr>
                <w:szCs w:val="21"/>
              </w:rPr>
              <w:t>7.08%</w:t>
            </w:r>
          </w:p>
        </w:tc>
        <w:tc>
          <w:tcPr>
            <w:tcW w:w="1215" w:type="pct"/>
            <w:vAlign w:val="center"/>
          </w:tcPr>
          <w:p w:rsidR="007B62FA" w:rsidRPr="00310CC3" w:rsidRDefault="007B62FA" w:rsidP="001449BE">
            <w:pPr>
              <w:spacing w:before="29" w:line="288" w:lineRule="auto"/>
              <w:jc w:val="right"/>
              <w:rPr>
                <w:szCs w:val="21"/>
              </w:rPr>
            </w:pPr>
            <w:r w:rsidRPr="00310CC3">
              <w:rPr>
                <w:szCs w:val="21"/>
              </w:rPr>
              <w:t>0.15%</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2017</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2016</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2015</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0.604</w:t>
            </w:r>
          </w:p>
        </w:tc>
        <w:tc>
          <w:tcPr>
            <w:tcW w:w="1215" w:type="pct"/>
            <w:vAlign w:val="center"/>
          </w:tcPr>
          <w:p w:rsidR="007B62FA" w:rsidRPr="00310CC3" w:rsidRDefault="007B62FA" w:rsidP="001449BE">
            <w:pPr>
              <w:spacing w:before="29" w:line="288" w:lineRule="auto"/>
              <w:jc w:val="right"/>
              <w:rPr>
                <w:szCs w:val="21"/>
              </w:rPr>
            </w:pPr>
            <w:r w:rsidRPr="00310CC3">
              <w:rPr>
                <w:szCs w:val="21"/>
              </w:rPr>
              <w:t>0.547</w:t>
            </w:r>
          </w:p>
        </w:tc>
        <w:tc>
          <w:tcPr>
            <w:tcW w:w="1215" w:type="pct"/>
            <w:vAlign w:val="center"/>
          </w:tcPr>
          <w:p w:rsidR="007B62FA" w:rsidRPr="00310CC3" w:rsidRDefault="007B62FA" w:rsidP="001449BE">
            <w:pPr>
              <w:spacing w:before="29" w:line="288" w:lineRule="auto"/>
              <w:jc w:val="right"/>
              <w:rPr>
                <w:szCs w:val="21"/>
              </w:rPr>
            </w:pPr>
            <w:r w:rsidRPr="00310CC3">
              <w:rPr>
                <w:szCs w:val="21"/>
              </w:rPr>
              <w:t>0.598</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121,139,671.12</w:t>
            </w:r>
          </w:p>
        </w:tc>
        <w:tc>
          <w:tcPr>
            <w:tcW w:w="1215" w:type="pct"/>
            <w:vAlign w:val="center"/>
          </w:tcPr>
          <w:p w:rsidR="007B62FA" w:rsidRPr="00310CC3" w:rsidRDefault="007B62FA" w:rsidP="001449BE">
            <w:pPr>
              <w:spacing w:before="29" w:line="288" w:lineRule="auto"/>
              <w:jc w:val="right"/>
              <w:rPr>
                <w:szCs w:val="21"/>
              </w:rPr>
            </w:pPr>
            <w:r w:rsidRPr="00310CC3">
              <w:rPr>
                <w:szCs w:val="21"/>
              </w:rPr>
              <w:t>100,793,987.15</w:t>
            </w:r>
          </w:p>
        </w:tc>
        <w:tc>
          <w:tcPr>
            <w:tcW w:w="1215" w:type="pct"/>
            <w:vAlign w:val="center"/>
          </w:tcPr>
          <w:p w:rsidR="007B62FA" w:rsidRPr="00310CC3" w:rsidRDefault="007B62FA" w:rsidP="001449BE">
            <w:pPr>
              <w:spacing w:before="29" w:line="288" w:lineRule="auto"/>
              <w:jc w:val="right"/>
              <w:rPr>
                <w:szCs w:val="21"/>
              </w:rPr>
            </w:pPr>
            <w:r w:rsidRPr="00310CC3">
              <w:rPr>
                <w:szCs w:val="21"/>
              </w:rPr>
              <w:t>92,231,125.53</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1.875</w:t>
            </w:r>
          </w:p>
        </w:tc>
        <w:tc>
          <w:tcPr>
            <w:tcW w:w="1215" w:type="pct"/>
            <w:vAlign w:val="center"/>
          </w:tcPr>
          <w:p w:rsidR="007B62FA" w:rsidRPr="00310CC3" w:rsidRDefault="007B62FA" w:rsidP="001449BE">
            <w:pPr>
              <w:spacing w:before="29" w:line="288" w:lineRule="auto"/>
              <w:jc w:val="right"/>
              <w:rPr>
                <w:szCs w:val="21"/>
              </w:rPr>
            </w:pPr>
            <w:r w:rsidRPr="00310CC3">
              <w:rPr>
                <w:szCs w:val="21"/>
              </w:rPr>
              <w:t>1.642</w:t>
            </w:r>
          </w:p>
        </w:tc>
        <w:tc>
          <w:tcPr>
            <w:tcW w:w="1215" w:type="pct"/>
            <w:vAlign w:val="center"/>
          </w:tcPr>
          <w:p w:rsidR="007B62FA" w:rsidRPr="00310CC3" w:rsidRDefault="007B62FA" w:rsidP="001449BE">
            <w:pPr>
              <w:spacing w:before="29" w:line="288" w:lineRule="auto"/>
              <w:jc w:val="right"/>
              <w:rPr>
                <w:szCs w:val="21"/>
              </w:rPr>
            </w:pPr>
            <w:r w:rsidRPr="00310CC3">
              <w:rPr>
                <w:szCs w:val="21"/>
              </w:rPr>
              <w:t>1.598</w:t>
            </w:r>
          </w:p>
        </w:tc>
      </w:tr>
    </w:tbl>
    <w:p w:rsidR="00370906" w:rsidRDefault="00D7376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1" w:name="_Toc225498252"/>
      <w:bookmarkStart w:id="62" w:name="_Toc352255969"/>
      <w:bookmarkStart w:id="63" w:name="_Toc352256037"/>
      <w:bookmarkStart w:id="64" w:name="_Toc352331215"/>
      <w:bookmarkStart w:id="65"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1"/>
      <w:bookmarkEnd w:id="62"/>
      <w:bookmarkEnd w:id="63"/>
      <w:bookmarkEnd w:id="64"/>
      <w:bookmarkEnd w:id="65"/>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1465"/>
        <w:gridCol w:w="1264"/>
        <w:gridCol w:w="1364"/>
        <w:gridCol w:w="1264"/>
        <w:gridCol w:w="1364"/>
        <w:gridCol w:w="1331"/>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370906">
        <w:tc>
          <w:tcPr>
            <w:tcW w:w="0" w:type="auto"/>
            <w:vAlign w:val="center"/>
          </w:tcPr>
          <w:p w:rsidR="00370906" w:rsidRDefault="00D73761">
            <w:pPr>
              <w:jc w:val="left"/>
            </w:pPr>
            <w:r>
              <w:rPr>
                <w:color w:val="000000"/>
                <w:sz w:val="24"/>
              </w:rPr>
              <w:t>过去三个月</w:t>
            </w:r>
          </w:p>
        </w:tc>
        <w:tc>
          <w:tcPr>
            <w:tcW w:w="0" w:type="auto"/>
            <w:vAlign w:val="center"/>
          </w:tcPr>
          <w:p w:rsidR="00370906" w:rsidRDefault="00D73761">
            <w:pPr>
              <w:jc w:val="center"/>
            </w:pPr>
            <w:r>
              <w:rPr>
                <w:color w:val="000000"/>
                <w:sz w:val="24"/>
              </w:rPr>
              <w:t>4.98%</w:t>
            </w:r>
          </w:p>
        </w:tc>
        <w:tc>
          <w:tcPr>
            <w:tcW w:w="0" w:type="auto"/>
            <w:vAlign w:val="center"/>
          </w:tcPr>
          <w:p w:rsidR="00370906" w:rsidRDefault="00D73761">
            <w:pPr>
              <w:jc w:val="center"/>
            </w:pPr>
            <w:r>
              <w:rPr>
                <w:color w:val="000000"/>
                <w:sz w:val="24"/>
              </w:rPr>
              <w:t>0.55%</w:t>
            </w:r>
          </w:p>
        </w:tc>
        <w:tc>
          <w:tcPr>
            <w:tcW w:w="0" w:type="auto"/>
            <w:vAlign w:val="center"/>
          </w:tcPr>
          <w:p w:rsidR="00370906" w:rsidRDefault="00D73761">
            <w:pPr>
              <w:jc w:val="center"/>
            </w:pPr>
            <w:r>
              <w:rPr>
                <w:color w:val="000000"/>
                <w:sz w:val="24"/>
              </w:rPr>
              <w:t>6.41%</w:t>
            </w:r>
          </w:p>
        </w:tc>
        <w:tc>
          <w:tcPr>
            <w:tcW w:w="0" w:type="auto"/>
            <w:vAlign w:val="center"/>
          </w:tcPr>
          <w:p w:rsidR="00370906" w:rsidRDefault="00D73761">
            <w:pPr>
              <w:jc w:val="center"/>
            </w:pPr>
            <w:r>
              <w:rPr>
                <w:color w:val="000000"/>
                <w:sz w:val="24"/>
              </w:rPr>
              <w:t>0.41%</w:t>
            </w:r>
          </w:p>
        </w:tc>
        <w:tc>
          <w:tcPr>
            <w:tcW w:w="0" w:type="auto"/>
            <w:vAlign w:val="center"/>
          </w:tcPr>
          <w:p w:rsidR="00370906" w:rsidRDefault="00D73761">
            <w:pPr>
              <w:jc w:val="center"/>
            </w:pPr>
            <w:r>
              <w:rPr>
                <w:color w:val="000000"/>
                <w:sz w:val="24"/>
              </w:rPr>
              <w:t>-1.43%</w:t>
            </w:r>
          </w:p>
        </w:tc>
        <w:tc>
          <w:tcPr>
            <w:tcW w:w="0" w:type="auto"/>
            <w:vAlign w:val="center"/>
          </w:tcPr>
          <w:p w:rsidR="00370906" w:rsidRDefault="00D73761">
            <w:pPr>
              <w:jc w:val="center"/>
            </w:pPr>
            <w:r>
              <w:rPr>
                <w:color w:val="000000"/>
                <w:sz w:val="24"/>
              </w:rPr>
              <w:t>0.14%</w:t>
            </w:r>
          </w:p>
        </w:tc>
      </w:tr>
      <w:tr w:rsidR="00370906">
        <w:tc>
          <w:tcPr>
            <w:tcW w:w="0" w:type="auto"/>
            <w:vAlign w:val="center"/>
          </w:tcPr>
          <w:p w:rsidR="00370906" w:rsidRDefault="00D73761">
            <w:pPr>
              <w:jc w:val="left"/>
            </w:pPr>
            <w:r>
              <w:rPr>
                <w:color w:val="000000"/>
                <w:sz w:val="24"/>
              </w:rPr>
              <w:t>过去六个月</w:t>
            </w:r>
          </w:p>
        </w:tc>
        <w:tc>
          <w:tcPr>
            <w:tcW w:w="0" w:type="auto"/>
            <w:vAlign w:val="center"/>
          </w:tcPr>
          <w:p w:rsidR="00370906" w:rsidRDefault="00D73761">
            <w:pPr>
              <w:jc w:val="center"/>
            </w:pPr>
            <w:r>
              <w:rPr>
                <w:color w:val="000000"/>
                <w:sz w:val="24"/>
              </w:rPr>
              <w:t>10.04%</w:t>
            </w:r>
          </w:p>
        </w:tc>
        <w:tc>
          <w:tcPr>
            <w:tcW w:w="0" w:type="auto"/>
            <w:vAlign w:val="center"/>
          </w:tcPr>
          <w:p w:rsidR="00370906" w:rsidRDefault="00D73761">
            <w:pPr>
              <w:jc w:val="center"/>
            </w:pPr>
            <w:r>
              <w:rPr>
                <w:color w:val="000000"/>
                <w:sz w:val="24"/>
              </w:rPr>
              <w:t>0.55%</w:t>
            </w:r>
          </w:p>
        </w:tc>
        <w:tc>
          <w:tcPr>
            <w:tcW w:w="0" w:type="auto"/>
            <w:vAlign w:val="center"/>
          </w:tcPr>
          <w:p w:rsidR="00370906" w:rsidRDefault="00D73761">
            <w:pPr>
              <w:jc w:val="center"/>
            </w:pPr>
            <w:r>
              <w:rPr>
                <w:color w:val="000000"/>
                <w:sz w:val="24"/>
              </w:rPr>
              <w:t>12.08%</w:t>
            </w:r>
          </w:p>
        </w:tc>
        <w:tc>
          <w:tcPr>
            <w:tcW w:w="0" w:type="auto"/>
            <w:vAlign w:val="center"/>
          </w:tcPr>
          <w:p w:rsidR="00370906" w:rsidRDefault="00D73761">
            <w:pPr>
              <w:jc w:val="center"/>
            </w:pPr>
            <w:r>
              <w:rPr>
                <w:color w:val="000000"/>
                <w:sz w:val="24"/>
              </w:rPr>
              <w:t>0.40%</w:t>
            </w:r>
          </w:p>
        </w:tc>
        <w:tc>
          <w:tcPr>
            <w:tcW w:w="0" w:type="auto"/>
            <w:vAlign w:val="center"/>
          </w:tcPr>
          <w:p w:rsidR="00370906" w:rsidRDefault="00D73761">
            <w:pPr>
              <w:jc w:val="center"/>
            </w:pPr>
            <w:r>
              <w:rPr>
                <w:color w:val="000000"/>
                <w:sz w:val="24"/>
              </w:rPr>
              <w:t>-2.04%</w:t>
            </w:r>
          </w:p>
        </w:tc>
        <w:tc>
          <w:tcPr>
            <w:tcW w:w="0" w:type="auto"/>
            <w:vAlign w:val="center"/>
          </w:tcPr>
          <w:p w:rsidR="00370906" w:rsidRDefault="00D73761">
            <w:pPr>
              <w:jc w:val="center"/>
            </w:pPr>
            <w:r>
              <w:rPr>
                <w:color w:val="000000"/>
                <w:sz w:val="24"/>
              </w:rPr>
              <w:t>0.15%</w:t>
            </w:r>
          </w:p>
        </w:tc>
      </w:tr>
      <w:tr w:rsidR="00370906">
        <w:tc>
          <w:tcPr>
            <w:tcW w:w="0" w:type="auto"/>
            <w:vAlign w:val="center"/>
          </w:tcPr>
          <w:p w:rsidR="00370906" w:rsidRDefault="00D73761">
            <w:pPr>
              <w:jc w:val="left"/>
            </w:pPr>
            <w:r>
              <w:rPr>
                <w:color w:val="000000"/>
                <w:sz w:val="24"/>
              </w:rPr>
              <w:t>过去一年</w:t>
            </w:r>
          </w:p>
        </w:tc>
        <w:tc>
          <w:tcPr>
            <w:tcW w:w="0" w:type="auto"/>
            <w:vAlign w:val="center"/>
          </w:tcPr>
          <w:p w:rsidR="00370906" w:rsidRDefault="00D73761">
            <w:pPr>
              <w:jc w:val="center"/>
            </w:pPr>
            <w:r>
              <w:rPr>
                <w:color w:val="000000"/>
                <w:sz w:val="24"/>
              </w:rPr>
              <w:t>19.20%</w:t>
            </w:r>
          </w:p>
        </w:tc>
        <w:tc>
          <w:tcPr>
            <w:tcW w:w="0" w:type="auto"/>
            <w:vAlign w:val="center"/>
          </w:tcPr>
          <w:p w:rsidR="00370906" w:rsidRDefault="00D73761">
            <w:pPr>
              <w:jc w:val="center"/>
            </w:pPr>
            <w:r>
              <w:rPr>
                <w:color w:val="000000"/>
                <w:sz w:val="24"/>
              </w:rPr>
              <w:t>0.49%</w:t>
            </w:r>
          </w:p>
        </w:tc>
        <w:tc>
          <w:tcPr>
            <w:tcW w:w="0" w:type="auto"/>
            <w:vAlign w:val="center"/>
          </w:tcPr>
          <w:p w:rsidR="00370906" w:rsidRDefault="00D73761">
            <w:pPr>
              <w:jc w:val="center"/>
            </w:pPr>
            <w:r>
              <w:rPr>
                <w:color w:val="000000"/>
                <w:sz w:val="24"/>
              </w:rPr>
              <w:t>25.73%</w:t>
            </w:r>
          </w:p>
        </w:tc>
        <w:tc>
          <w:tcPr>
            <w:tcW w:w="0" w:type="auto"/>
            <w:vAlign w:val="center"/>
          </w:tcPr>
          <w:p w:rsidR="00370906" w:rsidRDefault="00D73761">
            <w:pPr>
              <w:jc w:val="center"/>
            </w:pPr>
            <w:r>
              <w:rPr>
                <w:color w:val="000000"/>
                <w:sz w:val="24"/>
              </w:rPr>
              <w:t>0.40%</w:t>
            </w:r>
          </w:p>
        </w:tc>
        <w:tc>
          <w:tcPr>
            <w:tcW w:w="0" w:type="auto"/>
            <w:vAlign w:val="center"/>
          </w:tcPr>
          <w:p w:rsidR="00370906" w:rsidRDefault="00D73761">
            <w:pPr>
              <w:jc w:val="center"/>
            </w:pPr>
            <w:r>
              <w:rPr>
                <w:color w:val="000000"/>
                <w:sz w:val="24"/>
              </w:rPr>
              <w:t>-6.53%</w:t>
            </w:r>
          </w:p>
        </w:tc>
        <w:tc>
          <w:tcPr>
            <w:tcW w:w="0" w:type="auto"/>
            <w:vAlign w:val="center"/>
          </w:tcPr>
          <w:p w:rsidR="00370906" w:rsidRDefault="00D73761">
            <w:pPr>
              <w:jc w:val="center"/>
            </w:pPr>
            <w:r>
              <w:rPr>
                <w:color w:val="000000"/>
                <w:sz w:val="24"/>
              </w:rPr>
              <w:t>0.09%</w:t>
            </w:r>
          </w:p>
        </w:tc>
      </w:tr>
      <w:tr w:rsidR="00370906">
        <w:tc>
          <w:tcPr>
            <w:tcW w:w="0" w:type="auto"/>
            <w:vAlign w:val="center"/>
          </w:tcPr>
          <w:p w:rsidR="00370906" w:rsidRDefault="00D73761">
            <w:pPr>
              <w:jc w:val="left"/>
            </w:pPr>
            <w:r>
              <w:rPr>
                <w:color w:val="000000"/>
                <w:sz w:val="24"/>
              </w:rPr>
              <w:t>过去三年</w:t>
            </w:r>
          </w:p>
        </w:tc>
        <w:tc>
          <w:tcPr>
            <w:tcW w:w="0" w:type="auto"/>
            <w:vAlign w:val="center"/>
          </w:tcPr>
          <w:p w:rsidR="00370906" w:rsidRDefault="00D73761">
            <w:pPr>
              <w:jc w:val="center"/>
            </w:pPr>
            <w:r>
              <w:rPr>
                <w:color w:val="000000"/>
                <w:sz w:val="24"/>
              </w:rPr>
              <w:t>27.83%</w:t>
            </w:r>
          </w:p>
        </w:tc>
        <w:tc>
          <w:tcPr>
            <w:tcW w:w="0" w:type="auto"/>
            <w:vAlign w:val="center"/>
          </w:tcPr>
          <w:p w:rsidR="00370906" w:rsidRDefault="00D73761">
            <w:pPr>
              <w:jc w:val="center"/>
            </w:pPr>
            <w:r>
              <w:rPr>
                <w:color w:val="000000"/>
                <w:sz w:val="24"/>
              </w:rPr>
              <w:t>0.91%</w:t>
            </w:r>
          </w:p>
        </w:tc>
        <w:tc>
          <w:tcPr>
            <w:tcW w:w="0" w:type="auto"/>
            <w:vAlign w:val="center"/>
          </w:tcPr>
          <w:p w:rsidR="00370906" w:rsidRDefault="00D73761">
            <w:pPr>
              <w:jc w:val="center"/>
            </w:pPr>
            <w:r>
              <w:rPr>
                <w:color w:val="000000"/>
                <w:sz w:val="24"/>
              </w:rPr>
              <w:t>24.76%</w:t>
            </w:r>
          </w:p>
        </w:tc>
        <w:tc>
          <w:tcPr>
            <w:tcW w:w="0" w:type="auto"/>
            <w:vAlign w:val="center"/>
          </w:tcPr>
          <w:p w:rsidR="00370906" w:rsidRDefault="00D73761">
            <w:pPr>
              <w:jc w:val="center"/>
            </w:pPr>
            <w:r>
              <w:rPr>
                <w:color w:val="000000"/>
                <w:sz w:val="24"/>
              </w:rPr>
              <w:t>0.75%</w:t>
            </w:r>
          </w:p>
        </w:tc>
        <w:tc>
          <w:tcPr>
            <w:tcW w:w="0" w:type="auto"/>
            <w:vAlign w:val="center"/>
          </w:tcPr>
          <w:p w:rsidR="00370906" w:rsidRDefault="00D73761">
            <w:pPr>
              <w:jc w:val="center"/>
            </w:pPr>
            <w:r>
              <w:rPr>
                <w:color w:val="000000"/>
                <w:sz w:val="24"/>
              </w:rPr>
              <w:t>3.07%</w:t>
            </w:r>
          </w:p>
        </w:tc>
        <w:tc>
          <w:tcPr>
            <w:tcW w:w="0" w:type="auto"/>
            <w:vAlign w:val="center"/>
          </w:tcPr>
          <w:p w:rsidR="00370906" w:rsidRDefault="00D73761">
            <w:pPr>
              <w:jc w:val="center"/>
            </w:pPr>
            <w:r>
              <w:rPr>
                <w:color w:val="000000"/>
                <w:sz w:val="24"/>
              </w:rPr>
              <w:t>0.16%</w:t>
            </w:r>
          </w:p>
        </w:tc>
      </w:tr>
      <w:tr w:rsidR="00370906">
        <w:tc>
          <w:tcPr>
            <w:tcW w:w="0" w:type="auto"/>
            <w:vAlign w:val="center"/>
          </w:tcPr>
          <w:p w:rsidR="00370906" w:rsidRDefault="00D73761">
            <w:pPr>
              <w:jc w:val="left"/>
            </w:pPr>
            <w:r>
              <w:rPr>
                <w:color w:val="000000"/>
                <w:sz w:val="24"/>
              </w:rPr>
              <w:t>过去五年</w:t>
            </w:r>
          </w:p>
        </w:tc>
        <w:tc>
          <w:tcPr>
            <w:tcW w:w="0" w:type="auto"/>
            <w:vAlign w:val="center"/>
          </w:tcPr>
          <w:p w:rsidR="00370906" w:rsidRDefault="00D73761">
            <w:pPr>
              <w:jc w:val="center"/>
            </w:pPr>
            <w:r>
              <w:rPr>
                <w:color w:val="000000"/>
                <w:sz w:val="24"/>
              </w:rPr>
              <w:t>63.19%</w:t>
            </w:r>
          </w:p>
        </w:tc>
        <w:tc>
          <w:tcPr>
            <w:tcW w:w="0" w:type="auto"/>
            <w:vAlign w:val="center"/>
          </w:tcPr>
          <w:p w:rsidR="00370906" w:rsidRDefault="00D73761">
            <w:pPr>
              <w:jc w:val="center"/>
            </w:pPr>
            <w:r>
              <w:rPr>
                <w:color w:val="000000"/>
                <w:sz w:val="24"/>
              </w:rPr>
              <w:t>0.82%</w:t>
            </w:r>
          </w:p>
        </w:tc>
        <w:tc>
          <w:tcPr>
            <w:tcW w:w="0" w:type="auto"/>
            <w:vAlign w:val="center"/>
          </w:tcPr>
          <w:p w:rsidR="00370906" w:rsidRDefault="00D73761">
            <w:pPr>
              <w:jc w:val="center"/>
            </w:pPr>
            <w:r>
              <w:rPr>
                <w:color w:val="000000"/>
                <w:sz w:val="24"/>
              </w:rPr>
              <w:t>46.52%</w:t>
            </w:r>
          </w:p>
        </w:tc>
        <w:tc>
          <w:tcPr>
            <w:tcW w:w="0" w:type="auto"/>
            <w:vAlign w:val="center"/>
          </w:tcPr>
          <w:p w:rsidR="00370906" w:rsidRDefault="00D73761">
            <w:pPr>
              <w:jc w:val="center"/>
            </w:pPr>
            <w:r>
              <w:rPr>
                <w:color w:val="000000"/>
                <w:sz w:val="24"/>
              </w:rPr>
              <w:t>0.69%</w:t>
            </w:r>
          </w:p>
        </w:tc>
        <w:tc>
          <w:tcPr>
            <w:tcW w:w="0" w:type="auto"/>
            <w:vAlign w:val="center"/>
          </w:tcPr>
          <w:p w:rsidR="00370906" w:rsidRDefault="00D73761">
            <w:pPr>
              <w:jc w:val="center"/>
            </w:pPr>
            <w:r>
              <w:rPr>
                <w:color w:val="000000"/>
                <w:sz w:val="24"/>
              </w:rPr>
              <w:t>16.67%</w:t>
            </w:r>
          </w:p>
        </w:tc>
        <w:tc>
          <w:tcPr>
            <w:tcW w:w="0" w:type="auto"/>
            <w:vAlign w:val="center"/>
          </w:tcPr>
          <w:p w:rsidR="00370906" w:rsidRDefault="00D73761">
            <w:pPr>
              <w:jc w:val="center"/>
            </w:pPr>
            <w:r>
              <w:rPr>
                <w:color w:val="000000"/>
                <w:sz w:val="24"/>
              </w:rPr>
              <w:t>0.13%</w:t>
            </w:r>
          </w:p>
        </w:tc>
      </w:tr>
      <w:tr w:rsidR="00370906">
        <w:tc>
          <w:tcPr>
            <w:tcW w:w="0" w:type="auto"/>
            <w:vAlign w:val="center"/>
          </w:tcPr>
          <w:p w:rsidR="00370906" w:rsidRDefault="00D73761">
            <w:pPr>
              <w:jc w:val="left"/>
            </w:pPr>
            <w:r>
              <w:rPr>
                <w:color w:val="000000"/>
                <w:sz w:val="24"/>
              </w:rPr>
              <w:t>自基金合同生效起至今</w:t>
            </w:r>
          </w:p>
        </w:tc>
        <w:tc>
          <w:tcPr>
            <w:tcW w:w="0" w:type="auto"/>
            <w:vAlign w:val="center"/>
          </w:tcPr>
          <w:p w:rsidR="00370906" w:rsidRDefault="00D73761">
            <w:pPr>
              <w:jc w:val="center"/>
            </w:pPr>
            <w:r>
              <w:rPr>
                <w:color w:val="000000"/>
                <w:sz w:val="24"/>
              </w:rPr>
              <w:t>144.23%</w:t>
            </w:r>
          </w:p>
        </w:tc>
        <w:tc>
          <w:tcPr>
            <w:tcW w:w="0" w:type="auto"/>
            <w:vAlign w:val="center"/>
          </w:tcPr>
          <w:p w:rsidR="00370906" w:rsidRDefault="00D73761">
            <w:pPr>
              <w:jc w:val="center"/>
            </w:pPr>
            <w:r>
              <w:rPr>
                <w:color w:val="000000"/>
                <w:sz w:val="24"/>
              </w:rPr>
              <w:t>0.95%</w:t>
            </w:r>
          </w:p>
        </w:tc>
        <w:tc>
          <w:tcPr>
            <w:tcW w:w="0" w:type="auto"/>
            <w:vAlign w:val="center"/>
          </w:tcPr>
          <w:p w:rsidR="00370906" w:rsidRDefault="00D73761">
            <w:pPr>
              <w:jc w:val="center"/>
            </w:pPr>
            <w:r>
              <w:rPr>
                <w:color w:val="000000"/>
                <w:sz w:val="24"/>
              </w:rPr>
              <w:t>59.29%</w:t>
            </w:r>
          </w:p>
        </w:tc>
        <w:tc>
          <w:tcPr>
            <w:tcW w:w="0" w:type="auto"/>
            <w:vAlign w:val="center"/>
          </w:tcPr>
          <w:p w:rsidR="00370906" w:rsidRDefault="00D73761">
            <w:pPr>
              <w:jc w:val="center"/>
            </w:pPr>
            <w:r>
              <w:rPr>
                <w:color w:val="000000"/>
                <w:sz w:val="24"/>
              </w:rPr>
              <w:t>1.11%</w:t>
            </w:r>
          </w:p>
        </w:tc>
        <w:tc>
          <w:tcPr>
            <w:tcW w:w="0" w:type="auto"/>
            <w:vAlign w:val="center"/>
          </w:tcPr>
          <w:p w:rsidR="00370906" w:rsidRDefault="00D73761">
            <w:pPr>
              <w:jc w:val="center"/>
            </w:pPr>
            <w:r>
              <w:rPr>
                <w:color w:val="000000"/>
                <w:sz w:val="24"/>
              </w:rPr>
              <w:t>84.94%</w:t>
            </w:r>
          </w:p>
        </w:tc>
        <w:tc>
          <w:tcPr>
            <w:tcW w:w="0" w:type="auto"/>
            <w:vAlign w:val="center"/>
          </w:tcPr>
          <w:p w:rsidR="00370906" w:rsidRDefault="00D73761">
            <w:pPr>
              <w:jc w:val="center"/>
            </w:pPr>
            <w:r>
              <w:rPr>
                <w:color w:val="000000"/>
                <w:sz w:val="24"/>
              </w:rPr>
              <w:t>-0.16%</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w:t>
      </w:r>
      <w:r w:rsidRPr="00C65B39">
        <w:rPr>
          <w:kern w:val="0"/>
          <w:sz w:val="24"/>
        </w:rPr>
        <w:t>70%×</w:t>
      </w:r>
      <w:r w:rsidRPr="00C65B39">
        <w:rPr>
          <w:kern w:val="0"/>
          <w:sz w:val="24"/>
        </w:rPr>
        <w:t>标准普尔全球大中盘指数</w:t>
      </w:r>
      <w:r w:rsidRPr="00C65B39">
        <w:rPr>
          <w:kern w:val="0"/>
          <w:sz w:val="24"/>
        </w:rPr>
        <w:t>(S&amp;P Global LargeMidCap Index)+30%×</w:t>
      </w:r>
      <w:r w:rsidRPr="00C65B39">
        <w:rPr>
          <w:kern w:val="0"/>
          <w:sz w:val="24"/>
        </w:rPr>
        <w:t>恒生指数，每日进行再平衡过程。</w:t>
      </w:r>
    </w:p>
    <w:p w:rsidR="007B62FA" w:rsidRPr="00D763B5" w:rsidRDefault="007B62FA" w:rsidP="00417F87">
      <w:pPr>
        <w:pStyle w:val="21"/>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lastRenderedPageBreak/>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过去五年</w:t>
      </w:r>
      <w:r w:rsidRPr="00401D95">
        <w:rPr>
          <w:rFonts w:hint="eastAsia"/>
          <w:b/>
          <w:bCs/>
          <w:color w:val="000000"/>
          <w:kern w:val="0"/>
          <w:sz w:val="24"/>
        </w:rPr>
        <w:t>基金每年净值增长率及其与同期业绩比较基准收益率的比较</w:t>
      </w:r>
    </w:p>
    <w:p w:rsidR="007B62FA" w:rsidRPr="00D763B5" w:rsidRDefault="00AD3961"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6" w:name="_Toc249760033"/>
      <w:bookmarkStart w:id="67" w:name="_Toc352255970"/>
      <w:bookmarkStart w:id="68" w:name="_Toc352256038"/>
      <w:bookmarkStart w:id="69" w:name="_Toc352331216"/>
      <w:bookmarkStart w:id="70" w:name="_Toc362423994"/>
      <w:r w:rsidRPr="00390099">
        <w:rPr>
          <w:rFonts w:ascii="Times New Roman" w:hAnsi="Times New Roman"/>
          <w:kern w:val="0"/>
          <w:szCs w:val="24"/>
        </w:rPr>
        <w:lastRenderedPageBreak/>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6"/>
      <w:bookmarkEnd w:id="67"/>
      <w:bookmarkEnd w:id="68"/>
      <w:bookmarkEnd w:id="69"/>
      <w:bookmarkEnd w:id="70"/>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370906">
        <w:tc>
          <w:tcPr>
            <w:tcW w:w="1499" w:type="dxa"/>
            <w:vAlign w:val="center"/>
          </w:tcPr>
          <w:p w:rsidR="00370906" w:rsidRDefault="00D73761">
            <w:pPr>
              <w:jc w:val="center"/>
            </w:pPr>
            <w:r>
              <w:rPr>
                <w:color w:val="000000"/>
                <w:sz w:val="24"/>
              </w:rPr>
              <w:t>2017</w:t>
            </w:r>
            <w:r>
              <w:rPr>
                <w:color w:val="000000"/>
                <w:sz w:val="24"/>
              </w:rPr>
              <w:t>年</w:t>
            </w:r>
          </w:p>
        </w:tc>
        <w:tc>
          <w:tcPr>
            <w:tcW w:w="1499" w:type="dxa"/>
            <w:vAlign w:val="center"/>
          </w:tcPr>
          <w:p w:rsidR="00370906" w:rsidRDefault="00D73761">
            <w:pPr>
              <w:jc w:val="right"/>
            </w:pPr>
            <w:r>
              <w:rPr>
                <w:color w:val="000000"/>
                <w:sz w:val="24"/>
              </w:rPr>
              <w:t>0.700</w:t>
            </w:r>
          </w:p>
        </w:tc>
        <w:tc>
          <w:tcPr>
            <w:tcW w:w="1500" w:type="dxa"/>
            <w:vAlign w:val="center"/>
          </w:tcPr>
          <w:p w:rsidR="00370906" w:rsidRDefault="00D73761">
            <w:pPr>
              <w:jc w:val="right"/>
            </w:pPr>
            <w:r>
              <w:rPr>
                <w:color w:val="000000"/>
                <w:sz w:val="24"/>
              </w:rPr>
              <w:t>1,361,071.04</w:t>
            </w:r>
          </w:p>
        </w:tc>
        <w:tc>
          <w:tcPr>
            <w:tcW w:w="1500" w:type="dxa"/>
            <w:vAlign w:val="center"/>
          </w:tcPr>
          <w:p w:rsidR="00370906" w:rsidRDefault="00D73761">
            <w:pPr>
              <w:jc w:val="right"/>
            </w:pPr>
            <w:r>
              <w:rPr>
                <w:color w:val="000000"/>
                <w:sz w:val="24"/>
              </w:rPr>
              <w:t>3,091,911.21</w:t>
            </w:r>
          </w:p>
        </w:tc>
        <w:tc>
          <w:tcPr>
            <w:tcW w:w="1500" w:type="dxa"/>
            <w:vAlign w:val="center"/>
          </w:tcPr>
          <w:p w:rsidR="00370906" w:rsidRDefault="00D73761">
            <w:pPr>
              <w:jc w:val="right"/>
            </w:pPr>
            <w:r>
              <w:rPr>
                <w:color w:val="000000"/>
                <w:sz w:val="24"/>
              </w:rPr>
              <w:t>4,452,982.25</w:t>
            </w:r>
          </w:p>
        </w:tc>
        <w:tc>
          <w:tcPr>
            <w:tcW w:w="1500" w:type="dxa"/>
            <w:vAlign w:val="center"/>
          </w:tcPr>
          <w:p w:rsidR="00370906" w:rsidRDefault="00D73761">
            <w:pPr>
              <w:jc w:val="left"/>
            </w:pPr>
            <w:r>
              <w:rPr>
                <w:color w:val="000000"/>
                <w:sz w:val="24"/>
              </w:rPr>
              <w:t>-</w:t>
            </w:r>
          </w:p>
        </w:tc>
      </w:tr>
      <w:tr w:rsidR="00370906">
        <w:tc>
          <w:tcPr>
            <w:tcW w:w="1499" w:type="dxa"/>
            <w:vAlign w:val="center"/>
          </w:tcPr>
          <w:p w:rsidR="00370906" w:rsidRDefault="00D73761">
            <w:pPr>
              <w:jc w:val="center"/>
            </w:pPr>
            <w:r>
              <w:rPr>
                <w:color w:val="000000"/>
                <w:sz w:val="24"/>
              </w:rPr>
              <w:t>2016</w:t>
            </w:r>
            <w:r>
              <w:rPr>
                <w:color w:val="000000"/>
                <w:sz w:val="24"/>
              </w:rPr>
              <w:t>年</w:t>
            </w:r>
          </w:p>
        </w:tc>
        <w:tc>
          <w:tcPr>
            <w:tcW w:w="1499" w:type="dxa"/>
            <w:vAlign w:val="center"/>
          </w:tcPr>
          <w:p w:rsidR="00370906" w:rsidRDefault="00D73761">
            <w:pPr>
              <w:jc w:val="right"/>
            </w:pPr>
            <w:r>
              <w:rPr>
                <w:color w:val="000000"/>
                <w:sz w:val="24"/>
              </w:rPr>
              <w:t>0.600</w:t>
            </w:r>
          </w:p>
        </w:tc>
        <w:tc>
          <w:tcPr>
            <w:tcW w:w="1500" w:type="dxa"/>
            <w:vAlign w:val="center"/>
          </w:tcPr>
          <w:p w:rsidR="00370906" w:rsidRDefault="00D73761">
            <w:pPr>
              <w:jc w:val="right"/>
            </w:pPr>
            <w:r>
              <w:rPr>
                <w:color w:val="000000"/>
                <w:sz w:val="24"/>
              </w:rPr>
              <w:t>1,060,257.52</w:t>
            </w:r>
          </w:p>
        </w:tc>
        <w:tc>
          <w:tcPr>
            <w:tcW w:w="1500" w:type="dxa"/>
            <w:vAlign w:val="center"/>
          </w:tcPr>
          <w:p w:rsidR="00370906" w:rsidRDefault="00D73761">
            <w:pPr>
              <w:jc w:val="right"/>
            </w:pPr>
            <w:r>
              <w:rPr>
                <w:color w:val="000000"/>
                <w:sz w:val="24"/>
              </w:rPr>
              <w:t>2,388,623.66</w:t>
            </w:r>
          </w:p>
        </w:tc>
        <w:tc>
          <w:tcPr>
            <w:tcW w:w="1500" w:type="dxa"/>
            <w:vAlign w:val="center"/>
          </w:tcPr>
          <w:p w:rsidR="00370906" w:rsidRDefault="00D73761">
            <w:pPr>
              <w:jc w:val="right"/>
            </w:pPr>
            <w:r>
              <w:rPr>
                <w:color w:val="000000"/>
                <w:sz w:val="24"/>
              </w:rPr>
              <w:t>3,448,881.18</w:t>
            </w:r>
          </w:p>
        </w:tc>
        <w:tc>
          <w:tcPr>
            <w:tcW w:w="1500" w:type="dxa"/>
            <w:vAlign w:val="center"/>
          </w:tcPr>
          <w:p w:rsidR="00370906" w:rsidRDefault="00D73761">
            <w:pPr>
              <w:jc w:val="left"/>
            </w:pPr>
            <w:r>
              <w:rPr>
                <w:color w:val="000000"/>
                <w:sz w:val="24"/>
              </w:rPr>
              <w:t>-</w:t>
            </w:r>
          </w:p>
        </w:tc>
      </w:tr>
      <w:tr w:rsidR="00370906">
        <w:tc>
          <w:tcPr>
            <w:tcW w:w="1499" w:type="dxa"/>
            <w:vAlign w:val="center"/>
          </w:tcPr>
          <w:p w:rsidR="00370906" w:rsidRDefault="00D73761">
            <w:pPr>
              <w:jc w:val="center"/>
            </w:pPr>
            <w:r>
              <w:rPr>
                <w:color w:val="000000"/>
                <w:sz w:val="24"/>
              </w:rPr>
              <w:t>2015</w:t>
            </w:r>
            <w:r>
              <w:rPr>
                <w:color w:val="000000"/>
                <w:sz w:val="24"/>
              </w:rPr>
              <w:t>年</w:t>
            </w:r>
          </w:p>
        </w:tc>
        <w:tc>
          <w:tcPr>
            <w:tcW w:w="1499" w:type="dxa"/>
            <w:vAlign w:val="center"/>
          </w:tcPr>
          <w:p w:rsidR="00370906" w:rsidRDefault="00D73761">
            <w:pPr>
              <w:jc w:val="right"/>
            </w:pPr>
            <w:r>
              <w:rPr>
                <w:color w:val="000000"/>
                <w:sz w:val="24"/>
              </w:rPr>
              <w:t>0.660</w:t>
            </w:r>
          </w:p>
        </w:tc>
        <w:tc>
          <w:tcPr>
            <w:tcW w:w="1500" w:type="dxa"/>
            <w:vAlign w:val="center"/>
          </w:tcPr>
          <w:p w:rsidR="00370906" w:rsidRDefault="00D73761">
            <w:pPr>
              <w:jc w:val="right"/>
            </w:pPr>
            <w:r>
              <w:rPr>
                <w:color w:val="000000"/>
                <w:sz w:val="24"/>
              </w:rPr>
              <w:t>1,620,714.07</w:t>
            </w:r>
          </w:p>
        </w:tc>
        <w:tc>
          <w:tcPr>
            <w:tcW w:w="1500" w:type="dxa"/>
            <w:vAlign w:val="center"/>
          </w:tcPr>
          <w:p w:rsidR="00370906" w:rsidRDefault="00D73761">
            <w:pPr>
              <w:jc w:val="right"/>
            </w:pPr>
            <w:r>
              <w:rPr>
                <w:color w:val="000000"/>
                <w:sz w:val="24"/>
              </w:rPr>
              <w:t>3,392,077.59</w:t>
            </w:r>
          </w:p>
        </w:tc>
        <w:tc>
          <w:tcPr>
            <w:tcW w:w="1500" w:type="dxa"/>
            <w:vAlign w:val="center"/>
          </w:tcPr>
          <w:p w:rsidR="00370906" w:rsidRDefault="00D73761">
            <w:pPr>
              <w:jc w:val="right"/>
            </w:pPr>
            <w:r>
              <w:rPr>
                <w:color w:val="000000"/>
                <w:sz w:val="24"/>
              </w:rPr>
              <w:t>5,012,791.66</w:t>
            </w:r>
          </w:p>
        </w:tc>
        <w:tc>
          <w:tcPr>
            <w:tcW w:w="1500" w:type="dxa"/>
            <w:vAlign w:val="center"/>
          </w:tcPr>
          <w:p w:rsidR="00370906" w:rsidRDefault="00D73761">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1.960</w:t>
            </w:r>
          </w:p>
        </w:tc>
        <w:tc>
          <w:tcPr>
            <w:tcW w:w="3459" w:type="dxa"/>
            <w:vAlign w:val="center"/>
          </w:tcPr>
          <w:p w:rsidR="007B62FA" w:rsidRPr="007D28C2" w:rsidRDefault="007B62FA" w:rsidP="0081547E">
            <w:pPr>
              <w:spacing w:before="29" w:line="288" w:lineRule="auto"/>
              <w:jc w:val="right"/>
              <w:rPr>
                <w:sz w:val="24"/>
              </w:rPr>
            </w:pPr>
            <w:r w:rsidRPr="007D28C2">
              <w:rPr>
                <w:sz w:val="24"/>
              </w:rPr>
              <w:t>4,042,042.63</w:t>
            </w:r>
          </w:p>
        </w:tc>
        <w:tc>
          <w:tcPr>
            <w:tcW w:w="3459" w:type="dxa"/>
            <w:vAlign w:val="center"/>
          </w:tcPr>
          <w:p w:rsidR="007B62FA" w:rsidRPr="007D28C2" w:rsidRDefault="007B62FA" w:rsidP="0081547E">
            <w:pPr>
              <w:spacing w:before="29" w:line="288" w:lineRule="auto"/>
              <w:jc w:val="right"/>
              <w:rPr>
                <w:sz w:val="24"/>
              </w:rPr>
            </w:pPr>
            <w:r w:rsidRPr="007D28C2">
              <w:rPr>
                <w:sz w:val="24"/>
              </w:rPr>
              <w:t>8,872,612.46</w:t>
            </w:r>
          </w:p>
        </w:tc>
        <w:tc>
          <w:tcPr>
            <w:tcW w:w="3459" w:type="dxa"/>
            <w:vAlign w:val="center"/>
          </w:tcPr>
          <w:p w:rsidR="007B62FA" w:rsidRPr="007D28C2" w:rsidRDefault="007B62FA" w:rsidP="0081547E">
            <w:pPr>
              <w:spacing w:before="29" w:line="288" w:lineRule="auto"/>
              <w:jc w:val="right"/>
              <w:rPr>
                <w:sz w:val="24"/>
              </w:rPr>
            </w:pPr>
            <w:r w:rsidRPr="007D28C2">
              <w:rPr>
                <w:sz w:val="24"/>
              </w:rPr>
              <w:t>12,914,655.09</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71" w:name="_Toc225498254"/>
      <w:bookmarkStart w:id="72" w:name="_Toc352255971"/>
      <w:bookmarkStart w:id="73" w:name="_Toc352256039"/>
      <w:bookmarkStart w:id="74" w:name="_Toc352331217"/>
      <w:bookmarkStart w:id="75"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1"/>
      <w:bookmarkEnd w:id="72"/>
      <w:bookmarkEnd w:id="73"/>
      <w:bookmarkEnd w:id="74"/>
      <w:bookmarkEnd w:id="75"/>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6" w:name="_Toc352255972"/>
      <w:bookmarkStart w:id="77" w:name="_Toc352256040"/>
      <w:bookmarkStart w:id="78" w:name="_Toc352331218"/>
      <w:bookmarkStart w:id="79"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6"/>
      <w:bookmarkEnd w:id="77"/>
      <w:bookmarkEnd w:id="78"/>
      <w:bookmarkEnd w:id="79"/>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370906" w:rsidRDefault="00D73761">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r w:rsidRPr="000E3A56">
        <w:rPr>
          <w:color w:val="000000"/>
          <w:sz w:val="24"/>
        </w:rPr>
        <w:t>截至报告期末，公司管理了包括货币型、债券型、保本混合型、普通混合型和股票型在内的</w:t>
      </w:r>
      <w:r w:rsidRPr="000E3A56">
        <w:rPr>
          <w:color w:val="000000"/>
          <w:sz w:val="24"/>
        </w:rPr>
        <w:t>78</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3034"/>
        <w:gridCol w:w="1423"/>
        <w:gridCol w:w="1423"/>
        <w:gridCol w:w="579"/>
        <w:gridCol w:w="1961"/>
      </w:tblGrid>
      <w:tr w:rsidR="00DB51BC" w:rsidRPr="00D763B5" w:rsidTr="00C0469F">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3459" w:type="dxa"/>
            <w:gridSpan w:val="2"/>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任本基金的基金经理</w:t>
            </w:r>
            <w:r w:rsidR="00165641" w:rsidRPr="000E3A56">
              <w:rPr>
                <w:rFonts w:hint="eastAsia"/>
                <w:color w:val="000000"/>
                <w:sz w:val="24"/>
              </w:rPr>
              <w:t>（助理）</w:t>
            </w:r>
            <w:r w:rsidRPr="000E3A56">
              <w:rPr>
                <w:rFonts w:hint="eastAsia"/>
                <w:color w:val="000000"/>
                <w:sz w:val="24"/>
              </w:rPr>
              <w:t>期限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C0469F">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370906">
        <w:tc>
          <w:tcPr>
            <w:tcW w:w="0" w:type="auto"/>
            <w:vAlign w:val="center"/>
          </w:tcPr>
          <w:p w:rsidR="00370906" w:rsidRDefault="00D73761">
            <w:pPr>
              <w:jc w:val="center"/>
            </w:pPr>
            <w:r>
              <w:rPr>
                <w:color w:val="000000"/>
                <w:sz w:val="24"/>
              </w:rPr>
              <w:t>陈俊华</w:t>
            </w:r>
          </w:p>
        </w:tc>
        <w:tc>
          <w:tcPr>
            <w:tcW w:w="0" w:type="auto"/>
            <w:vAlign w:val="center"/>
          </w:tcPr>
          <w:p w:rsidR="00370906" w:rsidRDefault="00D7376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0" w:type="auto"/>
            <w:vAlign w:val="center"/>
          </w:tcPr>
          <w:p w:rsidR="00370906" w:rsidRDefault="00D73761">
            <w:pPr>
              <w:jc w:val="center"/>
            </w:pPr>
            <w:r>
              <w:rPr>
                <w:color w:val="000000"/>
                <w:sz w:val="24"/>
              </w:rPr>
              <w:t>2015-11-21</w:t>
            </w:r>
          </w:p>
        </w:tc>
        <w:tc>
          <w:tcPr>
            <w:tcW w:w="0" w:type="auto"/>
            <w:vAlign w:val="center"/>
          </w:tcPr>
          <w:p w:rsidR="00370906" w:rsidRDefault="00D73761">
            <w:pPr>
              <w:jc w:val="center"/>
            </w:pPr>
            <w:r>
              <w:rPr>
                <w:color w:val="000000"/>
                <w:sz w:val="24"/>
              </w:rPr>
              <w:t>-</w:t>
            </w:r>
          </w:p>
        </w:tc>
        <w:tc>
          <w:tcPr>
            <w:tcW w:w="0" w:type="auto"/>
            <w:vAlign w:val="center"/>
          </w:tcPr>
          <w:p w:rsidR="00370906" w:rsidRDefault="00D73761">
            <w:pPr>
              <w:jc w:val="center"/>
            </w:pPr>
            <w:r>
              <w:rPr>
                <w:color w:val="000000"/>
                <w:sz w:val="24"/>
              </w:rPr>
              <w:t>12</w:t>
            </w:r>
            <w:r>
              <w:rPr>
                <w:color w:val="000000"/>
                <w:sz w:val="24"/>
              </w:rPr>
              <w:t>年</w:t>
            </w:r>
          </w:p>
        </w:tc>
        <w:tc>
          <w:tcPr>
            <w:tcW w:w="0" w:type="auto"/>
            <w:vAlign w:val="center"/>
          </w:tcPr>
          <w:p w:rsidR="00370906" w:rsidRDefault="00D73761">
            <w:pPr>
              <w:jc w:val="left"/>
            </w:pPr>
            <w:r>
              <w:rPr>
                <w:color w:val="000000"/>
                <w:sz w:val="24"/>
              </w:rPr>
              <w:t>陈俊华女士，中国国籍，上海交通大学金融学硕士。历任国泰君安证券研究部研</w:t>
            </w:r>
            <w:r>
              <w:rPr>
                <w:color w:val="000000"/>
                <w:sz w:val="24"/>
              </w:rPr>
              <w:lastRenderedPageBreak/>
              <w:t>究员、中国国际金融有限公司研究部公用事业组负责人。</w:t>
            </w:r>
            <w:r>
              <w:rPr>
                <w:color w:val="000000"/>
                <w:sz w:val="24"/>
              </w:rPr>
              <w:t>2015</w:t>
            </w:r>
            <w:r>
              <w:rPr>
                <w:color w:val="000000"/>
                <w:sz w:val="24"/>
              </w:rPr>
              <w:t>年加入交银施罗德基金管理有限公司。</w:t>
            </w:r>
          </w:p>
        </w:tc>
      </w:tr>
      <w:tr w:rsidR="00370906">
        <w:tc>
          <w:tcPr>
            <w:tcW w:w="0" w:type="auto"/>
            <w:vAlign w:val="center"/>
          </w:tcPr>
          <w:p w:rsidR="00370906" w:rsidRDefault="00D73761">
            <w:pPr>
              <w:jc w:val="center"/>
            </w:pPr>
            <w:r>
              <w:rPr>
                <w:color w:val="000000"/>
                <w:sz w:val="24"/>
              </w:rPr>
              <w:lastRenderedPageBreak/>
              <w:t>周中</w:t>
            </w:r>
          </w:p>
        </w:tc>
        <w:tc>
          <w:tcPr>
            <w:tcW w:w="0" w:type="auto"/>
            <w:vAlign w:val="center"/>
          </w:tcPr>
          <w:p w:rsidR="00370906" w:rsidRDefault="00D7376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0" w:type="auto"/>
            <w:vAlign w:val="center"/>
          </w:tcPr>
          <w:p w:rsidR="00370906" w:rsidRDefault="00D73761">
            <w:pPr>
              <w:jc w:val="center"/>
            </w:pPr>
            <w:r>
              <w:rPr>
                <w:color w:val="000000"/>
                <w:sz w:val="24"/>
              </w:rPr>
              <w:t>2015-12-12</w:t>
            </w:r>
          </w:p>
        </w:tc>
        <w:tc>
          <w:tcPr>
            <w:tcW w:w="0" w:type="auto"/>
            <w:vAlign w:val="center"/>
          </w:tcPr>
          <w:p w:rsidR="00370906" w:rsidRDefault="00D73761">
            <w:pPr>
              <w:jc w:val="center"/>
            </w:pPr>
            <w:r>
              <w:rPr>
                <w:color w:val="000000"/>
                <w:sz w:val="24"/>
              </w:rPr>
              <w:t>-</w:t>
            </w:r>
          </w:p>
        </w:tc>
        <w:tc>
          <w:tcPr>
            <w:tcW w:w="0" w:type="auto"/>
            <w:vAlign w:val="center"/>
          </w:tcPr>
          <w:p w:rsidR="00370906" w:rsidRDefault="00D73761">
            <w:pPr>
              <w:jc w:val="center"/>
            </w:pPr>
            <w:r>
              <w:rPr>
                <w:color w:val="000000"/>
                <w:sz w:val="24"/>
              </w:rPr>
              <w:t>8</w:t>
            </w:r>
            <w:r>
              <w:rPr>
                <w:color w:val="000000"/>
                <w:sz w:val="24"/>
              </w:rPr>
              <w:t>年</w:t>
            </w:r>
          </w:p>
        </w:tc>
        <w:tc>
          <w:tcPr>
            <w:tcW w:w="0" w:type="auto"/>
            <w:vAlign w:val="center"/>
          </w:tcPr>
          <w:p w:rsidR="00370906" w:rsidRDefault="00D73761">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r w:rsidR="00370906">
        <w:tc>
          <w:tcPr>
            <w:tcW w:w="0" w:type="auto"/>
            <w:vAlign w:val="center"/>
          </w:tcPr>
          <w:p w:rsidR="00370906" w:rsidRDefault="00D73761">
            <w:pPr>
              <w:jc w:val="center"/>
            </w:pPr>
            <w:r>
              <w:rPr>
                <w:color w:val="000000"/>
                <w:sz w:val="24"/>
              </w:rPr>
              <w:t>蔡铮</w:t>
            </w:r>
          </w:p>
        </w:tc>
        <w:tc>
          <w:tcPr>
            <w:tcW w:w="0" w:type="auto"/>
            <w:vAlign w:val="center"/>
          </w:tcPr>
          <w:p w:rsidR="00370906" w:rsidRDefault="00D73761">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0" w:type="auto"/>
            <w:vAlign w:val="center"/>
          </w:tcPr>
          <w:p w:rsidR="00370906" w:rsidRDefault="00D73761">
            <w:pPr>
              <w:jc w:val="center"/>
            </w:pPr>
            <w:r>
              <w:rPr>
                <w:color w:val="000000"/>
                <w:sz w:val="24"/>
              </w:rPr>
              <w:t>2015-04-22</w:t>
            </w:r>
          </w:p>
        </w:tc>
        <w:tc>
          <w:tcPr>
            <w:tcW w:w="0" w:type="auto"/>
            <w:vAlign w:val="center"/>
          </w:tcPr>
          <w:p w:rsidR="00370906" w:rsidRDefault="00D73761">
            <w:pPr>
              <w:jc w:val="center"/>
            </w:pPr>
            <w:r>
              <w:rPr>
                <w:color w:val="000000"/>
                <w:sz w:val="24"/>
              </w:rPr>
              <w:t>2017-03-25</w:t>
            </w:r>
          </w:p>
        </w:tc>
        <w:tc>
          <w:tcPr>
            <w:tcW w:w="0" w:type="auto"/>
            <w:vAlign w:val="center"/>
          </w:tcPr>
          <w:p w:rsidR="00370906" w:rsidRDefault="00D73761">
            <w:pPr>
              <w:jc w:val="center"/>
            </w:pPr>
            <w:r>
              <w:rPr>
                <w:color w:val="000000"/>
                <w:sz w:val="24"/>
              </w:rPr>
              <w:t>8</w:t>
            </w:r>
            <w:r>
              <w:rPr>
                <w:color w:val="000000"/>
                <w:sz w:val="24"/>
              </w:rPr>
              <w:t>年</w:t>
            </w:r>
          </w:p>
        </w:tc>
        <w:tc>
          <w:tcPr>
            <w:tcW w:w="0" w:type="auto"/>
            <w:vAlign w:val="center"/>
          </w:tcPr>
          <w:p w:rsidR="00370906" w:rsidRDefault="00D73761">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lastRenderedPageBreak/>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370906" w:rsidRDefault="00D7376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70906" w:rsidRDefault="00D7376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C65B39" w:rsidRDefault="007B62FA" w:rsidP="00C65B39">
      <w:pPr>
        <w:tabs>
          <w:tab w:val="left" w:pos="426"/>
        </w:tabs>
        <w:spacing w:before="29" w:line="288" w:lineRule="auto"/>
        <w:jc w:val="left"/>
        <w:rPr>
          <w:kern w:val="0"/>
          <w:sz w:val="24"/>
        </w:rPr>
      </w:pPr>
      <w:r w:rsidRPr="00C65B39">
        <w:rPr>
          <w:kern w:val="0"/>
          <w:sz w:val="24"/>
        </w:rPr>
        <w:t>3</w:t>
      </w:r>
      <w:r w:rsidRPr="00C65B39">
        <w:rPr>
          <w:kern w:val="0"/>
          <w:sz w:val="24"/>
        </w:rPr>
        <w:t>、基金经理（或基金经理小组）期后变动（如有）敬请关注基金管理人发布的相关公告。</w:t>
      </w:r>
    </w:p>
    <w:p w:rsidR="007B62FA" w:rsidRPr="00D763B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0" w:name="_Toc224618356"/>
      <w:bookmarkStart w:id="81" w:name="_Toc235605685"/>
      <w:bookmarkStart w:id="82" w:name="_Toc286929733"/>
      <w:bookmarkStart w:id="83" w:name="_Toc352255973"/>
      <w:bookmarkStart w:id="84" w:name="_Toc352256041"/>
      <w:bookmarkStart w:id="85" w:name="_Toc352331219"/>
      <w:bookmarkStart w:id="86" w:name="_Toc362423997"/>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境外投资顾问为本基金提供投资建议的主要成员简介</w:t>
      </w:r>
      <w:bookmarkEnd w:id="80"/>
      <w:bookmarkEnd w:id="81"/>
      <w:bookmarkEnd w:id="82"/>
      <w:bookmarkEnd w:id="83"/>
      <w:bookmarkEnd w:id="84"/>
      <w:bookmarkEnd w:id="85"/>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0"/>
        <w:gridCol w:w="2249"/>
        <w:gridCol w:w="2249"/>
      </w:tblGrid>
      <w:tr w:rsidR="007B62FA" w:rsidRPr="00D763B5" w:rsidTr="00C0469F">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姓名</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在境外投资顾问所任职务</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证券从业年限</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说明</w:t>
            </w:r>
          </w:p>
        </w:tc>
      </w:tr>
      <w:tr w:rsidR="00370906">
        <w:tc>
          <w:tcPr>
            <w:tcW w:w="2250" w:type="dxa"/>
            <w:vAlign w:val="center"/>
          </w:tcPr>
          <w:p w:rsidR="00370906" w:rsidRDefault="00D73761">
            <w:pPr>
              <w:jc w:val="center"/>
            </w:pPr>
            <w:r>
              <w:rPr>
                <w:color w:val="000000"/>
                <w:sz w:val="24"/>
              </w:rPr>
              <w:t>Simon Webber</w:t>
            </w:r>
          </w:p>
        </w:tc>
        <w:tc>
          <w:tcPr>
            <w:tcW w:w="2250" w:type="dxa"/>
            <w:vAlign w:val="center"/>
          </w:tcPr>
          <w:p w:rsidR="00370906" w:rsidRDefault="00D73761">
            <w:pPr>
              <w:jc w:val="center"/>
            </w:pPr>
            <w:r>
              <w:rPr>
                <w:color w:val="000000"/>
                <w:sz w:val="24"/>
              </w:rPr>
              <w:t>施罗德集团多区域（全球及国际）股票投资主管、全球和国际股票基金经理、全球气候变化股票基金经理</w:t>
            </w:r>
          </w:p>
        </w:tc>
        <w:tc>
          <w:tcPr>
            <w:tcW w:w="2249" w:type="dxa"/>
            <w:vAlign w:val="center"/>
          </w:tcPr>
          <w:p w:rsidR="00370906" w:rsidRDefault="00D73761">
            <w:pPr>
              <w:jc w:val="center"/>
            </w:pPr>
            <w:r>
              <w:rPr>
                <w:color w:val="000000"/>
                <w:sz w:val="24"/>
              </w:rPr>
              <w:t>18</w:t>
            </w:r>
            <w:r>
              <w:rPr>
                <w:color w:val="000000"/>
                <w:sz w:val="24"/>
              </w:rPr>
              <w:t>年</w:t>
            </w:r>
          </w:p>
        </w:tc>
        <w:tc>
          <w:tcPr>
            <w:tcW w:w="2249" w:type="dxa"/>
            <w:vAlign w:val="center"/>
          </w:tcPr>
          <w:p w:rsidR="00370906" w:rsidRDefault="00D73761">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763B5" w:rsidRDefault="007B62FA" w:rsidP="00417F87">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7" w:name="_Toc225498256"/>
      <w:bookmarkStart w:id="88" w:name="_Toc352255974"/>
      <w:bookmarkStart w:id="89" w:name="_Toc352256042"/>
      <w:bookmarkStart w:id="90" w:name="_Toc352331220"/>
      <w:bookmarkStart w:id="91"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87"/>
      <w:bookmarkEnd w:id="88"/>
      <w:bookmarkEnd w:id="89"/>
      <w:bookmarkEnd w:id="90"/>
      <w:bookmarkEnd w:id="91"/>
    </w:p>
    <w:p w:rsidR="00370906" w:rsidRDefault="00D7376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2" w:name="_Toc225498257"/>
      <w:bookmarkStart w:id="93" w:name="_Toc352255975"/>
      <w:bookmarkStart w:id="94" w:name="_Toc352256043"/>
      <w:bookmarkStart w:id="95" w:name="_Toc352331221"/>
      <w:bookmarkStart w:id="96" w:name="_Toc362423999"/>
      <w:r w:rsidRPr="00390099">
        <w:rPr>
          <w:rFonts w:ascii="Times New Roman" w:hAnsi="Times New Roman" w:hint="eastAsia"/>
          <w:kern w:val="0"/>
          <w:szCs w:val="24"/>
        </w:rPr>
        <w:lastRenderedPageBreak/>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92"/>
      <w:bookmarkEnd w:id="93"/>
      <w:bookmarkEnd w:id="94"/>
      <w:bookmarkEnd w:id="95"/>
      <w:bookmarkEnd w:id="96"/>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370906" w:rsidRDefault="00D7376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70906" w:rsidRDefault="00D7376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70906" w:rsidRDefault="00D7376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70906" w:rsidRDefault="00D7376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70906" w:rsidRDefault="00D7376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本报告期内公司严格执行公平交易制度，公平对待旗下各投资组合。通过投资交易监控、交易数据分析、专项稽核检查等，本基金管理人未发现任何违反公平交易制度的行为。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0469F">
        <w:rPr>
          <w:color w:val="000000"/>
          <w:sz w:val="24"/>
        </w:rPr>
        <w:t>5%</w:t>
      </w:r>
      <w:r w:rsidRPr="00C0469F">
        <w:rPr>
          <w:color w:val="000000"/>
          <w:sz w:val="24"/>
        </w:rPr>
        <w:t>的情形，本基金与本公司管理的其他投资组合在不同时间窗下（如日内、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日内）同向交易的交易价差未出现异常。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7" w:name="_Toc225498258"/>
      <w:bookmarkStart w:id="98" w:name="_Toc352255976"/>
      <w:bookmarkStart w:id="99" w:name="_Toc352256044"/>
      <w:bookmarkStart w:id="100" w:name="_Toc352331222"/>
      <w:bookmarkStart w:id="101" w:name="_Toc362424000"/>
      <w:r w:rsidRPr="00390099">
        <w:rPr>
          <w:rFonts w:ascii="Times New Roman" w:hAnsi="Times New Roman" w:hint="eastAsia"/>
          <w:kern w:val="0"/>
          <w:szCs w:val="24"/>
        </w:rPr>
        <w:lastRenderedPageBreak/>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97"/>
      <w:bookmarkEnd w:id="98"/>
      <w:bookmarkEnd w:id="99"/>
      <w:bookmarkEnd w:id="100"/>
      <w:bookmarkEnd w:id="101"/>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370906" w:rsidRDefault="00D73761">
      <w:pPr>
        <w:spacing w:before="29" w:line="288" w:lineRule="auto"/>
        <w:ind w:firstLineChars="200" w:firstLine="480"/>
        <w:rPr>
          <w:color w:val="000000"/>
          <w:sz w:val="24"/>
        </w:rPr>
      </w:pPr>
      <w:r>
        <w:rPr>
          <w:color w:val="000000"/>
          <w:sz w:val="24"/>
        </w:rPr>
        <w:t>2017</w:t>
      </w:r>
      <w:r>
        <w:rPr>
          <w:color w:val="000000"/>
          <w:sz w:val="24"/>
        </w:rPr>
        <w:t>年，全球股市均录得正收益，欧美市场受益于经济复苏预期，股市上涨，香港市场则获益于低估值背景下，国内、国外投资者的配置需求同时增加，涨幅优于欧美和</w:t>
      </w:r>
      <w:r>
        <w:rPr>
          <w:color w:val="000000"/>
          <w:sz w:val="24"/>
        </w:rPr>
        <w:t>A</w:t>
      </w:r>
      <w:r>
        <w:rPr>
          <w:color w:val="000000"/>
          <w:sz w:val="24"/>
        </w:rPr>
        <w:t>股。本基金在</w:t>
      </w:r>
      <w:r>
        <w:rPr>
          <w:color w:val="000000"/>
          <w:sz w:val="24"/>
        </w:rPr>
        <w:t>2017</w:t>
      </w:r>
      <w:r>
        <w:rPr>
          <w:color w:val="000000"/>
          <w:sz w:val="24"/>
        </w:rPr>
        <w:t>年继续为投资者赚取正收益，主要得益于高仓位下的不断优化个股选择。</w:t>
      </w:r>
    </w:p>
    <w:p w:rsidR="007B62FA" w:rsidRPr="00C0469F" w:rsidRDefault="007B62FA" w:rsidP="00C0469F">
      <w:pPr>
        <w:spacing w:before="29" w:line="288" w:lineRule="auto"/>
        <w:ind w:firstLineChars="200" w:firstLine="480"/>
        <w:rPr>
          <w:color w:val="000000"/>
          <w:sz w:val="24"/>
        </w:rPr>
      </w:pPr>
      <w:r w:rsidRPr="00C0469F">
        <w:rPr>
          <w:color w:val="000000"/>
          <w:sz w:val="24"/>
        </w:rPr>
        <w:t>回顾</w:t>
      </w:r>
      <w:r w:rsidRPr="00C0469F">
        <w:rPr>
          <w:color w:val="000000"/>
          <w:sz w:val="24"/>
        </w:rPr>
        <w:t>2017</w:t>
      </w:r>
      <w:r w:rsidRPr="00C0469F">
        <w:rPr>
          <w:color w:val="000000"/>
          <w:sz w:val="24"/>
        </w:rPr>
        <w:t>年的操作，我们持续保持了高仓位运行。前三季度，我们持续保持对于科技、汽车的超配，不断优化金融配置，阶段性参与了能源、机械板块，在四季度，我们对前期获利较高的板块进行了调整，增加了工业、通讯和金融等板块的配置。对行业盈利趋势和估值之间的比较，是我们进行优化调整的主要动因。</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截至</w:t>
      </w:r>
      <w:r w:rsidRPr="00C0469F">
        <w:rPr>
          <w:color w:val="000000"/>
          <w:sz w:val="24"/>
        </w:rPr>
        <w:t>2017</w:t>
      </w:r>
      <w:r w:rsidRPr="00C0469F">
        <w:rPr>
          <w:color w:val="000000"/>
          <w:sz w:val="24"/>
        </w:rPr>
        <w:t>年</w:t>
      </w:r>
      <w:r w:rsidRPr="00C0469F">
        <w:rPr>
          <w:color w:val="000000"/>
          <w:sz w:val="24"/>
        </w:rPr>
        <w:t>12</w:t>
      </w:r>
      <w:r w:rsidRPr="00C0469F">
        <w:rPr>
          <w:color w:val="000000"/>
          <w:sz w:val="24"/>
        </w:rPr>
        <w:t>月</w:t>
      </w:r>
      <w:r w:rsidRPr="00C0469F">
        <w:rPr>
          <w:color w:val="000000"/>
          <w:sz w:val="24"/>
        </w:rPr>
        <w:t>31</w:t>
      </w:r>
      <w:r w:rsidRPr="00C0469F">
        <w:rPr>
          <w:color w:val="000000"/>
          <w:sz w:val="24"/>
        </w:rPr>
        <w:t>日，本基金份额净值为</w:t>
      </w:r>
      <w:r w:rsidRPr="00C0469F">
        <w:rPr>
          <w:color w:val="000000"/>
          <w:sz w:val="24"/>
        </w:rPr>
        <w:t>1.875</w:t>
      </w:r>
      <w:r w:rsidRPr="00C0469F">
        <w:rPr>
          <w:color w:val="000000"/>
          <w:sz w:val="24"/>
        </w:rPr>
        <w:t>元，本报告期份额净值增长率为</w:t>
      </w:r>
      <w:r w:rsidRPr="00C0469F">
        <w:rPr>
          <w:color w:val="000000"/>
          <w:sz w:val="24"/>
        </w:rPr>
        <w:t>19.20%</w:t>
      </w:r>
      <w:r w:rsidRPr="00C0469F">
        <w:rPr>
          <w:color w:val="000000"/>
          <w:sz w:val="24"/>
        </w:rPr>
        <w:t>，同期业绩比较基准增长率为</w:t>
      </w:r>
      <w:r w:rsidRPr="00C0469F">
        <w:rPr>
          <w:color w:val="000000"/>
          <w:sz w:val="24"/>
        </w:rPr>
        <w:t>25.73%</w:t>
      </w:r>
      <w:r w:rsidRPr="00C0469F">
        <w:rPr>
          <w:color w:val="000000"/>
          <w:sz w:val="24"/>
        </w:rPr>
        <w:t>。</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2" w:name="_Toc225498259"/>
      <w:bookmarkStart w:id="103" w:name="_Toc352255977"/>
      <w:bookmarkStart w:id="104" w:name="_Toc352256045"/>
      <w:bookmarkStart w:id="105" w:name="_Toc352331223"/>
      <w:bookmarkStart w:id="106" w:name="_Toc362424001"/>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102"/>
      <w:bookmarkEnd w:id="103"/>
      <w:bookmarkEnd w:id="104"/>
      <w:bookmarkEnd w:id="105"/>
      <w:bookmarkEnd w:id="106"/>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2018</w:t>
      </w:r>
      <w:r w:rsidRPr="00C0469F">
        <w:rPr>
          <w:color w:val="000000"/>
          <w:sz w:val="24"/>
        </w:rPr>
        <w:t>年，我们仍看好香港市场，对欧美市场表示谨慎。全球经济复苏的趋势仍将持续，但与以往不同的是，海外需要面对流动性环境的变化：从量化宽松、负利率隐忧走向加息、收缩银根，加之美国市场已持续上涨多个季度，投资者的获利了结的需求在积聚。我们预计欧美市场的短期波动将加大，香港市场会受到一定的影响，我们需及时做好风险预判和投资结构的调整。相较海外市场，我们更看好香港市场的上升动力。中国经济的稳健发展的趋势没有改变，消费板块在复苏，越来越多制造业企业实现了不同程度的升级。基于稳健的基本面，海外投资中国的需求仍较为强劲，国内投资人配置香港市场的需求也在加大。我们将继续勤勉尽责地积极调研，自下而上挖掘相关标的，努力为投资人赚取稳健的回报。</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7" w:name="_Toc247959457"/>
      <w:bookmarkStart w:id="108" w:name="_Toc225570083"/>
      <w:bookmarkStart w:id="109" w:name="_Toc352255979"/>
      <w:bookmarkStart w:id="110" w:name="_Toc352256047"/>
      <w:bookmarkStart w:id="111" w:name="_Toc352331225"/>
      <w:bookmarkStart w:id="112"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107"/>
      <w:bookmarkEnd w:id="108"/>
      <w:bookmarkEnd w:id="109"/>
      <w:bookmarkEnd w:id="110"/>
      <w:bookmarkEnd w:id="111"/>
      <w:bookmarkEnd w:id="112"/>
    </w:p>
    <w:p w:rsidR="00370906" w:rsidRDefault="00D7376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70906" w:rsidRDefault="00D7376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w:t>
      </w:r>
      <w:r w:rsidRPr="00C0469F">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13" w:name="_Toc247959458"/>
      <w:bookmarkStart w:id="114" w:name="_Toc225570084"/>
      <w:bookmarkStart w:id="115" w:name="_Toc352255980"/>
      <w:bookmarkStart w:id="116" w:name="_Toc352256048"/>
      <w:bookmarkStart w:id="117" w:name="_Toc352331226"/>
      <w:bookmarkStart w:id="118"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8</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13"/>
      <w:bookmarkEnd w:id="114"/>
      <w:bookmarkEnd w:id="115"/>
      <w:bookmarkEnd w:id="116"/>
      <w:bookmarkEnd w:id="117"/>
      <w:bookmarkEnd w:id="118"/>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根据相关法律法规和基金合同的规定，本基金对本报告期应分配的可供分配利润进行了收益分配，具体情况参见</w:t>
      </w:r>
      <w:r w:rsidR="00D73761" w:rsidRPr="00D73761">
        <w:rPr>
          <w:rFonts w:hint="eastAsia"/>
          <w:color w:val="000000"/>
          <w:sz w:val="24"/>
        </w:rPr>
        <w:t>年度报告正文</w:t>
      </w:r>
      <w:r w:rsidRPr="00C0469F">
        <w:rPr>
          <w:color w:val="000000"/>
          <w:sz w:val="24"/>
        </w:rPr>
        <w:t>7.4.8.2</w:t>
      </w:r>
      <w:r w:rsidRPr="00C0469F">
        <w:rPr>
          <w:color w:val="000000"/>
          <w:sz w:val="24"/>
        </w:rPr>
        <w:t>资产负债表日后事项。</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0154CB" w:rsidP="000154CB">
      <w:pPr>
        <w:spacing w:before="29" w:line="288" w:lineRule="auto"/>
        <w:ind w:firstLineChars="200" w:firstLine="480"/>
        <w:rPr>
          <w:kern w:val="0"/>
          <w:sz w:val="24"/>
        </w:rPr>
      </w:pPr>
      <w:r w:rsidRPr="00BB731C">
        <w:rPr>
          <w:kern w:val="0"/>
          <w:sz w:val="24"/>
        </w:rPr>
        <w:t>本基金本报告期内无需预警说明。</w:t>
      </w:r>
    </w:p>
    <w:p w:rsidR="000154CB" w:rsidRPr="00C0469F" w:rsidRDefault="000154CB" w:rsidP="00C0469F">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19" w:name="_Toc225498263"/>
      <w:bookmarkStart w:id="120" w:name="_Toc352255982"/>
      <w:bookmarkStart w:id="121" w:name="_Toc352256050"/>
      <w:bookmarkStart w:id="122" w:name="_Toc352331228"/>
      <w:bookmarkStart w:id="123" w:name="_Toc362424006"/>
      <w:r w:rsidRPr="00190051">
        <w:rPr>
          <w:rFonts w:hint="eastAsia"/>
          <w:b/>
          <w:bCs/>
          <w:szCs w:val="24"/>
          <w:lang w:val="en-US"/>
        </w:rPr>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9"/>
      <w:bookmarkEnd w:id="120"/>
      <w:bookmarkEnd w:id="121"/>
      <w:bookmarkEnd w:id="122"/>
      <w:bookmarkEnd w:id="12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24" w:name="_Toc225498264"/>
      <w:bookmarkStart w:id="125" w:name="_Toc352255983"/>
      <w:bookmarkStart w:id="126" w:name="_Toc352256051"/>
      <w:bookmarkStart w:id="127" w:name="_Toc352331229"/>
      <w:bookmarkStart w:id="128"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24"/>
      <w:bookmarkEnd w:id="125"/>
      <w:bookmarkEnd w:id="126"/>
      <w:bookmarkEnd w:id="127"/>
      <w:bookmarkEnd w:id="128"/>
    </w:p>
    <w:p w:rsidR="007B62FA" w:rsidRPr="00190051" w:rsidRDefault="007B62FA" w:rsidP="00190051">
      <w:pPr>
        <w:spacing w:before="29" w:line="288" w:lineRule="auto"/>
        <w:ind w:firstLineChars="200" w:firstLine="480"/>
        <w:rPr>
          <w:color w:val="000000"/>
          <w:sz w:val="24"/>
        </w:rPr>
      </w:pPr>
      <w:r w:rsidRPr="001900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9" w:name="_Toc225498265"/>
      <w:bookmarkStart w:id="130" w:name="_Toc352255984"/>
      <w:bookmarkStart w:id="131" w:name="_Toc352256052"/>
      <w:bookmarkStart w:id="132" w:name="_Toc352331230"/>
      <w:bookmarkStart w:id="133" w:name="_Toc362424008"/>
      <w:r w:rsidRPr="00390099">
        <w:rPr>
          <w:rFonts w:ascii="Times New Roman" w:hAnsi="Times New Roman"/>
          <w:kern w:val="0"/>
          <w:szCs w:val="24"/>
        </w:rPr>
        <w:t xml:space="preserve">5.2 </w:t>
      </w:r>
      <w:r w:rsidRPr="00390099">
        <w:rPr>
          <w:rFonts w:ascii="Times New Roman" w:hAnsi="Times New Roman" w:hint="eastAsia"/>
          <w:kern w:val="0"/>
          <w:szCs w:val="24"/>
        </w:rPr>
        <w:t>托管人对报告期内本基金投资运作遵规守信、净值计算、利润分配等情况的</w:t>
      </w:r>
      <w:bookmarkEnd w:id="129"/>
      <w:r w:rsidRPr="00390099">
        <w:rPr>
          <w:rFonts w:ascii="Times New Roman" w:hAnsi="Times New Roman" w:hint="eastAsia"/>
          <w:kern w:val="0"/>
          <w:szCs w:val="24"/>
        </w:rPr>
        <w:t>说明</w:t>
      </w:r>
      <w:bookmarkEnd w:id="130"/>
      <w:bookmarkEnd w:id="131"/>
      <w:bookmarkEnd w:id="132"/>
      <w:bookmarkEnd w:id="133"/>
    </w:p>
    <w:p w:rsidR="00370906" w:rsidRDefault="00D7376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190051" w:rsidRDefault="007B62FA" w:rsidP="00190051">
      <w:pPr>
        <w:spacing w:before="29" w:line="288" w:lineRule="auto"/>
        <w:ind w:firstLineChars="200" w:firstLine="480"/>
        <w:rPr>
          <w:color w:val="000000"/>
          <w:sz w:val="24"/>
        </w:rPr>
      </w:pPr>
      <w:r w:rsidRPr="00190051">
        <w:rPr>
          <w:color w:val="000000"/>
          <w:sz w:val="24"/>
        </w:rPr>
        <w:t>报告期内，本基金实施利润分配的金额为</w:t>
      </w:r>
      <w:r w:rsidRPr="00190051">
        <w:rPr>
          <w:color w:val="000000"/>
          <w:sz w:val="24"/>
        </w:rPr>
        <w:t>3,448,881.18</w:t>
      </w:r>
      <w:r w:rsidRPr="00190051">
        <w:rPr>
          <w:color w:val="000000"/>
          <w:sz w:val="24"/>
        </w:rPr>
        <w:t>元。</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34" w:name="_Toc225498266"/>
      <w:bookmarkStart w:id="135" w:name="_Toc352255985"/>
      <w:bookmarkStart w:id="136" w:name="_Toc352256053"/>
      <w:bookmarkStart w:id="137" w:name="_Toc352331231"/>
      <w:bookmarkStart w:id="138"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34"/>
      <w:bookmarkEnd w:id="135"/>
      <w:bookmarkEnd w:id="136"/>
      <w:bookmarkEnd w:id="137"/>
      <w:bookmarkEnd w:id="138"/>
    </w:p>
    <w:p w:rsidR="007B62FA" w:rsidRDefault="007B62FA" w:rsidP="00190051">
      <w:pPr>
        <w:spacing w:before="29" w:line="288" w:lineRule="auto"/>
        <w:ind w:firstLineChars="200" w:firstLine="480"/>
        <w:rPr>
          <w:color w:val="000000"/>
          <w:sz w:val="24"/>
        </w:rPr>
      </w:pPr>
      <w:r w:rsidRPr="00190051">
        <w:rPr>
          <w:color w:val="000000"/>
          <w:sz w:val="24"/>
        </w:rPr>
        <w:t>本托管人复核审查了本报告中的财务指标、净值表现、利润分配情况、财务会计报告、投资组合报告等内容，保证复核内容不存在虚假记载、误导性陈述或者重大遗漏。</w:t>
      </w:r>
    </w:p>
    <w:p w:rsidR="003C6BFD" w:rsidRPr="00190051" w:rsidRDefault="003C6BFD" w:rsidP="00190051">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39" w:name="_Toc245801814"/>
      <w:bookmarkStart w:id="140" w:name="_Toc247959464"/>
      <w:bookmarkStart w:id="141" w:name="_Toc352255986"/>
      <w:bookmarkStart w:id="142" w:name="_Toc352256054"/>
      <w:bookmarkStart w:id="143" w:name="_Toc352331232"/>
      <w:bookmarkStart w:id="144"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9"/>
      <w:bookmarkEnd w:id="140"/>
      <w:bookmarkEnd w:id="141"/>
      <w:bookmarkEnd w:id="142"/>
      <w:bookmarkEnd w:id="143"/>
      <w:bookmarkEnd w:id="144"/>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lastRenderedPageBreak/>
        <w:t>普华永道中天会计师事务所（特殊普通合伙）</w:t>
      </w:r>
      <w:r w:rsidRPr="00A009EE">
        <w:rPr>
          <w:rFonts w:hint="eastAsia"/>
          <w:color w:val="000000"/>
          <w:sz w:val="24"/>
        </w:rPr>
        <w:t>对</w:t>
      </w:r>
      <w:r w:rsidRPr="003C6BFD">
        <w:rPr>
          <w:color w:val="000000"/>
          <w:sz w:val="24"/>
        </w:rPr>
        <w:t>交银施罗德环球精选价值证券投资基金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21938 </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45" w:name="_Toc352255990"/>
      <w:bookmarkStart w:id="146" w:name="_Toc352256058"/>
      <w:bookmarkStart w:id="147" w:name="_Toc352331236"/>
      <w:bookmarkStart w:id="148"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45"/>
      <w:bookmarkEnd w:id="146"/>
      <w:bookmarkEnd w:id="147"/>
      <w:bookmarkEnd w:id="148"/>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9" w:name="_Toc225498268"/>
      <w:bookmarkStart w:id="150" w:name="_Toc352255991"/>
      <w:bookmarkStart w:id="151" w:name="_Toc352256059"/>
      <w:bookmarkStart w:id="152" w:name="_Toc352331237"/>
      <w:bookmarkStart w:id="153"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9"/>
      <w:bookmarkEnd w:id="150"/>
      <w:bookmarkEnd w:id="151"/>
      <w:bookmarkEnd w:id="152"/>
      <w:bookmarkEnd w:id="153"/>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交银施罗德环球精选价值证券投资基金</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2017</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6"/>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2017</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2016</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1122B9" w:rsidP="00417F87">
            <w:pPr>
              <w:spacing w:line="360" w:lineRule="auto"/>
              <w:jc w:val="right"/>
              <w:rPr>
                <w:rFonts w:ascii="宋体" w:hAnsi="宋体"/>
                <w:b/>
                <w:color w:val="000000"/>
                <w:szCs w:val="21"/>
              </w:rPr>
            </w:pPr>
            <w:r>
              <w:rPr>
                <w:rFonts w:ascii="宋体" w:hAnsi="宋体" w:hint="eastAsia"/>
                <w:b/>
                <w:color w:val="000000"/>
                <w:szCs w:val="21"/>
              </w:rPr>
              <w:t>-</w:t>
            </w:r>
          </w:p>
        </w:tc>
        <w:tc>
          <w:tcPr>
            <w:tcW w:w="2249" w:type="dxa"/>
            <w:gridSpan w:val="2"/>
            <w:vAlign w:val="center"/>
          </w:tcPr>
          <w:p w:rsidR="00B32FC1" w:rsidRPr="00D763B5" w:rsidRDefault="001122B9" w:rsidP="00417F87">
            <w:pPr>
              <w:spacing w:line="360" w:lineRule="auto"/>
              <w:jc w:val="right"/>
              <w:rPr>
                <w:rFonts w:ascii="宋体" w:hAnsi="宋体"/>
                <w:b/>
                <w:color w:val="000000"/>
                <w:szCs w:val="21"/>
              </w:rPr>
            </w:pPr>
            <w:r>
              <w:rPr>
                <w:rFonts w:ascii="宋体" w:hAnsi="宋体" w:hint="eastAsia"/>
                <w:b/>
                <w:color w:val="000000"/>
                <w:szCs w:val="21"/>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11,168,166.57</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12,816,813.45</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110,741,034.83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85,673,428.11</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110,741,034.83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85,673,428.11</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166B94" w:rsidRPr="00D763B5" w:rsidTr="00287F0A">
        <w:tc>
          <w:tcPr>
            <w:tcW w:w="3402" w:type="dxa"/>
            <w:vAlign w:val="center"/>
          </w:tcPr>
          <w:p w:rsidR="00166B94" w:rsidRPr="003D56E9" w:rsidRDefault="00EF2E73" w:rsidP="00166B94">
            <w:pPr>
              <w:spacing w:before="29" w:line="288" w:lineRule="auto"/>
              <w:rPr>
                <w:color w:val="000000"/>
              </w:rPr>
            </w:pPr>
            <w:r>
              <w:rPr>
                <w:rFonts w:hint="eastAsia"/>
                <w:color w:val="000000"/>
                <w:sz w:val="24"/>
              </w:rPr>
              <w:t xml:space="preserve">      </w:t>
            </w:r>
            <w:r w:rsidR="00166B94">
              <w:rPr>
                <w:rFonts w:hint="eastAsia"/>
                <w:color w:val="000000"/>
                <w:sz w:val="24"/>
              </w:rPr>
              <w:t>贵金属投资</w:t>
            </w:r>
          </w:p>
        </w:tc>
        <w:tc>
          <w:tcPr>
            <w:tcW w:w="1098" w:type="dxa"/>
            <w:vAlign w:val="center"/>
          </w:tcPr>
          <w:p w:rsidR="00166B94" w:rsidRPr="00FD3A28" w:rsidRDefault="00166B94" w:rsidP="00FD3A28">
            <w:pPr>
              <w:widowControl/>
              <w:autoSpaceDE w:val="0"/>
              <w:autoSpaceDN w:val="0"/>
              <w:ind w:right="-15"/>
              <w:jc w:val="center"/>
              <w:textAlignment w:val="bottom"/>
              <w:rPr>
                <w:color w:val="000000"/>
                <w:sz w:val="24"/>
              </w:rPr>
            </w:pPr>
          </w:p>
        </w:tc>
        <w:tc>
          <w:tcPr>
            <w:tcW w:w="2249" w:type="dxa"/>
            <w:gridSpan w:val="2"/>
            <w:vAlign w:val="center"/>
          </w:tcPr>
          <w:p w:rsidR="00166B94" w:rsidRPr="00E65695" w:rsidRDefault="001122B9" w:rsidP="00E65695">
            <w:pPr>
              <w:spacing w:before="29" w:line="288" w:lineRule="auto"/>
              <w:jc w:val="right"/>
              <w:rPr>
                <w:color w:val="000000"/>
                <w:sz w:val="24"/>
              </w:rPr>
            </w:pPr>
            <w:r>
              <w:rPr>
                <w:rFonts w:hint="eastAsia"/>
                <w:color w:val="000000"/>
                <w:sz w:val="24"/>
              </w:rPr>
              <w:t>-</w:t>
            </w:r>
          </w:p>
        </w:tc>
        <w:tc>
          <w:tcPr>
            <w:tcW w:w="2249" w:type="dxa"/>
            <w:gridSpan w:val="2"/>
            <w:vAlign w:val="center"/>
          </w:tcPr>
          <w:p w:rsidR="00166B94" w:rsidRPr="00E65695" w:rsidRDefault="001122B9" w:rsidP="00E65695">
            <w:pPr>
              <w:spacing w:before="29" w:line="288" w:lineRule="auto"/>
              <w:jc w:val="right"/>
              <w:rPr>
                <w:color w:val="000000"/>
                <w:sz w:val="24"/>
              </w:rPr>
            </w:pPr>
            <w:r>
              <w:rPr>
                <w:rFonts w:hint="eastAsia"/>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衍生金融资产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买入返售金融资产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应收证券清算款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1,101,594.65</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应收利息</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929.46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767.18</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应收股利</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99,252.08</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106,583.52</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应收申购款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309,327.37</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1,405,575.37</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递延所得税资产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其他资产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DC160A" w:rsidRDefault="00B32FC1" w:rsidP="003D56E9">
            <w:pPr>
              <w:spacing w:before="29" w:line="288" w:lineRule="auto"/>
              <w:rPr>
                <w:color w:val="000000"/>
                <w:sz w:val="24"/>
              </w:rPr>
            </w:pPr>
            <w:r w:rsidRPr="00DC160A">
              <w:rPr>
                <w:rFonts w:hint="eastAsia"/>
                <w:color w:val="000000"/>
                <w:sz w:val="24"/>
              </w:rPr>
              <w:t>资产总计</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122,318,710.31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101,104,762.28</w:t>
            </w:r>
          </w:p>
        </w:tc>
      </w:tr>
      <w:tr w:rsidR="00B32FC1" w:rsidRPr="00D763B5" w:rsidTr="008F15EA">
        <w:tc>
          <w:tcPr>
            <w:tcW w:w="3402" w:type="dxa"/>
            <w:vAlign w:val="center"/>
          </w:tcPr>
          <w:p w:rsidR="00B32FC1" w:rsidRPr="003D56E9" w:rsidRDefault="00B32FC1" w:rsidP="003D56E9">
            <w:pPr>
              <w:pStyle w:val="af6"/>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B32FC1" w:rsidRPr="003D56E9" w:rsidRDefault="003D56E9" w:rsidP="003D56E9">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lastRenderedPageBreak/>
              <w:t>2017</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lastRenderedPageBreak/>
              <w:t>上年度末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lastRenderedPageBreak/>
              <w:t>2016</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B32FC1" w:rsidRPr="00D763B5" w:rsidTr="008F15EA">
        <w:tc>
          <w:tcPr>
            <w:tcW w:w="3402" w:type="dxa"/>
            <w:vAlign w:val="center"/>
          </w:tcPr>
          <w:p w:rsidR="00B32FC1" w:rsidRPr="00DC160A" w:rsidRDefault="00B32FC1" w:rsidP="00E65695">
            <w:pPr>
              <w:spacing w:before="29" w:line="288" w:lineRule="auto"/>
              <w:rPr>
                <w:b/>
                <w:color w:val="000000"/>
                <w:sz w:val="24"/>
              </w:rPr>
            </w:pPr>
            <w:r w:rsidRPr="00DC160A">
              <w:rPr>
                <w:rFonts w:hint="eastAsia"/>
                <w:b/>
                <w:color w:val="000000"/>
                <w:sz w:val="24"/>
              </w:rPr>
              <w:lastRenderedPageBreak/>
              <w:t>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D763B5" w:rsidRDefault="001122B9" w:rsidP="00417F87">
            <w:pPr>
              <w:spacing w:line="360" w:lineRule="auto"/>
              <w:jc w:val="right"/>
              <w:rPr>
                <w:rFonts w:ascii="宋体" w:hAnsi="宋体"/>
                <w:b/>
                <w:color w:val="000000"/>
                <w:szCs w:val="21"/>
              </w:rPr>
            </w:pPr>
            <w:r>
              <w:rPr>
                <w:rFonts w:ascii="宋体" w:hAnsi="宋体" w:hint="eastAsia"/>
                <w:b/>
                <w:color w:val="000000"/>
                <w:szCs w:val="21"/>
              </w:rPr>
              <w:t>-</w:t>
            </w:r>
          </w:p>
        </w:tc>
        <w:tc>
          <w:tcPr>
            <w:tcW w:w="2194" w:type="dxa"/>
            <w:vAlign w:val="center"/>
          </w:tcPr>
          <w:p w:rsidR="00B32FC1" w:rsidRPr="00D763B5" w:rsidRDefault="001122B9" w:rsidP="00417F87">
            <w:pPr>
              <w:spacing w:line="360" w:lineRule="auto"/>
              <w:jc w:val="right"/>
              <w:rPr>
                <w:rFonts w:ascii="宋体" w:hAnsi="宋体"/>
                <w:b/>
                <w:color w:val="000000"/>
                <w:szCs w:val="21"/>
              </w:rPr>
            </w:pPr>
            <w:r>
              <w:rPr>
                <w:rFonts w:ascii="宋体" w:hAnsi="宋体" w:hint="eastAsia"/>
                <w:b/>
                <w:color w:val="000000"/>
                <w:szCs w:val="21"/>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应付赎回款</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887,478.03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61,953.67</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184,684.52</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149,555.87</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35,910.87</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29,080.28</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7.4.7.7</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7.4.7.8</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70,965.77</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70,185.31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1,179,039.19</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310,775.13</w:t>
            </w:r>
          </w:p>
        </w:tc>
      </w:tr>
      <w:tr w:rsidR="0043037D" w:rsidRPr="00D763B5" w:rsidTr="008F15EA">
        <w:tc>
          <w:tcPr>
            <w:tcW w:w="3402" w:type="dxa"/>
            <w:vAlign w:val="center"/>
          </w:tcPr>
          <w:p w:rsidR="0043037D" w:rsidRPr="00287F0A" w:rsidRDefault="0043037D" w:rsidP="00E65695">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p>
        </w:tc>
        <w:tc>
          <w:tcPr>
            <w:tcW w:w="2194" w:type="dxa"/>
            <w:vAlign w:val="center"/>
          </w:tcPr>
          <w:p w:rsidR="0043037D" w:rsidRPr="00E65695" w:rsidRDefault="0043037D" w:rsidP="00E65695">
            <w:pPr>
              <w:spacing w:before="29" w:line="288" w:lineRule="auto"/>
              <w:jc w:val="right"/>
              <w:rPr>
                <w:color w:val="000000"/>
                <w:sz w:val="24"/>
              </w:rPr>
            </w:pP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7.4.7.9</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64,619,702.83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61,370,048.29</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7.4.7.10</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56,519,968.29</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39,423,938.86</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所有者权益合计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121,139,671.12</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100,793,987.15</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122,318,710.31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101,104,762.28</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2017</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1.875</w:t>
      </w:r>
      <w:r w:rsidR="007B62FA" w:rsidRPr="00C65B39">
        <w:rPr>
          <w:kern w:val="0"/>
          <w:sz w:val="24"/>
        </w:rPr>
        <w:t>元，基金份额总额</w:t>
      </w:r>
      <w:r w:rsidR="007B62FA" w:rsidRPr="00C65B39">
        <w:rPr>
          <w:kern w:val="0"/>
          <w:sz w:val="24"/>
        </w:rPr>
        <w:t>64,619,702.83</w:t>
      </w:r>
      <w:r w:rsidR="007B62FA" w:rsidRPr="00C65B39">
        <w:rPr>
          <w:kern w:val="0"/>
          <w:sz w:val="24"/>
        </w:rPr>
        <w:t>份。</w:t>
      </w:r>
    </w:p>
    <w:p w:rsidR="00287F0A" w:rsidRPr="00C65B39" w:rsidRDefault="00287F0A" w:rsidP="0063717B">
      <w:pPr>
        <w:tabs>
          <w:tab w:val="left" w:pos="426"/>
        </w:tabs>
        <w:spacing w:before="29" w:line="288" w:lineRule="auto"/>
        <w:ind w:firstLineChars="150" w:firstLine="36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4" w:name="_Toc225498269"/>
      <w:bookmarkStart w:id="155" w:name="_Toc352255992"/>
      <w:bookmarkStart w:id="156" w:name="_Toc352256060"/>
      <w:bookmarkStart w:id="157" w:name="_Toc352331238"/>
      <w:bookmarkStart w:id="158"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54"/>
      <w:bookmarkEnd w:id="155"/>
      <w:bookmarkEnd w:id="156"/>
      <w:bookmarkEnd w:id="157"/>
      <w:bookmarkEnd w:id="158"/>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交银施罗德环球精选价值证券投资基金</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2017</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2017</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6"/>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D73761">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lastRenderedPageBreak/>
              <w:t>2017</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lastRenderedPageBreak/>
              <w:t>上年度可比期间</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2016</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lastRenderedPageBreak/>
              <w:t>2016</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lastRenderedPageBreak/>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23,458,925.32</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8,617,705.27</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35,712.01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10,264.60</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35,712.01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10,264.60</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12,064,443.91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-236,795.89</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10,097,690.01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-1,908,714.43</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5A2200" w:rsidRPr="00D763B5" w:rsidTr="003C47DE">
        <w:tc>
          <w:tcPr>
            <w:tcW w:w="3402" w:type="dxa"/>
            <w:vAlign w:val="center"/>
          </w:tcPr>
          <w:p w:rsidR="005A2200" w:rsidRPr="008F15EA" w:rsidRDefault="005A2200" w:rsidP="008F15EA">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5A2200" w:rsidRPr="00FD3A28"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843715" w:rsidRDefault="00134EAB" w:rsidP="00843715">
            <w:pPr>
              <w:spacing w:before="29" w:line="288" w:lineRule="auto"/>
              <w:jc w:val="right"/>
              <w:rPr>
                <w:color w:val="000000"/>
                <w:sz w:val="24"/>
              </w:rPr>
            </w:pPr>
            <w:r>
              <w:rPr>
                <w:rFonts w:hint="eastAsia"/>
                <w:color w:val="000000"/>
                <w:sz w:val="24"/>
              </w:rPr>
              <w:t>-</w:t>
            </w:r>
          </w:p>
        </w:tc>
        <w:tc>
          <w:tcPr>
            <w:tcW w:w="2194" w:type="dxa"/>
            <w:vAlign w:val="center"/>
          </w:tcPr>
          <w:p w:rsidR="005A2200" w:rsidRPr="00843715" w:rsidRDefault="00134EAB" w:rsidP="00843715">
            <w:pPr>
              <w:spacing w:before="29" w:line="288" w:lineRule="auto"/>
              <w:jc w:val="right"/>
              <w:rPr>
                <w:color w:val="000000"/>
                <w:sz w:val="24"/>
              </w:rPr>
            </w:pPr>
            <w:r>
              <w:rPr>
                <w:rFonts w:hint="eastAsia"/>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衍生工具收益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7.4.7.16</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15,417.31</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7.4.7.17</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1,966,753.90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1,656,501.23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7.4.7.18</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11,895,767.75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8,424,780.40</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-582,107.93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411,862.31</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7.4.7.19</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45,109.58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7,593.85</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减：二、费用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973A5E" w:rsidRDefault="008F15EA" w:rsidP="00843715">
            <w:pPr>
              <w:spacing w:before="29" w:line="288" w:lineRule="auto"/>
              <w:jc w:val="right"/>
              <w:rPr>
                <w:b/>
                <w:color w:val="000000"/>
                <w:sz w:val="24"/>
              </w:rPr>
            </w:pPr>
            <w:r w:rsidRPr="00973A5E">
              <w:rPr>
                <w:b/>
                <w:color w:val="000000"/>
                <w:sz w:val="24"/>
              </w:rPr>
              <w:t>2,996,548.37</w:t>
            </w:r>
          </w:p>
        </w:tc>
        <w:tc>
          <w:tcPr>
            <w:tcW w:w="2194" w:type="dxa"/>
            <w:vAlign w:val="center"/>
          </w:tcPr>
          <w:p w:rsidR="008F15EA" w:rsidRPr="00973A5E" w:rsidRDefault="008F15EA" w:rsidP="00843715">
            <w:pPr>
              <w:spacing w:before="29" w:line="288" w:lineRule="auto"/>
              <w:jc w:val="right"/>
              <w:rPr>
                <w:b/>
                <w:color w:val="000000"/>
                <w:sz w:val="24"/>
              </w:rPr>
            </w:pPr>
            <w:r w:rsidRPr="00973A5E">
              <w:rPr>
                <w:b/>
                <w:color w:val="000000"/>
                <w:sz w:val="24"/>
              </w:rPr>
              <w:t>2,221,163.34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1</w:t>
            </w:r>
            <w:r w:rsidRPr="0024214F">
              <w:rPr>
                <w:rFonts w:hint="eastAsia"/>
                <w:color w:val="000000"/>
                <w:sz w:val="24"/>
              </w:rPr>
              <w:t>．管理人报酬</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2,147,783.44</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1,626,680.43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417,624.49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316,299.02</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7.4.7.20</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358,706.09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206,124.03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6</w:t>
            </w:r>
            <w:r w:rsidRPr="0024214F">
              <w:rPr>
                <w:rFonts w:hint="eastAsia"/>
                <w:color w:val="000000"/>
                <w:sz w:val="24"/>
              </w:rPr>
              <w:t>．其他费用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72,434.35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72,059.86</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三、利润总额（亏损总额以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20,462,376.95</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6,396,541.93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减：所得税费用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206758"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四、净利润（净亏损以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20,462,376.95</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6,396,541.93</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9" w:name="_Toc225498270"/>
      <w:bookmarkStart w:id="160" w:name="_Toc352255993"/>
      <w:bookmarkStart w:id="161" w:name="_Toc352256061"/>
      <w:bookmarkStart w:id="162" w:name="_Toc352331239"/>
      <w:bookmarkStart w:id="163" w:name="_Toc362424017"/>
      <w:r w:rsidRPr="00390099">
        <w:rPr>
          <w:rFonts w:ascii="Times New Roman" w:hAnsi="Times New Roman"/>
          <w:kern w:val="0"/>
          <w:szCs w:val="24"/>
        </w:rPr>
        <w:lastRenderedPageBreak/>
        <w:t xml:space="preserve">7.3 </w:t>
      </w:r>
      <w:r w:rsidRPr="00390099">
        <w:rPr>
          <w:rFonts w:ascii="Times New Roman" w:hAnsi="Times New Roman" w:hint="eastAsia"/>
          <w:kern w:val="0"/>
          <w:szCs w:val="24"/>
        </w:rPr>
        <w:t>所有者权益（基金净值）变动表</w:t>
      </w:r>
      <w:bookmarkEnd w:id="159"/>
      <w:bookmarkEnd w:id="160"/>
      <w:bookmarkEnd w:id="161"/>
      <w:bookmarkEnd w:id="162"/>
      <w:bookmarkEnd w:id="163"/>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交银施罗德环球精选价值证券投资基金</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2017</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2017</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6"/>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2017</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2017</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61,370,048.29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39,423,938.86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100,793,987.15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20,462,376.95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20,462,376.95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3,249,654.54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1,086,634.73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4,336,289.27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30,177,792.24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20,773,316.05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50,951,108.29</w:t>
            </w:r>
          </w:p>
        </w:tc>
      </w:tr>
      <w:tr w:rsidR="007B62FA" w:rsidRPr="00D763B5" w:rsidTr="009028E7">
        <w:tc>
          <w:tcPr>
            <w:tcW w:w="3459" w:type="dxa"/>
            <w:vAlign w:val="center"/>
          </w:tcPr>
          <w:p w:rsidR="007B62FA" w:rsidRPr="00CF18BA" w:rsidRDefault="007B62FA">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-26,928,137.70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-19,686,681.32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-46,614,819.02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-4,452,982.25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-4,452,982.25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64,619,702.83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56,519,968.29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121,139,671.12</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6"/>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2016</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2016</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57,715,799.32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34,515,326.21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92,231,125.53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6,396,541.93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6,396,541.93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w:t>
            </w:r>
            <w:r w:rsidRPr="00CF18BA">
              <w:rPr>
                <w:rFonts w:hint="eastAsia"/>
                <w:color w:val="000000"/>
                <w:sz w:val="24"/>
              </w:rPr>
              <w:lastRenderedPageBreak/>
              <w:t>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lastRenderedPageBreak/>
              <w:t>3,654,248.97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1,960,951.90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5,615,200.87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11,693,623.14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6,370,387.21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18,064,010.35</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-8,039,374.17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-4,409,435.31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-12,448,809.48</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-3,448,881.18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-3,448,881.18</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61,370,048.29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39,423,938.86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100,793,987.15</w:t>
            </w:r>
          </w:p>
        </w:tc>
      </w:tr>
    </w:tbl>
    <w:p w:rsidR="007B62FA" w:rsidRPr="00D763B5" w:rsidRDefault="007B62FA" w:rsidP="00D763B5">
      <w:pPr>
        <w:spacing w:line="360" w:lineRule="auto"/>
        <w:ind w:firstLineChars="200" w:firstLine="420"/>
        <w:jc w:val="left"/>
        <w:rPr>
          <w:rFonts w:ascii="宋体" w:hAnsi="宋体"/>
          <w:color w:val="000000"/>
          <w:kern w:val="0"/>
          <w:szCs w:val="21"/>
        </w:rPr>
      </w:pPr>
    </w:p>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负责人：阮红，主管会计工作负责人：夏华龙，会计机构负责人：单江</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64" w:name="_Toc225498271"/>
      <w:bookmarkStart w:id="165" w:name="_Toc352255994"/>
      <w:bookmarkStart w:id="166" w:name="_Toc352256062"/>
      <w:bookmarkStart w:id="167" w:name="_Toc352331240"/>
      <w:bookmarkStart w:id="168"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64"/>
      <w:bookmarkEnd w:id="165"/>
      <w:bookmarkEnd w:id="166"/>
      <w:bookmarkEnd w:id="167"/>
      <w:bookmarkEnd w:id="16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370906" w:rsidRDefault="00D73761">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370906" w:rsidRDefault="00D73761">
      <w:pPr>
        <w:spacing w:before="29" w:line="288" w:lineRule="auto"/>
        <w:ind w:firstLineChars="200" w:firstLine="480"/>
        <w:rPr>
          <w:color w:val="000000"/>
          <w:sz w:val="24"/>
        </w:rPr>
      </w:pPr>
      <w:r>
        <w:rPr>
          <w:color w:val="00000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color w:val="000000"/>
          <w:sz w:val="24"/>
        </w:rPr>
        <w:t xml:space="preserve"> (</w:t>
      </w:r>
      <w:r>
        <w:rPr>
          <w:color w:val="000000"/>
          <w:sz w:val="24"/>
        </w:rPr>
        <w:t>包括股票存托凭证</w:t>
      </w:r>
      <w:r>
        <w:rPr>
          <w:color w:val="000000"/>
          <w:sz w:val="24"/>
        </w:rPr>
        <w:t>)</w:t>
      </w:r>
      <w:r>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Pr>
          <w:color w:val="000000"/>
          <w:sz w:val="24"/>
        </w:rPr>
        <w:t>60%-100%</w:t>
      </w:r>
      <w:r>
        <w:rPr>
          <w:color w:val="000000"/>
          <w:sz w:val="24"/>
        </w:rPr>
        <w:t>，债券、货币市场工具以及中国证监会允许本基金投资的其他金融工具占基</w:t>
      </w:r>
      <w:r>
        <w:rPr>
          <w:color w:val="000000"/>
          <w:sz w:val="24"/>
        </w:rPr>
        <w:lastRenderedPageBreak/>
        <w:t>金资产的</w:t>
      </w:r>
      <w:r>
        <w:rPr>
          <w:color w:val="000000"/>
          <w:sz w:val="24"/>
        </w:rPr>
        <w:t>0%-40%</w:t>
      </w:r>
      <w:r>
        <w:rPr>
          <w:color w:val="000000"/>
          <w:sz w:val="24"/>
        </w:rPr>
        <w:t>。本基金的业绩比较基准为：</w:t>
      </w:r>
      <w:r>
        <w:rPr>
          <w:color w:val="000000"/>
          <w:sz w:val="24"/>
        </w:rPr>
        <w:t>70%×</w:t>
      </w:r>
      <w:r>
        <w:rPr>
          <w:color w:val="000000"/>
          <w:sz w:val="24"/>
        </w:rPr>
        <w:t>标准普尔全球大中盘指数</w:t>
      </w:r>
      <w:r>
        <w:rPr>
          <w:color w:val="000000"/>
          <w:sz w:val="24"/>
        </w:rPr>
        <w:t xml:space="preserve"> (S&amp;P Global LargeMidCap Index)+30%×</w:t>
      </w:r>
      <w:r>
        <w:rPr>
          <w:color w:val="000000"/>
          <w:sz w:val="24"/>
        </w:rPr>
        <w:t>恒生指数。</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2018</w:t>
      </w:r>
      <w:r w:rsidRPr="00803E49">
        <w:rPr>
          <w:color w:val="000000"/>
          <w:sz w:val="24"/>
        </w:rPr>
        <w:t>年</w:t>
      </w:r>
      <w:r w:rsidRPr="00803E49">
        <w:rPr>
          <w:color w:val="000000"/>
          <w:sz w:val="24"/>
        </w:rPr>
        <w:t>3</w:t>
      </w:r>
      <w:r w:rsidRPr="00803E49">
        <w:rPr>
          <w:color w:val="000000"/>
          <w:sz w:val="24"/>
        </w:rPr>
        <w:t>月</w:t>
      </w:r>
      <w:r w:rsidRPr="00803E49">
        <w:rPr>
          <w:color w:val="000000"/>
          <w:sz w:val="24"/>
        </w:rPr>
        <w:t>26</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370906" w:rsidRDefault="00D7376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颁布的《证券投资基金会计核算业务指引》、《交银施罗德环球精选价值证券投资基金基金合同》和在财务报表附注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本财务报表以持续经营为基础编制。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2017</w:t>
      </w:r>
      <w:r w:rsidRPr="00803E49">
        <w:rPr>
          <w:color w:val="000000"/>
          <w:sz w:val="24"/>
        </w:rPr>
        <w:t>年度财务报表符合企业会计准则的要求，真实、完整地反映了本基金</w:t>
      </w:r>
      <w:r w:rsidRPr="00803E49">
        <w:rPr>
          <w:color w:val="000000"/>
          <w:sz w:val="24"/>
        </w:rPr>
        <w:t>2017</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2017</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本报告期所采用的会计政策、会计估计与最近一期年度报告相一致的说明</w:t>
      </w:r>
    </w:p>
    <w:p w:rsidR="007B62FA" w:rsidRDefault="00EB6533" w:rsidP="00803E49">
      <w:pPr>
        <w:spacing w:before="29" w:line="288" w:lineRule="auto"/>
        <w:ind w:firstLineChars="200" w:firstLine="480"/>
        <w:rPr>
          <w:color w:val="000000"/>
          <w:sz w:val="24"/>
        </w:rPr>
      </w:pPr>
      <w:r w:rsidRPr="00EB6533">
        <w:rPr>
          <w:rFonts w:hint="eastAsia"/>
          <w:color w:val="000000"/>
          <w:sz w:val="24"/>
        </w:rPr>
        <w:t>本报告期所采用的会计政策、会计估计与最近一期年度报告相一致</w:t>
      </w:r>
      <w:r w:rsidR="007B62FA" w:rsidRPr="00803E49">
        <w:rPr>
          <w:color w:val="000000"/>
          <w:sz w:val="24"/>
        </w:rPr>
        <w:t>。</w:t>
      </w:r>
    </w:p>
    <w:p w:rsidR="00134EAB" w:rsidRPr="00803E49" w:rsidRDefault="00134EAB"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本基金本报告期未发生会计政策变更。</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本基金在本报告期间无需说明的会计差错更正。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370906" w:rsidRDefault="00D7376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lastRenderedPageBreak/>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号《关于金融机构同业往来等增值税政策的补充通知》及其他相关境内外税务法规和实务操作，主要税项列示如下：</w:t>
      </w:r>
    </w:p>
    <w:p w:rsidR="00370906" w:rsidRDefault="00D73761">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日起，金融业由缴纳营业税改为缴纳增值税。对金融同业往来利息收入亦免征增值税。</w:t>
      </w:r>
    </w:p>
    <w:p w:rsidR="00370906" w:rsidRDefault="00D73761">
      <w:pPr>
        <w:spacing w:before="29" w:line="288" w:lineRule="auto"/>
        <w:ind w:firstLineChars="200" w:firstLine="480"/>
        <w:rPr>
          <w:color w:val="000000"/>
          <w:sz w:val="24"/>
        </w:rPr>
      </w:pPr>
      <w:r>
        <w:rPr>
          <w:color w:val="000000"/>
          <w:sz w:val="24"/>
        </w:rPr>
        <w:t>(2)</w:t>
      </w:r>
      <w:r>
        <w:rPr>
          <w:color w:val="000000"/>
          <w:sz w:val="24"/>
        </w:rPr>
        <w:t>目前基金取得的源自境外的差价收入，其涉及的境外所得税税收政策，按照相关国家或地区税收法律和法规执行，在境内不予征收营业税</w:t>
      </w:r>
      <w:r>
        <w:rPr>
          <w:color w:val="000000"/>
          <w:sz w:val="24"/>
        </w:rPr>
        <w:t>(</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w:t>
      </w:r>
      <w:r>
        <w:rPr>
          <w:color w:val="000000"/>
          <w:sz w:val="24"/>
        </w:rPr>
        <w:t>)</w:t>
      </w:r>
      <w:r>
        <w:rPr>
          <w:color w:val="000000"/>
          <w:sz w:val="24"/>
        </w:rPr>
        <w:t>或增值税</w:t>
      </w:r>
      <w:r>
        <w:rPr>
          <w:color w:val="000000"/>
          <w:sz w:val="24"/>
        </w:rPr>
        <w:t>(</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w:t>
      </w:r>
      <w:r>
        <w:rPr>
          <w:color w:val="000000"/>
          <w:sz w:val="24"/>
        </w:rPr>
        <w:t>)</w:t>
      </w:r>
      <w:r>
        <w:rPr>
          <w:color w:val="000000"/>
          <w:sz w:val="24"/>
        </w:rPr>
        <w:t>且暂不征收企业所得税。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(3)</w:t>
      </w:r>
      <w:r w:rsidRPr="00803E49">
        <w:rPr>
          <w:color w:val="000000"/>
          <w:sz w:val="24"/>
        </w:rPr>
        <w:t>目前基金取得的源自境外的股利收益，其涉及的境外所得税税收政策按照相关国家或地区税收法律和法规执行，在境内暂不征收个人所得税和企业所得税。</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370906">
        <w:tc>
          <w:tcPr>
            <w:tcW w:w="5103" w:type="dxa"/>
            <w:vAlign w:val="center"/>
          </w:tcPr>
          <w:p w:rsidR="00370906" w:rsidRDefault="00D7376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897" w:type="dxa"/>
            <w:vAlign w:val="center"/>
          </w:tcPr>
          <w:p w:rsidR="00370906" w:rsidRDefault="00D73761">
            <w:pPr>
              <w:jc w:val="center"/>
            </w:pPr>
            <w:r>
              <w:rPr>
                <w:color w:val="000000"/>
                <w:sz w:val="24"/>
              </w:rPr>
              <w:t>基金管理人、基金销售机构</w:t>
            </w:r>
          </w:p>
        </w:tc>
      </w:tr>
      <w:tr w:rsidR="00370906">
        <w:tc>
          <w:tcPr>
            <w:tcW w:w="5103" w:type="dxa"/>
            <w:vAlign w:val="center"/>
          </w:tcPr>
          <w:p w:rsidR="00370906" w:rsidRDefault="00D7376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897" w:type="dxa"/>
            <w:vAlign w:val="center"/>
          </w:tcPr>
          <w:p w:rsidR="00370906" w:rsidRDefault="00D73761">
            <w:pPr>
              <w:jc w:val="center"/>
            </w:pPr>
            <w:r>
              <w:rPr>
                <w:color w:val="000000"/>
                <w:sz w:val="24"/>
              </w:rPr>
              <w:t>基金托管人、基金销售机构</w:t>
            </w:r>
          </w:p>
        </w:tc>
      </w:tr>
      <w:tr w:rsidR="00370906">
        <w:tc>
          <w:tcPr>
            <w:tcW w:w="5103" w:type="dxa"/>
            <w:vAlign w:val="center"/>
          </w:tcPr>
          <w:p w:rsidR="00370906" w:rsidRDefault="00D7376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897" w:type="dxa"/>
            <w:vAlign w:val="center"/>
          </w:tcPr>
          <w:p w:rsidR="00370906" w:rsidRDefault="00D73761">
            <w:pPr>
              <w:jc w:val="center"/>
            </w:pPr>
            <w:r>
              <w:rPr>
                <w:color w:val="000000"/>
                <w:sz w:val="24"/>
              </w:rPr>
              <w:t>基金管理人的股东、基金销售机构</w:t>
            </w:r>
          </w:p>
        </w:tc>
      </w:tr>
      <w:tr w:rsidR="00370906">
        <w:tc>
          <w:tcPr>
            <w:tcW w:w="5103" w:type="dxa"/>
            <w:vAlign w:val="center"/>
          </w:tcPr>
          <w:p w:rsidR="00370906" w:rsidRDefault="00D73761">
            <w:pPr>
              <w:jc w:val="left"/>
            </w:pPr>
            <w:r>
              <w:rPr>
                <w:color w:val="000000"/>
                <w:sz w:val="24"/>
              </w:rPr>
              <w:t>摩根大通银行</w:t>
            </w:r>
            <w:r>
              <w:rPr>
                <w:color w:val="000000"/>
                <w:sz w:val="24"/>
              </w:rPr>
              <w:t>(JPMorgan &amp;Chase Bank, N.A.)</w:t>
            </w:r>
          </w:p>
        </w:tc>
        <w:tc>
          <w:tcPr>
            <w:tcW w:w="3897" w:type="dxa"/>
            <w:vAlign w:val="center"/>
          </w:tcPr>
          <w:p w:rsidR="00370906" w:rsidRDefault="00D73761">
            <w:pPr>
              <w:jc w:val="center"/>
            </w:pPr>
            <w:r>
              <w:rPr>
                <w:color w:val="000000"/>
                <w:sz w:val="24"/>
              </w:rPr>
              <w:t>境外资产托管人</w:t>
            </w:r>
          </w:p>
        </w:tc>
      </w:tr>
      <w:tr w:rsidR="00370906">
        <w:tc>
          <w:tcPr>
            <w:tcW w:w="5103" w:type="dxa"/>
            <w:vAlign w:val="center"/>
          </w:tcPr>
          <w:p w:rsidR="00370906" w:rsidRDefault="00D73761">
            <w:pPr>
              <w:jc w:val="left"/>
            </w:pPr>
            <w:r>
              <w:rPr>
                <w:color w:val="000000"/>
                <w:sz w:val="24"/>
              </w:rPr>
              <w:t>施罗德投资管理有限公司</w:t>
            </w:r>
            <w:r>
              <w:rPr>
                <w:color w:val="000000"/>
                <w:sz w:val="24"/>
              </w:rPr>
              <w:t>(Schroder Investment Management Limited)</w:t>
            </w:r>
          </w:p>
        </w:tc>
        <w:tc>
          <w:tcPr>
            <w:tcW w:w="3897" w:type="dxa"/>
            <w:vAlign w:val="center"/>
          </w:tcPr>
          <w:p w:rsidR="00370906" w:rsidRDefault="00D73761">
            <w:pPr>
              <w:jc w:val="center"/>
            </w:pPr>
            <w:r>
              <w:rPr>
                <w:color w:val="000000"/>
                <w:sz w:val="24"/>
              </w:rPr>
              <w:t>基金管理人的股东、境外投资顾问</w:t>
            </w:r>
          </w:p>
        </w:tc>
      </w:tr>
      <w:tr w:rsidR="00370906">
        <w:tc>
          <w:tcPr>
            <w:tcW w:w="5103" w:type="dxa"/>
            <w:vAlign w:val="center"/>
          </w:tcPr>
          <w:p w:rsidR="00370906" w:rsidRDefault="00D7376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897" w:type="dxa"/>
            <w:vAlign w:val="center"/>
          </w:tcPr>
          <w:p w:rsidR="00370906" w:rsidRDefault="00D73761">
            <w:pPr>
              <w:jc w:val="center"/>
            </w:pPr>
            <w:r>
              <w:rPr>
                <w:color w:val="000000"/>
                <w:sz w:val="24"/>
              </w:rPr>
              <w:t>基金管理人的股东</w:t>
            </w:r>
          </w:p>
        </w:tc>
      </w:tr>
      <w:tr w:rsidR="00370906">
        <w:tc>
          <w:tcPr>
            <w:tcW w:w="5103" w:type="dxa"/>
            <w:vAlign w:val="center"/>
          </w:tcPr>
          <w:p w:rsidR="00370906" w:rsidRDefault="00D73761">
            <w:pPr>
              <w:jc w:val="left"/>
            </w:pPr>
            <w:r>
              <w:rPr>
                <w:color w:val="000000"/>
                <w:sz w:val="24"/>
              </w:rPr>
              <w:t>交银施罗德资产管理有限公司</w:t>
            </w:r>
          </w:p>
        </w:tc>
        <w:tc>
          <w:tcPr>
            <w:tcW w:w="3897" w:type="dxa"/>
            <w:vAlign w:val="center"/>
          </w:tcPr>
          <w:p w:rsidR="00370906" w:rsidRDefault="00D73761">
            <w:pPr>
              <w:jc w:val="center"/>
            </w:pPr>
            <w:r>
              <w:rPr>
                <w:color w:val="000000"/>
                <w:sz w:val="24"/>
              </w:rPr>
              <w:t>基金管理人的子公司</w:t>
            </w:r>
          </w:p>
        </w:tc>
      </w:tr>
      <w:tr w:rsidR="00370906">
        <w:tc>
          <w:tcPr>
            <w:tcW w:w="5103" w:type="dxa"/>
            <w:vAlign w:val="center"/>
          </w:tcPr>
          <w:p w:rsidR="00370906" w:rsidRDefault="00D73761">
            <w:pPr>
              <w:jc w:val="left"/>
            </w:pPr>
            <w:r>
              <w:rPr>
                <w:color w:val="000000"/>
                <w:sz w:val="24"/>
              </w:rPr>
              <w:t>上海直源投资管理有限公司</w:t>
            </w:r>
          </w:p>
        </w:tc>
        <w:tc>
          <w:tcPr>
            <w:tcW w:w="3897" w:type="dxa"/>
            <w:vAlign w:val="center"/>
          </w:tcPr>
          <w:p w:rsidR="00370906" w:rsidRDefault="00D73761">
            <w:pPr>
              <w:jc w:val="center"/>
            </w:pPr>
            <w:r>
              <w:rPr>
                <w:color w:val="000000"/>
                <w:sz w:val="24"/>
              </w:rPr>
              <w:t>受基金管理人控制的公司</w:t>
            </w:r>
          </w:p>
        </w:tc>
      </w:tr>
      <w:tr w:rsidR="00370906">
        <w:tc>
          <w:tcPr>
            <w:tcW w:w="5103" w:type="dxa"/>
            <w:vAlign w:val="center"/>
          </w:tcPr>
          <w:p w:rsidR="00370906" w:rsidRDefault="00D73761">
            <w:pPr>
              <w:jc w:val="left"/>
            </w:pPr>
            <w:r>
              <w:rPr>
                <w:color w:val="000000"/>
                <w:sz w:val="24"/>
              </w:rPr>
              <w:t>交烨投资管理（上海）有限公司</w:t>
            </w:r>
          </w:p>
        </w:tc>
        <w:tc>
          <w:tcPr>
            <w:tcW w:w="3897" w:type="dxa"/>
            <w:vAlign w:val="center"/>
          </w:tcPr>
          <w:p w:rsidR="00370906" w:rsidRDefault="00D73761">
            <w:pPr>
              <w:jc w:val="center"/>
            </w:pPr>
            <w:r>
              <w:rPr>
                <w:color w:val="000000"/>
                <w:sz w:val="24"/>
              </w:rPr>
              <w:t>受基金管理人控制的公司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本基金本报告期内及上年度可比期间无通过关联方交易单元进行的交易。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lastRenderedPageBreak/>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lastRenderedPageBreak/>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lastRenderedPageBreak/>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lastRenderedPageBreak/>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2,147,783.44</w:t>
            </w:r>
          </w:p>
        </w:tc>
        <w:tc>
          <w:tcPr>
            <w:tcW w:w="3459" w:type="dxa"/>
            <w:vAlign w:val="center"/>
          </w:tcPr>
          <w:p w:rsidR="007B62FA" w:rsidRPr="009E49D4" w:rsidRDefault="007B62FA" w:rsidP="009E49D4">
            <w:pPr>
              <w:spacing w:before="29" w:line="288" w:lineRule="auto"/>
              <w:jc w:val="right"/>
              <w:rPr>
                <w:sz w:val="24"/>
              </w:rPr>
            </w:pPr>
            <w:r w:rsidRPr="009E49D4">
              <w:rPr>
                <w:sz w:val="24"/>
              </w:rPr>
              <w:t>1,626,680.43</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333,255.99</w:t>
            </w:r>
          </w:p>
        </w:tc>
        <w:tc>
          <w:tcPr>
            <w:tcW w:w="3459" w:type="dxa"/>
            <w:vAlign w:val="center"/>
          </w:tcPr>
          <w:p w:rsidR="007B62FA" w:rsidRPr="009E49D4" w:rsidRDefault="007B62FA" w:rsidP="009E49D4">
            <w:pPr>
              <w:spacing w:before="29" w:line="288" w:lineRule="auto"/>
              <w:jc w:val="right"/>
              <w:rPr>
                <w:sz w:val="24"/>
              </w:rPr>
            </w:pPr>
            <w:r w:rsidRPr="009E49D4">
              <w:rPr>
                <w:sz w:val="24"/>
              </w:rPr>
              <w:t>204,361.20</w:t>
            </w:r>
          </w:p>
        </w:tc>
      </w:tr>
    </w:tbl>
    <w:p w:rsidR="00370906" w:rsidRDefault="00D7376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1.80%</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 xml:space="preserve">×1.80% ÷ </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417,624.49</w:t>
            </w:r>
          </w:p>
        </w:tc>
        <w:tc>
          <w:tcPr>
            <w:tcW w:w="3459" w:type="dxa"/>
            <w:vAlign w:val="center"/>
          </w:tcPr>
          <w:p w:rsidR="007B62FA" w:rsidRPr="003D4C5C" w:rsidRDefault="007B62FA" w:rsidP="003D4C5C">
            <w:pPr>
              <w:spacing w:before="29" w:line="288" w:lineRule="auto"/>
              <w:jc w:val="right"/>
              <w:rPr>
                <w:sz w:val="24"/>
              </w:rPr>
            </w:pPr>
            <w:r w:rsidRPr="003D4C5C">
              <w:rPr>
                <w:sz w:val="24"/>
              </w:rPr>
              <w:t>316,299.02</w:t>
            </w:r>
          </w:p>
        </w:tc>
      </w:tr>
    </w:tbl>
    <w:p w:rsidR="00370906" w:rsidRDefault="00D7376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×0.35%÷</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327AD9">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C65B39">
      <w:pPr>
        <w:tabs>
          <w:tab w:val="left" w:pos="426"/>
        </w:tabs>
        <w:spacing w:before="29" w:line="288" w:lineRule="auto"/>
        <w:jc w:val="left"/>
        <w:rPr>
          <w:kern w:val="0"/>
          <w:sz w:val="24"/>
        </w:rPr>
      </w:pPr>
      <w:r w:rsidRPr="00C65B39">
        <w:rPr>
          <w:kern w:val="0"/>
          <w:sz w:val="24"/>
        </w:rPr>
        <w:t>本基金本报告期内及上年度可比期间未与关联方进行银行间同业市场的债券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报告期内基金管理人运用固有资金投资本基金的情况</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3000"/>
        <w:gridCol w:w="3000"/>
      </w:tblGrid>
      <w:tr w:rsidR="007B62FA" w:rsidRPr="00D763B5" w:rsidTr="00380A94">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autoSpaceDE w:val="0"/>
              <w:autoSpaceDN w:val="0"/>
              <w:spacing w:before="29" w:line="288" w:lineRule="auto"/>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autoSpaceDE w:val="0"/>
              <w:autoSpaceDN w:val="0"/>
              <w:spacing w:before="29" w:line="288" w:lineRule="auto"/>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期初持有的基金份额</w:t>
            </w:r>
          </w:p>
        </w:tc>
        <w:tc>
          <w:tcPr>
            <w:tcW w:w="3459" w:type="dxa"/>
            <w:vAlign w:val="center"/>
          </w:tcPr>
          <w:p w:rsidR="007B62FA" w:rsidRPr="00EE7448" w:rsidRDefault="007B62FA" w:rsidP="00EE7448">
            <w:pPr>
              <w:spacing w:before="29" w:line="288" w:lineRule="auto"/>
              <w:jc w:val="right"/>
              <w:rPr>
                <w:sz w:val="24"/>
              </w:rPr>
            </w:pPr>
            <w:r w:rsidRPr="00EE7448">
              <w:rPr>
                <w:sz w:val="24"/>
              </w:rPr>
              <w:t>24,959,634.69</w:t>
            </w:r>
          </w:p>
        </w:tc>
        <w:tc>
          <w:tcPr>
            <w:tcW w:w="3459" w:type="dxa"/>
            <w:vAlign w:val="center"/>
          </w:tcPr>
          <w:p w:rsidR="007B62FA" w:rsidRPr="00EE7448" w:rsidRDefault="007B62FA" w:rsidP="00EE7448">
            <w:pPr>
              <w:spacing w:before="29" w:line="288" w:lineRule="auto"/>
              <w:jc w:val="right"/>
              <w:rPr>
                <w:sz w:val="24"/>
              </w:rPr>
            </w:pPr>
            <w:r w:rsidRPr="00EE7448">
              <w:rPr>
                <w:sz w:val="24"/>
              </w:rPr>
              <w:t>23,951,843.25</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lastRenderedPageBreak/>
              <w:t>报告</w:t>
            </w:r>
            <w:r w:rsidR="007B62FA" w:rsidRPr="00BE3615">
              <w:rPr>
                <w:rFonts w:hint="eastAsia"/>
                <w:szCs w:val="24"/>
              </w:rPr>
              <w:t>期间申购</w:t>
            </w:r>
            <w:r w:rsidR="007B62FA" w:rsidRPr="00BE3615">
              <w:rPr>
                <w:szCs w:val="24"/>
              </w:rPr>
              <w:t>/</w:t>
            </w:r>
            <w:r w:rsidR="007B62FA" w:rsidRPr="00BE3615">
              <w:rPr>
                <w:rFonts w:hint="eastAsia"/>
                <w:szCs w:val="24"/>
              </w:rPr>
              <w:t>买入总份额</w:t>
            </w:r>
          </w:p>
        </w:tc>
        <w:tc>
          <w:tcPr>
            <w:tcW w:w="3459" w:type="dxa"/>
            <w:vAlign w:val="center"/>
          </w:tcPr>
          <w:p w:rsidR="007B62FA" w:rsidRPr="00EE7448" w:rsidRDefault="007B62FA" w:rsidP="00EE7448">
            <w:pPr>
              <w:spacing w:before="29" w:line="288" w:lineRule="auto"/>
              <w:jc w:val="right"/>
              <w:rPr>
                <w:sz w:val="24"/>
              </w:rPr>
            </w:pPr>
            <w:r w:rsidRPr="00EE7448">
              <w:rPr>
                <w:sz w:val="24"/>
              </w:rPr>
              <w:t>1,094,720.82</w:t>
            </w:r>
          </w:p>
        </w:tc>
        <w:tc>
          <w:tcPr>
            <w:tcW w:w="3459" w:type="dxa"/>
            <w:vAlign w:val="center"/>
          </w:tcPr>
          <w:p w:rsidR="007B62FA" w:rsidRPr="00EE7448" w:rsidRDefault="007B62FA" w:rsidP="00EE7448">
            <w:pPr>
              <w:spacing w:before="29" w:line="288" w:lineRule="auto"/>
              <w:jc w:val="right"/>
              <w:rPr>
                <w:sz w:val="24"/>
              </w:rPr>
            </w:pPr>
            <w:r w:rsidRPr="00EE7448">
              <w:rPr>
                <w:sz w:val="24"/>
              </w:rPr>
              <w:t>1,007,791.44</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期间因拆分变动份额</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r>
      <w:tr w:rsidR="007B62FA" w:rsidRPr="00D763B5" w:rsidTr="00380A94">
        <w:tc>
          <w:tcPr>
            <w:tcW w:w="3459" w:type="dxa"/>
            <w:vAlign w:val="center"/>
          </w:tcPr>
          <w:p w:rsidR="007B62FA" w:rsidRPr="00BE3615" w:rsidRDefault="007B62FA" w:rsidP="00BE3615">
            <w:pPr>
              <w:pStyle w:val="ae"/>
              <w:spacing w:before="29" w:line="288" w:lineRule="auto"/>
              <w:rPr>
                <w:szCs w:val="24"/>
              </w:rPr>
            </w:pPr>
            <w:r w:rsidRPr="00BE3615">
              <w:rPr>
                <w:rFonts w:hint="eastAsia"/>
                <w:szCs w:val="24"/>
              </w:rPr>
              <w:t>减：</w:t>
            </w:r>
            <w:r w:rsidR="00BE3615">
              <w:rPr>
                <w:rFonts w:hint="eastAsia"/>
                <w:szCs w:val="24"/>
              </w:rPr>
              <w:t>报告</w:t>
            </w:r>
            <w:r w:rsidRPr="00BE3615">
              <w:rPr>
                <w:rFonts w:hint="eastAsia"/>
                <w:szCs w:val="24"/>
              </w:rPr>
              <w:t>期间赎回</w:t>
            </w:r>
            <w:r w:rsidRPr="00BE3615">
              <w:rPr>
                <w:szCs w:val="24"/>
              </w:rPr>
              <w:t>/</w:t>
            </w:r>
            <w:r w:rsidRPr="00BE3615">
              <w:rPr>
                <w:rFonts w:hint="eastAsia"/>
                <w:szCs w:val="24"/>
              </w:rPr>
              <w:t>卖出总份额</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期末持有的基金份额</w:t>
            </w:r>
          </w:p>
        </w:tc>
        <w:tc>
          <w:tcPr>
            <w:tcW w:w="3459" w:type="dxa"/>
            <w:vAlign w:val="center"/>
          </w:tcPr>
          <w:p w:rsidR="007B62FA" w:rsidRPr="00EE7448" w:rsidRDefault="007B62FA" w:rsidP="00EE7448">
            <w:pPr>
              <w:spacing w:before="29" w:line="288" w:lineRule="auto"/>
              <w:jc w:val="right"/>
              <w:rPr>
                <w:sz w:val="24"/>
              </w:rPr>
            </w:pPr>
            <w:r w:rsidRPr="00EE7448">
              <w:rPr>
                <w:sz w:val="24"/>
              </w:rPr>
              <w:t>26,054,355.51</w:t>
            </w:r>
          </w:p>
        </w:tc>
        <w:tc>
          <w:tcPr>
            <w:tcW w:w="3459" w:type="dxa"/>
            <w:vAlign w:val="center"/>
          </w:tcPr>
          <w:p w:rsidR="007B62FA" w:rsidRPr="00EE7448" w:rsidRDefault="007B62FA" w:rsidP="00EE7448">
            <w:pPr>
              <w:spacing w:before="29" w:line="288" w:lineRule="auto"/>
              <w:jc w:val="right"/>
              <w:rPr>
                <w:sz w:val="24"/>
              </w:rPr>
            </w:pPr>
            <w:r w:rsidRPr="00EE7448">
              <w:rPr>
                <w:sz w:val="24"/>
              </w:rPr>
              <w:t>24,959,634.69</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期末持有的基金份额占基金总份额比例</w:t>
            </w:r>
          </w:p>
        </w:tc>
        <w:tc>
          <w:tcPr>
            <w:tcW w:w="3459" w:type="dxa"/>
            <w:vAlign w:val="center"/>
          </w:tcPr>
          <w:p w:rsidR="007B62FA" w:rsidRPr="00EE7448" w:rsidRDefault="007B62FA" w:rsidP="00EE7448">
            <w:pPr>
              <w:spacing w:before="29" w:line="288" w:lineRule="auto"/>
              <w:jc w:val="right"/>
              <w:rPr>
                <w:sz w:val="24"/>
              </w:rPr>
            </w:pPr>
            <w:r w:rsidRPr="00EE7448">
              <w:rPr>
                <w:sz w:val="24"/>
              </w:rPr>
              <w:t>40.32%</w:t>
            </w:r>
          </w:p>
        </w:tc>
        <w:tc>
          <w:tcPr>
            <w:tcW w:w="3459" w:type="dxa"/>
            <w:vAlign w:val="center"/>
          </w:tcPr>
          <w:p w:rsidR="007B62FA" w:rsidRPr="00EE7448" w:rsidRDefault="007B62FA" w:rsidP="00EE7448">
            <w:pPr>
              <w:spacing w:before="29" w:line="288" w:lineRule="auto"/>
              <w:jc w:val="right"/>
              <w:rPr>
                <w:sz w:val="24"/>
              </w:rPr>
            </w:pPr>
            <w:r w:rsidRPr="00EE7448">
              <w:rPr>
                <w:sz w:val="24"/>
              </w:rPr>
              <w:t>40.67%</w:t>
            </w:r>
          </w:p>
        </w:tc>
      </w:tr>
    </w:tbl>
    <w:p w:rsidR="00370906" w:rsidRDefault="00D7376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70906" w:rsidRDefault="00D73761">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B62FA" w:rsidRPr="00C65B39" w:rsidRDefault="007B62FA" w:rsidP="00C65B39">
      <w:pPr>
        <w:tabs>
          <w:tab w:val="left" w:pos="426"/>
        </w:tabs>
        <w:spacing w:before="29" w:line="288" w:lineRule="auto"/>
        <w:jc w:val="left"/>
        <w:rPr>
          <w:kern w:val="0"/>
          <w:sz w:val="24"/>
        </w:rPr>
      </w:pPr>
      <w:r w:rsidRPr="00C65B39">
        <w:rPr>
          <w:kern w:val="0"/>
          <w:sz w:val="24"/>
        </w:rPr>
        <w:t>3</w:t>
      </w:r>
      <w:r w:rsidRPr="00C65B39">
        <w:rPr>
          <w:kern w:val="0"/>
          <w:sz w:val="24"/>
        </w:rPr>
        <w:t>、基金管理人投资本基金适用的申购</w:t>
      </w:r>
      <w:r w:rsidRPr="00C65B39">
        <w:rPr>
          <w:kern w:val="0"/>
          <w:sz w:val="24"/>
        </w:rPr>
        <w:t>/</w:t>
      </w:r>
      <w:r w:rsidRPr="00C65B39">
        <w:rPr>
          <w:kern w:val="0"/>
          <w:sz w:val="24"/>
        </w:rPr>
        <w:t>赎回费率按照本基金招募说明书的规定执行。</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本报告期末及上年度末除基金管理人之外的其他关联方未持有本基金。</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2017</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2017</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2016</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2016</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370906">
        <w:tc>
          <w:tcPr>
            <w:tcW w:w="1560" w:type="dxa"/>
            <w:vAlign w:val="center"/>
          </w:tcPr>
          <w:p w:rsidR="00370906" w:rsidRDefault="00D73761">
            <w:pPr>
              <w:jc w:val="left"/>
            </w:pPr>
            <w:r>
              <w:rPr>
                <w:bCs/>
                <w:color w:val="000000"/>
                <w:szCs w:val="21"/>
              </w:rPr>
              <w:t>中国建设银行</w:t>
            </w:r>
          </w:p>
        </w:tc>
        <w:tc>
          <w:tcPr>
            <w:tcW w:w="1984" w:type="dxa"/>
            <w:vAlign w:val="center"/>
          </w:tcPr>
          <w:p w:rsidR="00370906" w:rsidRDefault="00D73761">
            <w:pPr>
              <w:jc w:val="right"/>
            </w:pPr>
            <w:r>
              <w:rPr>
                <w:bCs/>
                <w:color w:val="000000"/>
                <w:szCs w:val="21"/>
              </w:rPr>
              <w:t>5,074,677.25</w:t>
            </w:r>
          </w:p>
        </w:tc>
        <w:tc>
          <w:tcPr>
            <w:tcW w:w="1701" w:type="dxa"/>
            <w:vAlign w:val="center"/>
          </w:tcPr>
          <w:p w:rsidR="00370906" w:rsidRDefault="00D73761">
            <w:pPr>
              <w:jc w:val="right"/>
            </w:pPr>
            <w:r>
              <w:rPr>
                <w:bCs/>
                <w:color w:val="000000"/>
                <w:szCs w:val="21"/>
              </w:rPr>
              <w:t>35,658.60</w:t>
            </w:r>
          </w:p>
        </w:tc>
        <w:tc>
          <w:tcPr>
            <w:tcW w:w="1985" w:type="dxa"/>
            <w:vAlign w:val="center"/>
          </w:tcPr>
          <w:p w:rsidR="00370906" w:rsidRDefault="00D73761">
            <w:pPr>
              <w:jc w:val="right"/>
            </w:pPr>
            <w:r>
              <w:rPr>
                <w:bCs/>
                <w:color w:val="000000"/>
                <w:szCs w:val="21"/>
              </w:rPr>
              <w:t>3,668,487.03</w:t>
            </w:r>
          </w:p>
        </w:tc>
        <w:tc>
          <w:tcPr>
            <w:tcW w:w="1768" w:type="dxa"/>
            <w:vAlign w:val="center"/>
          </w:tcPr>
          <w:p w:rsidR="00370906" w:rsidRDefault="00D73761">
            <w:pPr>
              <w:jc w:val="right"/>
            </w:pPr>
            <w:r>
              <w:rPr>
                <w:bCs/>
                <w:color w:val="000000"/>
                <w:szCs w:val="21"/>
              </w:rPr>
              <w:t>10,250.69</w:t>
            </w:r>
          </w:p>
        </w:tc>
      </w:tr>
      <w:tr w:rsidR="00370906">
        <w:tc>
          <w:tcPr>
            <w:tcW w:w="1560" w:type="dxa"/>
            <w:vAlign w:val="center"/>
          </w:tcPr>
          <w:p w:rsidR="00370906" w:rsidRDefault="00D73761">
            <w:pPr>
              <w:jc w:val="left"/>
            </w:pPr>
            <w:r>
              <w:rPr>
                <w:bCs/>
                <w:color w:val="000000"/>
                <w:szCs w:val="21"/>
              </w:rPr>
              <w:t>摩根大通银行</w:t>
            </w:r>
          </w:p>
        </w:tc>
        <w:tc>
          <w:tcPr>
            <w:tcW w:w="1984" w:type="dxa"/>
            <w:vAlign w:val="center"/>
          </w:tcPr>
          <w:p w:rsidR="00370906" w:rsidRDefault="00D73761">
            <w:pPr>
              <w:jc w:val="right"/>
            </w:pPr>
            <w:r>
              <w:rPr>
                <w:bCs/>
                <w:color w:val="000000"/>
                <w:szCs w:val="21"/>
              </w:rPr>
              <w:t>6,093,489.32</w:t>
            </w:r>
          </w:p>
        </w:tc>
        <w:tc>
          <w:tcPr>
            <w:tcW w:w="1701" w:type="dxa"/>
            <w:vAlign w:val="center"/>
          </w:tcPr>
          <w:p w:rsidR="00370906" w:rsidRDefault="00D73761">
            <w:pPr>
              <w:jc w:val="right"/>
            </w:pPr>
            <w:r>
              <w:rPr>
                <w:bCs/>
                <w:color w:val="000000"/>
                <w:szCs w:val="21"/>
              </w:rPr>
              <w:t>-9.74</w:t>
            </w:r>
          </w:p>
        </w:tc>
        <w:tc>
          <w:tcPr>
            <w:tcW w:w="1985" w:type="dxa"/>
            <w:vAlign w:val="center"/>
          </w:tcPr>
          <w:p w:rsidR="00370906" w:rsidRDefault="00D73761">
            <w:pPr>
              <w:jc w:val="right"/>
            </w:pPr>
            <w:r>
              <w:rPr>
                <w:bCs/>
                <w:color w:val="000000"/>
                <w:szCs w:val="21"/>
              </w:rPr>
              <w:t>9,148,326.42</w:t>
            </w:r>
          </w:p>
        </w:tc>
        <w:tc>
          <w:tcPr>
            <w:tcW w:w="1768" w:type="dxa"/>
            <w:vAlign w:val="center"/>
          </w:tcPr>
          <w:p w:rsidR="00370906" w:rsidRDefault="00D73761">
            <w:pPr>
              <w:jc w:val="right"/>
            </w:pPr>
            <w:r>
              <w:rPr>
                <w:bCs/>
                <w:color w:val="000000"/>
                <w:szCs w:val="21"/>
              </w:rPr>
              <w:t>-2.11</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C65B39">
      <w:pPr>
        <w:tabs>
          <w:tab w:val="left" w:pos="426"/>
        </w:tabs>
        <w:spacing w:before="29" w:line="288" w:lineRule="auto"/>
        <w:jc w:val="left"/>
        <w:rPr>
          <w:kern w:val="0"/>
          <w:sz w:val="24"/>
        </w:rPr>
      </w:pPr>
      <w:r w:rsidRPr="00C65B39">
        <w:rPr>
          <w:kern w:val="0"/>
          <w:sz w:val="24"/>
        </w:rPr>
        <w:t>本基金本报告期内及上年度可比期间未在承销期内参与关联方承销证券。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F46C49">
      <w:pPr>
        <w:spacing w:before="29" w:line="288" w:lineRule="auto"/>
        <w:rPr>
          <w:color w:val="000000"/>
          <w:sz w:val="24"/>
        </w:rPr>
      </w:pPr>
      <w:r w:rsidRPr="00F46C49">
        <w:rPr>
          <w:color w:val="000000"/>
          <w:sz w:val="24"/>
        </w:rPr>
        <w:t>本基金本报告期内及上年度可比期间无其他关联交易事项。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2017</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本基金本报告期末未持有因认购新发</w:t>
      </w:r>
      <w:r w:rsidRPr="00C65B39">
        <w:rPr>
          <w:kern w:val="0"/>
          <w:sz w:val="24"/>
        </w:rPr>
        <w:t>/</w:t>
      </w:r>
      <w:r w:rsidRPr="00C65B39">
        <w:rPr>
          <w:kern w:val="0"/>
          <w:sz w:val="24"/>
        </w:rPr>
        <w:t>增发证券而流通受限的证券。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Default="007B62FA" w:rsidP="00C65B39">
      <w:pPr>
        <w:tabs>
          <w:tab w:val="left" w:pos="426"/>
        </w:tabs>
        <w:spacing w:before="29" w:line="288" w:lineRule="auto"/>
        <w:jc w:val="left"/>
        <w:rPr>
          <w:kern w:val="0"/>
          <w:sz w:val="24"/>
        </w:rPr>
      </w:pPr>
      <w:r w:rsidRPr="00C65B39">
        <w:rPr>
          <w:kern w:val="0"/>
          <w:sz w:val="24"/>
        </w:rPr>
        <w:t>本基金本报告期末未持有暂时停牌等流通受限股票。</w:t>
      </w:r>
    </w:p>
    <w:p w:rsidR="00F20EFA" w:rsidRPr="00C65B39" w:rsidRDefault="00F20EFA"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Default="007B62FA" w:rsidP="00C65B39">
      <w:pPr>
        <w:tabs>
          <w:tab w:val="left" w:pos="426"/>
        </w:tabs>
        <w:spacing w:before="29" w:line="288" w:lineRule="auto"/>
        <w:jc w:val="left"/>
        <w:rPr>
          <w:kern w:val="0"/>
          <w:sz w:val="24"/>
        </w:rPr>
      </w:pPr>
      <w:r w:rsidRPr="00C65B39">
        <w:rPr>
          <w:kern w:val="0"/>
          <w:sz w:val="24"/>
        </w:rPr>
        <w:t>本基金本报告期末无从事债券正回购交易形成的卖出回购证券款余额。</w:t>
      </w:r>
    </w:p>
    <w:p w:rsidR="00F20EFA" w:rsidRPr="00C65B39" w:rsidRDefault="00F20EFA"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370906" w:rsidRDefault="00D73761">
      <w:pPr>
        <w:spacing w:before="29" w:line="288" w:lineRule="auto"/>
        <w:ind w:firstLineChars="200" w:firstLine="480"/>
        <w:rPr>
          <w:color w:val="000000"/>
          <w:sz w:val="24"/>
        </w:rPr>
      </w:pPr>
      <w:r>
        <w:rPr>
          <w:color w:val="000000"/>
          <w:sz w:val="24"/>
        </w:rPr>
        <w:t xml:space="preserve">(1) </w:t>
      </w:r>
      <w:r>
        <w:rPr>
          <w:color w:val="000000"/>
          <w:sz w:val="24"/>
        </w:rPr>
        <w:t>公允价值</w:t>
      </w:r>
    </w:p>
    <w:p w:rsidR="00370906" w:rsidRDefault="00D7376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70906" w:rsidRDefault="00D7376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70906" w:rsidRDefault="00D73761">
      <w:pPr>
        <w:spacing w:before="29" w:line="288" w:lineRule="auto"/>
        <w:ind w:firstLineChars="200" w:firstLine="480"/>
        <w:rPr>
          <w:color w:val="000000"/>
          <w:sz w:val="24"/>
        </w:rPr>
      </w:pPr>
      <w:r>
        <w:rPr>
          <w:color w:val="000000"/>
          <w:sz w:val="24"/>
        </w:rPr>
        <w:t>第一层次：相同资产或负债在活跃市场上未经调整的报价。</w:t>
      </w:r>
    </w:p>
    <w:p w:rsidR="00370906" w:rsidRDefault="00D7376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70906" w:rsidRDefault="00D73761">
      <w:pPr>
        <w:spacing w:before="29" w:line="288" w:lineRule="auto"/>
        <w:ind w:firstLineChars="200" w:firstLine="480"/>
        <w:rPr>
          <w:color w:val="000000"/>
          <w:sz w:val="24"/>
        </w:rPr>
      </w:pPr>
      <w:r>
        <w:rPr>
          <w:color w:val="000000"/>
          <w:sz w:val="24"/>
        </w:rPr>
        <w:t>第三层次：相关资产或负债的不可观察输入值。</w:t>
      </w:r>
    </w:p>
    <w:p w:rsidR="00370906" w:rsidRDefault="00D7376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70906" w:rsidRDefault="00D7376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70906" w:rsidRDefault="00D7376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110,741,034.83</w:t>
      </w:r>
      <w:r>
        <w:rPr>
          <w:color w:val="000000"/>
          <w:sz w:val="24"/>
        </w:rPr>
        <w:t>元，无属于第二层次和第三层次的余额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85,673,428.11</w:t>
      </w:r>
      <w:r>
        <w:rPr>
          <w:color w:val="000000"/>
          <w:sz w:val="24"/>
        </w:rPr>
        <w:t>元，无属于第二层次和第三层次的余额</w:t>
      </w:r>
      <w:r>
        <w:rPr>
          <w:color w:val="000000"/>
          <w:sz w:val="24"/>
        </w:rPr>
        <w:t>)</w:t>
      </w:r>
      <w:r>
        <w:rPr>
          <w:color w:val="000000"/>
          <w:sz w:val="24"/>
        </w:rPr>
        <w:t>。</w:t>
      </w:r>
      <w:r>
        <w:rPr>
          <w:color w:val="000000"/>
          <w:sz w:val="24"/>
        </w:rPr>
        <w:t xml:space="preserve"> </w:t>
      </w:r>
    </w:p>
    <w:p w:rsidR="00370906" w:rsidRDefault="00D7376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70906" w:rsidRDefault="00D7376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370906" w:rsidRDefault="00D7376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70906" w:rsidRDefault="00D73761">
      <w:pPr>
        <w:spacing w:before="29" w:line="288" w:lineRule="auto"/>
        <w:ind w:firstLineChars="200" w:firstLine="480"/>
        <w:rPr>
          <w:color w:val="000000"/>
          <w:sz w:val="24"/>
        </w:rPr>
      </w:pPr>
      <w:r>
        <w:rPr>
          <w:color w:val="000000"/>
          <w:sz w:val="24"/>
        </w:rPr>
        <w:t>无。</w:t>
      </w:r>
    </w:p>
    <w:p w:rsidR="00370906" w:rsidRDefault="00D7376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70906" w:rsidRDefault="00D7376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70906" w:rsidRDefault="00D7376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70906" w:rsidRDefault="00D7376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70906" w:rsidRDefault="00D73761">
      <w:pPr>
        <w:spacing w:before="29" w:line="288" w:lineRule="auto"/>
        <w:ind w:firstLineChars="200" w:firstLine="480"/>
        <w:rPr>
          <w:color w:val="000000"/>
          <w:sz w:val="24"/>
        </w:rPr>
      </w:pPr>
      <w:r>
        <w:rPr>
          <w:color w:val="000000"/>
          <w:sz w:val="24"/>
        </w:rPr>
        <w:t xml:space="preserve">(2) </w:t>
      </w:r>
      <w:r>
        <w:rPr>
          <w:color w:val="000000"/>
          <w:sz w:val="24"/>
        </w:rPr>
        <w:t>增值税</w:t>
      </w:r>
    </w:p>
    <w:p w:rsidR="00370906" w:rsidRDefault="00D7376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w:t>
      </w:r>
      <w:r>
        <w:rPr>
          <w:color w:val="000000"/>
          <w:sz w:val="24"/>
        </w:rPr>
        <w:lastRenderedPageBreak/>
        <w:t>发生的增值税应税行为，以资管产品管理人为增值税纳税人。</w:t>
      </w:r>
    </w:p>
    <w:p w:rsidR="00370906" w:rsidRDefault="00D7376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70906" w:rsidRDefault="00D7376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370906" w:rsidRDefault="00D7376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7B62FA" w:rsidRPr="004611DC" w:rsidRDefault="007B62FA" w:rsidP="004611DC">
      <w:pPr>
        <w:spacing w:before="29" w:line="288" w:lineRule="auto"/>
        <w:ind w:firstLineChars="200" w:firstLine="480"/>
        <w:rPr>
          <w:color w:val="000000"/>
          <w:sz w:val="24"/>
        </w:rPr>
      </w:pPr>
      <w:r w:rsidRPr="004611DC">
        <w:rPr>
          <w:color w:val="000000"/>
          <w:sz w:val="24"/>
        </w:rPr>
        <w:t xml:space="preserve">(3) </w:t>
      </w:r>
      <w:r w:rsidRPr="004611DC">
        <w:rPr>
          <w:color w:val="000000"/>
          <w:sz w:val="24"/>
        </w:rPr>
        <w:t>除公允价值和增值税外，截至资产负债表日本基金无需要说明的其他重要事项。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69" w:name="_Toc225498272"/>
      <w:bookmarkStart w:id="170" w:name="_Toc352255995"/>
      <w:bookmarkStart w:id="171" w:name="_Toc352256063"/>
      <w:bookmarkStart w:id="172" w:name="_Toc352331241"/>
      <w:bookmarkStart w:id="173"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9"/>
      <w:bookmarkEnd w:id="170"/>
      <w:bookmarkEnd w:id="171"/>
      <w:bookmarkEnd w:id="172"/>
      <w:bookmarkEnd w:id="17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74" w:name="_Toc225498273"/>
      <w:bookmarkStart w:id="175" w:name="_Toc352255996"/>
      <w:bookmarkStart w:id="176" w:name="_Toc352256064"/>
      <w:bookmarkStart w:id="177" w:name="_Toc352331242"/>
      <w:bookmarkStart w:id="178"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74"/>
      <w:bookmarkEnd w:id="175"/>
      <w:bookmarkEnd w:id="176"/>
      <w:bookmarkEnd w:id="177"/>
      <w:bookmarkEnd w:id="178"/>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110,741,034.83</w:t>
            </w:r>
          </w:p>
        </w:tc>
        <w:tc>
          <w:tcPr>
            <w:tcW w:w="2250" w:type="dxa"/>
            <w:vAlign w:val="center"/>
          </w:tcPr>
          <w:p w:rsidR="007B62FA" w:rsidRPr="00852127" w:rsidRDefault="007B62FA" w:rsidP="00852127">
            <w:pPr>
              <w:spacing w:before="29" w:line="288" w:lineRule="auto"/>
              <w:jc w:val="right"/>
              <w:rPr>
                <w:sz w:val="24"/>
              </w:rPr>
            </w:pPr>
            <w:r w:rsidRPr="00852127">
              <w:rPr>
                <w:sz w:val="24"/>
              </w:rPr>
              <w:t>90.53</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108,718,738.61</w:t>
            </w:r>
          </w:p>
        </w:tc>
        <w:tc>
          <w:tcPr>
            <w:tcW w:w="2250" w:type="dxa"/>
            <w:vAlign w:val="center"/>
          </w:tcPr>
          <w:p w:rsidR="007B62FA" w:rsidRPr="00852127" w:rsidRDefault="007B62FA" w:rsidP="00852127">
            <w:pPr>
              <w:spacing w:before="29" w:line="288" w:lineRule="auto"/>
              <w:jc w:val="right"/>
              <w:rPr>
                <w:sz w:val="24"/>
              </w:rPr>
            </w:pPr>
            <w:r w:rsidRPr="00852127">
              <w:rPr>
                <w:sz w:val="24"/>
              </w:rPr>
              <w:t>88.88</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2,022,296.22</w:t>
            </w:r>
          </w:p>
        </w:tc>
        <w:tc>
          <w:tcPr>
            <w:tcW w:w="2250" w:type="dxa"/>
            <w:vAlign w:val="center"/>
          </w:tcPr>
          <w:p w:rsidR="007B62FA" w:rsidRPr="00852127" w:rsidRDefault="007B62FA" w:rsidP="00852127">
            <w:pPr>
              <w:spacing w:before="29" w:line="288" w:lineRule="auto"/>
              <w:jc w:val="right"/>
              <w:rPr>
                <w:sz w:val="24"/>
              </w:rPr>
            </w:pPr>
            <w:r w:rsidRPr="00852127">
              <w:rPr>
                <w:sz w:val="24"/>
              </w:rPr>
              <w:t>1.65</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金融衍生品投资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3717B">
            <w:pPr>
              <w:spacing w:before="29" w:line="288" w:lineRule="auto"/>
              <w:ind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3717B">
            <w:pPr>
              <w:spacing w:before="29" w:line="288" w:lineRule="auto"/>
              <w:ind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3717B">
            <w:pPr>
              <w:spacing w:before="29" w:line="288" w:lineRule="auto"/>
              <w:ind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lastRenderedPageBreak/>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11,168,166.57</w:t>
            </w:r>
          </w:p>
        </w:tc>
        <w:tc>
          <w:tcPr>
            <w:tcW w:w="2250" w:type="dxa"/>
            <w:vAlign w:val="center"/>
          </w:tcPr>
          <w:p w:rsidR="00831232" w:rsidRPr="00852127" w:rsidRDefault="00831232" w:rsidP="00852127">
            <w:pPr>
              <w:spacing w:before="29" w:line="288" w:lineRule="auto"/>
              <w:jc w:val="right"/>
              <w:rPr>
                <w:sz w:val="24"/>
              </w:rPr>
            </w:pPr>
            <w:r w:rsidRPr="00852127">
              <w:rPr>
                <w:sz w:val="24"/>
              </w:rPr>
              <w:t>9.13</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409,508.91</w:t>
            </w:r>
          </w:p>
        </w:tc>
        <w:tc>
          <w:tcPr>
            <w:tcW w:w="2250" w:type="dxa"/>
            <w:vAlign w:val="center"/>
          </w:tcPr>
          <w:p w:rsidR="00831232" w:rsidRPr="00852127" w:rsidRDefault="00831232" w:rsidP="00852127">
            <w:pPr>
              <w:spacing w:before="29" w:line="288" w:lineRule="auto"/>
              <w:jc w:val="right"/>
              <w:rPr>
                <w:sz w:val="24"/>
              </w:rPr>
            </w:pPr>
            <w:r w:rsidRPr="00852127">
              <w:rPr>
                <w:sz w:val="24"/>
              </w:rPr>
              <w:t>0.33</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122,318,710.31</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注：本基金本报告期末未持有通过港股通投资的股票。</w:t>
      </w:r>
    </w:p>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370906">
        <w:tc>
          <w:tcPr>
            <w:tcW w:w="1998" w:type="dxa"/>
            <w:vAlign w:val="center"/>
          </w:tcPr>
          <w:p w:rsidR="00370906" w:rsidRDefault="00D73761">
            <w:pPr>
              <w:jc w:val="left"/>
            </w:pPr>
            <w:r>
              <w:rPr>
                <w:color w:val="000000"/>
                <w:sz w:val="24"/>
              </w:rPr>
              <w:t>美国</w:t>
            </w:r>
          </w:p>
        </w:tc>
        <w:tc>
          <w:tcPr>
            <w:tcW w:w="3459" w:type="dxa"/>
            <w:vAlign w:val="center"/>
          </w:tcPr>
          <w:p w:rsidR="00370906" w:rsidRDefault="00D73761">
            <w:pPr>
              <w:jc w:val="right"/>
            </w:pPr>
            <w:r>
              <w:rPr>
                <w:color w:val="000000"/>
                <w:sz w:val="24"/>
              </w:rPr>
              <w:t>54,831,676.35</w:t>
            </w:r>
          </w:p>
        </w:tc>
        <w:tc>
          <w:tcPr>
            <w:tcW w:w="3541" w:type="dxa"/>
            <w:vAlign w:val="center"/>
          </w:tcPr>
          <w:p w:rsidR="00370906" w:rsidRDefault="00D73761">
            <w:pPr>
              <w:jc w:val="right"/>
            </w:pPr>
            <w:r>
              <w:rPr>
                <w:color w:val="000000"/>
                <w:sz w:val="24"/>
              </w:rPr>
              <w:t>45.26</w:t>
            </w:r>
          </w:p>
        </w:tc>
      </w:tr>
      <w:tr w:rsidR="00370906">
        <w:tc>
          <w:tcPr>
            <w:tcW w:w="1998" w:type="dxa"/>
            <w:vAlign w:val="center"/>
          </w:tcPr>
          <w:p w:rsidR="00370906" w:rsidRDefault="00D73761">
            <w:pPr>
              <w:jc w:val="left"/>
            </w:pPr>
            <w:r>
              <w:rPr>
                <w:color w:val="000000"/>
                <w:sz w:val="24"/>
              </w:rPr>
              <w:t>香港</w:t>
            </w:r>
          </w:p>
        </w:tc>
        <w:tc>
          <w:tcPr>
            <w:tcW w:w="3459" w:type="dxa"/>
            <w:vAlign w:val="center"/>
          </w:tcPr>
          <w:p w:rsidR="00370906" w:rsidRDefault="00D73761">
            <w:pPr>
              <w:jc w:val="right"/>
            </w:pPr>
            <w:r>
              <w:rPr>
                <w:color w:val="000000"/>
                <w:sz w:val="24"/>
              </w:rPr>
              <w:t>29,165,233.02</w:t>
            </w:r>
          </w:p>
        </w:tc>
        <w:tc>
          <w:tcPr>
            <w:tcW w:w="3541" w:type="dxa"/>
            <w:vAlign w:val="center"/>
          </w:tcPr>
          <w:p w:rsidR="00370906" w:rsidRDefault="00D73761">
            <w:pPr>
              <w:jc w:val="right"/>
            </w:pPr>
            <w:r>
              <w:rPr>
                <w:color w:val="000000"/>
                <w:sz w:val="24"/>
              </w:rPr>
              <w:t>24.08</w:t>
            </w:r>
          </w:p>
        </w:tc>
      </w:tr>
      <w:tr w:rsidR="00370906">
        <w:tc>
          <w:tcPr>
            <w:tcW w:w="1998" w:type="dxa"/>
            <w:vAlign w:val="center"/>
          </w:tcPr>
          <w:p w:rsidR="00370906" w:rsidRDefault="00D73761">
            <w:pPr>
              <w:jc w:val="left"/>
            </w:pPr>
            <w:r>
              <w:rPr>
                <w:color w:val="000000"/>
                <w:sz w:val="24"/>
              </w:rPr>
              <w:t>日本</w:t>
            </w:r>
          </w:p>
        </w:tc>
        <w:tc>
          <w:tcPr>
            <w:tcW w:w="3459" w:type="dxa"/>
            <w:vAlign w:val="center"/>
          </w:tcPr>
          <w:p w:rsidR="00370906" w:rsidRDefault="00D73761">
            <w:pPr>
              <w:jc w:val="right"/>
            </w:pPr>
            <w:r>
              <w:rPr>
                <w:color w:val="000000"/>
                <w:sz w:val="24"/>
              </w:rPr>
              <w:t>6,283,198.23</w:t>
            </w:r>
          </w:p>
        </w:tc>
        <w:tc>
          <w:tcPr>
            <w:tcW w:w="3541" w:type="dxa"/>
            <w:vAlign w:val="center"/>
          </w:tcPr>
          <w:p w:rsidR="00370906" w:rsidRDefault="00D73761">
            <w:pPr>
              <w:jc w:val="right"/>
            </w:pPr>
            <w:r>
              <w:rPr>
                <w:color w:val="000000"/>
                <w:sz w:val="24"/>
              </w:rPr>
              <w:t>5.19</w:t>
            </w:r>
          </w:p>
        </w:tc>
      </w:tr>
      <w:tr w:rsidR="00370906">
        <w:tc>
          <w:tcPr>
            <w:tcW w:w="1998" w:type="dxa"/>
            <w:vAlign w:val="center"/>
          </w:tcPr>
          <w:p w:rsidR="00370906" w:rsidRDefault="00D73761">
            <w:pPr>
              <w:jc w:val="left"/>
            </w:pPr>
            <w:r>
              <w:rPr>
                <w:color w:val="000000"/>
                <w:sz w:val="24"/>
              </w:rPr>
              <w:t>德国</w:t>
            </w:r>
          </w:p>
        </w:tc>
        <w:tc>
          <w:tcPr>
            <w:tcW w:w="3459" w:type="dxa"/>
            <w:vAlign w:val="center"/>
          </w:tcPr>
          <w:p w:rsidR="00370906" w:rsidRDefault="00D73761">
            <w:pPr>
              <w:jc w:val="right"/>
            </w:pPr>
            <w:r>
              <w:rPr>
                <w:color w:val="000000"/>
                <w:sz w:val="24"/>
              </w:rPr>
              <w:t>4,998,944.27</w:t>
            </w:r>
          </w:p>
        </w:tc>
        <w:tc>
          <w:tcPr>
            <w:tcW w:w="3541" w:type="dxa"/>
            <w:vAlign w:val="center"/>
          </w:tcPr>
          <w:p w:rsidR="00370906" w:rsidRDefault="00D73761">
            <w:pPr>
              <w:jc w:val="right"/>
            </w:pPr>
            <w:r>
              <w:rPr>
                <w:color w:val="000000"/>
                <w:sz w:val="24"/>
              </w:rPr>
              <w:t>4.13</w:t>
            </w:r>
          </w:p>
        </w:tc>
      </w:tr>
      <w:tr w:rsidR="00370906">
        <w:tc>
          <w:tcPr>
            <w:tcW w:w="1998" w:type="dxa"/>
            <w:vAlign w:val="center"/>
          </w:tcPr>
          <w:p w:rsidR="00370906" w:rsidRDefault="00D73761">
            <w:pPr>
              <w:jc w:val="left"/>
            </w:pPr>
            <w:r>
              <w:rPr>
                <w:color w:val="000000"/>
                <w:sz w:val="24"/>
              </w:rPr>
              <w:t>法国</w:t>
            </w:r>
          </w:p>
        </w:tc>
        <w:tc>
          <w:tcPr>
            <w:tcW w:w="3459" w:type="dxa"/>
            <w:vAlign w:val="center"/>
          </w:tcPr>
          <w:p w:rsidR="00370906" w:rsidRDefault="00D73761">
            <w:pPr>
              <w:jc w:val="right"/>
            </w:pPr>
            <w:r>
              <w:rPr>
                <w:color w:val="000000"/>
                <w:sz w:val="24"/>
              </w:rPr>
              <w:t>2,965,750.26</w:t>
            </w:r>
          </w:p>
        </w:tc>
        <w:tc>
          <w:tcPr>
            <w:tcW w:w="3541" w:type="dxa"/>
            <w:vAlign w:val="center"/>
          </w:tcPr>
          <w:p w:rsidR="00370906" w:rsidRDefault="00D73761">
            <w:pPr>
              <w:jc w:val="right"/>
            </w:pPr>
            <w:r>
              <w:rPr>
                <w:color w:val="000000"/>
                <w:sz w:val="24"/>
              </w:rPr>
              <w:t>2.45</w:t>
            </w:r>
          </w:p>
        </w:tc>
      </w:tr>
      <w:tr w:rsidR="00370906">
        <w:tc>
          <w:tcPr>
            <w:tcW w:w="1998" w:type="dxa"/>
            <w:vAlign w:val="center"/>
          </w:tcPr>
          <w:p w:rsidR="00370906" w:rsidRDefault="00D73761">
            <w:pPr>
              <w:jc w:val="left"/>
            </w:pPr>
            <w:r>
              <w:rPr>
                <w:color w:val="000000"/>
                <w:sz w:val="24"/>
              </w:rPr>
              <w:t>加拿大</w:t>
            </w:r>
          </w:p>
        </w:tc>
        <w:tc>
          <w:tcPr>
            <w:tcW w:w="3459" w:type="dxa"/>
            <w:vAlign w:val="center"/>
          </w:tcPr>
          <w:p w:rsidR="00370906" w:rsidRDefault="00D73761">
            <w:pPr>
              <w:jc w:val="right"/>
            </w:pPr>
            <w:r>
              <w:rPr>
                <w:color w:val="000000"/>
                <w:sz w:val="24"/>
              </w:rPr>
              <w:t>2,697,173.82</w:t>
            </w:r>
          </w:p>
        </w:tc>
        <w:tc>
          <w:tcPr>
            <w:tcW w:w="3541" w:type="dxa"/>
            <w:vAlign w:val="center"/>
          </w:tcPr>
          <w:p w:rsidR="00370906" w:rsidRDefault="00D73761">
            <w:pPr>
              <w:jc w:val="right"/>
            </w:pPr>
            <w:r>
              <w:rPr>
                <w:color w:val="000000"/>
                <w:sz w:val="24"/>
              </w:rPr>
              <w:t>2.23</w:t>
            </w:r>
          </w:p>
        </w:tc>
      </w:tr>
      <w:tr w:rsidR="00370906">
        <w:tc>
          <w:tcPr>
            <w:tcW w:w="1998" w:type="dxa"/>
            <w:vAlign w:val="center"/>
          </w:tcPr>
          <w:p w:rsidR="00370906" w:rsidRDefault="00D73761">
            <w:pPr>
              <w:jc w:val="left"/>
            </w:pPr>
            <w:r>
              <w:rPr>
                <w:color w:val="000000"/>
                <w:sz w:val="24"/>
              </w:rPr>
              <w:t>荷兰</w:t>
            </w:r>
          </w:p>
        </w:tc>
        <w:tc>
          <w:tcPr>
            <w:tcW w:w="3459" w:type="dxa"/>
            <w:vAlign w:val="center"/>
          </w:tcPr>
          <w:p w:rsidR="00370906" w:rsidRDefault="00D73761">
            <w:pPr>
              <w:jc w:val="right"/>
            </w:pPr>
            <w:r>
              <w:rPr>
                <w:color w:val="000000"/>
                <w:sz w:val="24"/>
              </w:rPr>
              <w:t>1,990,178.34</w:t>
            </w:r>
          </w:p>
        </w:tc>
        <w:tc>
          <w:tcPr>
            <w:tcW w:w="3541" w:type="dxa"/>
            <w:vAlign w:val="center"/>
          </w:tcPr>
          <w:p w:rsidR="00370906" w:rsidRDefault="00D73761">
            <w:pPr>
              <w:jc w:val="right"/>
            </w:pPr>
            <w:r>
              <w:rPr>
                <w:color w:val="000000"/>
                <w:sz w:val="24"/>
              </w:rPr>
              <w:t>1.64</w:t>
            </w:r>
          </w:p>
        </w:tc>
      </w:tr>
      <w:tr w:rsidR="00370906">
        <w:tc>
          <w:tcPr>
            <w:tcW w:w="1998" w:type="dxa"/>
            <w:vAlign w:val="center"/>
          </w:tcPr>
          <w:p w:rsidR="00370906" w:rsidRDefault="00D73761">
            <w:pPr>
              <w:jc w:val="left"/>
            </w:pPr>
            <w:r>
              <w:rPr>
                <w:color w:val="000000"/>
                <w:sz w:val="24"/>
              </w:rPr>
              <w:t>瑞士</w:t>
            </w:r>
          </w:p>
        </w:tc>
        <w:tc>
          <w:tcPr>
            <w:tcW w:w="3459" w:type="dxa"/>
            <w:vAlign w:val="center"/>
          </w:tcPr>
          <w:p w:rsidR="00370906" w:rsidRDefault="00D73761">
            <w:pPr>
              <w:jc w:val="right"/>
            </w:pPr>
            <w:r>
              <w:rPr>
                <w:color w:val="000000"/>
                <w:sz w:val="24"/>
              </w:rPr>
              <w:t>1,673,447.05</w:t>
            </w:r>
          </w:p>
        </w:tc>
        <w:tc>
          <w:tcPr>
            <w:tcW w:w="3541" w:type="dxa"/>
            <w:vAlign w:val="center"/>
          </w:tcPr>
          <w:p w:rsidR="00370906" w:rsidRDefault="00D73761">
            <w:pPr>
              <w:jc w:val="right"/>
            </w:pPr>
            <w:r>
              <w:rPr>
                <w:color w:val="000000"/>
                <w:sz w:val="24"/>
              </w:rPr>
              <w:t>1.38</w:t>
            </w:r>
          </w:p>
        </w:tc>
      </w:tr>
      <w:tr w:rsidR="00370906">
        <w:tc>
          <w:tcPr>
            <w:tcW w:w="1998" w:type="dxa"/>
            <w:vAlign w:val="center"/>
          </w:tcPr>
          <w:p w:rsidR="00370906" w:rsidRDefault="00D73761">
            <w:pPr>
              <w:jc w:val="left"/>
            </w:pPr>
            <w:r>
              <w:rPr>
                <w:color w:val="000000"/>
                <w:sz w:val="24"/>
              </w:rPr>
              <w:t>英国</w:t>
            </w:r>
          </w:p>
        </w:tc>
        <w:tc>
          <w:tcPr>
            <w:tcW w:w="3459" w:type="dxa"/>
            <w:vAlign w:val="center"/>
          </w:tcPr>
          <w:p w:rsidR="00370906" w:rsidRDefault="00D73761">
            <w:pPr>
              <w:jc w:val="right"/>
            </w:pPr>
            <w:r>
              <w:rPr>
                <w:color w:val="000000"/>
                <w:sz w:val="24"/>
              </w:rPr>
              <w:t>1,425,909.21</w:t>
            </w:r>
          </w:p>
        </w:tc>
        <w:tc>
          <w:tcPr>
            <w:tcW w:w="3541" w:type="dxa"/>
            <w:vAlign w:val="center"/>
          </w:tcPr>
          <w:p w:rsidR="00370906" w:rsidRDefault="00D73761">
            <w:pPr>
              <w:jc w:val="right"/>
            </w:pPr>
            <w:r>
              <w:rPr>
                <w:color w:val="000000"/>
                <w:sz w:val="24"/>
              </w:rPr>
              <w:t>1.18</w:t>
            </w:r>
          </w:p>
        </w:tc>
      </w:tr>
      <w:tr w:rsidR="00370906">
        <w:tc>
          <w:tcPr>
            <w:tcW w:w="1998" w:type="dxa"/>
            <w:vAlign w:val="center"/>
          </w:tcPr>
          <w:p w:rsidR="00370906" w:rsidRDefault="00D73761">
            <w:pPr>
              <w:jc w:val="left"/>
            </w:pPr>
            <w:r>
              <w:rPr>
                <w:color w:val="000000"/>
                <w:sz w:val="24"/>
              </w:rPr>
              <w:t>泰国</w:t>
            </w:r>
          </w:p>
        </w:tc>
        <w:tc>
          <w:tcPr>
            <w:tcW w:w="3459" w:type="dxa"/>
            <w:vAlign w:val="center"/>
          </w:tcPr>
          <w:p w:rsidR="00370906" w:rsidRDefault="00D73761">
            <w:pPr>
              <w:jc w:val="right"/>
            </w:pPr>
            <w:r>
              <w:rPr>
                <w:color w:val="000000"/>
                <w:sz w:val="24"/>
              </w:rPr>
              <w:t>1,097,645.05</w:t>
            </w:r>
          </w:p>
        </w:tc>
        <w:tc>
          <w:tcPr>
            <w:tcW w:w="3541" w:type="dxa"/>
            <w:vAlign w:val="center"/>
          </w:tcPr>
          <w:p w:rsidR="00370906" w:rsidRDefault="00D73761">
            <w:pPr>
              <w:jc w:val="right"/>
            </w:pPr>
            <w:r>
              <w:rPr>
                <w:color w:val="000000"/>
                <w:sz w:val="24"/>
              </w:rPr>
              <w:t>0.91</w:t>
            </w:r>
          </w:p>
        </w:tc>
      </w:tr>
      <w:tr w:rsidR="00370906">
        <w:tc>
          <w:tcPr>
            <w:tcW w:w="1998" w:type="dxa"/>
            <w:vAlign w:val="center"/>
          </w:tcPr>
          <w:p w:rsidR="00370906" w:rsidRDefault="00D73761">
            <w:pPr>
              <w:jc w:val="left"/>
            </w:pPr>
            <w:r>
              <w:rPr>
                <w:color w:val="000000"/>
                <w:sz w:val="24"/>
              </w:rPr>
              <w:t>芬兰</w:t>
            </w:r>
          </w:p>
        </w:tc>
        <w:tc>
          <w:tcPr>
            <w:tcW w:w="3459" w:type="dxa"/>
            <w:vAlign w:val="center"/>
          </w:tcPr>
          <w:p w:rsidR="00370906" w:rsidRDefault="00D73761">
            <w:pPr>
              <w:jc w:val="right"/>
            </w:pPr>
            <w:r>
              <w:rPr>
                <w:color w:val="000000"/>
                <w:sz w:val="24"/>
              </w:rPr>
              <w:t>985,656.27</w:t>
            </w:r>
          </w:p>
        </w:tc>
        <w:tc>
          <w:tcPr>
            <w:tcW w:w="3541" w:type="dxa"/>
            <w:vAlign w:val="center"/>
          </w:tcPr>
          <w:p w:rsidR="00370906" w:rsidRDefault="00D73761">
            <w:pPr>
              <w:jc w:val="right"/>
            </w:pPr>
            <w:r>
              <w:rPr>
                <w:color w:val="000000"/>
                <w:sz w:val="24"/>
              </w:rPr>
              <w:t>0.81</w:t>
            </w:r>
          </w:p>
        </w:tc>
      </w:tr>
      <w:tr w:rsidR="00370906">
        <w:tc>
          <w:tcPr>
            <w:tcW w:w="1998" w:type="dxa"/>
            <w:vAlign w:val="center"/>
          </w:tcPr>
          <w:p w:rsidR="00370906" w:rsidRDefault="00D73761">
            <w:pPr>
              <w:jc w:val="left"/>
            </w:pPr>
            <w:r>
              <w:rPr>
                <w:color w:val="000000"/>
                <w:sz w:val="24"/>
              </w:rPr>
              <w:t>新加坡</w:t>
            </w:r>
          </w:p>
        </w:tc>
        <w:tc>
          <w:tcPr>
            <w:tcW w:w="3459" w:type="dxa"/>
            <w:vAlign w:val="center"/>
          </w:tcPr>
          <w:p w:rsidR="00370906" w:rsidRDefault="00D73761">
            <w:pPr>
              <w:jc w:val="right"/>
            </w:pPr>
            <w:r>
              <w:rPr>
                <w:color w:val="000000"/>
                <w:sz w:val="24"/>
              </w:rPr>
              <w:t>939,579.67</w:t>
            </w:r>
          </w:p>
        </w:tc>
        <w:tc>
          <w:tcPr>
            <w:tcW w:w="3541" w:type="dxa"/>
            <w:vAlign w:val="center"/>
          </w:tcPr>
          <w:p w:rsidR="00370906" w:rsidRDefault="00D73761">
            <w:pPr>
              <w:jc w:val="right"/>
            </w:pPr>
            <w:r>
              <w:rPr>
                <w:color w:val="000000"/>
                <w:sz w:val="24"/>
              </w:rPr>
              <w:t>0.78</w:t>
            </w:r>
          </w:p>
        </w:tc>
      </w:tr>
      <w:tr w:rsidR="00370906">
        <w:tc>
          <w:tcPr>
            <w:tcW w:w="1998" w:type="dxa"/>
            <w:vAlign w:val="center"/>
          </w:tcPr>
          <w:p w:rsidR="00370906" w:rsidRDefault="00D73761">
            <w:pPr>
              <w:jc w:val="left"/>
            </w:pPr>
            <w:r>
              <w:rPr>
                <w:color w:val="000000"/>
                <w:sz w:val="24"/>
              </w:rPr>
              <w:t>巴西</w:t>
            </w:r>
          </w:p>
        </w:tc>
        <w:tc>
          <w:tcPr>
            <w:tcW w:w="3459" w:type="dxa"/>
            <w:vAlign w:val="center"/>
          </w:tcPr>
          <w:p w:rsidR="00370906" w:rsidRDefault="00D73761">
            <w:pPr>
              <w:jc w:val="right"/>
            </w:pPr>
            <w:r>
              <w:rPr>
                <w:color w:val="000000"/>
                <w:sz w:val="24"/>
              </w:rPr>
              <w:t>901,269.07</w:t>
            </w:r>
          </w:p>
        </w:tc>
        <w:tc>
          <w:tcPr>
            <w:tcW w:w="3541" w:type="dxa"/>
            <w:vAlign w:val="center"/>
          </w:tcPr>
          <w:p w:rsidR="00370906" w:rsidRDefault="00D73761">
            <w:pPr>
              <w:jc w:val="right"/>
            </w:pPr>
            <w:r>
              <w:rPr>
                <w:color w:val="000000"/>
                <w:sz w:val="24"/>
              </w:rPr>
              <w:t>0.74</w:t>
            </w:r>
          </w:p>
        </w:tc>
      </w:tr>
      <w:tr w:rsidR="00370906">
        <w:tc>
          <w:tcPr>
            <w:tcW w:w="1998" w:type="dxa"/>
            <w:vAlign w:val="center"/>
          </w:tcPr>
          <w:p w:rsidR="00370906" w:rsidRDefault="00D73761">
            <w:pPr>
              <w:jc w:val="left"/>
            </w:pPr>
            <w:r>
              <w:rPr>
                <w:color w:val="000000"/>
                <w:sz w:val="24"/>
              </w:rPr>
              <w:t>意大利</w:t>
            </w:r>
          </w:p>
        </w:tc>
        <w:tc>
          <w:tcPr>
            <w:tcW w:w="3459" w:type="dxa"/>
            <w:vAlign w:val="center"/>
          </w:tcPr>
          <w:p w:rsidR="00370906" w:rsidRDefault="00D73761">
            <w:pPr>
              <w:jc w:val="right"/>
            </w:pPr>
            <w:r>
              <w:rPr>
                <w:color w:val="000000"/>
                <w:sz w:val="24"/>
              </w:rPr>
              <w:t>785,374.22</w:t>
            </w:r>
          </w:p>
        </w:tc>
        <w:tc>
          <w:tcPr>
            <w:tcW w:w="3541" w:type="dxa"/>
            <w:vAlign w:val="center"/>
          </w:tcPr>
          <w:p w:rsidR="00370906" w:rsidRDefault="00D73761">
            <w:pPr>
              <w:jc w:val="right"/>
            </w:pPr>
            <w:r>
              <w:rPr>
                <w:color w:val="000000"/>
                <w:sz w:val="24"/>
              </w:rPr>
              <w:t>0.65</w:t>
            </w:r>
          </w:p>
        </w:tc>
      </w:tr>
      <w:tr w:rsidR="007B62FA" w:rsidRPr="00D763B5" w:rsidTr="00623E31">
        <w:tc>
          <w:tcPr>
            <w:tcW w:w="2074" w:type="dxa"/>
            <w:vAlign w:val="center"/>
          </w:tcPr>
          <w:p w:rsidR="007B62FA" w:rsidRPr="003F65AE" w:rsidRDefault="007B62FA" w:rsidP="003F65AE">
            <w:pPr>
              <w:pStyle w:val="ae"/>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110,741,034.83</w:t>
            </w:r>
          </w:p>
        </w:tc>
        <w:tc>
          <w:tcPr>
            <w:tcW w:w="3684" w:type="dxa"/>
            <w:vAlign w:val="center"/>
          </w:tcPr>
          <w:p w:rsidR="007B62FA" w:rsidRPr="003F65AE" w:rsidRDefault="007B62FA" w:rsidP="003F65AE">
            <w:pPr>
              <w:spacing w:before="29" w:line="288" w:lineRule="auto"/>
              <w:jc w:val="right"/>
              <w:rPr>
                <w:sz w:val="24"/>
              </w:rPr>
            </w:pPr>
            <w:r w:rsidRPr="003F65AE">
              <w:rPr>
                <w:sz w:val="24"/>
              </w:rPr>
              <w:t>91.42</w:t>
            </w:r>
          </w:p>
        </w:tc>
      </w:tr>
    </w:tbl>
    <w:p w:rsidR="00370906" w:rsidRDefault="00D73761">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9" w:name="_Toc224618378"/>
      <w:bookmarkStart w:id="180" w:name="_Toc248233025"/>
      <w:bookmarkStart w:id="181" w:name="_Toc249790557"/>
      <w:bookmarkStart w:id="182" w:name="_Toc286929758"/>
      <w:bookmarkStart w:id="183" w:name="_Toc352255997"/>
      <w:bookmarkStart w:id="184" w:name="_Toc352256065"/>
      <w:bookmarkStart w:id="185" w:name="_Toc352331243"/>
      <w:bookmarkStart w:id="186"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9"/>
      <w:bookmarkEnd w:id="180"/>
      <w:bookmarkEnd w:id="181"/>
      <w:bookmarkEnd w:id="182"/>
      <w:bookmarkEnd w:id="183"/>
      <w:bookmarkEnd w:id="184"/>
      <w:bookmarkEnd w:id="185"/>
      <w:bookmarkEnd w:id="186"/>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370906">
        <w:tc>
          <w:tcPr>
            <w:tcW w:w="3000" w:type="dxa"/>
            <w:vAlign w:val="center"/>
          </w:tcPr>
          <w:p w:rsidR="00370906" w:rsidRDefault="00D73761">
            <w:pPr>
              <w:jc w:val="left"/>
            </w:pPr>
            <w:r>
              <w:rPr>
                <w:color w:val="000000"/>
                <w:sz w:val="24"/>
              </w:rPr>
              <w:t>信息技术</w:t>
            </w:r>
          </w:p>
        </w:tc>
        <w:tc>
          <w:tcPr>
            <w:tcW w:w="2999" w:type="dxa"/>
            <w:vAlign w:val="center"/>
          </w:tcPr>
          <w:p w:rsidR="00370906" w:rsidRDefault="00D73761">
            <w:pPr>
              <w:jc w:val="right"/>
            </w:pPr>
            <w:r>
              <w:rPr>
                <w:color w:val="000000"/>
                <w:sz w:val="24"/>
              </w:rPr>
              <w:t>26,078,255.29</w:t>
            </w:r>
          </w:p>
        </w:tc>
        <w:tc>
          <w:tcPr>
            <w:tcW w:w="2999" w:type="dxa"/>
            <w:vAlign w:val="center"/>
          </w:tcPr>
          <w:p w:rsidR="00370906" w:rsidRDefault="00D73761">
            <w:pPr>
              <w:jc w:val="right"/>
            </w:pPr>
            <w:r>
              <w:rPr>
                <w:color w:val="000000"/>
                <w:sz w:val="24"/>
              </w:rPr>
              <w:t>21.53</w:t>
            </w:r>
          </w:p>
        </w:tc>
      </w:tr>
      <w:tr w:rsidR="00370906">
        <w:tc>
          <w:tcPr>
            <w:tcW w:w="3000" w:type="dxa"/>
            <w:vAlign w:val="center"/>
          </w:tcPr>
          <w:p w:rsidR="00370906" w:rsidRDefault="00D73761">
            <w:pPr>
              <w:jc w:val="left"/>
            </w:pPr>
            <w:r>
              <w:rPr>
                <w:color w:val="000000"/>
                <w:sz w:val="24"/>
              </w:rPr>
              <w:t>金融</w:t>
            </w:r>
          </w:p>
        </w:tc>
        <w:tc>
          <w:tcPr>
            <w:tcW w:w="2999" w:type="dxa"/>
            <w:vAlign w:val="center"/>
          </w:tcPr>
          <w:p w:rsidR="00370906" w:rsidRDefault="00D73761">
            <w:pPr>
              <w:jc w:val="right"/>
            </w:pPr>
            <w:r>
              <w:rPr>
                <w:color w:val="000000"/>
                <w:sz w:val="24"/>
              </w:rPr>
              <w:t>18,430,273.04</w:t>
            </w:r>
          </w:p>
        </w:tc>
        <w:tc>
          <w:tcPr>
            <w:tcW w:w="2999" w:type="dxa"/>
            <w:vAlign w:val="center"/>
          </w:tcPr>
          <w:p w:rsidR="00370906" w:rsidRDefault="00D73761">
            <w:pPr>
              <w:jc w:val="right"/>
            </w:pPr>
            <w:r>
              <w:rPr>
                <w:color w:val="000000"/>
                <w:sz w:val="24"/>
              </w:rPr>
              <w:t>15.21</w:t>
            </w:r>
          </w:p>
        </w:tc>
      </w:tr>
      <w:tr w:rsidR="00370906">
        <w:tc>
          <w:tcPr>
            <w:tcW w:w="3000" w:type="dxa"/>
            <w:vAlign w:val="center"/>
          </w:tcPr>
          <w:p w:rsidR="00370906" w:rsidRDefault="00D73761">
            <w:pPr>
              <w:jc w:val="left"/>
            </w:pPr>
            <w:r>
              <w:rPr>
                <w:color w:val="000000"/>
                <w:sz w:val="24"/>
              </w:rPr>
              <w:t>非必需消费品</w:t>
            </w:r>
          </w:p>
        </w:tc>
        <w:tc>
          <w:tcPr>
            <w:tcW w:w="2999" w:type="dxa"/>
            <w:vAlign w:val="center"/>
          </w:tcPr>
          <w:p w:rsidR="00370906" w:rsidRDefault="00D73761">
            <w:pPr>
              <w:jc w:val="right"/>
            </w:pPr>
            <w:r>
              <w:rPr>
                <w:color w:val="000000"/>
                <w:sz w:val="24"/>
              </w:rPr>
              <w:t>14,794,999.08</w:t>
            </w:r>
          </w:p>
        </w:tc>
        <w:tc>
          <w:tcPr>
            <w:tcW w:w="2999" w:type="dxa"/>
            <w:vAlign w:val="center"/>
          </w:tcPr>
          <w:p w:rsidR="00370906" w:rsidRDefault="00D73761">
            <w:pPr>
              <w:jc w:val="right"/>
            </w:pPr>
            <w:r>
              <w:rPr>
                <w:color w:val="000000"/>
                <w:sz w:val="24"/>
              </w:rPr>
              <w:t>12.21</w:t>
            </w:r>
          </w:p>
        </w:tc>
      </w:tr>
      <w:tr w:rsidR="00370906">
        <w:tc>
          <w:tcPr>
            <w:tcW w:w="3000" w:type="dxa"/>
            <w:vAlign w:val="center"/>
          </w:tcPr>
          <w:p w:rsidR="00370906" w:rsidRDefault="00D73761">
            <w:pPr>
              <w:jc w:val="left"/>
            </w:pPr>
            <w:r>
              <w:rPr>
                <w:color w:val="000000"/>
                <w:sz w:val="24"/>
              </w:rPr>
              <w:t>工业</w:t>
            </w:r>
          </w:p>
        </w:tc>
        <w:tc>
          <w:tcPr>
            <w:tcW w:w="2999" w:type="dxa"/>
            <w:vAlign w:val="center"/>
          </w:tcPr>
          <w:p w:rsidR="00370906" w:rsidRDefault="00D73761">
            <w:pPr>
              <w:jc w:val="right"/>
            </w:pPr>
            <w:r>
              <w:rPr>
                <w:color w:val="000000"/>
                <w:sz w:val="24"/>
              </w:rPr>
              <w:t>12,681,327.45</w:t>
            </w:r>
          </w:p>
        </w:tc>
        <w:tc>
          <w:tcPr>
            <w:tcW w:w="2999" w:type="dxa"/>
            <w:vAlign w:val="center"/>
          </w:tcPr>
          <w:p w:rsidR="00370906" w:rsidRDefault="00D73761">
            <w:pPr>
              <w:jc w:val="right"/>
            </w:pPr>
            <w:r>
              <w:rPr>
                <w:color w:val="000000"/>
                <w:sz w:val="24"/>
              </w:rPr>
              <w:t>10.47</w:t>
            </w:r>
          </w:p>
        </w:tc>
      </w:tr>
      <w:tr w:rsidR="00370906">
        <w:tc>
          <w:tcPr>
            <w:tcW w:w="3000" w:type="dxa"/>
            <w:vAlign w:val="center"/>
          </w:tcPr>
          <w:p w:rsidR="00370906" w:rsidRDefault="00D73761">
            <w:pPr>
              <w:jc w:val="left"/>
            </w:pPr>
            <w:r>
              <w:rPr>
                <w:color w:val="000000"/>
                <w:sz w:val="24"/>
              </w:rPr>
              <w:lastRenderedPageBreak/>
              <w:t>保健</w:t>
            </w:r>
          </w:p>
        </w:tc>
        <w:tc>
          <w:tcPr>
            <w:tcW w:w="2999" w:type="dxa"/>
            <w:vAlign w:val="center"/>
          </w:tcPr>
          <w:p w:rsidR="00370906" w:rsidRDefault="00D73761">
            <w:pPr>
              <w:jc w:val="right"/>
            </w:pPr>
            <w:r>
              <w:rPr>
                <w:color w:val="000000"/>
                <w:sz w:val="24"/>
              </w:rPr>
              <w:t>12,292,378.77</w:t>
            </w:r>
          </w:p>
        </w:tc>
        <w:tc>
          <w:tcPr>
            <w:tcW w:w="2999" w:type="dxa"/>
            <w:vAlign w:val="center"/>
          </w:tcPr>
          <w:p w:rsidR="00370906" w:rsidRDefault="00D73761">
            <w:pPr>
              <w:jc w:val="right"/>
            </w:pPr>
            <w:r>
              <w:rPr>
                <w:color w:val="000000"/>
                <w:sz w:val="24"/>
              </w:rPr>
              <w:t>10.15</w:t>
            </w:r>
          </w:p>
        </w:tc>
      </w:tr>
      <w:tr w:rsidR="00370906">
        <w:tc>
          <w:tcPr>
            <w:tcW w:w="3000" w:type="dxa"/>
            <w:vAlign w:val="center"/>
          </w:tcPr>
          <w:p w:rsidR="00370906" w:rsidRDefault="00D73761">
            <w:pPr>
              <w:jc w:val="left"/>
            </w:pPr>
            <w:r>
              <w:rPr>
                <w:color w:val="000000"/>
                <w:sz w:val="24"/>
              </w:rPr>
              <w:t>材料</w:t>
            </w:r>
          </w:p>
        </w:tc>
        <w:tc>
          <w:tcPr>
            <w:tcW w:w="2999" w:type="dxa"/>
            <w:vAlign w:val="center"/>
          </w:tcPr>
          <w:p w:rsidR="00370906" w:rsidRDefault="00D73761">
            <w:pPr>
              <w:jc w:val="right"/>
            </w:pPr>
            <w:r>
              <w:rPr>
                <w:color w:val="000000"/>
                <w:sz w:val="24"/>
              </w:rPr>
              <w:t>9,056,203.54</w:t>
            </w:r>
          </w:p>
        </w:tc>
        <w:tc>
          <w:tcPr>
            <w:tcW w:w="2999" w:type="dxa"/>
            <w:vAlign w:val="center"/>
          </w:tcPr>
          <w:p w:rsidR="00370906" w:rsidRDefault="00D73761">
            <w:pPr>
              <w:jc w:val="right"/>
            </w:pPr>
            <w:r>
              <w:rPr>
                <w:color w:val="000000"/>
                <w:sz w:val="24"/>
              </w:rPr>
              <w:t>7.48</w:t>
            </w:r>
          </w:p>
        </w:tc>
      </w:tr>
      <w:tr w:rsidR="00370906">
        <w:tc>
          <w:tcPr>
            <w:tcW w:w="3000" w:type="dxa"/>
            <w:vAlign w:val="center"/>
          </w:tcPr>
          <w:p w:rsidR="00370906" w:rsidRDefault="00D73761">
            <w:pPr>
              <w:jc w:val="left"/>
            </w:pPr>
            <w:r>
              <w:rPr>
                <w:color w:val="000000"/>
                <w:sz w:val="24"/>
              </w:rPr>
              <w:t>必需消费品</w:t>
            </w:r>
          </w:p>
        </w:tc>
        <w:tc>
          <w:tcPr>
            <w:tcW w:w="2999" w:type="dxa"/>
            <w:vAlign w:val="center"/>
          </w:tcPr>
          <w:p w:rsidR="00370906" w:rsidRDefault="00D73761">
            <w:pPr>
              <w:jc w:val="right"/>
            </w:pPr>
            <w:r>
              <w:rPr>
                <w:color w:val="000000"/>
                <w:sz w:val="24"/>
              </w:rPr>
              <w:t>7,219,831.92</w:t>
            </w:r>
          </w:p>
        </w:tc>
        <w:tc>
          <w:tcPr>
            <w:tcW w:w="2999" w:type="dxa"/>
            <w:vAlign w:val="center"/>
          </w:tcPr>
          <w:p w:rsidR="00370906" w:rsidRDefault="00D73761">
            <w:pPr>
              <w:jc w:val="right"/>
            </w:pPr>
            <w:r>
              <w:rPr>
                <w:color w:val="000000"/>
                <w:sz w:val="24"/>
              </w:rPr>
              <w:t>5.96</w:t>
            </w:r>
          </w:p>
        </w:tc>
      </w:tr>
      <w:tr w:rsidR="00370906">
        <w:tc>
          <w:tcPr>
            <w:tcW w:w="3000" w:type="dxa"/>
            <w:vAlign w:val="center"/>
          </w:tcPr>
          <w:p w:rsidR="00370906" w:rsidRDefault="00D73761">
            <w:pPr>
              <w:jc w:val="left"/>
            </w:pPr>
            <w:r>
              <w:rPr>
                <w:color w:val="000000"/>
                <w:sz w:val="24"/>
              </w:rPr>
              <w:t>能源</w:t>
            </w:r>
          </w:p>
        </w:tc>
        <w:tc>
          <w:tcPr>
            <w:tcW w:w="2999" w:type="dxa"/>
            <w:vAlign w:val="center"/>
          </w:tcPr>
          <w:p w:rsidR="00370906" w:rsidRDefault="00D73761">
            <w:pPr>
              <w:jc w:val="right"/>
            </w:pPr>
            <w:r>
              <w:rPr>
                <w:color w:val="000000"/>
                <w:sz w:val="24"/>
              </w:rPr>
              <w:t>5,205,165.37</w:t>
            </w:r>
          </w:p>
        </w:tc>
        <w:tc>
          <w:tcPr>
            <w:tcW w:w="2999" w:type="dxa"/>
            <w:vAlign w:val="center"/>
          </w:tcPr>
          <w:p w:rsidR="00370906" w:rsidRDefault="00D73761">
            <w:pPr>
              <w:jc w:val="right"/>
            </w:pPr>
            <w:r>
              <w:rPr>
                <w:color w:val="000000"/>
                <w:sz w:val="24"/>
              </w:rPr>
              <w:t>4.30</w:t>
            </w:r>
          </w:p>
        </w:tc>
      </w:tr>
      <w:tr w:rsidR="00370906">
        <w:tc>
          <w:tcPr>
            <w:tcW w:w="3000" w:type="dxa"/>
            <w:vAlign w:val="center"/>
          </w:tcPr>
          <w:p w:rsidR="00370906" w:rsidRDefault="00D73761">
            <w:pPr>
              <w:jc w:val="left"/>
            </w:pPr>
            <w:r>
              <w:rPr>
                <w:color w:val="000000"/>
                <w:sz w:val="24"/>
              </w:rPr>
              <w:t>电信服务</w:t>
            </w:r>
          </w:p>
        </w:tc>
        <w:tc>
          <w:tcPr>
            <w:tcW w:w="2999" w:type="dxa"/>
            <w:vAlign w:val="center"/>
          </w:tcPr>
          <w:p w:rsidR="00370906" w:rsidRDefault="00D73761">
            <w:pPr>
              <w:jc w:val="right"/>
            </w:pPr>
            <w:r>
              <w:rPr>
                <w:color w:val="000000"/>
                <w:sz w:val="24"/>
              </w:rPr>
              <w:t>2,720,735.32</w:t>
            </w:r>
          </w:p>
        </w:tc>
        <w:tc>
          <w:tcPr>
            <w:tcW w:w="2999" w:type="dxa"/>
            <w:vAlign w:val="center"/>
          </w:tcPr>
          <w:p w:rsidR="00370906" w:rsidRDefault="00D73761">
            <w:pPr>
              <w:jc w:val="right"/>
            </w:pPr>
            <w:r>
              <w:rPr>
                <w:color w:val="000000"/>
                <w:sz w:val="24"/>
              </w:rPr>
              <w:t>2.25</w:t>
            </w:r>
          </w:p>
        </w:tc>
      </w:tr>
      <w:tr w:rsidR="00370906">
        <w:tc>
          <w:tcPr>
            <w:tcW w:w="3000" w:type="dxa"/>
            <w:vAlign w:val="center"/>
          </w:tcPr>
          <w:p w:rsidR="00370906" w:rsidRDefault="00D73761">
            <w:pPr>
              <w:jc w:val="left"/>
            </w:pPr>
            <w:r>
              <w:rPr>
                <w:color w:val="000000"/>
                <w:sz w:val="24"/>
              </w:rPr>
              <w:t>房地产</w:t>
            </w:r>
          </w:p>
        </w:tc>
        <w:tc>
          <w:tcPr>
            <w:tcW w:w="2999" w:type="dxa"/>
            <w:vAlign w:val="center"/>
          </w:tcPr>
          <w:p w:rsidR="00370906" w:rsidRDefault="00D73761">
            <w:pPr>
              <w:jc w:val="right"/>
            </w:pPr>
            <w:r>
              <w:rPr>
                <w:color w:val="000000"/>
                <w:sz w:val="24"/>
              </w:rPr>
              <w:t>2,261,865.05</w:t>
            </w:r>
          </w:p>
        </w:tc>
        <w:tc>
          <w:tcPr>
            <w:tcW w:w="2999" w:type="dxa"/>
            <w:vAlign w:val="center"/>
          </w:tcPr>
          <w:p w:rsidR="00370906" w:rsidRDefault="00D73761">
            <w:pPr>
              <w:jc w:val="right"/>
            </w:pPr>
            <w:r>
              <w:rPr>
                <w:color w:val="000000"/>
                <w:sz w:val="24"/>
              </w:rPr>
              <w:t>1.87</w:t>
            </w:r>
          </w:p>
        </w:tc>
      </w:tr>
      <w:tr w:rsidR="006F7A23" w:rsidRPr="00D0372D" w:rsidTr="00A80D41">
        <w:trPr>
          <w:trHeight w:val="285"/>
        </w:trPr>
        <w:tc>
          <w:tcPr>
            <w:tcW w:w="3459" w:type="dxa"/>
            <w:vAlign w:val="center"/>
          </w:tcPr>
          <w:p w:rsidR="006F7A23" w:rsidRPr="00D0372D" w:rsidRDefault="006F7A23" w:rsidP="001A7ACE">
            <w:pPr>
              <w:pStyle w:val="ae"/>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110,741,034.83</w:t>
            </w:r>
          </w:p>
        </w:tc>
        <w:tc>
          <w:tcPr>
            <w:tcW w:w="3459" w:type="dxa"/>
            <w:vAlign w:val="center"/>
          </w:tcPr>
          <w:p w:rsidR="006F7A23" w:rsidRPr="000E323B" w:rsidRDefault="006F7A23" w:rsidP="000E323B">
            <w:pPr>
              <w:spacing w:before="29" w:line="288" w:lineRule="auto"/>
              <w:jc w:val="right"/>
              <w:rPr>
                <w:sz w:val="24"/>
              </w:rPr>
            </w:pPr>
            <w:r w:rsidRPr="000E323B">
              <w:rPr>
                <w:sz w:val="24"/>
              </w:rPr>
              <w:t>91.42</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87" w:name="_Toc352255998"/>
      <w:bookmarkStart w:id="188" w:name="_Toc352256066"/>
      <w:bookmarkStart w:id="189" w:name="_Toc352331244"/>
      <w:bookmarkStart w:id="190" w:name="_Toc362424022"/>
      <w:r w:rsidRPr="00390099">
        <w:rPr>
          <w:rFonts w:ascii="Times New Roman" w:hAnsi="Times New Roman"/>
          <w:kern w:val="0"/>
          <w:szCs w:val="24"/>
        </w:rPr>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87"/>
      <w:bookmarkEnd w:id="188"/>
      <w:bookmarkEnd w:id="189"/>
      <w:bookmarkEnd w:id="190"/>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623E31">
        <w:trPr>
          <w:trHeight w:val="315"/>
        </w:trPr>
        <w:tc>
          <w:tcPr>
            <w:tcW w:w="678"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90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8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4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102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90"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9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370906">
        <w:tc>
          <w:tcPr>
            <w:tcW w:w="653" w:type="dxa"/>
            <w:vAlign w:val="center"/>
          </w:tcPr>
          <w:p w:rsidR="00370906" w:rsidRDefault="00D73761">
            <w:pPr>
              <w:jc w:val="center"/>
            </w:pPr>
            <w:r>
              <w:rPr>
                <w:sz w:val="24"/>
              </w:rPr>
              <w:t>1</w:t>
            </w:r>
          </w:p>
        </w:tc>
        <w:tc>
          <w:tcPr>
            <w:tcW w:w="871" w:type="dxa"/>
            <w:vAlign w:val="center"/>
          </w:tcPr>
          <w:p w:rsidR="00370906" w:rsidRDefault="00D73761">
            <w:pPr>
              <w:jc w:val="center"/>
            </w:pPr>
            <w:r>
              <w:rPr>
                <w:sz w:val="24"/>
              </w:rPr>
              <w:t>Tencent Holdings Limited</w:t>
            </w:r>
          </w:p>
        </w:tc>
        <w:tc>
          <w:tcPr>
            <w:tcW w:w="976" w:type="dxa"/>
            <w:vAlign w:val="center"/>
          </w:tcPr>
          <w:p w:rsidR="00370906" w:rsidRDefault="00D73761">
            <w:pPr>
              <w:jc w:val="center"/>
            </w:pPr>
            <w:r>
              <w:rPr>
                <w:sz w:val="24"/>
              </w:rPr>
              <w:t>腾讯控股有限公司</w:t>
            </w:r>
          </w:p>
        </w:tc>
        <w:tc>
          <w:tcPr>
            <w:tcW w:w="1138" w:type="dxa"/>
            <w:vAlign w:val="center"/>
          </w:tcPr>
          <w:p w:rsidR="00370906" w:rsidRDefault="00D73761">
            <w:pPr>
              <w:jc w:val="center"/>
            </w:pPr>
            <w:r>
              <w:rPr>
                <w:sz w:val="24"/>
              </w:rPr>
              <w:t>700 HK</w:t>
            </w:r>
          </w:p>
        </w:tc>
        <w:tc>
          <w:tcPr>
            <w:tcW w:w="815" w:type="dxa"/>
            <w:vAlign w:val="center"/>
          </w:tcPr>
          <w:p w:rsidR="00370906" w:rsidRDefault="00D73761">
            <w:pPr>
              <w:jc w:val="center"/>
            </w:pPr>
            <w:r>
              <w:rPr>
                <w:sz w:val="24"/>
              </w:rPr>
              <w:t>香港证券交易所</w:t>
            </w:r>
          </w:p>
        </w:tc>
        <w:tc>
          <w:tcPr>
            <w:tcW w:w="986" w:type="dxa"/>
            <w:vAlign w:val="center"/>
          </w:tcPr>
          <w:p w:rsidR="00370906" w:rsidRDefault="00D73761">
            <w:pPr>
              <w:jc w:val="center"/>
            </w:pPr>
            <w:r>
              <w:rPr>
                <w:sz w:val="24"/>
              </w:rPr>
              <w:t>香港</w:t>
            </w:r>
          </w:p>
        </w:tc>
        <w:tc>
          <w:tcPr>
            <w:tcW w:w="976" w:type="dxa"/>
            <w:vAlign w:val="center"/>
          </w:tcPr>
          <w:p w:rsidR="00370906" w:rsidRDefault="00D73761">
            <w:pPr>
              <w:jc w:val="right"/>
            </w:pPr>
            <w:r>
              <w:rPr>
                <w:sz w:val="24"/>
              </w:rPr>
              <w:t>13,000</w:t>
            </w:r>
          </w:p>
        </w:tc>
        <w:tc>
          <w:tcPr>
            <w:tcW w:w="1624" w:type="dxa"/>
            <w:vAlign w:val="center"/>
          </w:tcPr>
          <w:p w:rsidR="00370906" w:rsidRDefault="00D73761">
            <w:pPr>
              <w:jc w:val="right"/>
            </w:pPr>
            <w:r>
              <w:rPr>
                <w:sz w:val="24"/>
              </w:rPr>
              <w:t>4,411,641.97</w:t>
            </w:r>
          </w:p>
        </w:tc>
        <w:tc>
          <w:tcPr>
            <w:tcW w:w="959" w:type="dxa"/>
            <w:vAlign w:val="center"/>
          </w:tcPr>
          <w:p w:rsidR="00370906" w:rsidRDefault="00D73761">
            <w:pPr>
              <w:jc w:val="right"/>
            </w:pPr>
            <w:r>
              <w:rPr>
                <w:sz w:val="24"/>
              </w:rPr>
              <w:t>3.64</w:t>
            </w:r>
          </w:p>
        </w:tc>
      </w:tr>
      <w:tr w:rsidR="00370906">
        <w:tc>
          <w:tcPr>
            <w:tcW w:w="653" w:type="dxa"/>
            <w:vAlign w:val="center"/>
          </w:tcPr>
          <w:p w:rsidR="00370906" w:rsidRDefault="00D73761">
            <w:pPr>
              <w:jc w:val="center"/>
            </w:pPr>
            <w:r>
              <w:rPr>
                <w:sz w:val="24"/>
              </w:rPr>
              <w:t>2</w:t>
            </w:r>
          </w:p>
        </w:tc>
        <w:tc>
          <w:tcPr>
            <w:tcW w:w="871" w:type="dxa"/>
            <w:vAlign w:val="center"/>
          </w:tcPr>
          <w:p w:rsidR="00370906" w:rsidRDefault="00D73761">
            <w:pPr>
              <w:jc w:val="center"/>
            </w:pPr>
            <w:r>
              <w:rPr>
                <w:sz w:val="24"/>
              </w:rPr>
              <w:t>Unitedhealth Group Inc</w:t>
            </w:r>
          </w:p>
        </w:tc>
        <w:tc>
          <w:tcPr>
            <w:tcW w:w="976" w:type="dxa"/>
            <w:vAlign w:val="center"/>
          </w:tcPr>
          <w:p w:rsidR="00370906" w:rsidRDefault="00D73761">
            <w:pPr>
              <w:jc w:val="center"/>
            </w:pPr>
            <w:r>
              <w:rPr>
                <w:sz w:val="24"/>
              </w:rPr>
              <w:t>美国联合健康集团</w:t>
            </w:r>
          </w:p>
        </w:tc>
        <w:tc>
          <w:tcPr>
            <w:tcW w:w="1138" w:type="dxa"/>
            <w:vAlign w:val="center"/>
          </w:tcPr>
          <w:p w:rsidR="00370906" w:rsidRDefault="00D73761">
            <w:pPr>
              <w:jc w:val="center"/>
            </w:pPr>
            <w:r>
              <w:rPr>
                <w:sz w:val="24"/>
              </w:rPr>
              <w:t>UNH US</w:t>
            </w:r>
          </w:p>
        </w:tc>
        <w:tc>
          <w:tcPr>
            <w:tcW w:w="815" w:type="dxa"/>
            <w:vAlign w:val="center"/>
          </w:tcPr>
          <w:p w:rsidR="00370906" w:rsidRDefault="00D73761">
            <w:pPr>
              <w:jc w:val="center"/>
            </w:pPr>
            <w:r>
              <w:rPr>
                <w:sz w:val="24"/>
              </w:rPr>
              <w:t>美国证券交易所</w:t>
            </w:r>
          </w:p>
        </w:tc>
        <w:tc>
          <w:tcPr>
            <w:tcW w:w="986" w:type="dxa"/>
            <w:vAlign w:val="center"/>
          </w:tcPr>
          <w:p w:rsidR="00370906" w:rsidRDefault="00D73761">
            <w:pPr>
              <w:jc w:val="center"/>
            </w:pPr>
            <w:r>
              <w:rPr>
                <w:sz w:val="24"/>
              </w:rPr>
              <w:t>美国</w:t>
            </w:r>
          </w:p>
        </w:tc>
        <w:tc>
          <w:tcPr>
            <w:tcW w:w="976" w:type="dxa"/>
            <w:vAlign w:val="center"/>
          </w:tcPr>
          <w:p w:rsidR="00370906" w:rsidRDefault="00D73761">
            <w:pPr>
              <w:jc w:val="right"/>
            </w:pPr>
            <w:r>
              <w:rPr>
                <w:sz w:val="24"/>
              </w:rPr>
              <w:t>1,861</w:t>
            </w:r>
          </w:p>
        </w:tc>
        <w:tc>
          <w:tcPr>
            <w:tcW w:w="1624" w:type="dxa"/>
            <w:vAlign w:val="center"/>
          </w:tcPr>
          <w:p w:rsidR="00370906" w:rsidRDefault="00D73761">
            <w:pPr>
              <w:jc w:val="right"/>
            </w:pPr>
            <w:r>
              <w:rPr>
                <w:sz w:val="24"/>
              </w:rPr>
              <w:t>2,680,825.83</w:t>
            </w:r>
          </w:p>
        </w:tc>
        <w:tc>
          <w:tcPr>
            <w:tcW w:w="959" w:type="dxa"/>
            <w:vAlign w:val="center"/>
          </w:tcPr>
          <w:p w:rsidR="00370906" w:rsidRDefault="00D73761">
            <w:pPr>
              <w:jc w:val="right"/>
            </w:pPr>
            <w:r>
              <w:rPr>
                <w:sz w:val="24"/>
              </w:rPr>
              <w:t>2.21</w:t>
            </w:r>
          </w:p>
        </w:tc>
      </w:tr>
      <w:tr w:rsidR="00370906">
        <w:tc>
          <w:tcPr>
            <w:tcW w:w="653" w:type="dxa"/>
            <w:vAlign w:val="center"/>
          </w:tcPr>
          <w:p w:rsidR="00370906" w:rsidRDefault="00D73761">
            <w:pPr>
              <w:jc w:val="center"/>
            </w:pPr>
            <w:r>
              <w:rPr>
                <w:sz w:val="24"/>
              </w:rPr>
              <w:t>3</w:t>
            </w:r>
          </w:p>
        </w:tc>
        <w:tc>
          <w:tcPr>
            <w:tcW w:w="871" w:type="dxa"/>
            <w:vAlign w:val="center"/>
          </w:tcPr>
          <w:p w:rsidR="00370906" w:rsidRDefault="00D73761">
            <w:pPr>
              <w:jc w:val="center"/>
            </w:pPr>
            <w:r>
              <w:rPr>
                <w:sz w:val="24"/>
              </w:rPr>
              <w:t>New China Life Insurance Company Ltd.</w:t>
            </w:r>
          </w:p>
        </w:tc>
        <w:tc>
          <w:tcPr>
            <w:tcW w:w="976" w:type="dxa"/>
            <w:vAlign w:val="center"/>
          </w:tcPr>
          <w:p w:rsidR="00370906" w:rsidRDefault="00D73761">
            <w:pPr>
              <w:jc w:val="center"/>
            </w:pPr>
            <w:r>
              <w:rPr>
                <w:sz w:val="24"/>
              </w:rPr>
              <w:t>新华人寿保险股份有限公司</w:t>
            </w:r>
          </w:p>
        </w:tc>
        <w:tc>
          <w:tcPr>
            <w:tcW w:w="1138" w:type="dxa"/>
            <w:vAlign w:val="center"/>
          </w:tcPr>
          <w:p w:rsidR="00370906" w:rsidRDefault="00D73761">
            <w:pPr>
              <w:jc w:val="center"/>
            </w:pPr>
            <w:r>
              <w:rPr>
                <w:sz w:val="24"/>
              </w:rPr>
              <w:t>1336 HK</w:t>
            </w:r>
          </w:p>
        </w:tc>
        <w:tc>
          <w:tcPr>
            <w:tcW w:w="815" w:type="dxa"/>
            <w:vAlign w:val="center"/>
          </w:tcPr>
          <w:p w:rsidR="00370906" w:rsidRDefault="00D73761">
            <w:pPr>
              <w:jc w:val="center"/>
            </w:pPr>
            <w:r>
              <w:rPr>
                <w:sz w:val="24"/>
              </w:rPr>
              <w:t>香港证券交易所</w:t>
            </w:r>
          </w:p>
        </w:tc>
        <w:tc>
          <w:tcPr>
            <w:tcW w:w="986" w:type="dxa"/>
            <w:vAlign w:val="center"/>
          </w:tcPr>
          <w:p w:rsidR="00370906" w:rsidRDefault="00D73761">
            <w:pPr>
              <w:jc w:val="center"/>
            </w:pPr>
            <w:r>
              <w:rPr>
                <w:sz w:val="24"/>
              </w:rPr>
              <w:t>香港</w:t>
            </w:r>
          </w:p>
        </w:tc>
        <w:tc>
          <w:tcPr>
            <w:tcW w:w="976" w:type="dxa"/>
            <w:vAlign w:val="center"/>
          </w:tcPr>
          <w:p w:rsidR="00370906" w:rsidRDefault="00D73761">
            <w:pPr>
              <w:jc w:val="right"/>
            </w:pPr>
            <w:r>
              <w:rPr>
                <w:sz w:val="24"/>
              </w:rPr>
              <w:t>60,000</w:t>
            </w:r>
          </w:p>
        </w:tc>
        <w:tc>
          <w:tcPr>
            <w:tcW w:w="1624" w:type="dxa"/>
            <w:vAlign w:val="center"/>
          </w:tcPr>
          <w:p w:rsidR="00370906" w:rsidRDefault="00D73761">
            <w:pPr>
              <w:jc w:val="right"/>
            </w:pPr>
            <w:r>
              <w:rPr>
                <w:sz w:val="24"/>
              </w:rPr>
              <w:t>2,678,078.98</w:t>
            </w:r>
          </w:p>
        </w:tc>
        <w:tc>
          <w:tcPr>
            <w:tcW w:w="959" w:type="dxa"/>
            <w:vAlign w:val="center"/>
          </w:tcPr>
          <w:p w:rsidR="00370906" w:rsidRDefault="00D73761">
            <w:pPr>
              <w:jc w:val="right"/>
            </w:pPr>
            <w:r>
              <w:rPr>
                <w:sz w:val="24"/>
              </w:rPr>
              <w:t>2.21</w:t>
            </w:r>
          </w:p>
        </w:tc>
      </w:tr>
      <w:tr w:rsidR="00370906">
        <w:tc>
          <w:tcPr>
            <w:tcW w:w="653" w:type="dxa"/>
            <w:vAlign w:val="center"/>
          </w:tcPr>
          <w:p w:rsidR="00370906" w:rsidRDefault="00D73761">
            <w:pPr>
              <w:jc w:val="center"/>
            </w:pPr>
            <w:r>
              <w:rPr>
                <w:sz w:val="24"/>
              </w:rPr>
              <w:t>4</w:t>
            </w:r>
          </w:p>
        </w:tc>
        <w:tc>
          <w:tcPr>
            <w:tcW w:w="871" w:type="dxa"/>
            <w:vAlign w:val="center"/>
          </w:tcPr>
          <w:p w:rsidR="00370906" w:rsidRDefault="00D73761">
            <w:pPr>
              <w:jc w:val="center"/>
            </w:pPr>
            <w:r>
              <w:rPr>
                <w:sz w:val="24"/>
              </w:rPr>
              <w:t>Alphabet Inc</w:t>
            </w:r>
          </w:p>
        </w:tc>
        <w:tc>
          <w:tcPr>
            <w:tcW w:w="976" w:type="dxa"/>
            <w:vAlign w:val="center"/>
          </w:tcPr>
          <w:p w:rsidR="00370906" w:rsidRDefault="00D73761">
            <w:pPr>
              <w:jc w:val="center"/>
            </w:pPr>
            <w:r>
              <w:rPr>
                <w:sz w:val="24"/>
              </w:rPr>
              <w:t>Alphabet</w:t>
            </w:r>
            <w:r>
              <w:rPr>
                <w:sz w:val="24"/>
              </w:rPr>
              <w:t>公司</w:t>
            </w:r>
          </w:p>
        </w:tc>
        <w:tc>
          <w:tcPr>
            <w:tcW w:w="1138" w:type="dxa"/>
            <w:vAlign w:val="center"/>
          </w:tcPr>
          <w:p w:rsidR="00370906" w:rsidRDefault="00D73761">
            <w:pPr>
              <w:jc w:val="center"/>
            </w:pPr>
            <w:r>
              <w:rPr>
                <w:sz w:val="24"/>
              </w:rPr>
              <w:t>GOOGL US</w:t>
            </w:r>
          </w:p>
        </w:tc>
        <w:tc>
          <w:tcPr>
            <w:tcW w:w="815" w:type="dxa"/>
            <w:vAlign w:val="center"/>
          </w:tcPr>
          <w:p w:rsidR="00370906" w:rsidRDefault="00D73761">
            <w:pPr>
              <w:jc w:val="center"/>
            </w:pPr>
            <w:r>
              <w:rPr>
                <w:sz w:val="24"/>
              </w:rPr>
              <w:t>美国证券交易所</w:t>
            </w:r>
          </w:p>
        </w:tc>
        <w:tc>
          <w:tcPr>
            <w:tcW w:w="986" w:type="dxa"/>
            <w:vAlign w:val="center"/>
          </w:tcPr>
          <w:p w:rsidR="00370906" w:rsidRDefault="00D73761">
            <w:pPr>
              <w:jc w:val="center"/>
            </w:pPr>
            <w:r>
              <w:rPr>
                <w:sz w:val="24"/>
              </w:rPr>
              <w:t>美国</w:t>
            </w:r>
          </w:p>
        </w:tc>
        <w:tc>
          <w:tcPr>
            <w:tcW w:w="976" w:type="dxa"/>
            <w:vAlign w:val="center"/>
          </w:tcPr>
          <w:p w:rsidR="00370906" w:rsidRDefault="00D73761">
            <w:pPr>
              <w:jc w:val="right"/>
            </w:pPr>
            <w:r>
              <w:rPr>
                <w:sz w:val="24"/>
              </w:rPr>
              <w:t>365</w:t>
            </w:r>
          </w:p>
        </w:tc>
        <w:tc>
          <w:tcPr>
            <w:tcW w:w="1624" w:type="dxa"/>
            <w:vAlign w:val="center"/>
          </w:tcPr>
          <w:p w:rsidR="00370906" w:rsidRDefault="00D73761">
            <w:pPr>
              <w:jc w:val="right"/>
            </w:pPr>
            <w:r>
              <w:rPr>
                <w:sz w:val="24"/>
              </w:rPr>
              <w:t>2,512,341.09</w:t>
            </w:r>
          </w:p>
        </w:tc>
        <w:tc>
          <w:tcPr>
            <w:tcW w:w="959" w:type="dxa"/>
            <w:vAlign w:val="center"/>
          </w:tcPr>
          <w:p w:rsidR="00370906" w:rsidRDefault="00D73761">
            <w:pPr>
              <w:jc w:val="right"/>
            </w:pPr>
            <w:r>
              <w:rPr>
                <w:sz w:val="24"/>
              </w:rPr>
              <w:t>2.07</w:t>
            </w:r>
          </w:p>
        </w:tc>
      </w:tr>
      <w:tr w:rsidR="00370906">
        <w:tc>
          <w:tcPr>
            <w:tcW w:w="653" w:type="dxa"/>
            <w:vAlign w:val="center"/>
          </w:tcPr>
          <w:p w:rsidR="00370906" w:rsidRDefault="00D73761">
            <w:pPr>
              <w:jc w:val="center"/>
            </w:pPr>
            <w:r>
              <w:rPr>
                <w:sz w:val="24"/>
              </w:rPr>
              <w:t>5</w:t>
            </w:r>
          </w:p>
        </w:tc>
        <w:tc>
          <w:tcPr>
            <w:tcW w:w="871" w:type="dxa"/>
            <w:vAlign w:val="center"/>
          </w:tcPr>
          <w:p w:rsidR="00370906" w:rsidRDefault="00D73761">
            <w:pPr>
              <w:jc w:val="center"/>
            </w:pPr>
            <w:r>
              <w:rPr>
                <w:sz w:val="24"/>
              </w:rPr>
              <w:t>Amazon.Com Inc</w:t>
            </w:r>
          </w:p>
        </w:tc>
        <w:tc>
          <w:tcPr>
            <w:tcW w:w="976" w:type="dxa"/>
            <w:vAlign w:val="center"/>
          </w:tcPr>
          <w:p w:rsidR="00370906" w:rsidRDefault="00D73761">
            <w:pPr>
              <w:jc w:val="center"/>
            </w:pPr>
            <w:r>
              <w:rPr>
                <w:sz w:val="24"/>
              </w:rPr>
              <w:t>亚马逊公司</w:t>
            </w:r>
          </w:p>
        </w:tc>
        <w:tc>
          <w:tcPr>
            <w:tcW w:w="1138" w:type="dxa"/>
            <w:vAlign w:val="center"/>
          </w:tcPr>
          <w:p w:rsidR="00370906" w:rsidRDefault="00D73761">
            <w:pPr>
              <w:jc w:val="center"/>
            </w:pPr>
            <w:r>
              <w:rPr>
                <w:sz w:val="24"/>
              </w:rPr>
              <w:t>AMZN US</w:t>
            </w:r>
          </w:p>
        </w:tc>
        <w:tc>
          <w:tcPr>
            <w:tcW w:w="815" w:type="dxa"/>
            <w:vAlign w:val="center"/>
          </w:tcPr>
          <w:p w:rsidR="00370906" w:rsidRDefault="00D73761">
            <w:pPr>
              <w:jc w:val="center"/>
            </w:pPr>
            <w:r>
              <w:rPr>
                <w:sz w:val="24"/>
              </w:rPr>
              <w:t>美国证券交易所</w:t>
            </w:r>
          </w:p>
        </w:tc>
        <w:tc>
          <w:tcPr>
            <w:tcW w:w="986" w:type="dxa"/>
            <w:vAlign w:val="center"/>
          </w:tcPr>
          <w:p w:rsidR="00370906" w:rsidRDefault="00D73761">
            <w:pPr>
              <w:jc w:val="center"/>
            </w:pPr>
            <w:r>
              <w:rPr>
                <w:sz w:val="24"/>
              </w:rPr>
              <w:t>美国</w:t>
            </w:r>
          </w:p>
        </w:tc>
        <w:tc>
          <w:tcPr>
            <w:tcW w:w="976" w:type="dxa"/>
            <w:vAlign w:val="center"/>
          </w:tcPr>
          <w:p w:rsidR="00370906" w:rsidRDefault="00D73761">
            <w:pPr>
              <w:jc w:val="right"/>
            </w:pPr>
            <w:r>
              <w:rPr>
                <w:sz w:val="24"/>
              </w:rPr>
              <w:t>313</w:t>
            </w:r>
          </w:p>
        </w:tc>
        <w:tc>
          <w:tcPr>
            <w:tcW w:w="1624" w:type="dxa"/>
            <w:vAlign w:val="center"/>
          </w:tcPr>
          <w:p w:rsidR="00370906" w:rsidRDefault="00D73761">
            <w:pPr>
              <w:jc w:val="right"/>
            </w:pPr>
            <w:r>
              <w:rPr>
                <w:sz w:val="24"/>
              </w:rPr>
              <w:t>2,391,805.42</w:t>
            </w:r>
          </w:p>
        </w:tc>
        <w:tc>
          <w:tcPr>
            <w:tcW w:w="959" w:type="dxa"/>
            <w:vAlign w:val="center"/>
          </w:tcPr>
          <w:p w:rsidR="00370906" w:rsidRDefault="00D73761">
            <w:pPr>
              <w:jc w:val="right"/>
            </w:pPr>
            <w:r>
              <w:rPr>
                <w:sz w:val="24"/>
              </w:rPr>
              <w:t>1.97</w:t>
            </w:r>
          </w:p>
        </w:tc>
      </w:tr>
      <w:tr w:rsidR="00370906">
        <w:tc>
          <w:tcPr>
            <w:tcW w:w="653" w:type="dxa"/>
            <w:vAlign w:val="center"/>
          </w:tcPr>
          <w:p w:rsidR="00370906" w:rsidRDefault="00D73761">
            <w:pPr>
              <w:jc w:val="center"/>
            </w:pPr>
            <w:r>
              <w:rPr>
                <w:sz w:val="24"/>
              </w:rPr>
              <w:t>6</w:t>
            </w:r>
          </w:p>
        </w:tc>
        <w:tc>
          <w:tcPr>
            <w:tcW w:w="871" w:type="dxa"/>
            <w:vAlign w:val="center"/>
          </w:tcPr>
          <w:p w:rsidR="00370906" w:rsidRDefault="00D73761">
            <w:pPr>
              <w:jc w:val="center"/>
            </w:pPr>
            <w:r>
              <w:rPr>
                <w:sz w:val="24"/>
              </w:rPr>
              <w:t>DowDuPont Inc</w:t>
            </w:r>
          </w:p>
        </w:tc>
        <w:tc>
          <w:tcPr>
            <w:tcW w:w="976" w:type="dxa"/>
            <w:vAlign w:val="center"/>
          </w:tcPr>
          <w:p w:rsidR="00370906" w:rsidRDefault="00D73761">
            <w:pPr>
              <w:jc w:val="center"/>
            </w:pPr>
            <w:r>
              <w:rPr>
                <w:sz w:val="24"/>
              </w:rPr>
              <w:t>陶氏杜邦公司</w:t>
            </w:r>
          </w:p>
        </w:tc>
        <w:tc>
          <w:tcPr>
            <w:tcW w:w="1138" w:type="dxa"/>
            <w:vAlign w:val="center"/>
          </w:tcPr>
          <w:p w:rsidR="00370906" w:rsidRDefault="00D73761">
            <w:pPr>
              <w:jc w:val="center"/>
            </w:pPr>
            <w:r>
              <w:rPr>
                <w:sz w:val="24"/>
              </w:rPr>
              <w:t>DWDP US</w:t>
            </w:r>
          </w:p>
        </w:tc>
        <w:tc>
          <w:tcPr>
            <w:tcW w:w="815" w:type="dxa"/>
            <w:vAlign w:val="center"/>
          </w:tcPr>
          <w:p w:rsidR="00370906" w:rsidRDefault="00D73761">
            <w:pPr>
              <w:jc w:val="center"/>
            </w:pPr>
            <w:r>
              <w:rPr>
                <w:sz w:val="24"/>
              </w:rPr>
              <w:t>美国证券交易所</w:t>
            </w:r>
          </w:p>
        </w:tc>
        <w:tc>
          <w:tcPr>
            <w:tcW w:w="986" w:type="dxa"/>
            <w:vAlign w:val="center"/>
          </w:tcPr>
          <w:p w:rsidR="00370906" w:rsidRDefault="00D73761">
            <w:pPr>
              <w:jc w:val="center"/>
            </w:pPr>
            <w:r>
              <w:rPr>
                <w:sz w:val="24"/>
              </w:rPr>
              <w:t>美国</w:t>
            </w:r>
          </w:p>
        </w:tc>
        <w:tc>
          <w:tcPr>
            <w:tcW w:w="976" w:type="dxa"/>
            <w:vAlign w:val="center"/>
          </w:tcPr>
          <w:p w:rsidR="00370906" w:rsidRDefault="00D73761">
            <w:pPr>
              <w:jc w:val="right"/>
            </w:pPr>
            <w:r>
              <w:rPr>
                <w:sz w:val="24"/>
              </w:rPr>
              <w:t>5,069</w:t>
            </w:r>
          </w:p>
        </w:tc>
        <w:tc>
          <w:tcPr>
            <w:tcW w:w="1624" w:type="dxa"/>
            <w:vAlign w:val="center"/>
          </w:tcPr>
          <w:p w:rsidR="00370906" w:rsidRDefault="00D73761">
            <w:pPr>
              <w:jc w:val="right"/>
            </w:pPr>
            <w:r>
              <w:rPr>
                <w:sz w:val="24"/>
              </w:rPr>
              <w:t>2,358,938.85</w:t>
            </w:r>
          </w:p>
        </w:tc>
        <w:tc>
          <w:tcPr>
            <w:tcW w:w="959" w:type="dxa"/>
            <w:vAlign w:val="center"/>
          </w:tcPr>
          <w:p w:rsidR="00370906" w:rsidRDefault="00D73761">
            <w:pPr>
              <w:jc w:val="right"/>
            </w:pPr>
            <w:r>
              <w:rPr>
                <w:sz w:val="24"/>
              </w:rPr>
              <w:t>1.95</w:t>
            </w:r>
          </w:p>
        </w:tc>
      </w:tr>
      <w:tr w:rsidR="00370906">
        <w:tc>
          <w:tcPr>
            <w:tcW w:w="653" w:type="dxa"/>
            <w:vAlign w:val="center"/>
          </w:tcPr>
          <w:p w:rsidR="00370906" w:rsidRDefault="00D73761">
            <w:pPr>
              <w:jc w:val="center"/>
            </w:pPr>
            <w:r>
              <w:rPr>
                <w:sz w:val="24"/>
              </w:rPr>
              <w:t>7</w:t>
            </w:r>
          </w:p>
        </w:tc>
        <w:tc>
          <w:tcPr>
            <w:tcW w:w="871" w:type="dxa"/>
            <w:vAlign w:val="center"/>
          </w:tcPr>
          <w:p w:rsidR="00370906" w:rsidRDefault="00D73761">
            <w:pPr>
              <w:jc w:val="center"/>
            </w:pPr>
            <w:r>
              <w:rPr>
                <w:sz w:val="24"/>
              </w:rPr>
              <w:t>Comcast Corporation</w:t>
            </w:r>
          </w:p>
        </w:tc>
        <w:tc>
          <w:tcPr>
            <w:tcW w:w="976" w:type="dxa"/>
            <w:vAlign w:val="center"/>
          </w:tcPr>
          <w:p w:rsidR="00370906" w:rsidRDefault="00D73761">
            <w:pPr>
              <w:jc w:val="center"/>
            </w:pPr>
            <w:r>
              <w:rPr>
                <w:sz w:val="24"/>
              </w:rPr>
              <w:t>康卡斯特公司</w:t>
            </w:r>
          </w:p>
        </w:tc>
        <w:tc>
          <w:tcPr>
            <w:tcW w:w="1138" w:type="dxa"/>
            <w:vAlign w:val="center"/>
          </w:tcPr>
          <w:p w:rsidR="00370906" w:rsidRDefault="00D73761">
            <w:pPr>
              <w:jc w:val="center"/>
            </w:pPr>
            <w:r>
              <w:rPr>
                <w:sz w:val="24"/>
              </w:rPr>
              <w:t>CMCSA US</w:t>
            </w:r>
          </w:p>
        </w:tc>
        <w:tc>
          <w:tcPr>
            <w:tcW w:w="815" w:type="dxa"/>
            <w:vAlign w:val="center"/>
          </w:tcPr>
          <w:p w:rsidR="00370906" w:rsidRDefault="00D73761">
            <w:pPr>
              <w:jc w:val="center"/>
            </w:pPr>
            <w:r>
              <w:rPr>
                <w:sz w:val="24"/>
              </w:rPr>
              <w:t>美国证券交易所</w:t>
            </w:r>
          </w:p>
        </w:tc>
        <w:tc>
          <w:tcPr>
            <w:tcW w:w="986" w:type="dxa"/>
            <w:vAlign w:val="center"/>
          </w:tcPr>
          <w:p w:rsidR="00370906" w:rsidRDefault="00D73761">
            <w:pPr>
              <w:jc w:val="center"/>
            </w:pPr>
            <w:r>
              <w:rPr>
                <w:sz w:val="24"/>
              </w:rPr>
              <w:t>美国</w:t>
            </w:r>
          </w:p>
        </w:tc>
        <w:tc>
          <w:tcPr>
            <w:tcW w:w="976" w:type="dxa"/>
            <w:vAlign w:val="center"/>
          </w:tcPr>
          <w:p w:rsidR="00370906" w:rsidRDefault="00D73761">
            <w:pPr>
              <w:jc w:val="right"/>
            </w:pPr>
            <w:r>
              <w:rPr>
                <w:sz w:val="24"/>
              </w:rPr>
              <w:t>8,087</w:t>
            </w:r>
          </w:p>
        </w:tc>
        <w:tc>
          <w:tcPr>
            <w:tcW w:w="1624" w:type="dxa"/>
            <w:vAlign w:val="center"/>
          </w:tcPr>
          <w:p w:rsidR="00370906" w:rsidRDefault="00D73761">
            <w:pPr>
              <w:jc w:val="right"/>
            </w:pPr>
            <w:r>
              <w:rPr>
                <w:sz w:val="24"/>
              </w:rPr>
              <w:t>2,116,325.12</w:t>
            </w:r>
          </w:p>
        </w:tc>
        <w:tc>
          <w:tcPr>
            <w:tcW w:w="959" w:type="dxa"/>
            <w:vAlign w:val="center"/>
          </w:tcPr>
          <w:p w:rsidR="00370906" w:rsidRDefault="00D73761">
            <w:pPr>
              <w:jc w:val="right"/>
            </w:pPr>
            <w:r>
              <w:rPr>
                <w:sz w:val="24"/>
              </w:rPr>
              <w:t>1.75</w:t>
            </w:r>
          </w:p>
        </w:tc>
      </w:tr>
      <w:tr w:rsidR="00370906">
        <w:tc>
          <w:tcPr>
            <w:tcW w:w="653" w:type="dxa"/>
            <w:vAlign w:val="center"/>
          </w:tcPr>
          <w:p w:rsidR="00370906" w:rsidRDefault="00D73761">
            <w:pPr>
              <w:jc w:val="center"/>
            </w:pPr>
            <w:r>
              <w:rPr>
                <w:sz w:val="24"/>
              </w:rPr>
              <w:lastRenderedPageBreak/>
              <w:t>8</w:t>
            </w:r>
          </w:p>
        </w:tc>
        <w:tc>
          <w:tcPr>
            <w:tcW w:w="871" w:type="dxa"/>
            <w:vAlign w:val="center"/>
          </w:tcPr>
          <w:p w:rsidR="00370906" w:rsidRDefault="00D73761">
            <w:pPr>
              <w:jc w:val="center"/>
            </w:pPr>
            <w:r>
              <w:rPr>
                <w:sz w:val="24"/>
              </w:rPr>
              <w:t>Visa Inc</w:t>
            </w:r>
          </w:p>
        </w:tc>
        <w:tc>
          <w:tcPr>
            <w:tcW w:w="976" w:type="dxa"/>
            <w:vAlign w:val="center"/>
          </w:tcPr>
          <w:p w:rsidR="00370906" w:rsidRDefault="00D73761">
            <w:pPr>
              <w:jc w:val="center"/>
            </w:pPr>
            <w:r>
              <w:rPr>
                <w:sz w:val="24"/>
              </w:rPr>
              <w:t>维萨公司</w:t>
            </w:r>
          </w:p>
        </w:tc>
        <w:tc>
          <w:tcPr>
            <w:tcW w:w="1138" w:type="dxa"/>
            <w:vAlign w:val="center"/>
          </w:tcPr>
          <w:p w:rsidR="00370906" w:rsidRDefault="00D73761">
            <w:pPr>
              <w:jc w:val="center"/>
            </w:pPr>
            <w:r>
              <w:rPr>
                <w:sz w:val="24"/>
              </w:rPr>
              <w:t>V US</w:t>
            </w:r>
          </w:p>
        </w:tc>
        <w:tc>
          <w:tcPr>
            <w:tcW w:w="815" w:type="dxa"/>
            <w:vAlign w:val="center"/>
          </w:tcPr>
          <w:p w:rsidR="00370906" w:rsidRDefault="00D73761">
            <w:pPr>
              <w:jc w:val="center"/>
            </w:pPr>
            <w:r>
              <w:rPr>
                <w:sz w:val="24"/>
              </w:rPr>
              <w:t>美国证券交易所</w:t>
            </w:r>
          </w:p>
        </w:tc>
        <w:tc>
          <w:tcPr>
            <w:tcW w:w="986" w:type="dxa"/>
            <w:vAlign w:val="center"/>
          </w:tcPr>
          <w:p w:rsidR="00370906" w:rsidRDefault="00D73761">
            <w:pPr>
              <w:jc w:val="center"/>
            </w:pPr>
            <w:r>
              <w:rPr>
                <w:sz w:val="24"/>
              </w:rPr>
              <w:t>美国</w:t>
            </w:r>
          </w:p>
        </w:tc>
        <w:tc>
          <w:tcPr>
            <w:tcW w:w="976" w:type="dxa"/>
            <w:vAlign w:val="center"/>
          </w:tcPr>
          <w:p w:rsidR="00370906" w:rsidRDefault="00D73761">
            <w:pPr>
              <w:jc w:val="right"/>
            </w:pPr>
            <w:r>
              <w:rPr>
                <w:sz w:val="24"/>
              </w:rPr>
              <w:t>2,799</w:t>
            </w:r>
          </w:p>
        </w:tc>
        <w:tc>
          <w:tcPr>
            <w:tcW w:w="1624" w:type="dxa"/>
            <w:vAlign w:val="center"/>
          </w:tcPr>
          <w:p w:rsidR="00370906" w:rsidRDefault="00D73761">
            <w:pPr>
              <w:jc w:val="right"/>
            </w:pPr>
            <w:r>
              <w:rPr>
                <w:sz w:val="24"/>
              </w:rPr>
              <w:t>2,085,337.53</w:t>
            </w:r>
          </w:p>
        </w:tc>
        <w:tc>
          <w:tcPr>
            <w:tcW w:w="959" w:type="dxa"/>
            <w:vAlign w:val="center"/>
          </w:tcPr>
          <w:p w:rsidR="00370906" w:rsidRDefault="00D73761">
            <w:pPr>
              <w:jc w:val="right"/>
            </w:pPr>
            <w:r>
              <w:rPr>
                <w:sz w:val="24"/>
              </w:rPr>
              <w:t>1.72</w:t>
            </w:r>
          </w:p>
        </w:tc>
      </w:tr>
      <w:tr w:rsidR="00370906">
        <w:tc>
          <w:tcPr>
            <w:tcW w:w="653" w:type="dxa"/>
            <w:vAlign w:val="center"/>
          </w:tcPr>
          <w:p w:rsidR="00370906" w:rsidRDefault="00D73761">
            <w:pPr>
              <w:jc w:val="center"/>
            </w:pPr>
            <w:r>
              <w:rPr>
                <w:sz w:val="24"/>
              </w:rPr>
              <w:t>9</w:t>
            </w:r>
          </w:p>
        </w:tc>
        <w:tc>
          <w:tcPr>
            <w:tcW w:w="871" w:type="dxa"/>
            <w:vAlign w:val="center"/>
          </w:tcPr>
          <w:p w:rsidR="00370906" w:rsidRDefault="00D73761">
            <w:pPr>
              <w:jc w:val="center"/>
            </w:pPr>
            <w:r>
              <w:rPr>
                <w:sz w:val="24"/>
              </w:rPr>
              <w:t>Ping An Insurance (Group) Company Of China,Ltd.</w:t>
            </w:r>
          </w:p>
        </w:tc>
        <w:tc>
          <w:tcPr>
            <w:tcW w:w="976" w:type="dxa"/>
            <w:vAlign w:val="center"/>
          </w:tcPr>
          <w:p w:rsidR="00370906" w:rsidRDefault="00D73761">
            <w:pPr>
              <w:jc w:val="center"/>
            </w:pPr>
            <w:r>
              <w:rPr>
                <w:sz w:val="24"/>
              </w:rPr>
              <w:t>中国平安保险</w:t>
            </w:r>
            <w:r>
              <w:rPr>
                <w:sz w:val="24"/>
              </w:rPr>
              <w:t>(</w:t>
            </w:r>
            <w:r>
              <w:rPr>
                <w:sz w:val="24"/>
              </w:rPr>
              <w:t>集团</w:t>
            </w:r>
            <w:r>
              <w:rPr>
                <w:sz w:val="24"/>
              </w:rPr>
              <w:t>)</w:t>
            </w:r>
            <w:r>
              <w:rPr>
                <w:sz w:val="24"/>
              </w:rPr>
              <w:t>股份有限公司</w:t>
            </w:r>
          </w:p>
        </w:tc>
        <w:tc>
          <w:tcPr>
            <w:tcW w:w="1138" w:type="dxa"/>
            <w:vAlign w:val="center"/>
          </w:tcPr>
          <w:p w:rsidR="00370906" w:rsidRDefault="00D73761">
            <w:pPr>
              <w:jc w:val="center"/>
            </w:pPr>
            <w:r>
              <w:rPr>
                <w:sz w:val="24"/>
              </w:rPr>
              <w:t>2318 HK</w:t>
            </w:r>
          </w:p>
        </w:tc>
        <w:tc>
          <w:tcPr>
            <w:tcW w:w="815" w:type="dxa"/>
            <w:vAlign w:val="center"/>
          </w:tcPr>
          <w:p w:rsidR="00370906" w:rsidRDefault="00D73761">
            <w:pPr>
              <w:jc w:val="center"/>
            </w:pPr>
            <w:r>
              <w:rPr>
                <w:sz w:val="24"/>
              </w:rPr>
              <w:t>香港证券交易所</w:t>
            </w:r>
          </w:p>
        </w:tc>
        <w:tc>
          <w:tcPr>
            <w:tcW w:w="986" w:type="dxa"/>
            <w:vAlign w:val="center"/>
          </w:tcPr>
          <w:p w:rsidR="00370906" w:rsidRDefault="00D73761">
            <w:pPr>
              <w:jc w:val="center"/>
            </w:pPr>
            <w:r>
              <w:rPr>
                <w:sz w:val="24"/>
              </w:rPr>
              <w:t>香港</w:t>
            </w:r>
          </w:p>
        </w:tc>
        <w:tc>
          <w:tcPr>
            <w:tcW w:w="976" w:type="dxa"/>
            <w:vAlign w:val="center"/>
          </w:tcPr>
          <w:p w:rsidR="00370906" w:rsidRDefault="00D73761">
            <w:pPr>
              <w:jc w:val="right"/>
            </w:pPr>
            <w:r>
              <w:rPr>
                <w:sz w:val="24"/>
              </w:rPr>
              <w:t>30,000</w:t>
            </w:r>
          </w:p>
        </w:tc>
        <w:tc>
          <w:tcPr>
            <w:tcW w:w="1624" w:type="dxa"/>
            <w:vAlign w:val="center"/>
          </w:tcPr>
          <w:p w:rsidR="00370906" w:rsidRDefault="00D73761">
            <w:pPr>
              <w:jc w:val="right"/>
            </w:pPr>
            <w:r>
              <w:rPr>
                <w:sz w:val="24"/>
              </w:rPr>
              <w:t>2,039,903.80</w:t>
            </w:r>
          </w:p>
        </w:tc>
        <w:tc>
          <w:tcPr>
            <w:tcW w:w="959" w:type="dxa"/>
            <w:vAlign w:val="center"/>
          </w:tcPr>
          <w:p w:rsidR="00370906" w:rsidRDefault="00D73761">
            <w:pPr>
              <w:jc w:val="right"/>
            </w:pPr>
            <w:r>
              <w:rPr>
                <w:sz w:val="24"/>
              </w:rPr>
              <w:t>1.68</w:t>
            </w:r>
          </w:p>
        </w:tc>
      </w:tr>
      <w:tr w:rsidR="00370906">
        <w:tc>
          <w:tcPr>
            <w:tcW w:w="653" w:type="dxa"/>
            <w:vAlign w:val="center"/>
          </w:tcPr>
          <w:p w:rsidR="00370906" w:rsidRDefault="00D73761">
            <w:pPr>
              <w:jc w:val="center"/>
            </w:pPr>
            <w:r>
              <w:rPr>
                <w:sz w:val="24"/>
              </w:rPr>
              <w:t>10</w:t>
            </w:r>
          </w:p>
        </w:tc>
        <w:tc>
          <w:tcPr>
            <w:tcW w:w="871" w:type="dxa"/>
            <w:vAlign w:val="center"/>
          </w:tcPr>
          <w:p w:rsidR="00370906" w:rsidRDefault="00D73761">
            <w:pPr>
              <w:jc w:val="center"/>
            </w:pPr>
            <w:r>
              <w:rPr>
                <w:sz w:val="24"/>
              </w:rPr>
              <w:t>Citigroup Inc</w:t>
            </w:r>
          </w:p>
        </w:tc>
        <w:tc>
          <w:tcPr>
            <w:tcW w:w="976" w:type="dxa"/>
            <w:vAlign w:val="center"/>
          </w:tcPr>
          <w:p w:rsidR="00370906" w:rsidRDefault="00D73761">
            <w:pPr>
              <w:jc w:val="center"/>
            </w:pPr>
            <w:r>
              <w:rPr>
                <w:sz w:val="24"/>
              </w:rPr>
              <w:t>花旗集团</w:t>
            </w:r>
          </w:p>
        </w:tc>
        <w:tc>
          <w:tcPr>
            <w:tcW w:w="1138" w:type="dxa"/>
            <w:vAlign w:val="center"/>
          </w:tcPr>
          <w:p w:rsidR="00370906" w:rsidRDefault="00D73761">
            <w:pPr>
              <w:jc w:val="center"/>
            </w:pPr>
            <w:r>
              <w:rPr>
                <w:sz w:val="24"/>
              </w:rPr>
              <w:t>C US</w:t>
            </w:r>
          </w:p>
        </w:tc>
        <w:tc>
          <w:tcPr>
            <w:tcW w:w="815" w:type="dxa"/>
            <w:vAlign w:val="center"/>
          </w:tcPr>
          <w:p w:rsidR="00370906" w:rsidRDefault="00D73761">
            <w:pPr>
              <w:jc w:val="center"/>
            </w:pPr>
            <w:r>
              <w:rPr>
                <w:sz w:val="24"/>
              </w:rPr>
              <w:t>美国证券交易所</w:t>
            </w:r>
          </w:p>
        </w:tc>
        <w:tc>
          <w:tcPr>
            <w:tcW w:w="986" w:type="dxa"/>
            <w:vAlign w:val="center"/>
          </w:tcPr>
          <w:p w:rsidR="00370906" w:rsidRDefault="00D73761">
            <w:pPr>
              <w:jc w:val="center"/>
            </w:pPr>
            <w:r>
              <w:rPr>
                <w:sz w:val="24"/>
              </w:rPr>
              <w:t>美国</w:t>
            </w:r>
          </w:p>
        </w:tc>
        <w:tc>
          <w:tcPr>
            <w:tcW w:w="976" w:type="dxa"/>
            <w:vAlign w:val="center"/>
          </w:tcPr>
          <w:p w:rsidR="00370906" w:rsidRDefault="00D73761">
            <w:pPr>
              <w:jc w:val="right"/>
            </w:pPr>
            <w:r>
              <w:rPr>
                <w:sz w:val="24"/>
              </w:rPr>
              <w:t>4,178</w:t>
            </w:r>
          </w:p>
        </w:tc>
        <w:tc>
          <w:tcPr>
            <w:tcW w:w="1624" w:type="dxa"/>
            <w:vAlign w:val="center"/>
          </w:tcPr>
          <w:p w:rsidR="00370906" w:rsidRDefault="00D73761">
            <w:pPr>
              <w:jc w:val="right"/>
            </w:pPr>
            <w:r>
              <w:rPr>
                <w:sz w:val="24"/>
              </w:rPr>
              <w:t>2,031,384.64</w:t>
            </w:r>
          </w:p>
        </w:tc>
        <w:tc>
          <w:tcPr>
            <w:tcW w:w="959" w:type="dxa"/>
            <w:vAlign w:val="center"/>
          </w:tcPr>
          <w:p w:rsidR="00370906" w:rsidRDefault="00D73761">
            <w:pPr>
              <w:jc w:val="right"/>
            </w:pPr>
            <w:r>
              <w:rPr>
                <w:sz w:val="24"/>
              </w:rPr>
              <w:t>1.68</w:t>
            </w:r>
          </w:p>
        </w:tc>
      </w:tr>
    </w:tbl>
    <w:p w:rsidR="007B62FA" w:rsidRDefault="00351795"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此处所用证券代码的类别是当地市场代码。</w:t>
      </w:r>
    </w:p>
    <w:p w:rsidR="00A80D41" w:rsidRDefault="00351795" w:rsidP="00C65B39">
      <w:pPr>
        <w:tabs>
          <w:tab w:val="left" w:pos="426"/>
        </w:tabs>
        <w:spacing w:before="29" w:line="288" w:lineRule="auto"/>
        <w:jc w:val="left"/>
        <w:rPr>
          <w:kern w:val="0"/>
          <w:sz w:val="24"/>
        </w:rPr>
      </w:pPr>
      <w:r w:rsidRPr="00C52BBF">
        <w:rPr>
          <w:rFonts w:hint="eastAsia"/>
          <w:kern w:val="0"/>
          <w:sz w:val="24"/>
        </w:rPr>
        <w:t xml:space="preserve">  </w:t>
      </w:r>
      <w:r>
        <w:rPr>
          <w:rFonts w:hint="eastAsia"/>
          <w:kern w:val="0"/>
          <w:sz w:val="24"/>
        </w:rPr>
        <w:t xml:space="preserve">  </w:t>
      </w:r>
      <w:r w:rsidRPr="00C52BBF">
        <w:rPr>
          <w:rFonts w:hint="eastAsia"/>
          <w:kern w:val="0"/>
          <w:sz w:val="24"/>
        </w:rPr>
        <w:t>2</w:t>
      </w:r>
      <w:r w:rsidRPr="00C52BBF">
        <w:rPr>
          <w:rFonts w:hint="eastAsia"/>
          <w:kern w:val="0"/>
          <w:sz w:val="24"/>
        </w:rPr>
        <w:t>、投资者欲了解本报告期末基金投资的所有权益</w:t>
      </w:r>
      <w:r w:rsidR="009651F0">
        <w:rPr>
          <w:rFonts w:hint="eastAsia"/>
          <w:kern w:val="0"/>
          <w:sz w:val="24"/>
        </w:rPr>
        <w:t>明细，应阅读登载于基金管理人网站的</w:t>
      </w:r>
      <w:r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91" w:name="_Toc224618380"/>
      <w:bookmarkStart w:id="192" w:name="_Toc248233027"/>
      <w:bookmarkStart w:id="193" w:name="_Toc249790559"/>
      <w:bookmarkStart w:id="194" w:name="_Toc286929760"/>
      <w:bookmarkStart w:id="195" w:name="_Toc352255999"/>
      <w:bookmarkStart w:id="196" w:name="_Toc352256067"/>
      <w:bookmarkStart w:id="197" w:name="_Toc352331245"/>
      <w:bookmarkStart w:id="198"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91"/>
      <w:bookmarkEnd w:id="192"/>
      <w:bookmarkEnd w:id="193"/>
      <w:bookmarkEnd w:id="194"/>
      <w:bookmarkEnd w:id="195"/>
      <w:bookmarkEnd w:id="196"/>
      <w:bookmarkEnd w:id="197"/>
      <w:bookmarkEnd w:id="19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370906">
        <w:tc>
          <w:tcPr>
            <w:tcW w:w="540" w:type="dxa"/>
            <w:vAlign w:val="center"/>
          </w:tcPr>
          <w:p w:rsidR="00370906" w:rsidRDefault="00D73761">
            <w:pPr>
              <w:jc w:val="center"/>
            </w:pPr>
            <w:r>
              <w:rPr>
                <w:sz w:val="24"/>
              </w:rPr>
              <w:t>1</w:t>
            </w:r>
          </w:p>
        </w:tc>
        <w:tc>
          <w:tcPr>
            <w:tcW w:w="2309" w:type="dxa"/>
            <w:vAlign w:val="center"/>
          </w:tcPr>
          <w:p w:rsidR="00370906" w:rsidRDefault="00D73761">
            <w:pPr>
              <w:jc w:val="center"/>
            </w:pPr>
            <w:r>
              <w:rPr>
                <w:sz w:val="24"/>
              </w:rPr>
              <w:t>Man Wah Holdings Limited</w:t>
            </w:r>
          </w:p>
        </w:tc>
        <w:tc>
          <w:tcPr>
            <w:tcW w:w="2478" w:type="dxa"/>
            <w:vAlign w:val="center"/>
          </w:tcPr>
          <w:p w:rsidR="00370906" w:rsidRDefault="00D73761">
            <w:pPr>
              <w:jc w:val="center"/>
            </w:pPr>
            <w:r>
              <w:rPr>
                <w:sz w:val="24"/>
              </w:rPr>
              <w:t>1999 HK</w:t>
            </w:r>
          </w:p>
        </w:tc>
        <w:tc>
          <w:tcPr>
            <w:tcW w:w="2068" w:type="dxa"/>
            <w:vAlign w:val="center"/>
          </w:tcPr>
          <w:p w:rsidR="00370906" w:rsidRDefault="00D73761">
            <w:pPr>
              <w:jc w:val="right"/>
            </w:pPr>
            <w:r>
              <w:rPr>
                <w:sz w:val="24"/>
              </w:rPr>
              <w:t>4,948,770.93</w:t>
            </w:r>
          </w:p>
        </w:tc>
        <w:tc>
          <w:tcPr>
            <w:tcW w:w="1603" w:type="dxa"/>
            <w:vAlign w:val="center"/>
          </w:tcPr>
          <w:p w:rsidR="00370906" w:rsidRDefault="00D73761">
            <w:pPr>
              <w:jc w:val="right"/>
            </w:pPr>
            <w:r>
              <w:rPr>
                <w:sz w:val="24"/>
              </w:rPr>
              <w:t>4.91</w:t>
            </w:r>
          </w:p>
        </w:tc>
      </w:tr>
      <w:tr w:rsidR="00370906">
        <w:tc>
          <w:tcPr>
            <w:tcW w:w="540" w:type="dxa"/>
            <w:vAlign w:val="center"/>
          </w:tcPr>
          <w:p w:rsidR="00370906" w:rsidRDefault="00D73761">
            <w:pPr>
              <w:jc w:val="center"/>
            </w:pPr>
            <w:r>
              <w:rPr>
                <w:sz w:val="24"/>
              </w:rPr>
              <w:t>2</w:t>
            </w:r>
          </w:p>
        </w:tc>
        <w:tc>
          <w:tcPr>
            <w:tcW w:w="2309" w:type="dxa"/>
            <w:vAlign w:val="center"/>
          </w:tcPr>
          <w:p w:rsidR="00370906" w:rsidRDefault="00D73761">
            <w:pPr>
              <w:jc w:val="center"/>
            </w:pPr>
            <w:r>
              <w:rPr>
                <w:sz w:val="24"/>
              </w:rPr>
              <w:t>China Shenhua Energy Company Limited</w:t>
            </w:r>
          </w:p>
        </w:tc>
        <w:tc>
          <w:tcPr>
            <w:tcW w:w="2478" w:type="dxa"/>
            <w:vAlign w:val="center"/>
          </w:tcPr>
          <w:p w:rsidR="00370906" w:rsidRDefault="00D73761">
            <w:pPr>
              <w:jc w:val="center"/>
            </w:pPr>
            <w:r>
              <w:rPr>
                <w:sz w:val="24"/>
              </w:rPr>
              <w:t>1088 HK</w:t>
            </w:r>
          </w:p>
        </w:tc>
        <w:tc>
          <w:tcPr>
            <w:tcW w:w="2068" w:type="dxa"/>
            <w:vAlign w:val="center"/>
          </w:tcPr>
          <w:p w:rsidR="00370906" w:rsidRDefault="00D73761">
            <w:pPr>
              <w:jc w:val="right"/>
            </w:pPr>
            <w:r>
              <w:rPr>
                <w:sz w:val="24"/>
              </w:rPr>
              <w:t>2,771,548.41</w:t>
            </w:r>
          </w:p>
        </w:tc>
        <w:tc>
          <w:tcPr>
            <w:tcW w:w="1603" w:type="dxa"/>
            <w:vAlign w:val="center"/>
          </w:tcPr>
          <w:p w:rsidR="00370906" w:rsidRDefault="00D73761">
            <w:pPr>
              <w:jc w:val="right"/>
            </w:pPr>
            <w:r>
              <w:rPr>
                <w:sz w:val="24"/>
              </w:rPr>
              <w:t>2.75</w:t>
            </w:r>
          </w:p>
        </w:tc>
      </w:tr>
      <w:tr w:rsidR="00370906">
        <w:tc>
          <w:tcPr>
            <w:tcW w:w="540" w:type="dxa"/>
            <w:vAlign w:val="center"/>
          </w:tcPr>
          <w:p w:rsidR="00370906" w:rsidRDefault="00D73761">
            <w:pPr>
              <w:jc w:val="center"/>
            </w:pPr>
            <w:r>
              <w:rPr>
                <w:sz w:val="24"/>
              </w:rPr>
              <w:t>3</w:t>
            </w:r>
          </w:p>
        </w:tc>
        <w:tc>
          <w:tcPr>
            <w:tcW w:w="2309" w:type="dxa"/>
            <w:vAlign w:val="center"/>
          </w:tcPr>
          <w:p w:rsidR="00370906" w:rsidRDefault="00D73761">
            <w:pPr>
              <w:jc w:val="center"/>
            </w:pPr>
            <w:r>
              <w:rPr>
                <w:sz w:val="24"/>
              </w:rPr>
              <w:t>China Petroleum &amp; Chemical Corporation</w:t>
            </w:r>
          </w:p>
        </w:tc>
        <w:tc>
          <w:tcPr>
            <w:tcW w:w="2478" w:type="dxa"/>
            <w:vAlign w:val="center"/>
          </w:tcPr>
          <w:p w:rsidR="00370906" w:rsidRDefault="00D73761">
            <w:pPr>
              <w:jc w:val="center"/>
            </w:pPr>
            <w:r>
              <w:rPr>
                <w:sz w:val="24"/>
              </w:rPr>
              <w:t>386 HK</w:t>
            </w:r>
          </w:p>
        </w:tc>
        <w:tc>
          <w:tcPr>
            <w:tcW w:w="2068" w:type="dxa"/>
            <w:vAlign w:val="center"/>
          </w:tcPr>
          <w:p w:rsidR="00370906" w:rsidRDefault="00D73761">
            <w:pPr>
              <w:jc w:val="right"/>
            </w:pPr>
            <w:r>
              <w:rPr>
                <w:sz w:val="24"/>
              </w:rPr>
              <w:t>2,286,927.35</w:t>
            </w:r>
          </w:p>
        </w:tc>
        <w:tc>
          <w:tcPr>
            <w:tcW w:w="1603" w:type="dxa"/>
            <w:vAlign w:val="center"/>
          </w:tcPr>
          <w:p w:rsidR="00370906" w:rsidRDefault="00D73761">
            <w:pPr>
              <w:jc w:val="right"/>
            </w:pPr>
            <w:r>
              <w:rPr>
                <w:sz w:val="24"/>
              </w:rPr>
              <w:t>2.27</w:t>
            </w:r>
          </w:p>
        </w:tc>
      </w:tr>
      <w:tr w:rsidR="00370906">
        <w:tc>
          <w:tcPr>
            <w:tcW w:w="540" w:type="dxa"/>
            <w:vAlign w:val="center"/>
          </w:tcPr>
          <w:p w:rsidR="00370906" w:rsidRDefault="00D73761">
            <w:pPr>
              <w:jc w:val="center"/>
            </w:pPr>
            <w:r>
              <w:rPr>
                <w:sz w:val="24"/>
              </w:rPr>
              <w:t>4</w:t>
            </w:r>
          </w:p>
        </w:tc>
        <w:tc>
          <w:tcPr>
            <w:tcW w:w="2309" w:type="dxa"/>
            <w:vAlign w:val="center"/>
          </w:tcPr>
          <w:p w:rsidR="00370906" w:rsidRDefault="00D73761">
            <w:pPr>
              <w:jc w:val="center"/>
            </w:pPr>
            <w:r>
              <w:rPr>
                <w:sz w:val="24"/>
              </w:rPr>
              <w:t>China Merchants Bank Co.,Ltd.</w:t>
            </w:r>
          </w:p>
        </w:tc>
        <w:tc>
          <w:tcPr>
            <w:tcW w:w="2478" w:type="dxa"/>
            <w:vAlign w:val="center"/>
          </w:tcPr>
          <w:p w:rsidR="00370906" w:rsidRDefault="00D73761">
            <w:pPr>
              <w:jc w:val="center"/>
            </w:pPr>
            <w:r>
              <w:rPr>
                <w:sz w:val="24"/>
              </w:rPr>
              <w:t>3968 HK</w:t>
            </w:r>
          </w:p>
        </w:tc>
        <w:tc>
          <w:tcPr>
            <w:tcW w:w="2068" w:type="dxa"/>
            <w:vAlign w:val="center"/>
          </w:tcPr>
          <w:p w:rsidR="00370906" w:rsidRDefault="00D73761">
            <w:pPr>
              <w:jc w:val="right"/>
            </w:pPr>
            <w:r>
              <w:rPr>
                <w:sz w:val="24"/>
              </w:rPr>
              <w:t>2,276,426.45</w:t>
            </w:r>
          </w:p>
        </w:tc>
        <w:tc>
          <w:tcPr>
            <w:tcW w:w="1603" w:type="dxa"/>
            <w:vAlign w:val="center"/>
          </w:tcPr>
          <w:p w:rsidR="00370906" w:rsidRDefault="00D73761">
            <w:pPr>
              <w:jc w:val="right"/>
            </w:pPr>
            <w:r>
              <w:rPr>
                <w:sz w:val="24"/>
              </w:rPr>
              <w:t>2.26</w:t>
            </w:r>
          </w:p>
        </w:tc>
      </w:tr>
      <w:tr w:rsidR="00370906">
        <w:tc>
          <w:tcPr>
            <w:tcW w:w="540" w:type="dxa"/>
            <w:vAlign w:val="center"/>
          </w:tcPr>
          <w:p w:rsidR="00370906" w:rsidRDefault="00D73761">
            <w:pPr>
              <w:jc w:val="center"/>
            </w:pPr>
            <w:r>
              <w:rPr>
                <w:sz w:val="24"/>
              </w:rPr>
              <w:t>5</w:t>
            </w:r>
          </w:p>
        </w:tc>
        <w:tc>
          <w:tcPr>
            <w:tcW w:w="2309" w:type="dxa"/>
            <w:vAlign w:val="center"/>
          </w:tcPr>
          <w:p w:rsidR="00370906" w:rsidRDefault="00D73761">
            <w:pPr>
              <w:jc w:val="center"/>
            </w:pPr>
            <w:r>
              <w:rPr>
                <w:sz w:val="24"/>
              </w:rPr>
              <w:t>China Southern Airlines Company Limited</w:t>
            </w:r>
          </w:p>
        </w:tc>
        <w:tc>
          <w:tcPr>
            <w:tcW w:w="2478" w:type="dxa"/>
            <w:vAlign w:val="center"/>
          </w:tcPr>
          <w:p w:rsidR="00370906" w:rsidRDefault="00D73761">
            <w:pPr>
              <w:jc w:val="center"/>
            </w:pPr>
            <w:r>
              <w:rPr>
                <w:sz w:val="24"/>
              </w:rPr>
              <w:t>1055 HK</w:t>
            </w:r>
          </w:p>
        </w:tc>
        <w:tc>
          <w:tcPr>
            <w:tcW w:w="2068" w:type="dxa"/>
            <w:vAlign w:val="center"/>
          </w:tcPr>
          <w:p w:rsidR="00370906" w:rsidRDefault="00D73761">
            <w:pPr>
              <w:jc w:val="right"/>
            </w:pPr>
            <w:r>
              <w:rPr>
                <w:sz w:val="24"/>
              </w:rPr>
              <w:t>2,180,302.44</w:t>
            </w:r>
          </w:p>
        </w:tc>
        <w:tc>
          <w:tcPr>
            <w:tcW w:w="1603" w:type="dxa"/>
            <w:vAlign w:val="center"/>
          </w:tcPr>
          <w:p w:rsidR="00370906" w:rsidRDefault="00D73761">
            <w:pPr>
              <w:jc w:val="right"/>
            </w:pPr>
            <w:r>
              <w:rPr>
                <w:sz w:val="24"/>
              </w:rPr>
              <w:t>2.16</w:t>
            </w:r>
          </w:p>
        </w:tc>
      </w:tr>
      <w:tr w:rsidR="00370906">
        <w:tc>
          <w:tcPr>
            <w:tcW w:w="540" w:type="dxa"/>
            <w:vAlign w:val="center"/>
          </w:tcPr>
          <w:p w:rsidR="00370906" w:rsidRDefault="00D73761">
            <w:pPr>
              <w:jc w:val="center"/>
            </w:pPr>
            <w:r>
              <w:rPr>
                <w:sz w:val="24"/>
              </w:rPr>
              <w:t>6</w:t>
            </w:r>
          </w:p>
        </w:tc>
        <w:tc>
          <w:tcPr>
            <w:tcW w:w="2309" w:type="dxa"/>
            <w:vAlign w:val="center"/>
          </w:tcPr>
          <w:p w:rsidR="00370906" w:rsidRDefault="00D73761">
            <w:pPr>
              <w:jc w:val="center"/>
            </w:pPr>
            <w:r>
              <w:rPr>
                <w:sz w:val="24"/>
              </w:rPr>
              <w:t>Chongqing Rural Commercial Bank Co.,ltd.</w:t>
            </w:r>
          </w:p>
        </w:tc>
        <w:tc>
          <w:tcPr>
            <w:tcW w:w="2478" w:type="dxa"/>
            <w:vAlign w:val="center"/>
          </w:tcPr>
          <w:p w:rsidR="00370906" w:rsidRDefault="00D73761">
            <w:pPr>
              <w:jc w:val="center"/>
            </w:pPr>
            <w:r>
              <w:rPr>
                <w:sz w:val="24"/>
              </w:rPr>
              <w:t>3618 HK</w:t>
            </w:r>
          </w:p>
        </w:tc>
        <w:tc>
          <w:tcPr>
            <w:tcW w:w="2068" w:type="dxa"/>
            <w:vAlign w:val="center"/>
          </w:tcPr>
          <w:p w:rsidR="00370906" w:rsidRDefault="00D73761">
            <w:pPr>
              <w:jc w:val="right"/>
            </w:pPr>
            <w:r>
              <w:rPr>
                <w:sz w:val="24"/>
              </w:rPr>
              <w:t>2,180,227.44</w:t>
            </w:r>
          </w:p>
        </w:tc>
        <w:tc>
          <w:tcPr>
            <w:tcW w:w="1603" w:type="dxa"/>
            <w:vAlign w:val="center"/>
          </w:tcPr>
          <w:p w:rsidR="00370906" w:rsidRDefault="00D73761">
            <w:pPr>
              <w:jc w:val="right"/>
            </w:pPr>
            <w:r>
              <w:rPr>
                <w:sz w:val="24"/>
              </w:rPr>
              <w:t>2.16</w:t>
            </w:r>
          </w:p>
        </w:tc>
      </w:tr>
      <w:tr w:rsidR="00370906">
        <w:tc>
          <w:tcPr>
            <w:tcW w:w="540" w:type="dxa"/>
            <w:vAlign w:val="center"/>
          </w:tcPr>
          <w:p w:rsidR="00370906" w:rsidRDefault="00D73761">
            <w:pPr>
              <w:jc w:val="center"/>
            </w:pPr>
            <w:r>
              <w:rPr>
                <w:sz w:val="24"/>
              </w:rPr>
              <w:t>7</w:t>
            </w:r>
          </w:p>
        </w:tc>
        <w:tc>
          <w:tcPr>
            <w:tcW w:w="2309" w:type="dxa"/>
            <w:vAlign w:val="center"/>
          </w:tcPr>
          <w:p w:rsidR="00370906" w:rsidRDefault="00D73761">
            <w:pPr>
              <w:jc w:val="center"/>
            </w:pPr>
            <w:r>
              <w:rPr>
                <w:sz w:val="24"/>
              </w:rPr>
              <w:t>New China Life Insurance Company Ltd.</w:t>
            </w:r>
          </w:p>
        </w:tc>
        <w:tc>
          <w:tcPr>
            <w:tcW w:w="2478" w:type="dxa"/>
            <w:vAlign w:val="center"/>
          </w:tcPr>
          <w:p w:rsidR="00370906" w:rsidRDefault="00D73761">
            <w:pPr>
              <w:jc w:val="center"/>
            </w:pPr>
            <w:r>
              <w:rPr>
                <w:sz w:val="24"/>
              </w:rPr>
              <w:t>1336 HK</w:t>
            </w:r>
          </w:p>
        </w:tc>
        <w:tc>
          <w:tcPr>
            <w:tcW w:w="2068" w:type="dxa"/>
            <w:vAlign w:val="center"/>
          </w:tcPr>
          <w:p w:rsidR="00370906" w:rsidRDefault="00D73761">
            <w:pPr>
              <w:jc w:val="right"/>
            </w:pPr>
            <w:r>
              <w:rPr>
                <w:sz w:val="24"/>
              </w:rPr>
              <w:t>2,064,782.23</w:t>
            </w:r>
          </w:p>
        </w:tc>
        <w:tc>
          <w:tcPr>
            <w:tcW w:w="1603" w:type="dxa"/>
            <w:vAlign w:val="center"/>
          </w:tcPr>
          <w:p w:rsidR="00370906" w:rsidRDefault="00D73761">
            <w:pPr>
              <w:jc w:val="right"/>
            </w:pPr>
            <w:r>
              <w:rPr>
                <w:sz w:val="24"/>
              </w:rPr>
              <w:t>2.05</w:t>
            </w:r>
          </w:p>
        </w:tc>
      </w:tr>
      <w:tr w:rsidR="00370906">
        <w:tc>
          <w:tcPr>
            <w:tcW w:w="540" w:type="dxa"/>
            <w:vAlign w:val="center"/>
          </w:tcPr>
          <w:p w:rsidR="00370906" w:rsidRDefault="00D73761">
            <w:pPr>
              <w:jc w:val="center"/>
            </w:pPr>
            <w:r>
              <w:rPr>
                <w:sz w:val="24"/>
              </w:rPr>
              <w:lastRenderedPageBreak/>
              <w:t>8</w:t>
            </w:r>
          </w:p>
        </w:tc>
        <w:tc>
          <w:tcPr>
            <w:tcW w:w="2309" w:type="dxa"/>
            <w:vAlign w:val="center"/>
          </w:tcPr>
          <w:p w:rsidR="00370906" w:rsidRDefault="00D73761">
            <w:pPr>
              <w:jc w:val="center"/>
            </w:pPr>
            <w:r>
              <w:rPr>
                <w:sz w:val="24"/>
              </w:rPr>
              <w:t>Livzon Pharmaceutical Group Inc.</w:t>
            </w:r>
          </w:p>
        </w:tc>
        <w:tc>
          <w:tcPr>
            <w:tcW w:w="2478" w:type="dxa"/>
            <w:vAlign w:val="center"/>
          </w:tcPr>
          <w:p w:rsidR="00370906" w:rsidRDefault="00D73761">
            <w:pPr>
              <w:jc w:val="center"/>
            </w:pPr>
            <w:r>
              <w:rPr>
                <w:sz w:val="24"/>
              </w:rPr>
              <w:t>1513 HK</w:t>
            </w:r>
          </w:p>
        </w:tc>
        <w:tc>
          <w:tcPr>
            <w:tcW w:w="2068" w:type="dxa"/>
            <w:vAlign w:val="center"/>
          </w:tcPr>
          <w:p w:rsidR="00370906" w:rsidRDefault="00D73761">
            <w:pPr>
              <w:jc w:val="right"/>
            </w:pPr>
            <w:r>
              <w:rPr>
                <w:sz w:val="24"/>
              </w:rPr>
              <w:t>1,951,353.34</w:t>
            </w:r>
          </w:p>
        </w:tc>
        <w:tc>
          <w:tcPr>
            <w:tcW w:w="1603" w:type="dxa"/>
            <w:vAlign w:val="center"/>
          </w:tcPr>
          <w:p w:rsidR="00370906" w:rsidRDefault="00D73761">
            <w:pPr>
              <w:jc w:val="right"/>
            </w:pPr>
            <w:r>
              <w:rPr>
                <w:sz w:val="24"/>
              </w:rPr>
              <w:t>1.94</w:t>
            </w:r>
          </w:p>
        </w:tc>
      </w:tr>
      <w:tr w:rsidR="00370906">
        <w:tc>
          <w:tcPr>
            <w:tcW w:w="540" w:type="dxa"/>
            <w:vAlign w:val="center"/>
          </w:tcPr>
          <w:p w:rsidR="00370906" w:rsidRDefault="00D73761">
            <w:pPr>
              <w:jc w:val="center"/>
            </w:pPr>
            <w:r>
              <w:rPr>
                <w:sz w:val="24"/>
              </w:rPr>
              <w:t>9</w:t>
            </w:r>
          </w:p>
        </w:tc>
        <w:tc>
          <w:tcPr>
            <w:tcW w:w="2309" w:type="dxa"/>
            <w:vAlign w:val="center"/>
          </w:tcPr>
          <w:p w:rsidR="00370906" w:rsidRDefault="00D73761">
            <w:pPr>
              <w:jc w:val="center"/>
            </w:pPr>
            <w:r>
              <w:rPr>
                <w:sz w:val="24"/>
              </w:rPr>
              <w:t>DowDuPont Inc</w:t>
            </w:r>
          </w:p>
        </w:tc>
        <w:tc>
          <w:tcPr>
            <w:tcW w:w="2478" w:type="dxa"/>
            <w:vAlign w:val="center"/>
          </w:tcPr>
          <w:p w:rsidR="00370906" w:rsidRDefault="00D73761">
            <w:pPr>
              <w:jc w:val="center"/>
            </w:pPr>
            <w:r>
              <w:rPr>
                <w:sz w:val="24"/>
              </w:rPr>
              <w:t>DWDP US</w:t>
            </w:r>
          </w:p>
        </w:tc>
        <w:tc>
          <w:tcPr>
            <w:tcW w:w="2068" w:type="dxa"/>
            <w:vAlign w:val="center"/>
          </w:tcPr>
          <w:p w:rsidR="00370906" w:rsidRDefault="00D73761">
            <w:pPr>
              <w:jc w:val="right"/>
            </w:pPr>
            <w:r>
              <w:rPr>
                <w:sz w:val="24"/>
              </w:rPr>
              <w:t>1,890,370.40</w:t>
            </w:r>
          </w:p>
        </w:tc>
        <w:tc>
          <w:tcPr>
            <w:tcW w:w="1603" w:type="dxa"/>
            <w:vAlign w:val="center"/>
          </w:tcPr>
          <w:p w:rsidR="00370906" w:rsidRDefault="00D73761">
            <w:pPr>
              <w:jc w:val="right"/>
            </w:pPr>
            <w:r>
              <w:rPr>
                <w:sz w:val="24"/>
              </w:rPr>
              <w:t>1.88</w:t>
            </w:r>
          </w:p>
        </w:tc>
      </w:tr>
      <w:tr w:rsidR="00370906">
        <w:tc>
          <w:tcPr>
            <w:tcW w:w="540" w:type="dxa"/>
            <w:vAlign w:val="center"/>
          </w:tcPr>
          <w:p w:rsidR="00370906" w:rsidRDefault="00D73761">
            <w:pPr>
              <w:jc w:val="center"/>
            </w:pPr>
            <w:r>
              <w:rPr>
                <w:sz w:val="24"/>
              </w:rPr>
              <w:t>10</w:t>
            </w:r>
          </w:p>
        </w:tc>
        <w:tc>
          <w:tcPr>
            <w:tcW w:w="2309" w:type="dxa"/>
            <w:vAlign w:val="center"/>
          </w:tcPr>
          <w:p w:rsidR="00370906" w:rsidRDefault="00D73761">
            <w:pPr>
              <w:jc w:val="center"/>
            </w:pPr>
            <w:r>
              <w:rPr>
                <w:sz w:val="24"/>
              </w:rPr>
              <w:t>China State Construction International Holdings Limited</w:t>
            </w:r>
          </w:p>
        </w:tc>
        <w:tc>
          <w:tcPr>
            <w:tcW w:w="2478" w:type="dxa"/>
            <w:vAlign w:val="center"/>
          </w:tcPr>
          <w:p w:rsidR="00370906" w:rsidRDefault="00D73761">
            <w:pPr>
              <w:jc w:val="center"/>
            </w:pPr>
            <w:r>
              <w:rPr>
                <w:sz w:val="24"/>
              </w:rPr>
              <w:t>3311 HK</w:t>
            </w:r>
          </w:p>
        </w:tc>
        <w:tc>
          <w:tcPr>
            <w:tcW w:w="2068" w:type="dxa"/>
            <w:vAlign w:val="center"/>
          </w:tcPr>
          <w:p w:rsidR="00370906" w:rsidRDefault="00D73761">
            <w:pPr>
              <w:jc w:val="right"/>
            </w:pPr>
            <w:r>
              <w:rPr>
                <w:sz w:val="24"/>
              </w:rPr>
              <w:t>1,878,541.78</w:t>
            </w:r>
          </w:p>
        </w:tc>
        <w:tc>
          <w:tcPr>
            <w:tcW w:w="1603" w:type="dxa"/>
            <w:vAlign w:val="center"/>
          </w:tcPr>
          <w:p w:rsidR="00370906" w:rsidRDefault="00D73761">
            <w:pPr>
              <w:jc w:val="right"/>
            </w:pPr>
            <w:r>
              <w:rPr>
                <w:sz w:val="24"/>
              </w:rPr>
              <w:t>1.86</w:t>
            </w:r>
          </w:p>
        </w:tc>
      </w:tr>
      <w:tr w:rsidR="00370906">
        <w:tc>
          <w:tcPr>
            <w:tcW w:w="540" w:type="dxa"/>
            <w:vAlign w:val="center"/>
          </w:tcPr>
          <w:p w:rsidR="00370906" w:rsidRDefault="00D73761">
            <w:pPr>
              <w:jc w:val="center"/>
            </w:pPr>
            <w:r>
              <w:rPr>
                <w:sz w:val="24"/>
              </w:rPr>
              <w:t>11</w:t>
            </w:r>
          </w:p>
        </w:tc>
        <w:tc>
          <w:tcPr>
            <w:tcW w:w="2309" w:type="dxa"/>
            <w:vAlign w:val="center"/>
          </w:tcPr>
          <w:p w:rsidR="00370906" w:rsidRDefault="00D73761">
            <w:pPr>
              <w:jc w:val="center"/>
            </w:pPr>
            <w:r>
              <w:rPr>
                <w:sz w:val="24"/>
              </w:rPr>
              <w:t>Sunny Optical Technology (Group) Company Limited</w:t>
            </w:r>
          </w:p>
        </w:tc>
        <w:tc>
          <w:tcPr>
            <w:tcW w:w="2478" w:type="dxa"/>
            <w:vAlign w:val="center"/>
          </w:tcPr>
          <w:p w:rsidR="00370906" w:rsidRDefault="00D73761">
            <w:pPr>
              <w:jc w:val="center"/>
            </w:pPr>
            <w:r>
              <w:rPr>
                <w:sz w:val="24"/>
              </w:rPr>
              <w:t>2382 HK</w:t>
            </w:r>
          </w:p>
        </w:tc>
        <w:tc>
          <w:tcPr>
            <w:tcW w:w="2068" w:type="dxa"/>
            <w:vAlign w:val="center"/>
          </w:tcPr>
          <w:p w:rsidR="00370906" w:rsidRDefault="00D73761">
            <w:pPr>
              <w:jc w:val="right"/>
            </w:pPr>
            <w:r>
              <w:rPr>
                <w:sz w:val="24"/>
              </w:rPr>
              <w:t>1,852,692.10</w:t>
            </w:r>
          </w:p>
        </w:tc>
        <w:tc>
          <w:tcPr>
            <w:tcW w:w="1603" w:type="dxa"/>
            <w:vAlign w:val="center"/>
          </w:tcPr>
          <w:p w:rsidR="00370906" w:rsidRDefault="00D73761">
            <w:pPr>
              <w:jc w:val="right"/>
            </w:pPr>
            <w:r>
              <w:rPr>
                <w:sz w:val="24"/>
              </w:rPr>
              <w:t>1.84</w:t>
            </w:r>
          </w:p>
        </w:tc>
      </w:tr>
      <w:tr w:rsidR="00370906">
        <w:tc>
          <w:tcPr>
            <w:tcW w:w="540" w:type="dxa"/>
            <w:vAlign w:val="center"/>
          </w:tcPr>
          <w:p w:rsidR="00370906" w:rsidRDefault="00D73761">
            <w:pPr>
              <w:jc w:val="center"/>
            </w:pPr>
            <w:r>
              <w:rPr>
                <w:sz w:val="24"/>
              </w:rPr>
              <w:t>12</w:t>
            </w:r>
          </w:p>
        </w:tc>
        <w:tc>
          <w:tcPr>
            <w:tcW w:w="2309" w:type="dxa"/>
            <w:vAlign w:val="center"/>
          </w:tcPr>
          <w:p w:rsidR="00370906" w:rsidRDefault="00D73761">
            <w:pPr>
              <w:jc w:val="center"/>
            </w:pPr>
            <w:r>
              <w:rPr>
                <w:sz w:val="24"/>
              </w:rPr>
              <w:t>Zijin Mining Group Co.,Ltd.</w:t>
            </w:r>
          </w:p>
        </w:tc>
        <w:tc>
          <w:tcPr>
            <w:tcW w:w="2478" w:type="dxa"/>
            <w:vAlign w:val="center"/>
          </w:tcPr>
          <w:p w:rsidR="00370906" w:rsidRDefault="00D73761">
            <w:pPr>
              <w:jc w:val="center"/>
            </w:pPr>
            <w:r>
              <w:rPr>
                <w:sz w:val="24"/>
              </w:rPr>
              <w:t>2899 HK</w:t>
            </w:r>
          </w:p>
        </w:tc>
        <w:tc>
          <w:tcPr>
            <w:tcW w:w="2068" w:type="dxa"/>
            <w:vAlign w:val="center"/>
          </w:tcPr>
          <w:p w:rsidR="00370906" w:rsidRDefault="00D73761">
            <w:pPr>
              <w:jc w:val="right"/>
            </w:pPr>
            <w:r>
              <w:rPr>
                <w:sz w:val="24"/>
              </w:rPr>
              <w:t>1,794,744.95</w:t>
            </w:r>
          </w:p>
        </w:tc>
        <w:tc>
          <w:tcPr>
            <w:tcW w:w="1603" w:type="dxa"/>
            <w:vAlign w:val="center"/>
          </w:tcPr>
          <w:p w:rsidR="00370906" w:rsidRDefault="00D73761">
            <w:pPr>
              <w:jc w:val="right"/>
            </w:pPr>
            <w:r>
              <w:rPr>
                <w:sz w:val="24"/>
              </w:rPr>
              <w:t>1.78</w:t>
            </w:r>
          </w:p>
        </w:tc>
      </w:tr>
      <w:tr w:rsidR="00370906">
        <w:tc>
          <w:tcPr>
            <w:tcW w:w="540" w:type="dxa"/>
            <w:vAlign w:val="center"/>
          </w:tcPr>
          <w:p w:rsidR="00370906" w:rsidRDefault="00D73761">
            <w:pPr>
              <w:jc w:val="center"/>
            </w:pPr>
            <w:r>
              <w:rPr>
                <w:sz w:val="24"/>
              </w:rPr>
              <w:t>13</w:t>
            </w:r>
          </w:p>
        </w:tc>
        <w:tc>
          <w:tcPr>
            <w:tcW w:w="2309" w:type="dxa"/>
            <w:vAlign w:val="center"/>
          </w:tcPr>
          <w:p w:rsidR="00370906" w:rsidRDefault="00D73761">
            <w:pPr>
              <w:jc w:val="center"/>
            </w:pPr>
            <w:r>
              <w:rPr>
                <w:sz w:val="24"/>
              </w:rPr>
              <w:t>Johnson &amp; Johnson</w:t>
            </w:r>
          </w:p>
        </w:tc>
        <w:tc>
          <w:tcPr>
            <w:tcW w:w="2478" w:type="dxa"/>
            <w:vAlign w:val="center"/>
          </w:tcPr>
          <w:p w:rsidR="00370906" w:rsidRDefault="00D73761">
            <w:pPr>
              <w:jc w:val="center"/>
            </w:pPr>
            <w:r>
              <w:rPr>
                <w:sz w:val="24"/>
              </w:rPr>
              <w:t>JNJ US</w:t>
            </w:r>
          </w:p>
        </w:tc>
        <w:tc>
          <w:tcPr>
            <w:tcW w:w="2068" w:type="dxa"/>
            <w:vAlign w:val="center"/>
          </w:tcPr>
          <w:p w:rsidR="00370906" w:rsidRDefault="00D73761">
            <w:pPr>
              <w:jc w:val="right"/>
            </w:pPr>
            <w:r>
              <w:rPr>
                <w:sz w:val="24"/>
              </w:rPr>
              <w:t>1,593,986.49</w:t>
            </w:r>
          </w:p>
        </w:tc>
        <w:tc>
          <w:tcPr>
            <w:tcW w:w="1603" w:type="dxa"/>
            <w:vAlign w:val="center"/>
          </w:tcPr>
          <w:p w:rsidR="00370906" w:rsidRDefault="00D73761">
            <w:pPr>
              <w:jc w:val="right"/>
            </w:pPr>
            <w:r>
              <w:rPr>
                <w:sz w:val="24"/>
              </w:rPr>
              <w:t>1.58</w:t>
            </w:r>
          </w:p>
        </w:tc>
      </w:tr>
      <w:tr w:rsidR="00370906">
        <w:tc>
          <w:tcPr>
            <w:tcW w:w="540" w:type="dxa"/>
            <w:vAlign w:val="center"/>
          </w:tcPr>
          <w:p w:rsidR="00370906" w:rsidRDefault="00D73761">
            <w:pPr>
              <w:jc w:val="center"/>
            </w:pPr>
            <w:r>
              <w:rPr>
                <w:sz w:val="24"/>
              </w:rPr>
              <w:t>14</w:t>
            </w:r>
          </w:p>
        </w:tc>
        <w:tc>
          <w:tcPr>
            <w:tcW w:w="2309" w:type="dxa"/>
            <w:vAlign w:val="center"/>
          </w:tcPr>
          <w:p w:rsidR="00370906" w:rsidRDefault="00D73761">
            <w:pPr>
              <w:jc w:val="center"/>
            </w:pPr>
            <w:r>
              <w:rPr>
                <w:sz w:val="24"/>
              </w:rPr>
              <w:t>The Toronto-Dominion Bank</w:t>
            </w:r>
          </w:p>
        </w:tc>
        <w:tc>
          <w:tcPr>
            <w:tcW w:w="2478" w:type="dxa"/>
            <w:vAlign w:val="center"/>
          </w:tcPr>
          <w:p w:rsidR="00370906" w:rsidRDefault="00D73761">
            <w:pPr>
              <w:jc w:val="center"/>
            </w:pPr>
            <w:r>
              <w:rPr>
                <w:sz w:val="24"/>
              </w:rPr>
              <w:t>TD CN</w:t>
            </w:r>
          </w:p>
        </w:tc>
        <w:tc>
          <w:tcPr>
            <w:tcW w:w="2068" w:type="dxa"/>
            <w:vAlign w:val="center"/>
          </w:tcPr>
          <w:p w:rsidR="00370906" w:rsidRDefault="00D73761">
            <w:pPr>
              <w:jc w:val="right"/>
            </w:pPr>
            <w:r>
              <w:rPr>
                <w:sz w:val="24"/>
              </w:rPr>
              <w:t>1,574,920.52</w:t>
            </w:r>
          </w:p>
        </w:tc>
        <w:tc>
          <w:tcPr>
            <w:tcW w:w="1603" w:type="dxa"/>
            <w:vAlign w:val="center"/>
          </w:tcPr>
          <w:p w:rsidR="00370906" w:rsidRDefault="00D73761">
            <w:pPr>
              <w:jc w:val="right"/>
            </w:pPr>
            <w:r>
              <w:rPr>
                <w:sz w:val="24"/>
              </w:rPr>
              <w:t>1.56</w:t>
            </w:r>
          </w:p>
        </w:tc>
      </w:tr>
      <w:tr w:rsidR="00370906">
        <w:tc>
          <w:tcPr>
            <w:tcW w:w="540" w:type="dxa"/>
            <w:vAlign w:val="center"/>
          </w:tcPr>
          <w:p w:rsidR="00370906" w:rsidRDefault="00D73761">
            <w:pPr>
              <w:jc w:val="center"/>
            </w:pPr>
            <w:r>
              <w:rPr>
                <w:sz w:val="24"/>
              </w:rPr>
              <w:t>15</w:t>
            </w:r>
          </w:p>
        </w:tc>
        <w:tc>
          <w:tcPr>
            <w:tcW w:w="2309" w:type="dxa"/>
            <w:vAlign w:val="center"/>
          </w:tcPr>
          <w:p w:rsidR="00370906" w:rsidRDefault="00D73761">
            <w:pPr>
              <w:jc w:val="center"/>
            </w:pPr>
            <w:r>
              <w:rPr>
                <w:sz w:val="24"/>
              </w:rPr>
              <w:t>China Resources Land Limited</w:t>
            </w:r>
          </w:p>
        </w:tc>
        <w:tc>
          <w:tcPr>
            <w:tcW w:w="2478" w:type="dxa"/>
            <w:vAlign w:val="center"/>
          </w:tcPr>
          <w:p w:rsidR="00370906" w:rsidRDefault="00D73761">
            <w:pPr>
              <w:jc w:val="center"/>
            </w:pPr>
            <w:r>
              <w:rPr>
                <w:sz w:val="24"/>
              </w:rPr>
              <w:t>1109 HK</w:t>
            </w:r>
          </w:p>
        </w:tc>
        <w:tc>
          <w:tcPr>
            <w:tcW w:w="2068" w:type="dxa"/>
            <w:vAlign w:val="center"/>
          </w:tcPr>
          <w:p w:rsidR="00370906" w:rsidRDefault="00D73761">
            <w:pPr>
              <w:jc w:val="right"/>
            </w:pPr>
            <w:r>
              <w:rPr>
                <w:sz w:val="24"/>
              </w:rPr>
              <w:t>1,553,290.61</w:t>
            </w:r>
          </w:p>
        </w:tc>
        <w:tc>
          <w:tcPr>
            <w:tcW w:w="1603" w:type="dxa"/>
            <w:vAlign w:val="center"/>
          </w:tcPr>
          <w:p w:rsidR="00370906" w:rsidRDefault="00D73761">
            <w:pPr>
              <w:jc w:val="right"/>
            </w:pPr>
            <w:r>
              <w:rPr>
                <w:sz w:val="24"/>
              </w:rPr>
              <w:t>1.54</w:t>
            </w:r>
          </w:p>
        </w:tc>
      </w:tr>
      <w:tr w:rsidR="00370906">
        <w:tc>
          <w:tcPr>
            <w:tcW w:w="540" w:type="dxa"/>
            <w:vAlign w:val="center"/>
          </w:tcPr>
          <w:p w:rsidR="00370906" w:rsidRDefault="00D73761">
            <w:pPr>
              <w:jc w:val="center"/>
            </w:pPr>
            <w:r>
              <w:rPr>
                <w:sz w:val="24"/>
              </w:rPr>
              <w:t>16</w:t>
            </w:r>
          </w:p>
        </w:tc>
        <w:tc>
          <w:tcPr>
            <w:tcW w:w="2309" w:type="dxa"/>
            <w:vAlign w:val="center"/>
          </w:tcPr>
          <w:p w:rsidR="00370906" w:rsidRDefault="00D73761">
            <w:pPr>
              <w:jc w:val="center"/>
            </w:pPr>
            <w:r>
              <w:rPr>
                <w:sz w:val="24"/>
              </w:rPr>
              <w:t>China Yongda Automobiles Services Holdings Limited</w:t>
            </w:r>
          </w:p>
        </w:tc>
        <w:tc>
          <w:tcPr>
            <w:tcW w:w="2478" w:type="dxa"/>
            <w:vAlign w:val="center"/>
          </w:tcPr>
          <w:p w:rsidR="00370906" w:rsidRDefault="00D73761">
            <w:pPr>
              <w:jc w:val="center"/>
            </w:pPr>
            <w:r>
              <w:rPr>
                <w:sz w:val="24"/>
              </w:rPr>
              <w:t>3669 HK</w:t>
            </w:r>
          </w:p>
        </w:tc>
        <w:tc>
          <w:tcPr>
            <w:tcW w:w="2068" w:type="dxa"/>
            <w:vAlign w:val="center"/>
          </w:tcPr>
          <w:p w:rsidR="00370906" w:rsidRDefault="00D73761">
            <w:pPr>
              <w:jc w:val="right"/>
            </w:pPr>
            <w:r>
              <w:rPr>
                <w:sz w:val="24"/>
              </w:rPr>
              <w:t>1,492,352.43</w:t>
            </w:r>
          </w:p>
        </w:tc>
        <w:tc>
          <w:tcPr>
            <w:tcW w:w="1603" w:type="dxa"/>
            <w:vAlign w:val="center"/>
          </w:tcPr>
          <w:p w:rsidR="00370906" w:rsidRDefault="00D73761">
            <w:pPr>
              <w:jc w:val="right"/>
            </w:pPr>
            <w:r>
              <w:rPr>
                <w:sz w:val="24"/>
              </w:rPr>
              <w:t>1.48</w:t>
            </w:r>
          </w:p>
        </w:tc>
      </w:tr>
      <w:tr w:rsidR="00370906">
        <w:tc>
          <w:tcPr>
            <w:tcW w:w="540" w:type="dxa"/>
            <w:vAlign w:val="center"/>
          </w:tcPr>
          <w:p w:rsidR="00370906" w:rsidRDefault="00D73761">
            <w:pPr>
              <w:jc w:val="center"/>
            </w:pPr>
            <w:r>
              <w:rPr>
                <w:sz w:val="24"/>
              </w:rPr>
              <w:t>17</w:t>
            </w:r>
          </w:p>
        </w:tc>
        <w:tc>
          <w:tcPr>
            <w:tcW w:w="2309" w:type="dxa"/>
            <w:vAlign w:val="center"/>
          </w:tcPr>
          <w:p w:rsidR="00370906" w:rsidRDefault="00D73761">
            <w:pPr>
              <w:jc w:val="center"/>
            </w:pPr>
            <w:r>
              <w:rPr>
                <w:sz w:val="24"/>
              </w:rPr>
              <w:t>TravelSky Technology Limited</w:t>
            </w:r>
          </w:p>
        </w:tc>
        <w:tc>
          <w:tcPr>
            <w:tcW w:w="2478" w:type="dxa"/>
            <w:vAlign w:val="center"/>
          </w:tcPr>
          <w:p w:rsidR="00370906" w:rsidRDefault="00D73761">
            <w:pPr>
              <w:jc w:val="center"/>
            </w:pPr>
            <w:r>
              <w:rPr>
                <w:sz w:val="24"/>
              </w:rPr>
              <w:t>696 HK</w:t>
            </w:r>
          </w:p>
        </w:tc>
        <w:tc>
          <w:tcPr>
            <w:tcW w:w="2068" w:type="dxa"/>
            <w:vAlign w:val="center"/>
          </w:tcPr>
          <w:p w:rsidR="00370906" w:rsidRDefault="00D73761">
            <w:pPr>
              <w:jc w:val="right"/>
            </w:pPr>
            <w:r>
              <w:rPr>
                <w:sz w:val="24"/>
              </w:rPr>
              <w:t>1,475,224.35</w:t>
            </w:r>
          </w:p>
        </w:tc>
        <w:tc>
          <w:tcPr>
            <w:tcW w:w="1603" w:type="dxa"/>
            <w:vAlign w:val="center"/>
          </w:tcPr>
          <w:p w:rsidR="00370906" w:rsidRDefault="00D73761">
            <w:pPr>
              <w:jc w:val="right"/>
            </w:pPr>
            <w:r>
              <w:rPr>
                <w:sz w:val="24"/>
              </w:rPr>
              <w:t>1.46</w:t>
            </w:r>
          </w:p>
        </w:tc>
      </w:tr>
      <w:tr w:rsidR="00370906">
        <w:tc>
          <w:tcPr>
            <w:tcW w:w="540" w:type="dxa"/>
            <w:vAlign w:val="center"/>
          </w:tcPr>
          <w:p w:rsidR="00370906" w:rsidRDefault="00D73761">
            <w:pPr>
              <w:jc w:val="center"/>
            </w:pPr>
            <w:r>
              <w:rPr>
                <w:sz w:val="24"/>
              </w:rPr>
              <w:t>18</w:t>
            </w:r>
          </w:p>
        </w:tc>
        <w:tc>
          <w:tcPr>
            <w:tcW w:w="2309" w:type="dxa"/>
            <w:vAlign w:val="center"/>
          </w:tcPr>
          <w:p w:rsidR="00370906" w:rsidRDefault="00D73761">
            <w:pPr>
              <w:jc w:val="center"/>
            </w:pPr>
            <w:r>
              <w:rPr>
                <w:sz w:val="24"/>
              </w:rPr>
              <w:t>the Nestlé Group</w:t>
            </w:r>
          </w:p>
        </w:tc>
        <w:tc>
          <w:tcPr>
            <w:tcW w:w="2478" w:type="dxa"/>
            <w:vAlign w:val="center"/>
          </w:tcPr>
          <w:p w:rsidR="00370906" w:rsidRDefault="00D73761">
            <w:pPr>
              <w:jc w:val="center"/>
            </w:pPr>
            <w:r>
              <w:rPr>
                <w:sz w:val="24"/>
              </w:rPr>
              <w:t>NESN SW</w:t>
            </w:r>
          </w:p>
        </w:tc>
        <w:tc>
          <w:tcPr>
            <w:tcW w:w="2068" w:type="dxa"/>
            <w:vAlign w:val="center"/>
          </w:tcPr>
          <w:p w:rsidR="00370906" w:rsidRDefault="00D73761">
            <w:pPr>
              <w:jc w:val="right"/>
            </w:pPr>
            <w:r>
              <w:rPr>
                <w:sz w:val="24"/>
              </w:rPr>
              <w:t>1,457,723.57</w:t>
            </w:r>
          </w:p>
        </w:tc>
        <w:tc>
          <w:tcPr>
            <w:tcW w:w="1603" w:type="dxa"/>
            <w:vAlign w:val="center"/>
          </w:tcPr>
          <w:p w:rsidR="00370906" w:rsidRDefault="00D73761">
            <w:pPr>
              <w:jc w:val="right"/>
            </w:pPr>
            <w:r>
              <w:rPr>
                <w:sz w:val="24"/>
              </w:rPr>
              <w:t>1.45</w:t>
            </w:r>
          </w:p>
        </w:tc>
      </w:tr>
      <w:tr w:rsidR="00370906">
        <w:tc>
          <w:tcPr>
            <w:tcW w:w="540" w:type="dxa"/>
            <w:vAlign w:val="center"/>
          </w:tcPr>
          <w:p w:rsidR="00370906" w:rsidRDefault="00D73761">
            <w:pPr>
              <w:jc w:val="center"/>
            </w:pPr>
            <w:r>
              <w:rPr>
                <w:sz w:val="24"/>
              </w:rPr>
              <w:t>19</w:t>
            </w:r>
          </w:p>
        </w:tc>
        <w:tc>
          <w:tcPr>
            <w:tcW w:w="2309" w:type="dxa"/>
            <w:vAlign w:val="center"/>
          </w:tcPr>
          <w:p w:rsidR="00370906" w:rsidRDefault="00D73761">
            <w:pPr>
              <w:jc w:val="center"/>
            </w:pPr>
            <w:r>
              <w:rPr>
                <w:sz w:val="24"/>
              </w:rPr>
              <w:t>Canvest Environmental Protection Group Company Limited</w:t>
            </w:r>
          </w:p>
        </w:tc>
        <w:tc>
          <w:tcPr>
            <w:tcW w:w="2478" w:type="dxa"/>
            <w:vAlign w:val="center"/>
          </w:tcPr>
          <w:p w:rsidR="00370906" w:rsidRDefault="00D73761">
            <w:pPr>
              <w:jc w:val="center"/>
            </w:pPr>
            <w:r>
              <w:rPr>
                <w:sz w:val="24"/>
              </w:rPr>
              <w:t>1381 HK</w:t>
            </w:r>
          </w:p>
        </w:tc>
        <w:tc>
          <w:tcPr>
            <w:tcW w:w="2068" w:type="dxa"/>
            <w:vAlign w:val="center"/>
          </w:tcPr>
          <w:p w:rsidR="00370906" w:rsidRDefault="00D73761">
            <w:pPr>
              <w:jc w:val="right"/>
            </w:pPr>
            <w:r>
              <w:rPr>
                <w:sz w:val="24"/>
              </w:rPr>
              <w:t>1,440,878.55</w:t>
            </w:r>
          </w:p>
        </w:tc>
        <w:tc>
          <w:tcPr>
            <w:tcW w:w="1603" w:type="dxa"/>
            <w:vAlign w:val="center"/>
          </w:tcPr>
          <w:p w:rsidR="00370906" w:rsidRDefault="00D73761">
            <w:pPr>
              <w:jc w:val="right"/>
            </w:pPr>
            <w:r>
              <w:rPr>
                <w:sz w:val="24"/>
              </w:rPr>
              <w:t>1.43</w:t>
            </w:r>
          </w:p>
        </w:tc>
      </w:tr>
      <w:tr w:rsidR="00370906">
        <w:tc>
          <w:tcPr>
            <w:tcW w:w="540" w:type="dxa"/>
            <w:vAlign w:val="center"/>
          </w:tcPr>
          <w:p w:rsidR="00370906" w:rsidRDefault="00D73761">
            <w:pPr>
              <w:jc w:val="center"/>
            </w:pPr>
            <w:r>
              <w:rPr>
                <w:sz w:val="24"/>
              </w:rPr>
              <w:t>20</w:t>
            </w:r>
          </w:p>
        </w:tc>
        <w:tc>
          <w:tcPr>
            <w:tcW w:w="2309" w:type="dxa"/>
            <w:vAlign w:val="center"/>
          </w:tcPr>
          <w:p w:rsidR="00370906" w:rsidRDefault="00D73761">
            <w:pPr>
              <w:jc w:val="center"/>
            </w:pPr>
            <w:r>
              <w:rPr>
                <w:sz w:val="24"/>
              </w:rPr>
              <w:t>Tencent Holdings Limited</w:t>
            </w:r>
          </w:p>
        </w:tc>
        <w:tc>
          <w:tcPr>
            <w:tcW w:w="2478" w:type="dxa"/>
            <w:vAlign w:val="center"/>
          </w:tcPr>
          <w:p w:rsidR="00370906" w:rsidRDefault="00D73761">
            <w:pPr>
              <w:jc w:val="center"/>
            </w:pPr>
            <w:r>
              <w:rPr>
                <w:sz w:val="24"/>
              </w:rPr>
              <w:t>700 HK</w:t>
            </w:r>
          </w:p>
        </w:tc>
        <w:tc>
          <w:tcPr>
            <w:tcW w:w="2068" w:type="dxa"/>
            <w:vAlign w:val="center"/>
          </w:tcPr>
          <w:p w:rsidR="00370906" w:rsidRDefault="00D73761">
            <w:pPr>
              <w:jc w:val="right"/>
            </w:pPr>
            <w:r>
              <w:rPr>
                <w:sz w:val="24"/>
              </w:rPr>
              <w:t>1,422,749.19</w:t>
            </w:r>
          </w:p>
        </w:tc>
        <w:tc>
          <w:tcPr>
            <w:tcW w:w="1603" w:type="dxa"/>
            <w:vAlign w:val="center"/>
          </w:tcPr>
          <w:p w:rsidR="00370906" w:rsidRDefault="00D73761">
            <w:pPr>
              <w:jc w:val="right"/>
            </w:pPr>
            <w:r>
              <w:rPr>
                <w:sz w:val="24"/>
              </w:rPr>
              <w:t>1.41</w:t>
            </w:r>
          </w:p>
        </w:tc>
      </w:tr>
    </w:tbl>
    <w:p w:rsidR="00370906" w:rsidRDefault="00D7376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p>
        </w:tc>
      </w:tr>
      <w:tr w:rsidR="00370906">
        <w:tc>
          <w:tcPr>
            <w:tcW w:w="539" w:type="dxa"/>
            <w:vAlign w:val="center"/>
          </w:tcPr>
          <w:p w:rsidR="00370906" w:rsidRDefault="00D73761">
            <w:pPr>
              <w:jc w:val="center"/>
            </w:pPr>
            <w:r>
              <w:rPr>
                <w:sz w:val="24"/>
              </w:rPr>
              <w:t>1</w:t>
            </w:r>
          </w:p>
        </w:tc>
        <w:tc>
          <w:tcPr>
            <w:tcW w:w="4449" w:type="dxa"/>
            <w:vAlign w:val="center"/>
          </w:tcPr>
          <w:p w:rsidR="00370906" w:rsidRDefault="00D73761">
            <w:pPr>
              <w:jc w:val="center"/>
            </w:pPr>
            <w:r>
              <w:rPr>
                <w:sz w:val="24"/>
              </w:rPr>
              <w:t>Man Wah Holdings Limited</w:t>
            </w:r>
          </w:p>
        </w:tc>
        <w:tc>
          <w:tcPr>
            <w:tcW w:w="979" w:type="dxa"/>
            <w:vAlign w:val="center"/>
          </w:tcPr>
          <w:p w:rsidR="00370906" w:rsidRDefault="00D73761">
            <w:pPr>
              <w:jc w:val="center"/>
            </w:pPr>
            <w:r>
              <w:rPr>
                <w:sz w:val="24"/>
              </w:rPr>
              <w:t>1999 HK</w:t>
            </w:r>
          </w:p>
        </w:tc>
        <w:tc>
          <w:tcPr>
            <w:tcW w:w="1428" w:type="dxa"/>
            <w:vAlign w:val="center"/>
          </w:tcPr>
          <w:p w:rsidR="00370906" w:rsidRDefault="00D73761">
            <w:pPr>
              <w:jc w:val="right"/>
            </w:pPr>
            <w:r>
              <w:rPr>
                <w:sz w:val="24"/>
              </w:rPr>
              <w:t>3,696,446.60</w:t>
            </w:r>
          </w:p>
        </w:tc>
        <w:tc>
          <w:tcPr>
            <w:tcW w:w="1603" w:type="dxa"/>
            <w:vAlign w:val="center"/>
          </w:tcPr>
          <w:p w:rsidR="00370906" w:rsidRDefault="00D73761">
            <w:pPr>
              <w:jc w:val="right"/>
            </w:pPr>
            <w:r>
              <w:rPr>
                <w:sz w:val="24"/>
              </w:rPr>
              <w:t>3.67</w:t>
            </w:r>
          </w:p>
        </w:tc>
      </w:tr>
      <w:tr w:rsidR="00370906">
        <w:tc>
          <w:tcPr>
            <w:tcW w:w="539" w:type="dxa"/>
            <w:vAlign w:val="center"/>
          </w:tcPr>
          <w:p w:rsidR="00370906" w:rsidRDefault="00D73761">
            <w:pPr>
              <w:jc w:val="center"/>
            </w:pPr>
            <w:r>
              <w:rPr>
                <w:sz w:val="24"/>
              </w:rPr>
              <w:t>2</w:t>
            </w:r>
          </w:p>
        </w:tc>
        <w:tc>
          <w:tcPr>
            <w:tcW w:w="4449" w:type="dxa"/>
            <w:vAlign w:val="center"/>
          </w:tcPr>
          <w:p w:rsidR="00370906" w:rsidRDefault="00D73761">
            <w:pPr>
              <w:jc w:val="center"/>
            </w:pPr>
            <w:r>
              <w:rPr>
                <w:sz w:val="24"/>
              </w:rPr>
              <w:t>CSPC Pharmaceutical Group Limited</w:t>
            </w:r>
          </w:p>
        </w:tc>
        <w:tc>
          <w:tcPr>
            <w:tcW w:w="979" w:type="dxa"/>
            <w:vAlign w:val="center"/>
          </w:tcPr>
          <w:p w:rsidR="00370906" w:rsidRDefault="00D73761">
            <w:pPr>
              <w:jc w:val="center"/>
            </w:pPr>
            <w:r>
              <w:rPr>
                <w:sz w:val="24"/>
              </w:rPr>
              <w:t>1093 HK</w:t>
            </w:r>
          </w:p>
        </w:tc>
        <w:tc>
          <w:tcPr>
            <w:tcW w:w="1428" w:type="dxa"/>
            <w:vAlign w:val="center"/>
          </w:tcPr>
          <w:p w:rsidR="00370906" w:rsidRDefault="00D73761">
            <w:pPr>
              <w:jc w:val="right"/>
            </w:pPr>
            <w:r>
              <w:rPr>
                <w:sz w:val="24"/>
              </w:rPr>
              <w:t>3,568,169.79</w:t>
            </w:r>
          </w:p>
        </w:tc>
        <w:tc>
          <w:tcPr>
            <w:tcW w:w="1603" w:type="dxa"/>
            <w:vAlign w:val="center"/>
          </w:tcPr>
          <w:p w:rsidR="00370906" w:rsidRDefault="00D73761">
            <w:pPr>
              <w:jc w:val="right"/>
            </w:pPr>
            <w:r>
              <w:rPr>
                <w:sz w:val="24"/>
              </w:rPr>
              <w:t>3.54</w:t>
            </w:r>
          </w:p>
        </w:tc>
      </w:tr>
      <w:tr w:rsidR="00370906">
        <w:tc>
          <w:tcPr>
            <w:tcW w:w="539" w:type="dxa"/>
            <w:vAlign w:val="center"/>
          </w:tcPr>
          <w:p w:rsidR="00370906" w:rsidRDefault="00D73761">
            <w:pPr>
              <w:jc w:val="center"/>
            </w:pPr>
            <w:r>
              <w:rPr>
                <w:sz w:val="24"/>
              </w:rPr>
              <w:t>3</w:t>
            </w:r>
          </w:p>
        </w:tc>
        <w:tc>
          <w:tcPr>
            <w:tcW w:w="4449" w:type="dxa"/>
            <w:vAlign w:val="center"/>
          </w:tcPr>
          <w:p w:rsidR="00370906" w:rsidRDefault="00D73761">
            <w:pPr>
              <w:jc w:val="center"/>
            </w:pPr>
            <w:r>
              <w:rPr>
                <w:sz w:val="24"/>
              </w:rPr>
              <w:t>China Shenhua Energy Company Limited</w:t>
            </w:r>
          </w:p>
        </w:tc>
        <w:tc>
          <w:tcPr>
            <w:tcW w:w="979" w:type="dxa"/>
            <w:vAlign w:val="center"/>
          </w:tcPr>
          <w:p w:rsidR="00370906" w:rsidRDefault="00D73761">
            <w:pPr>
              <w:jc w:val="center"/>
            </w:pPr>
            <w:r>
              <w:rPr>
                <w:sz w:val="24"/>
              </w:rPr>
              <w:t>1088 HK</w:t>
            </w:r>
          </w:p>
        </w:tc>
        <w:tc>
          <w:tcPr>
            <w:tcW w:w="1428" w:type="dxa"/>
            <w:vAlign w:val="center"/>
          </w:tcPr>
          <w:p w:rsidR="00370906" w:rsidRDefault="00D73761">
            <w:pPr>
              <w:jc w:val="right"/>
            </w:pPr>
            <w:r>
              <w:rPr>
                <w:sz w:val="24"/>
              </w:rPr>
              <w:t>2,738,680.94</w:t>
            </w:r>
          </w:p>
        </w:tc>
        <w:tc>
          <w:tcPr>
            <w:tcW w:w="1603" w:type="dxa"/>
            <w:vAlign w:val="center"/>
          </w:tcPr>
          <w:p w:rsidR="00370906" w:rsidRDefault="00D73761">
            <w:pPr>
              <w:jc w:val="right"/>
            </w:pPr>
            <w:r>
              <w:rPr>
                <w:sz w:val="24"/>
              </w:rPr>
              <w:t>2.72</w:t>
            </w:r>
          </w:p>
        </w:tc>
      </w:tr>
      <w:tr w:rsidR="00370906">
        <w:tc>
          <w:tcPr>
            <w:tcW w:w="539" w:type="dxa"/>
            <w:vAlign w:val="center"/>
          </w:tcPr>
          <w:p w:rsidR="00370906" w:rsidRDefault="00D73761">
            <w:pPr>
              <w:jc w:val="center"/>
            </w:pPr>
            <w:r>
              <w:rPr>
                <w:sz w:val="24"/>
              </w:rPr>
              <w:t>4</w:t>
            </w:r>
          </w:p>
        </w:tc>
        <w:tc>
          <w:tcPr>
            <w:tcW w:w="4449" w:type="dxa"/>
            <w:vAlign w:val="center"/>
          </w:tcPr>
          <w:p w:rsidR="00370906" w:rsidRDefault="00D73761">
            <w:pPr>
              <w:jc w:val="center"/>
            </w:pPr>
            <w:r>
              <w:rPr>
                <w:sz w:val="24"/>
              </w:rPr>
              <w:t>China Petroleum &amp; Chemical Corporation</w:t>
            </w:r>
          </w:p>
        </w:tc>
        <w:tc>
          <w:tcPr>
            <w:tcW w:w="979" w:type="dxa"/>
            <w:vAlign w:val="center"/>
          </w:tcPr>
          <w:p w:rsidR="00370906" w:rsidRDefault="00D73761">
            <w:pPr>
              <w:jc w:val="center"/>
            </w:pPr>
            <w:r>
              <w:rPr>
                <w:sz w:val="24"/>
              </w:rPr>
              <w:t>386 HK</w:t>
            </w:r>
          </w:p>
        </w:tc>
        <w:tc>
          <w:tcPr>
            <w:tcW w:w="1428" w:type="dxa"/>
            <w:vAlign w:val="center"/>
          </w:tcPr>
          <w:p w:rsidR="00370906" w:rsidRDefault="00D73761">
            <w:pPr>
              <w:jc w:val="right"/>
            </w:pPr>
            <w:r>
              <w:rPr>
                <w:sz w:val="24"/>
              </w:rPr>
              <w:t>2,670,547.98</w:t>
            </w:r>
          </w:p>
        </w:tc>
        <w:tc>
          <w:tcPr>
            <w:tcW w:w="1603" w:type="dxa"/>
            <w:vAlign w:val="center"/>
          </w:tcPr>
          <w:p w:rsidR="00370906" w:rsidRDefault="00D73761">
            <w:pPr>
              <w:jc w:val="right"/>
            </w:pPr>
            <w:r>
              <w:rPr>
                <w:sz w:val="24"/>
              </w:rPr>
              <w:t>2.65</w:t>
            </w:r>
          </w:p>
        </w:tc>
      </w:tr>
      <w:tr w:rsidR="00370906">
        <w:tc>
          <w:tcPr>
            <w:tcW w:w="539" w:type="dxa"/>
            <w:vAlign w:val="center"/>
          </w:tcPr>
          <w:p w:rsidR="00370906" w:rsidRDefault="00D73761">
            <w:pPr>
              <w:jc w:val="center"/>
            </w:pPr>
            <w:r>
              <w:rPr>
                <w:sz w:val="24"/>
              </w:rPr>
              <w:lastRenderedPageBreak/>
              <w:t>5</w:t>
            </w:r>
          </w:p>
        </w:tc>
        <w:tc>
          <w:tcPr>
            <w:tcW w:w="4449" w:type="dxa"/>
            <w:vAlign w:val="center"/>
          </w:tcPr>
          <w:p w:rsidR="00370906" w:rsidRDefault="00D73761">
            <w:pPr>
              <w:jc w:val="center"/>
            </w:pPr>
            <w:r>
              <w:rPr>
                <w:sz w:val="24"/>
              </w:rPr>
              <w:t>Guangzhou Automobile Group Co.,Ltd.</w:t>
            </w:r>
          </w:p>
        </w:tc>
        <w:tc>
          <w:tcPr>
            <w:tcW w:w="979" w:type="dxa"/>
            <w:vAlign w:val="center"/>
          </w:tcPr>
          <w:p w:rsidR="00370906" w:rsidRDefault="00D73761">
            <w:pPr>
              <w:jc w:val="center"/>
            </w:pPr>
            <w:r>
              <w:rPr>
                <w:sz w:val="24"/>
              </w:rPr>
              <w:t>2238 HK</w:t>
            </w:r>
          </w:p>
        </w:tc>
        <w:tc>
          <w:tcPr>
            <w:tcW w:w="1428" w:type="dxa"/>
            <w:vAlign w:val="center"/>
          </w:tcPr>
          <w:p w:rsidR="00370906" w:rsidRDefault="00D73761">
            <w:pPr>
              <w:jc w:val="right"/>
            </w:pPr>
            <w:r>
              <w:rPr>
                <w:sz w:val="24"/>
              </w:rPr>
              <w:t>2,466,167.71</w:t>
            </w:r>
          </w:p>
        </w:tc>
        <w:tc>
          <w:tcPr>
            <w:tcW w:w="1603" w:type="dxa"/>
            <w:vAlign w:val="center"/>
          </w:tcPr>
          <w:p w:rsidR="00370906" w:rsidRDefault="00D73761">
            <w:pPr>
              <w:jc w:val="right"/>
            </w:pPr>
            <w:r>
              <w:rPr>
                <w:sz w:val="24"/>
              </w:rPr>
              <w:t>2.45</w:t>
            </w:r>
          </w:p>
        </w:tc>
      </w:tr>
      <w:tr w:rsidR="00370906">
        <w:tc>
          <w:tcPr>
            <w:tcW w:w="539" w:type="dxa"/>
            <w:vAlign w:val="center"/>
          </w:tcPr>
          <w:p w:rsidR="00370906" w:rsidRDefault="00D73761">
            <w:pPr>
              <w:jc w:val="center"/>
            </w:pPr>
            <w:r>
              <w:rPr>
                <w:sz w:val="24"/>
              </w:rPr>
              <w:t>6</w:t>
            </w:r>
          </w:p>
        </w:tc>
        <w:tc>
          <w:tcPr>
            <w:tcW w:w="4449" w:type="dxa"/>
            <w:vAlign w:val="center"/>
          </w:tcPr>
          <w:p w:rsidR="00370906" w:rsidRDefault="00D73761">
            <w:pPr>
              <w:jc w:val="center"/>
            </w:pPr>
            <w:r>
              <w:rPr>
                <w:sz w:val="24"/>
              </w:rPr>
              <w:t>Livzon Pharmaceutical Group Inc.</w:t>
            </w:r>
          </w:p>
        </w:tc>
        <w:tc>
          <w:tcPr>
            <w:tcW w:w="979" w:type="dxa"/>
            <w:vAlign w:val="center"/>
          </w:tcPr>
          <w:p w:rsidR="00370906" w:rsidRDefault="00D73761">
            <w:pPr>
              <w:jc w:val="center"/>
            </w:pPr>
            <w:r>
              <w:rPr>
                <w:sz w:val="24"/>
              </w:rPr>
              <w:t>1513 HK</w:t>
            </w:r>
          </w:p>
        </w:tc>
        <w:tc>
          <w:tcPr>
            <w:tcW w:w="1428" w:type="dxa"/>
            <w:vAlign w:val="center"/>
          </w:tcPr>
          <w:p w:rsidR="00370906" w:rsidRDefault="00D73761">
            <w:pPr>
              <w:jc w:val="right"/>
            </w:pPr>
            <w:r>
              <w:rPr>
                <w:sz w:val="24"/>
              </w:rPr>
              <w:t>2,308,110.91</w:t>
            </w:r>
          </w:p>
        </w:tc>
        <w:tc>
          <w:tcPr>
            <w:tcW w:w="1603" w:type="dxa"/>
            <w:vAlign w:val="center"/>
          </w:tcPr>
          <w:p w:rsidR="00370906" w:rsidRDefault="00D73761">
            <w:pPr>
              <w:jc w:val="right"/>
            </w:pPr>
            <w:r>
              <w:rPr>
                <w:sz w:val="24"/>
              </w:rPr>
              <w:t>2.29</w:t>
            </w:r>
          </w:p>
        </w:tc>
      </w:tr>
      <w:tr w:rsidR="00370906">
        <w:tc>
          <w:tcPr>
            <w:tcW w:w="539" w:type="dxa"/>
            <w:vAlign w:val="center"/>
          </w:tcPr>
          <w:p w:rsidR="00370906" w:rsidRDefault="00D73761">
            <w:pPr>
              <w:jc w:val="center"/>
            </w:pPr>
            <w:r>
              <w:rPr>
                <w:sz w:val="24"/>
              </w:rPr>
              <w:t>7</w:t>
            </w:r>
          </w:p>
        </w:tc>
        <w:tc>
          <w:tcPr>
            <w:tcW w:w="4449" w:type="dxa"/>
            <w:vAlign w:val="center"/>
          </w:tcPr>
          <w:p w:rsidR="00370906" w:rsidRDefault="00D73761">
            <w:pPr>
              <w:jc w:val="center"/>
            </w:pPr>
            <w:r>
              <w:rPr>
                <w:sz w:val="24"/>
              </w:rPr>
              <w:t>China Merchants Bank Co.,Ltd.</w:t>
            </w:r>
          </w:p>
        </w:tc>
        <w:tc>
          <w:tcPr>
            <w:tcW w:w="979" w:type="dxa"/>
            <w:vAlign w:val="center"/>
          </w:tcPr>
          <w:p w:rsidR="00370906" w:rsidRDefault="00D73761">
            <w:pPr>
              <w:jc w:val="center"/>
            </w:pPr>
            <w:r>
              <w:rPr>
                <w:sz w:val="24"/>
              </w:rPr>
              <w:t>3968 HK</w:t>
            </w:r>
          </w:p>
        </w:tc>
        <w:tc>
          <w:tcPr>
            <w:tcW w:w="1428" w:type="dxa"/>
            <w:vAlign w:val="center"/>
          </w:tcPr>
          <w:p w:rsidR="00370906" w:rsidRDefault="00D73761">
            <w:pPr>
              <w:jc w:val="right"/>
            </w:pPr>
            <w:r>
              <w:rPr>
                <w:sz w:val="24"/>
              </w:rPr>
              <w:t>2,300,808.43</w:t>
            </w:r>
          </w:p>
        </w:tc>
        <w:tc>
          <w:tcPr>
            <w:tcW w:w="1603" w:type="dxa"/>
            <w:vAlign w:val="center"/>
          </w:tcPr>
          <w:p w:rsidR="00370906" w:rsidRDefault="00D73761">
            <w:pPr>
              <w:jc w:val="right"/>
            </w:pPr>
            <w:r>
              <w:rPr>
                <w:sz w:val="24"/>
              </w:rPr>
              <w:t>2.28</w:t>
            </w:r>
          </w:p>
        </w:tc>
      </w:tr>
      <w:tr w:rsidR="00370906">
        <w:tc>
          <w:tcPr>
            <w:tcW w:w="539" w:type="dxa"/>
            <w:vAlign w:val="center"/>
          </w:tcPr>
          <w:p w:rsidR="00370906" w:rsidRDefault="00D73761">
            <w:pPr>
              <w:jc w:val="center"/>
            </w:pPr>
            <w:r>
              <w:rPr>
                <w:sz w:val="24"/>
              </w:rPr>
              <w:t>8</w:t>
            </w:r>
          </w:p>
        </w:tc>
        <w:tc>
          <w:tcPr>
            <w:tcW w:w="4449" w:type="dxa"/>
            <w:vAlign w:val="center"/>
          </w:tcPr>
          <w:p w:rsidR="00370906" w:rsidRDefault="00D73761">
            <w:pPr>
              <w:jc w:val="center"/>
            </w:pPr>
            <w:r>
              <w:rPr>
                <w:sz w:val="24"/>
              </w:rPr>
              <w:t>Chongqing Rural Commercial Bank Co.,ltd.</w:t>
            </w:r>
          </w:p>
        </w:tc>
        <w:tc>
          <w:tcPr>
            <w:tcW w:w="979" w:type="dxa"/>
            <w:vAlign w:val="center"/>
          </w:tcPr>
          <w:p w:rsidR="00370906" w:rsidRDefault="00D73761">
            <w:pPr>
              <w:jc w:val="center"/>
            </w:pPr>
            <w:r>
              <w:rPr>
                <w:sz w:val="24"/>
              </w:rPr>
              <w:t>3618 HK</w:t>
            </w:r>
          </w:p>
        </w:tc>
        <w:tc>
          <w:tcPr>
            <w:tcW w:w="1428" w:type="dxa"/>
            <w:vAlign w:val="center"/>
          </w:tcPr>
          <w:p w:rsidR="00370906" w:rsidRDefault="00D73761">
            <w:pPr>
              <w:jc w:val="right"/>
            </w:pPr>
            <w:r>
              <w:rPr>
                <w:sz w:val="24"/>
              </w:rPr>
              <w:t>2,162,894.75</w:t>
            </w:r>
          </w:p>
        </w:tc>
        <w:tc>
          <w:tcPr>
            <w:tcW w:w="1603" w:type="dxa"/>
            <w:vAlign w:val="center"/>
          </w:tcPr>
          <w:p w:rsidR="00370906" w:rsidRDefault="00D73761">
            <w:pPr>
              <w:jc w:val="right"/>
            </w:pPr>
            <w:r>
              <w:rPr>
                <w:sz w:val="24"/>
              </w:rPr>
              <w:t>2.15</w:t>
            </w:r>
          </w:p>
        </w:tc>
      </w:tr>
      <w:tr w:rsidR="00370906">
        <w:tc>
          <w:tcPr>
            <w:tcW w:w="539" w:type="dxa"/>
            <w:vAlign w:val="center"/>
          </w:tcPr>
          <w:p w:rsidR="00370906" w:rsidRDefault="00D73761">
            <w:pPr>
              <w:jc w:val="center"/>
            </w:pPr>
            <w:r>
              <w:rPr>
                <w:sz w:val="24"/>
              </w:rPr>
              <w:t>9</w:t>
            </w:r>
          </w:p>
        </w:tc>
        <w:tc>
          <w:tcPr>
            <w:tcW w:w="4449" w:type="dxa"/>
            <w:vAlign w:val="center"/>
          </w:tcPr>
          <w:p w:rsidR="00370906" w:rsidRDefault="00D73761">
            <w:pPr>
              <w:jc w:val="center"/>
            </w:pPr>
            <w:r>
              <w:rPr>
                <w:sz w:val="24"/>
              </w:rPr>
              <w:t>Zijin Mining Group Co.,Ltd.</w:t>
            </w:r>
          </w:p>
        </w:tc>
        <w:tc>
          <w:tcPr>
            <w:tcW w:w="979" w:type="dxa"/>
            <w:vAlign w:val="center"/>
          </w:tcPr>
          <w:p w:rsidR="00370906" w:rsidRDefault="00D73761">
            <w:pPr>
              <w:jc w:val="center"/>
            </w:pPr>
            <w:r>
              <w:rPr>
                <w:sz w:val="24"/>
              </w:rPr>
              <w:t>2899 HK</w:t>
            </w:r>
          </w:p>
        </w:tc>
        <w:tc>
          <w:tcPr>
            <w:tcW w:w="1428" w:type="dxa"/>
            <w:vAlign w:val="center"/>
          </w:tcPr>
          <w:p w:rsidR="00370906" w:rsidRDefault="00D73761">
            <w:pPr>
              <w:jc w:val="right"/>
            </w:pPr>
            <w:r>
              <w:rPr>
                <w:sz w:val="24"/>
              </w:rPr>
              <w:t>1,935,217.80</w:t>
            </w:r>
          </w:p>
        </w:tc>
        <w:tc>
          <w:tcPr>
            <w:tcW w:w="1603" w:type="dxa"/>
            <w:vAlign w:val="center"/>
          </w:tcPr>
          <w:p w:rsidR="00370906" w:rsidRDefault="00D73761">
            <w:pPr>
              <w:jc w:val="right"/>
            </w:pPr>
            <w:r>
              <w:rPr>
                <w:sz w:val="24"/>
              </w:rPr>
              <w:t>1.92</w:t>
            </w:r>
          </w:p>
        </w:tc>
      </w:tr>
      <w:tr w:rsidR="00370906">
        <w:tc>
          <w:tcPr>
            <w:tcW w:w="539" w:type="dxa"/>
            <w:vAlign w:val="center"/>
          </w:tcPr>
          <w:p w:rsidR="00370906" w:rsidRDefault="00D73761">
            <w:pPr>
              <w:jc w:val="center"/>
            </w:pPr>
            <w:r>
              <w:rPr>
                <w:sz w:val="24"/>
              </w:rPr>
              <w:t>10</w:t>
            </w:r>
          </w:p>
        </w:tc>
        <w:tc>
          <w:tcPr>
            <w:tcW w:w="4449" w:type="dxa"/>
            <w:vAlign w:val="center"/>
          </w:tcPr>
          <w:p w:rsidR="00370906" w:rsidRDefault="00D73761">
            <w:pPr>
              <w:jc w:val="center"/>
            </w:pPr>
            <w:r>
              <w:rPr>
                <w:sz w:val="24"/>
              </w:rPr>
              <w:t>China Resources Land Limited</w:t>
            </w:r>
          </w:p>
        </w:tc>
        <w:tc>
          <w:tcPr>
            <w:tcW w:w="979" w:type="dxa"/>
            <w:vAlign w:val="center"/>
          </w:tcPr>
          <w:p w:rsidR="00370906" w:rsidRDefault="00D73761">
            <w:pPr>
              <w:jc w:val="center"/>
            </w:pPr>
            <w:r>
              <w:rPr>
                <w:sz w:val="24"/>
              </w:rPr>
              <w:t>1109 HK</w:t>
            </w:r>
          </w:p>
        </w:tc>
        <w:tc>
          <w:tcPr>
            <w:tcW w:w="1428" w:type="dxa"/>
            <w:vAlign w:val="center"/>
          </w:tcPr>
          <w:p w:rsidR="00370906" w:rsidRDefault="00D73761">
            <w:pPr>
              <w:jc w:val="right"/>
            </w:pPr>
            <w:r>
              <w:rPr>
                <w:sz w:val="24"/>
              </w:rPr>
              <w:t>1,602,064.13</w:t>
            </w:r>
          </w:p>
        </w:tc>
        <w:tc>
          <w:tcPr>
            <w:tcW w:w="1603" w:type="dxa"/>
            <w:vAlign w:val="center"/>
          </w:tcPr>
          <w:p w:rsidR="00370906" w:rsidRDefault="00D73761">
            <w:pPr>
              <w:jc w:val="right"/>
            </w:pPr>
            <w:r>
              <w:rPr>
                <w:sz w:val="24"/>
              </w:rPr>
              <w:t>1.59</w:t>
            </w:r>
          </w:p>
        </w:tc>
      </w:tr>
      <w:tr w:rsidR="00370906">
        <w:tc>
          <w:tcPr>
            <w:tcW w:w="539" w:type="dxa"/>
            <w:vAlign w:val="center"/>
          </w:tcPr>
          <w:p w:rsidR="00370906" w:rsidRDefault="00D73761">
            <w:pPr>
              <w:jc w:val="center"/>
            </w:pPr>
            <w:r>
              <w:rPr>
                <w:sz w:val="24"/>
              </w:rPr>
              <w:t>11</w:t>
            </w:r>
          </w:p>
        </w:tc>
        <w:tc>
          <w:tcPr>
            <w:tcW w:w="4449" w:type="dxa"/>
            <w:vAlign w:val="center"/>
          </w:tcPr>
          <w:p w:rsidR="00370906" w:rsidRDefault="00D73761">
            <w:pPr>
              <w:jc w:val="center"/>
            </w:pPr>
            <w:r>
              <w:rPr>
                <w:sz w:val="24"/>
              </w:rPr>
              <w:t>Check Point Software</w:t>
            </w:r>
          </w:p>
        </w:tc>
        <w:tc>
          <w:tcPr>
            <w:tcW w:w="979" w:type="dxa"/>
            <w:vAlign w:val="center"/>
          </w:tcPr>
          <w:p w:rsidR="00370906" w:rsidRDefault="00D73761">
            <w:pPr>
              <w:jc w:val="center"/>
            </w:pPr>
            <w:r>
              <w:rPr>
                <w:sz w:val="24"/>
              </w:rPr>
              <w:t>CHKP US</w:t>
            </w:r>
          </w:p>
        </w:tc>
        <w:tc>
          <w:tcPr>
            <w:tcW w:w="1428" w:type="dxa"/>
            <w:vAlign w:val="center"/>
          </w:tcPr>
          <w:p w:rsidR="00370906" w:rsidRDefault="00D73761">
            <w:pPr>
              <w:jc w:val="right"/>
            </w:pPr>
            <w:r>
              <w:rPr>
                <w:sz w:val="24"/>
              </w:rPr>
              <w:t>1,515,504.64</w:t>
            </w:r>
          </w:p>
        </w:tc>
        <w:tc>
          <w:tcPr>
            <w:tcW w:w="1603" w:type="dxa"/>
            <w:vAlign w:val="center"/>
          </w:tcPr>
          <w:p w:rsidR="00370906" w:rsidRDefault="00D73761">
            <w:pPr>
              <w:jc w:val="right"/>
            </w:pPr>
            <w:r>
              <w:rPr>
                <w:sz w:val="24"/>
              </w:rPr>
              <w:t>1.50</w:t>
            </w:r>
          </w:p>
        </w:tc>
      </w:tr>
      <w:tr w:rsidR="00370906">
        <w:tc>
          <w:tcPr>
            <w:tcW w:w="539" w:type="dxa"/>
            <w:vAlign w:val="center"/>
          </w:tcPr>
          <w:p w:rsidR="00370906" w:rsidRDefault="00D73761">
            <w:pPr>
              <w:jc w:val="center"/>
            </w:pPr>
            <w:r>
              <w:rPr>
                <w:sz w:val="24"/>
              </w:rPr>
              <w:t>12</w:t>
            </w:r>
          </w:p>
        </w:tc>
        <w:tc>
          <w:tcPr>
            <w:tcW w:w="4449" w:type="dxa"/>
            <w:vAlign w:val="center"/>
          </w:tcPr>
          <w:p w:rsidR="00370906" w:rsidRDefault="00D73761">
            <w:pPr>
              <w:jc w:val="center"/>
            </w:pPr>
            <w:r>
              <w:rPr>
                <w:sz w:val="24"/>
              </w:rPr>
              <w:t>China Southern Airlines Company Limited</w:t>
            </w:r>
          </w:p>
        </w:tc>
        <w:tc>
          <w:tcPr>
            <w:tcW w:w="979" w:type="dxa"/>
            <w:vAlign w:val="center"/>
          </w:tcPr>
          <w:p w:rsidR="00370906" w:rsidRDefault="00D73761">
            <w:pPr>
              <w:jc w:val="center"/>
            </w:pPr>
            <w:r>
              <w:rPr>
                <w:sz w:val="24"/>
              </w:rPr>
              <w:t>1055 HK</w:t>
            </w:r>
          </w:p>
        </w:tc>
        <w:tc>
          <w:tcPr>
            <w:tcW w:w="1428" w:type="dxa"/>
            <w:vAlign w:val="center"/>
          </w:tcPr>
          <w:p w:rsidR="00370906" w:rsidRDefault="00D73761">
            <w:pPr>
              <w:jc w:val="right"/>
            </w:pPr>
            <w:r>
              <w:rPr>
                <w:sz w:val="24"/>
              </w:rPr>
              <w:t>1,475,213.59</w:t>
            </w:r>
          </w:p>
        </w:tc>
        <w:tc>
          <w:tcPr>
            <w:tcW w:w="1603" w:type="dxa"/>
            <w:vAlign w:val="center"/>
          </w:tcPr>
          <w:p w:rsidR="00370906" w:rsidRDefault="00D73761">
            <w:pPr>
              <w:jc w:val="right"/>
            </w:pPr>
            <w:r>
              <w:rPr>
                <w:sz w:val="24"/>
              </w:rPr>
              <w:t>1.46</w:t>
            </w:r>
          </w:p>
        </w:tc>
      </w:tr>
      <w:tr w:rsidR="00370906">
        <w:tc>
          <w:tcPr>
            <w:tcW w:w="539" w:type="dxa"/>
            <w:vAlign w:val="center"/>
          </w:tcPr>
          <w:p w:rsidR="00370906" w:rsidRDefault="00D73761">
            <w:pPr>
              <w:jc w:val="center"/>
            </w:pPr>
            <w:r>
              <w:rPr>
                <w:sz w:val="24"/>
              </w:rPr>
              <w:t>13</w:t>
            </w:r>
          </w:p>
        </w:tc>
        <w:tc>
          <w:tcPr>
            <w:tcW w:w="4449" w:type="dxa"/>
            <w:vAlign w:val="center"/>
          </w:tcPr>
          <w:p w:rsidR="00370906" w:rsidRDefault="00D73761">
            <w:pPr>
              <w:jc w:val="center"/>
            </w:pPr>
            <w:r>
              <w:rPr>
                <w:sz w:val="24"/>
              </w:rPr>
              <w:t>Canvest Environmental Protection Group Company Limited</w:t>
            </w:r>
          </w:p>
        </w:tc>
        <w:tc>
          <w:tcPr>
            <w:tcW w:w="979" w:type="dxa"/>
            <w:vAlign w:val="center"/>
          </w:tcPr>
          <w:p w:rsidR="00370906" w:rsidRDefault="00D73761">
            <w:pPr>
              <w:jc w:val="center"/>
            </w:pPr>
            <w:r>
              <w:rPr>
                <w:sz w:val="24"/>
              </w:rPr>
              <w:t>1381 HK</w:t>
            </w:r>
          </w:p>
        </w:tc>
        <w:tc>
          <w:tcPr>
            <w:tcW w:w="1428" w:type="dxa"/>
            <w:vAlign w:val="center"/>
          </w:tcPr>
          <w:p w:rsidR="00370906" w:rsidRDefault="00D73761">
            <w:pPr>
              <w:jc w:val="right"/>
            </w:pPr>
            <w:r>
              <w:rPr>
                <w:sz w:val="24"/>
              </w:rPr>
              <w:t>1,472,242.39</w:t>
            </w:r>
          </w:p>
        </w:tc>
        <w:tc>
          <w:tcPr>
            <w:tcW w:w="1603" w:type="dxa"/>
            <w:vAlign w:val="center"/>
          </w:tcPr>
          <w:p w:rsidR="00370906" w:rsidRDefault="00D73761">
            <w:pPr>
              <w:jc w:val="right"/>
            </w:pPr>
            <w:r>
              <w:rPr>
                <w:sz w:val="24"/>
              </w:rPr>
              <w:t>1.46</w:t>
            </w:r>
          </w:p>
        </w:tc>
      </w:tr>
      <w:tr w:rsidR="00370906">
        <w:tc>
          <w:tcPr>
            <w:tcW w:w="539" w:type="dxa"/>
            <w:vAlign w:val="center"/>
          </w:tcPr>
          <w:p w:rsidR="00370906" w:rsidRDefault="00D73761">
            <w:pPr>
              <w:jc w:val="center"/>
            </w:pPr>
            <w:r>
              <w:rPr>
                <w:sz w:val="24"/>
              </w:rPr>
              <w:t>14</w:t>
            </w:r>
          </w:p>
        </w:tc>
        <w:tc>
          <w:tcPr>
            <w:tcW w:w="4449" w:type="dxa"/>
            <w:vAlign w:val="center"/>
          </w:tcPr>
          <w:p w:rsidR="00370906" w:rsidRDefault="00D73761">
            <w:pPr>
              <w:jc w:val="center"/>
            </w:pPr>
            <w:r>
              <w:rPr>
                <w:sz w:val="24"/>
              </w:rPr>
              <w:t>Statoilhydro Asa</w:t>
            </w:r>
          </w:p>
        </w:tc>
        <w:tc>
          <w:tcPr>
            <w:tcW w:w="979" w:type="dxa"/>
            <w:vAlign w:val="center"/>
          </w:tcPr>
          <w:p w:rsidR="00370906" w:rsidRDefault="00D73761">
            <w:pPr>
              <w:jc w:val="center"/>
            </w:pPr>
            <w:r>
              <w:rPr>
                <w:sz w:val="24"/>
              </w:rPr>
              <w:t>STL NO</w:t>
            </w:r>
          </w:p>
        </w:tc>
        <w:tc>
          <w:tcPr>
            <w:tcW w:w="1428" w:type="dxa"/>
            <w:vAlign w:val="center"/>
          </w:tcPr>
          <w:p w:rsidR="00370906" w:rsidRDefault="00D73761">
            <w:pPr>
              <w:jc w:val="right"/>
            </w:pPr>
            <w:r>
              <w:rPr>
                <w:sz w:val="24"/>
              </w:rPr>
              <w:t>1,434,410.82</w:t>
            </w:r>
          </w:p>
        </w:tc>
        <w:tc>
          <w:tcPr>
            <w:tcW w:w="1603" w:type="dxa"/>
            <w:vAlign w:val="center"/>
          </w:tcPr>
          <w:p w:rsidR="00370906" w:rsidRDefault="00D73761">
            <w:pPr>
              <w:jc w:val="right"/>
            </w:pPr>
            <w:r>
              <w:rPr>
                <w:sz w:val="24"/>
              </w:rPr>
              <w:t>1.42</w:t>
            </w:r>
          </w:p>
        </w:tc>
      </w:tr>
      <w:tr w:rsidR="00370906">
        <w:tc>
          <w:tcPr>
            <w:tcW w:w="539" w:type="dxa"/>
            <w:vAlign w:val="center"/>
          </w:tcPr>
          <w:p w:rsidR="00370906" w:rsidRDefault="00D73761">
            <w:pPr>
              <w:jc w:val="center"/>
            </w:pPr>
            <w:r>
              <w:rPr>
                <w:sz w:val="24"/>
              </w:rPr>
              <w:t>15</w:t>
            </w:r>
          </w:p>
        </w:tc>
        <w:tc>
          <w:tcPr>
            <w:tcW w:w="4449" w:type="dxa"/>
            <w:vAlign w:val="center"/>
          </w:tcPr>
          <w:p w:rsidR="00370906" w:rsidRDefault="00D73761">
            <w:pPr>
              <w:jc w:val="center"/>
            </w:pPr>
            <w:r>
              <w:rPr>
                <w:sz w:val="24"/>
              </w:rPr>
              <w:t>China State Construction International Holdings Limited</w:t>
            </w:r>
          </w:p>
        </w:tc>
        <w:tc>
          <w:tcPr>
            <w:tcW w:w="979" w:type="dxa"/>
            <w:vAlign w:val="center"/>
          </w:tcPr>
          <w:p w:rsidR="00370906" w:rsidRDefault="00D73761">
            <w:pPr>
              <w:jc w:val="center"/>
            </w:pPr>
            <w:r>
              <w:rPr>
                <w:sz w:val="24"/>
              </w:rPr>
              <w:t>3311 HK</w:t>
            </w:r>
          </w:p>
        </w:tc>
        <w:tc>
          <w:tcPr>
            <w:tcW w:w="1428" w:type="dxa"/>
            <w:vAlign w:val="center"/>
          </w:tcPr>
          <w:p w:rsidR="00370906" w:rsidRDefault="00D73761">
            <w:pPr>
              <w:jc w:val="right"/>
            </w:pPr>
            <w:r>
              <w:rPr>
                <w:sz w:val="24"/>
              </w:rPr>
              <w:t>1,433,497.66</w:t>
            </w:r>
          </w:p>
        </w:tc>
        <w:tc>
          <w:tcPr>
            <w:tcW w:w="1603" w:type="dxa"/>
            <w:vAlign w:val="center"/>
          </w:tcPr>
          <w:p w:rsidR="00370906" w:rsidRDefault="00D73761">
            <w:pPr>
              <w:jc w:val="right"/>
            </w:pPr>
            <w:r>
              <w:rPr>
                <w:sz w:val="24"/>
              </w:rPr>
              <w:t>1.42</w:t>
            </w:r>
          </w:p>
        </w:tc>
      </w:tr>
      <w:tr w:rsidR="00370906">
        <w:tc>
          <w:tcPr>
            <w:tcW w:w="539" w:type="dxa"/>
            <w:vAlign w:val="center"/>
          </w:tcPr>
          <w:p w:rsidR="00370906" w:rsidRDefault="00D73761">
            <w:pPr>
              <w:jc w:val="center"/>
            </w:pPr>
            <w:r>
              <w:rPr>
                <w:sz w:val="24"/>
              </w:rPr>
              <w:t>16</w:t>
            </w:r>
          </w:p>
        </w:tc>
        <w:tc>
          <w:tcPr>
            <w:tcW w:w="4449" w:type="dxa"/>
            <w:vAlign w:val="center"/>
          </w:tcPr>
          <w:p w:rsidR="00370906" w:rsidRDefault="00D73761">
            <w:pPr>
              <w:jc w:val="center"/>
            </w:pPr>
            <w:r>
              <w:rPr>
                <w:sz w:val="24"/>
              </w:rPr>
              <w:t>Chinasoft International Ltd.</w:t>
            </w:r>
          </w:p>
        </w:tc>
        <w:tc>
          <w:tcPr>
            <w:tcW w:w="979" w:type="dxa"/>
            <w:vAlign w:val="center"/>
          </w:tcPr>
          <w:p w:rsidR="00370906" w:rsidRDefault="00D73761">
            <w:pPr>
              <w:jc w:val="center"/>
            </w:pPr>
            <w:r>
              <w:rPr>
                <w:sz w:val="24"/>
              </w:rPr>
              <w:t>354 HK</w:t>
            </w:r>
          </w:p>
        </w:tc>
        <w:tc>
          <w:tcPr>
            <w:tcW w:w="1428" w:type="dxa"/>
            <w:vAlign w:val="center"/>
          </w:tcPr>
          <w:p w:rsidR="00370906" w:rsidRDefault="00D73761">
            <w:pPr>
              <w:jc w:val="right"/>
            </w:pPr>
            <w:r>
              <w:rPr>
                <w:sz w:val="24"/>
              </w:rPr>
              <w:t>1,368,212.52</w:t>
            </w:r>
          </w:p>
        </w:tc>
        <w:tc>
          <w:tcPr>
            <w:tcW w:w="1603" w:type="dxa"/>
            <w:vAlign w:val="center"/>
          </w:tcPr>
          <w:p w:rsidR="00370906" w:rsidRDefault="00D73761">
            <w:pPr>
              <w:jc w:val="right"/>
            </w:pPr>
            <w:r>
              <w:rPr>
                <w:sz w:val="24"/>
              </w:rPr>
              <w:t>1.36</w:t>
            </w:r>
          </w:p>
        </w:tc>
      </w:tr>
      <w:tr w:rsidR="00370906">
        <w:tc>
          <w:tcPr>
            <w:tcW w:w="539" w:type="dxa"/>
            <w:vAlign w:val="center"/>
          </w:tcPr>
          <w:p w:rsidR="00370906" w:rsidRDefault="00D73761">
            <w:pPr>
              <w:jc w:val="center"/>
            </w:pPr>
            <w:r>
              <w:rPr>
                <w:sz w:val="24"/>
              </w:rPr>
              <w:t>17</w:t>
            </w:r>
          </w:p>
        </w:tc>
        <w:tc>
          <w:tcPr>
            <w:tcW w:w="4449" w:type="dxa"/>
            <w:vAlign w:val="center"/>
          </w:tcPr>
          <w:p w:rsidR="00370906" w:rsidRDefault="00D73761">
            <w:pPr>
              <w:jc w:val="center"/>
            </w:pPr>
            <w:r>
              <w:rPr>
                <w:sz w:val="24"/>
              </w:rPr>
              <w:t>China Mobile Limited</w:t>
            </w:r>
          </w:p>
        </w:tc>
        <w:tc>
          <w:tcPr>
            <w:tcW w:w="979" w:type="dxa"/>
            <w:vAlign w:val="center"/>
          </w:tcPr>
          <w:p w:rsidR="00370906" w:rsidRDefault="00D73761">
            <w:pPr>
              <w:jc w:val="center"/>
            </w:pPr>
            <w:r>
              <w:rPr>
                <w:sz w:val="24"/>
              </w:rPr>
              <w:t>941 HK</w:t>
            </w:r>
          </w:p>
        </w:tc>
        <w:tc>
          <w:tcPr>
            <w:tcW w:w="1428" w:type="dxa"/>
            <w:vAlign w:val="center"/>
          </w:tcPr>
          <w:p w:rsidR="00370906" w:rsidRDefault="00D73761">
            <w:pPr>
              <w:jc w:val="right"/>
            </w:pPr>
            <w:r>
              <w:rPr>
                <w:sz w:val="24"/>
              </w:rPr>
              <w:t>1,364,165.30</w:t>
            </w:r>
          </w:p>
        </w:tc>
        <w:tc>
          <w:tcPr>
            <w:tcW w:w="1603" w:type="dxa"/>
            <w:vAlign w:val="center"/>
          </w:tcPr>
          <w:p w:rsidR="00370906" w:rsidRDefault="00D73761">
            <w:pPr>
              <w:jc w:val="right"/>
            </w:pPr>
            <w:r>
              <w:rPr>
                <w:sz w:val="24"/>
              </w:rPr>
              <w:t>1.35</w:t>
            </w:r>
          </w:p>
        </w:tc>
      </w:tr>
      <w:tr w:rsidR="00370906">
        <w:tc>
          <w:tcPr>
            <w:tcW w:w="539" w:type="dxa"/>
            <w:vAlign w:val="center"/>
          </w:tcPr>
          <w:p w:rsidR="00370906" w:rsidRDefault="00D73761">
            <w:pPr>
              <w:jc w:val="center"/>
            </w:pPr>
            <w:r>
              <w:rPr>
                <w:sz w:val="24"/>
              </w:rPr>
              <w:t>18</w:t>
            </w:r>
          </w:p>
        </w:tc>
        <w:tc>
          <w:tcPr>
            <w:tcW w:w="4449" w:type="dxa"/>
            <w:vAlign w:val="center"/>
          </w:tcPr>
          <w:p w:rsidR="00370906" w:rsidRDefault="00D73761">
            <w:pPr>
              <w:jc w:val="center"/>
            </w:pPr>
            <w:r>
              <w:rPr>
                <w:sz w:val="24"/>
              </w:rPr>
              <w:t>Ingersoll-Rand Plc</w:t>
            </w:r>
          </w:p>
        </w:tc>
        <w:tc>
          <w:tcPr>
            <w:tcW w:w="979" w:type="dxa"/>
            <w:vAlign w:val="center"/>
          </w:tcPr>
          <w:p w:rsidR="00370906" w:rsidRDefault="00D73761">
            <w:pPr>
              <w:jc w:val="center"/>
            </w:pPr>
            <w:r>
              <w:rPr>
                <w:sz w:val="24"/>
              </w:rPr>
              <w:t>IR US</w:t>
            </w:r>
          </w:p>
        </w:tc>
        <w:tc>
          <w:tcPr>
            <w:tcW w:w="1428" w:type="dxa"/>
            <w:vAlign w:val="center"/>
          </w:tcPr>
          <w:p w:rsidR="00370906" w:rsidRDefault="00D73761">
            <w:pPr>
              <w:jc w:val="right"/>
            </w:pPr>
            <w:r>
              <w:rPr>
                <w:sz w:val="24"/>
              </w:rPr>
              <w:t>1,355,856.60</w:t>
            </w:r>
          </w:p>
        </w:tc>
        <w:tc>
          <w:tcPr>
            <w:tcW w:w="1603" w:type="dxa"/>
            <w:vAlign w:val="center"/>
          </w:tcPr>
          <w:p w:rsidR="00370906" w:rsidRDefault="00D73761">
            <w:pPr>
              <w:jc w:val="right"/>
            </w:pPr>
            <w:r>
              <w:rPr>
                <w:sz w:val="24"/>
              </w:rPr>
              <w:t>1.35</w:t>
            </w:r>
          </w:p>
        </w:tc>
      </w:tr>
      <w:tr w:rsidR="00370906">
        <w:tc>
          <w:tcPr>
            <w:tcW w:w="539" w:type="dxa"/>
            <w:vAlign w:val="center"/>
          </w:tcPr>
          <w:p w:rsidR="00370906" w:rsidRDefault="00D73761">
            <w:pPr>
              <w:jc w:val="center"/>
            </w:pPr>
            <w:r>
              <w:rPr>
                <w:sz w:val="24"/>
              </w:rPr>
              <w:t>19</w:t>
            </w:r>
          </w:p>
        </w:tc>
        <w:tc>
          <w:tcPr>
            <w:tcW w:w="4449" w:type="dxa"/>
            <w:vAlign w:val="center"/>
          </w:tcPr>
          <w:p w:rsidR="00370906" w:rsidRDefault="00D73761">
            <w:pPr>
              <w:jc w:val="center"/>
            </w:pPr>
            <w:r>
              <w:rPr>
                <w:sz w:val="24"/>
              </w:rPr>
              <w:t>Walgreen Boots Alliance Inc</w:t>
            </w:r>
          </w:p>
        </w:tc>
        <w:tc>
          <w:tcPr>
            <w:tcW w:w="979" w:type="dxa"/>
            <w:vAlign w:val="center"/>
          </w:tcPr>
          <w:p w:rsidR="00370906" w:rsidRDefault="00D73761">
            <w:pPr>
              <w:jc w:val="center"/>
            </w:pPr>
            <w:r>
              <w:rPr>
                <w:sz w:val="24"/>
              </w:rPr>
              <w:t>WBA US</w:t>
            </w:r>
          </w:p>
        </w:tc>
        <w:tc>
          <w:tcPr>
            <w:tcW w:w="1428" w:type="dxa"/>
            <w:vAlign w:val="center"/>
          </w:tcPr>
          <w:p w:rsidR="00370906" w:rsidRDefault="00D73761">
            <w:pPr>
              <w:jc w:val="right"/>
            </w:pPr>
            <w:r>
              <w:rPr>
                <w:sz w:val="24"/>
              </w:rPr>
              <w:t>1,342,020.62</w:t>
            </w:r>
          </w:p>
        </w:tc>
        <w:tc>
          <w:tcPr>
            <w:tcW w:w="1603" w:type="dxa"/>
            <w:vAlign w:val="center"/>
          </w:tcPr>
          <w:p w:rsidR="00370906" w:rsidRDefault="00D73761">
            <w:pPr>
              <w:jc w:val="right"/>
            </w:pPr>
            <w:r>
              <w:rPr>
                <w:sz w:val="24"/>
              </w:rPr>
              <w:t>1.33</w:t>
            </w:r>
          </w:p>
        </w:tc>
      </w:tr>
      <w:tr w:rsidR="00370906">
        <w:tc>
          <w:tcPr>
            <w:tcW w:w="539" w:type="dxa"/>
            <w:vAlign w:val="center"/>
          </w:tcPr>
          <w:p w:rsidR="00370906" w:rsidRDefault="00D73761">
            <w:pPr>
              <w:jc w:val="center"/>
            </w:pPr>
            <w:r>
              <w:rPr>
                <w:sz w:val="24"/>
              </w:rPr>
              <w:t>20</w:t>
            </w:r>
          </w:p>
        </w:tc>
        <w:tc>
          <w:tcPr>
            <w:tcW w:w="4449" w:type="dxa"/>
            <w:vAlign w:val="center"/>
          </w:tcPr>
          <w:p w:rsidR="00370906" w:rsidRDefault="00D73761">
            <w:pPr>
              <w:jc w:val="center"/>
            </w:pPr>
            <w:r>
              <w:rPr>
                <w:sz w:val="24"/>
              </w:rPr>
              <w:t>Eaton Corp. Plc</w:t>
            </w:r>
          </w:p>
        </w:tc>
        <w:tc>
          <w:tcPr>
            <w:tcW w:w="979" w:type="dxa"/>
            <w:vAlign w:val="center"/>
          </w:tcPr>
          <w:p w:rsidR="00370906" w:rsidRDefault="00D73761">
            <w:pPr>
              <w:jc w:val="center"/>
            </w:pPr>
            <w:r>
              <w:rPr>
                <w:sz w:val="24"/>
              </w:rPr>
              <w:t>ETN US</w:t>
            </w:r>
          </w:p>
        </w:tc>
        <w:tc>
          <w:tcPr>
            <w:tcW w:w="1428" w:type="dxa"/>
            <w:vAlign w:val="center"/>
          </w:tcPr>
          <w:p w:rsidR="00370906" w:rsidRDefault="00D73761">
            <w:pPr>
              <w:jc w:val="right"/>
            </w:pPr>
            <w:r>
              <w:rPr>
                <w:sz w:val="24"/>
              </w:rPr>
              <w:t>1,265,067.63</w:t>
            </w:r>
          </w:p>
        </w:tc>
        <w:tc>
          <w:tcPr>
            <w:tcW w:w="1603" w:type="dxa"/>
            <w:vAlign w:val="center"/>
          </w:tcPr>
          <w:p w:rsidR="00370906" w:rsidRDefault="00D73761">
            <w:pPr>
              <w:jc w:val="right"/>
            </w:pPr>
            <w:r>
              <w:rPr>
                <w:sz w:val="24"/>
              </w:rPr>
              <w:t>1.26</w:t>
            </w:r>
          </w:p>
        </w:tc>
      </w:tr>
    </w:tbl>
    <w:p w:rsidR="00370906" w:rsidRDefault="00D7376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100,918,494.57</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98,623,937.20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9" w:name="_Toc224618381"/>
      <w:bookmarkStart w:id="200" w:name="_Toc248233028"/>
      <w:bookmarkStart w:id="201" w:name="_Toc249790560"/>
      <w:bookmarkStart w:id="202" w:name="_Toc286929761"/>
      <w:bookmarkStart w:id="203" w:name="_Toc352256000"/>
      <w:bookmarkStart w:id="204" w:name="_Toc352256068"/>
      <w:bookmarkStart w:id="205" w:name="_Toc352331246"/>
      <w:bookmarkStart w:id="206" w:name="_Toc362424024"/>
      <w:r w:rsidRPr="00390099">
        <w:rPr>
          <w:rFonts w:ascii="Times New Roman" w:hAnsi="Times New Roman"/>
          <w:kern w:val="0"/>
          <w:szCs w:val="24"/>
        </w:rPr>
        <w:lastRenderedPageBreak/>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9"/>
      <w:bookmarkEnd w:id="200"/>
      <w:bookmarkEnd w:id="201"/>
      <w:bookmarkEnd w:id="202"/>
      <w:bookmarkEnd w:id="203"/>
      <w:bookmarkEnd w:id="204"/>
      <w:bookmarkEnd w:id="205"/>
      <w:bookmarkEnd w:id="206"/>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7" w:name="_Toc224618382"/>
      <w:bookmarkStart w:id="208" w:name="_Toc248233029"/>
      <w:bookmarkStart w:id="209" w:name="_Toc249790561"/>
      <w:bookmarkStart w:id="210" w:name="_Toc286929762"/>
      <w:bookmarkStart w:id="211" w:name="_Toc352256001"/>
      <w:bookmarkStart w:id="212" w:name="_Toc352256069"/>
      <w:bookmarkStart w:id="213" w:name="_Toc352331247"/>
      <w:bookmarkStart w:id="214"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207"/>
      <w:bookmarkEnd w:id="208"/>
      <w:bookmarkEnd w:id="209"/>
      <w:bookmarkEnd w:id="210"/>
      <w:bookmarkEnd w:id="211"/>
      <w:bookmarkEnd w:id="212"/>
      <w:bookmarkEnd w:id="213"/>
      <w:bookmarkEnd w:id="214"/>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5" w:name="_Toc224618383"/>
      <w:bookmarkStart w:id="216" w:name="_Toc248233030"/>
      <w:bookmarkStart w:id="217" w:name="_Toc249790562"/>
      <w:bookmarkStart w:id="218" w:name="_Toc286929763"/>
      <w:bookmarkStart w:id="219" w:name="_Toc352256002"/>
      <w:bookmarkStart w:id="220" w:name="_Toc352256070"/>
      <w:bookmarkStart w:id="221" w:name="_Toc352331248"/>
      <w:bookmarkStart w:id="222"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15"/>
      <w:bookmarkEnd w:id="216"/>
      <w:bookmarkEnd w:id="217"/>
      <w:bookmarkEnd w:id="218"/>
      <w:bookmarkEnd w:id="219"/>
      <w:bookmarkEnd w:id="220"/>
      <w:bookmarkEnd w:id="221"/>
      <w:bookmarkEnd w:id="222"/>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3" w:name="_Toc224618384"/>
      <w:bookmarkStart w:id="224" w:name="_Toc248233031"/>
      <w:bookmarkStart w:id="225" w:name="_Toc249790563"/>
      <w:bookmarkStart w:id="226" w:name="_Toc286929764"/>
      <w:bookmarkStart w:id="227" w:name="_Toc352256003"/>
      <w:bookmarkStart w:id="228" w:name="_Toc352256071"/>
      <w:bookmarkStart w:id="229" w:name="_Toc352331249"/>
      <w:bookmarkStart w:id="230"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的前五名金融衍生品投资明细</w:t>
      </w:r>
      <w:bookmarkEnd w:id="223"/>
      <w:bookmarkEnd w:id="224"/>
      <w:bookmarkEnd w:id="225"/>
      <w:bookmarkEnd w:id="226"/>
      <w:bookmarkEnd w:id="227"/>
      <w:bookmarkEnd w:id="228"/>
      <w:bookmarkEnd w:id="229"/>
      <w:bookmarkEnd w:id="230"/>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本基金本报告期末未持有金融衍生品。</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1" w:name="_Toc248233032"/>
      <w:bookmarkStart w:id="232" w:name="_Toc249790564"/>
      <w:bookmarkStart w:id="233" w:name="_Toc286929765"/>
      <w:bookmarkStart w:id="234" w:name="_Toc352256004"/>
      <w:bookmarkStart w:id="235" w:name="_Toc352256072"/>
      <w:bookmarkStart w:id="236" w:name="_Toc352331250"/>
      <w:bookmarkStart w:id="237" w:name="_Toc362424028"/>
      <w:r w:rsidRPr="00390099">
        <w:rPr>
          <w:rFonts w:ascii="Times New Roman" w:hAnsi="Times New Roman"/>
          <w:kern w:val="0"/>
          <w:szCs w:val="24"/>
        </w:rPr>
        <w:t>8.10</w:t>
      </w:r>
      <w:bookmarkStart w:id="238"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31"/>
      <w:bookmarkEnd w:id="232"/>
      <w:bookmarkEnd w:id="233"/>
      <w:bookmarkEnd w:id="234"/>
      <w:bookmarkEnd w:id="235"/>
      <w:bookmarkEnd w:id="236"/>
      <w:bookmarkEnd w:id="237"/>
      <w:bookmarkEnd w:id="238"/>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9" w:name="_Toc224618386"/>
      <w:bookmarkStart w:id="240" w:name="_Toc248233033"/>
      <w:bookmarkStart w:id="241" w:name="_Toc249790565"/>
      <w:bookmarkStart w:id="242" w:name="_Toc286929766"/>
      <w:bookmarkStart w:id="243" w:name="_Toc352256005"/>
      <w:bookmarkStart w:id="244" w:name="_Toc352256073"/>
      <w:bookmarkStart w:id="245" w:name="_Toc352331251"/>
      <w:bookmarkStart w:id="246"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9"/>
      <w:bookmarkEnd w:id="240"/>
      <w:bookmarkEnd w:id="241"/>
      <w:bookmarkEnd w:id="242"/>
      <w:bookmarkEnd w:id="243"/>
      <w:bookmarkEnd w:id="244"/>
      <w:bookmarkEnd w:id="245"/>
      <w:bookmarkEnd w:id="246"/>
    </w:p>
    <w:p w:rsidR="007B62FA" w:rsidRDefault="007B62FA" w:rsidP="00227E2E">
      <w:pPr>
        <w:spacing w:line="360" w:lineRule="auto"/>
        <w:rPr>
          <w:color w:val="000000"/>
          <w:sz w:val="24"/>
        </w:rPr>
      </w:pPr>
      <w:r w:rsidRPr="00F10640">
        <w:rPr>
          <w:b/>
          <w:color w:val="000000"/>
          <w:sz w:val="24"/>
        </w:rPr>
        <w:t>8.11.1</w:t>
      </w:r>
      <w:r w:rsidRPr="00F10640">
        <w:rPr>
          <w:color w:val="000000"/>
          <w:sz w:val="24"/>
        </w:rPr>
        <w:t>报告期内本基金投资的前十名证券的发行主体未被监管部门立案调查，在本报告编制日前一年内本基金投资的前十名证券的发行主体未受到公开谴责和处罚。</w:t>
      </w:r>
    </w:p>
    <w:p w:rsidR="00DD7EF4" w:rsidRPr="00D763B5" w:rsidRDefault="00DD7EF4" w:rsidP="00227E2E">
      <w:pPr>
        <w:spacing w:line="360" w:lineRule="auto"/>
        <w:rPr>
          <w:rFonts w:ascii="宋体" w:hAnsi="宋体"/>
          <w:b/>
          <w:color w:val="000000"/>
          <w:szCs w:val="21"/>
        </w:rPr>
      </w:pPr>
    </w:p>
    <w:p w:rsidR="007B62FA" w:rsidRPr="00F10640" w:rsidRDefault="007B62FA" w:rsidP="00227E2E">
      <w:pPr>
        <w:spacing w:line="360"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D763B5" w:rsidRDefault="007B62FA" w:rsidP="00227E2E">
      <w:pPr>
        <w:spacing w:line="360" w:lineRule="auto"/>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99,252.08</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929.46</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309,327.37</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409,508.91</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期末前十名股票中存在流通受限情况的说明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本基金本报告期末前十名股票中不存在流通受限的情况。</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A6676" w:rsidRPr="003E3E80"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47" w:name="_Toc225500050"/>
      <w:bookmarkStart w:id="248" w:name="_Toc352256006"/>
      <w:bookmarkStart w:id="249" w:name="_Toc352256074"/>
      <w:bookmarkStart w:id="250" w:name="_Toc352331252"/>
      <w:bookmarkStart w:id="251"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47"/>
      <w:bookmarkEnd w:id="248"/>
      <w:bookmarkEnd w:id="249"/>
      <w:bookmarkEnd w:id="250"/>
      <w:bookmarkEnd w:id="251"/>
    </w:p>
    <w:p w:rsidR="007B62FA" w:rsidRPr="00390099" w:rsidRDefault="007B62FA" w:rsidP="00390099">
      <w:pPr>
        <w:pStyle w:val="20"/>
        <w:spacing w:before="29" w:after="0" w:line="288" w:lineRule="auto"/>
        <w:rPr>
          <w:rFonts w:ascii="Times New Roman" w:hAnsi="Times New Roman"/>
          <w:kern w:val="0"/>
          <w:szCs w:val="24"/>
        </w:rPr>
      </w:pPr>
      <w:bookmarkStart w:id="252" w:name="_Toc225500051"/>
      <w:bookmarkStart w:id="253" w:name="_Toc352256007"/>
      <w:bookmarkStart w:id="254" w:name="_Toc352256075"/>
      <w:bookmarkStart w:id="255" w:name="_Toc352331253"/>
      <w:bookmarkStart w:id="256"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52"/>
      <w:bookmarkEnd w:id="253"/>
      <w:bookmarkEnd w:id="254"/>
      <w:bookmarkEnd w:id="255"/>
      <w:bookmarkEnd w:id="256"/>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D73761" w:rsidRPr="00C35C3C" w:rsidTr="00D73761">
        <w:tc>
          <w:tcPr>
            <w:tcW w:w="964" w:type="pct"/>
            <w:vMerge w:val="restart"/>
            <w:tcBorders>
              <w:top w:val="single" w:sz="8" w:space="0" w:color="000000"/>
              <w:left w:val="single" w:sz="8" w:space="0" w:color="000000"/>
              <w:right w:val="single" w:sz="8" w:space="0" w:color="000000"/>
            </w:tcBorders>
            <w:vAlign w:val="center"/>
          </w:tcPr>
          <w:p w:rsidR="00370906" w:rsidRDefault="00D7376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持有人结构</w:t>
            </w:r>
          </w:p>
        </w:tc>
      </w:tr>
      <w:tr w:rsidR="00D73761" w:rsidRPr="00C35C3C" w:rsidTr="00D73761">
        <w:tc>
          <w:tcPr>
            <w:tcW w:w="964" w:type="pct"/>
            <w:vMerge/>
            <w:tcBorders>
              <w:left w:val="single" w:sz="8" w:space="0" w:color="000000"/>
              <w:right w:val="single" w:sz="8" w:space="0" w:color="000000"/>
            </w:tcBorders>
          </w:tcPr>
          <w:p w:rsidR="00370906" w:rsidRDefault="0037090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D73761" w:rsidRPr="00C35C3C" w:rsidTr="00D73761">
        <w:tc>
          <w:tcPr>
            <w:tcW w:w="964" w:type="pct"/>
            <w:vMerge/>
            <w:tcBorders>
              <w:left w:val="single" w:sz="8" w:space="0" w:color="000000"/>
              <w:bottom w:val="single" w:sz="8" w:space="0" w:color="000000"/>
              <w:right w:val="single" w:sz="8" w:space="0" w:color="000000"/>
            </w:tcBorders>
          </w:tcPr>
          <w:p w:rsidR="00370906" w:rsidRDefault="0037090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D73761" w:rsidRPr="00C35C3C" w:rsidTr="00D73761">
        <w:tc>
          <w:tcPr>
            <w:tcW w:w="964" w:type="pct"/>
            <w:tcBorders>
              <w:top w:val="single" w:sz="8" w:space="0" w:color="000000"/>
              <w:left w:val="single" w:sz="8" w:space="0" w:color="000000"/>
              <w:bottom w:val="single" w:sz="8" w:space="0" w:color="000000"/>
              <w:right w:val="single" w:sz="8" w:space="0" w:color="000000"/>
            </w:tcBorders>
            <w:vAlign w:val="center"/>
          </w:tcPr>
          <w:p w:rsidR="00370906" w:rsidRDefault="00D73761">
            <w:pPr>
              <w:jc w:val="right"/>
            </w:pPr>
            <w:r>
              <w:rPr>
                <w:bCs/>
                <w:color w:val="000000"/>
                <w:szCs w:val="21"/>
              </w:rPr>
              <w:t>7,210</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8,962.51</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26,350,884.00</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40.78%</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38,268,818.83</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59.22%</w:t>
            </w:r>
          </w:p>
        </w:tc>
      </w:tr>
    </w:tbl>
    <w:p w:rsidR="00202457" w:rsidRPr="000E5BEC"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7" w:name="_Toc352256008"/>
      <w:bookmarkStart w:id="258" w:name="_Toc352256076"/>
      <w:bookmarkStart w:id="259" w:name="_Toc352331254"/>
      <w:bookmarkStart w:id="260" w:name="_Toc362424033"/>
      <w:r w:rsidRPr="00390099">
        <w:rPr>
          <w:rFonts w:ascii="Times New Roman" w:hAnsi="Times New Roman"/>
          <w:kern w:val="0"/>
          <w:szCs w:val="24"/>
        </w:rPr>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7"/>
      <w:bookmarkEnd w:id="258"/>
      <w:bookmarkEnd w:id="259"/>
      <w:bookmarkEnd w:id="260"/>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64.72</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0.00%</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9.3</w:t>
      </w:r>
      <w:r w:rsidRPr="00390099">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4570F3">
        <w:trPr>
          <w:trHeight w:val="713"/>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bl>
    <w:p w:rsidR="006317E0" w:rsidRPr="00D763B5" w:rsidRDefault="006317E0" w:rsidP="00417F87">
      <w:pPr>
        <w:spacing w:line="360" w:lineRule="auto"/>
        <w:rPr>
          <w:rFonts w:ascii="宋体" w:hAnsi="宋体"/>
          <w:color w:val="000000"/>
          <w:szCs w:val="21"/>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52256009"/>
      <w:bookmarkStart w:id="263" w:name="_Toc352256077"/>
      <w:bookmarkStart w:id="264" w:name="_Toc352331255"/>
      <w:bookmarkStart w:id="265" w:name="_Toc362424034"/>
      <w:r w:rsidRPr="004570F3">
        <w:rPr>
          <w:rFonts w:hint="eastAsia"/>
          <w:b/>
          <w:bCs/>
          <w:szCs w:val="24"/>
          <w:lang w:val="en-US"/>
        </w:rPr>
        <w:lastRenderedPageBreak/>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61"/>
      <w:bookmarkEnd w:id="262"/>
      <w:bookmarkEnd w:id="263"/>
      <w:bookmarkEnd w:id="264"/>
      <w:bookmarkEnd w:id="265"/>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2008</w:t>
            </w:r>
            <w:r w:rsidR="005A7D56" w:rsidRPr="00473C10">
              <w:rPr>
                <w:sz w:val="24"/>
              </w:rPr>
              <w:t>年</w:t>
            </w:r>
            <w:r w:rsidR="005A7D56" w:rsidRPr="00473C10">
              <w:rPr>
                <w:sz w:val="24"/>
              </w:rPr>
              <w:t>8</w:t>
            </w:r>
            <w:r w:rsidR="005A7D56" w:rsidRPr="00473C10">
              <w:rPr>
                <w:sz w:val="24"/>
              </w:rPr>
              <w:t>月</w:t>
            </w:r>
            <w:r w:rsidR="005A7D56" w:rsidRPr="00473C10">
              <w:rPr>
                <w:sz w:val="24"/>
              </w:rPr>
              <w:t>22</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508,425,627.85</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期初基金份额总额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61,370,048.29</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30,177,792.24</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本报告期</w:t>
            </w:r>
            <w:r w:rsidRPr="00473C10">
              <w:rPr>
                <w:rFonts w:hint="eastAsia"/>
                <w:sz w:val="24"/>
              </w:rPr>
              <w:t>基金总赎回份额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26,928,137.70</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64,619,702.83</w:t>
            </w:r>
          </w:p>
        </w:tc>
      </w:tr>
    </w:tbl>
    <w:p w:rsidR="00370906" w:rsidRDefault="00D7376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946E9B"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、如果本报告期间发生转换出业务，则总赎回份额中包含该业务。</w:t>
      </w: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66" w:name="_Toc225500054"/>
      <w:bookmarkStart w:id="267" w:name="_Toc352256010"/>
      <w:bookmarkStart w:id="268" w:name="_Toc352256078"/>
      <w:bookmarkStart w:id="269" w:name="_Toc352331256"/>
      <w:bookmarkStart w:id="270"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66"/>
      <w:bookmarkEnd w:id="267"/>
      <w:bookmarkEnd w:id="268"/>
      <w:bookmarkEnd w:id="269"/>
      <w:bookmarkEnd w:id="270"/>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271" w:name="_Toc352256011"/>
      <w:bookmarkStart w:id="272" w:name="_Toc352256079"/>
      <w:bookmarkStart w:id="273" w:name="_Toc352331257"/>
      <w:bookmarkStart w:id="274"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71"/>
      <w:bookmarkEnd w:id="272"/>
      <w:bookmarkEnd w:id="273"/>
      <w:bookmarkEnd w:id="274"/>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5" w:name="_Toc352256012"/>
      <w:bookmarkStart w:id="276" w:name="_Toc352256080"/>
      <w:bookmarkStart w:id="277" w:name="_Toc352331258"/>
      <w:bookmarkStart w:id="278"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75"/>
      <w:bookmarkEnd w:id="276"/>
      <w:bookmarkEnd w:id="277"/>
      <w:bookmarkEnd w:id="278"/>
    </w:p>
    <w:p w:rsidR="00370906" w:rsidRDefault="00D7376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7B62FA" w:rsidRPr="00B835AF" w:rsidRDefault="007B62FA" w:rsidP="00B835AF">
      <w:pPr>
        <w:spacing w:before="29" w:line="288" w:lineRule="auto"/>
        <w:ind w:firstLineChars="200" w:firstLine="480"/>
        <w:rPr>
          <w:color w:val="000000"/>
          <w:sz w:val="24"/>
        </w:rPr>
      </w:pPr>
      <w:r w:rsidRPr="00B835AF">
        <w:rPr>
          <w:color w:val="000000"/>
          <w:sz w:val="24"/>
        </w:rPr>
        <w:t>2</w:t>
      </w:r>
      <w:r w:rsidRPr="00B835AF">
        <w:rPr>
          <w:color w:val="000000"/>
          <w:sz w:val="24"/>
        </w:rPr>
        <w:t>、基金托管人的基金托管部门的重大人事变动：</w:t>
      </w:r>
      <w:r w:rsidRPr="00B835AF">
        <w:rPr>
          <w:color w:val="000000"/>
          <w:sz w:val="24"/>
        </w:rPr>
        <w:t>2017</w:t>
      </w:r>
      <w:r w:rsidRPr="00B835AF">
        <w:rPr>
          <w:color w:val="000000"/>
          <w:sz w:val="24"/>
        </w:rPr>
        <w:t>年</w:t>
      </w:r>
      <w:r w:rsidRPr="00B835AF">
        <w:rPr>
          <w:color w:val="000000"/>
          <w:sz w:val="24"/>
        </w:rPr>
        <w:t>9</w:t>
      </w:r>
      <w:r w:rsidRPr="00B835AF">
        <w:rPr>
          <w:color w:val="000000"/>
          <w:sz w:val="24"/>
        </w:rPr>
        <w:t>月</w:t>
      </w:r>
      <w:r w:rsidRPr="00B835AF">
        <w:rPr>
          <w:color w:val="000000"/>
          <w:sz w:val="24"/>
        </w:rPr>
        <w:t>1</w:t>
      </w:r>
      <w:r w:rsidRPr="00B835AF">
        <w:rPr>
          <w:color w:val="000000"/>
          <w:sz w:val="24"/>
        </w:rPr>
        <w:t>日，中国建设银行发布公告，聘任纪伟为中国建设银行资产托管业务部总经理。</w:t>
      </w:r>
      <w:r w:rsidRPr="00B835AF">
        <w:rPr>
          <w:color w:val="000000"/>
          <w:sz w:val="24"/>
        </w:rPr>
        <w:t xml:space="preserve"> </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9" w:name="_Toc352256013"/>
      <w:bookmarkStart w:id="280" w:name="_Toc352256081"/>
      <w:bookmarkStart w:id="281" w:name="_Toc352331259"/>
      <w:bookmarkStart w:id="282"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9"/>
      <w:bookmarkEnd w:id="280"/>
      <w:bookmarkEnd w:id="281"/>
      <w:bookmarkEnd w:id="282"/>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83" w:name="_Toc352256014"/>
      <w:bookmarkStart w:id="284" w:name="_Toc352256082"/>
      <w:bookmarkStart w:id="285" w:name="_Toc352331260"/>
      <w:bookmarkStart w:id="286" w:name="_Toc362424039"/>
      <w:r w:rsidRPr="00B14BCC">
        <w:rPr>
          <w:rFonts w:ascii="Times New Roman" w:hAnsi="Times New Roman"/>
          <w:kern w:val="0"/>
          <w:szCs w:val="24"/>
        </w:rPr>
        <w:t xml:space="preserve">11.4 </w:t>
      </w:r>
      <w:r w:rsidRPr="00B14BCC">
        <w:rPr>
          <w:rFonts w:ascii="Times New Roman" w:hAnsi="Times New Roman" w:hint="eastAsia"/>
          <w:kern w:val="0"/>
          <w:szCs w:val="24"/>
        </w:rPr>
        <w:t>基金投资策略的改变</w:t>
      </w:r>
      <w:bookmarkEnd w:id="283"/>
      <w:bookmarkEnd w:id="284"/>
      <w:bookmarkEnd w:id="285"/>
      <w:bookmarkEnd w:id="286"/>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7" w:name="_Toc352256015"/>
      <w:bookmarkStart w:id="288" w:name="_Toc352256083"/>
      <w:bookmarkStart w:id="289" w:name="_Toc352331261"/>
      <w:bookmarkStart w:id="290" w:name="_Toc362424040"/>
      <w:r w:rsidRPr="00B14BCC">
        <w:rPr>
          <w:rFonts w:ascii="Times New Roman" w:hAnsi="Times New Roman"/>
          <w:kern w:val="0"/>
          <w:szCs w:val="24"/>
        </w:rPr>
        <w:t>11.5</w:t>
      </w:r>
      <w:bookmarkEnd w:id="287"/>
      <w:bookmarkEnd w:id="288"/>
      <w:bookmarkEnd w:id="289"/>
      <w:r w:rsidR="00E235AE" w:rsidRPr="00B14BCC">
        <w:rPr>
          <w:rFonts w:ascii="Times New Roman" w:hAnsi="Times New Roman" w:hint="eastAsia"/>
          <w:kern w:val="0"/>
          <w:szCs w:val="24"/>
        </w:rPr>
        <w:t>为基金进行审计的会计师事务所情况</w:t>
      </w:r>
      <w:bookmarkEnd w:id="290"/>
    </w:p>
    <w:p w:rsidR="007B62FA" w:rsidRPr="00B835AF" w:rsidRDefault="007B62FA" w:rsidP="00B835AF">
      <w:pPr>
        <w:spacing w:before="29" w:line="288" w:lineRule="auto"/>
        <w:ind w:firstLineChars="200" w:firstLine="480"/>
        <w:rPr>
          <w:color w:val="000000"/>
          <w:sz w:val="24"/>
        </w:rPr>
      </w:pPr>
      <w:bookmarkStart w:id="291" w:name="OLE_LINK3"/>
      <w:r w:rsidRPr="00B835AF">
        <w:rPr>
          <w:color w:val="000000"/>
          <w:sz w:val="24"/>
        </w:rPr>
        <w:t>本报告期内，为本基金提供审计服务的会计师事务所为普华永道中天会计师事务所（特殊普通合伙），本期审计费用为</w:t>
      </w:r>
      <w:r w:rsidRPr="00B835AF">
        <w:rPr>
          <w:color w:val="000000"/>
          <w:sz w:val="24"/>
        </w:rPr>
        <w:t>40,000.00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362424041"/>
      <w:bookmarkEnd w:id="291"/>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92"/>
      <w:bookmarkEnd w:id="293"/>
      <w:bookmarkEnd w:id="294"/>
      <w:bookmarkEnd w:id="295"/>
    </w:p>
    <w:p w:rsidR="00370906" w:rsidRDefault="00D7376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70906" w:rsidRDefault="00D7376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70906" w:rsidRDefault="00D7376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7B62FA" w:rsidRPr="00B835AF" w:rsidRDefault="007B62FA" w:rsidP="00B835AF">
      <w:pPr>
        <w:spacing w:before="29" w:line="288" w:lineRule="auto"/>
        <w:ind w:firstLineChars="200" w:firstLine="480"/>
        <w:rPr>
          <w:color w:val="000000"/>
          <w:sz w:val="24"/>
        </w:rPr>
      </w:pPr>
      <w:r w:rsidRPr="00B835AF">
        <w:rPr>
          <w:color w:val="000000"/>
          <w:sz w:val="24"/>
        </w:rPr>
        <w:t>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96"/>
      <w:bookmarkEnd w:id="297"/>
      <w:bookmarkEnd w:id="298"/>
      <w:bookmarkEnd w:id="299"/>
    </w:p>
    <w:p w:rsidR="007B62FA" w:rsidRPr="00B14BCC" w:rsidRDefault="007B62FA" w:rsidP="00B14BCC">
      <w:pPr>
        <w:pStyle w:val="20"/>
        <w:spacing w:before="29" w:after="0" w:line="288" w:lineRule="auto"/>
        <w:rPr>
          <w:rFonts w:ascii="Times New Roman" w:hAnsi="Times New Roman"/>
          <w:kern w:val="0"/>
          <w:szCs w:val="24"/>
        </w:rPr>
      </w:pPr>
      <w:bookmarkStart w:id="300"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300"/>
    </w:p>
    <w:p w:rsidR="007B62FA" w:rsidRPr="001A4EC1" w:rsidRDefault="007B62FA" w:rsidP="001A4EC1">
      <w:pPr>
        <w:pStyle w:val="a0"/>
        <w:spacing w:line="360" w:lineRule="auto"/>
        <w:ind w:right="480" w:firstLineChars="0" w:firstLine="0"/>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5D6EB1" w:rsidTr="000245F2">
        <w:tc>
          <w:tcPr>
            <w:tcW w:w="1560" w:type="dxa"/>
            <w:vMerge w:val="restart"/>
            <w:vAlign w:val="center"/>
          </w:tcPr>
          <w:p w:rsidR="007B62FA" w:rsidRPr="005D6EB1" w:rsidRDefault="007B62FA" w:rsidP="00EA73C3">
            <w:pPr>
              <w:spacing w:before="29" w:line="288" w:lineRule="auto"/>
              <w:jc w:val="center"/>
              <w:rPr>
                <w:color w:val="000000"/>
                <w:szCs w:val="21"/>
              </w:rPr>
            </w:pPr>
            <w:bookmarkStart w:id="301" w:name="_Toc249760071"/>
            <w:r w:rsidRPr="005D6EB1">
              <w:rPr>
                <w:rFonts w:hint="eastAsia"/>
                <w:color w:val="000000"/>
                <w:szCs w:val="21"/>
              </w:rPr>
              <w:t>券商名称</w:t>
            </w:r>
          </w:p>
        </w:tc>
        <w:tc>
          <w:tcPr>
            <w:tcW w:w="780" w:type="dxa"/>
            <w:vMerge w:val="restart"/>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交易单元数量</w:t>
            </w:r>
          </w:p>
        </w:tc>
        <w:tc>
          <w:tcPr>
            <w:tcW w:w="288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股票交易</w:t>
            </w:r>
          </w:p>
        </w:tc>
        <w:tc>
          <w:tcPr>
            <w:tcW w:w="270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应支付该券商的佣金</w:t>
            </w:r>
          </w:p>
        </w:tc>
        <w:tc>
          <w:tcPr>
            <w:tcW w:w="1080" w:type="dxa"/>
            <w:vMerge w:val="restart"/>
            <w:vAlign w:val="center"/>
          </w:tcPr>
          <w:p w:rsidR="007B62FA" w:rsidRPr="005D6EB1" w:rsidRDefault="007B62FA" w:rsidP="00417F87">
            <w:pPr>
              <w:spacing w:line="360" w:lineRule="auto"/>
              <w:jc w:val="center"/>
              <w:rPr>
                <w:color w:val="000000"/>
                <w:szCs w:val="21"/>
              </w:rPr>
            </w:pPr>
            <w:r w:rsidRPr="005D6EB1">
              <w:rPr>
                <w:rFonts w:hint="eastAsia"/>
                <w:color w:val="000000"/>
                <w:szCs w:val="21"/>
              </w:rPr>
              <w:t>备注</w:t>
            </w:r>
          </w:p>
        </w:tc>
      </w:tr>
      <w:tr w:rsidR="007B62FA" w:rsidRPr="005D6EB1" w:rsidTr="000245F2">
        <w:tc>
          <w:tcPr>
            <w:tcW w:w="900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78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180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成交金额</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占当期股票成交总额的比例</w:t>
            </w:r>
          </w:p>
        </w:tc>
        <w:tc>
          <w:tcPr>
            <w:tcW w:w="162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佣金</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占当期佣金总量的比例</w:t>
            </w:r>
          </w:p>
        </w:tc>
        <w:tc>
          <w:tcPr>
            <w:tcW w:w="1080" w:type="dxa"/>
            <w:vMerge/>
            <w:vAlign w:val="center"/>
          </w:tcPr>
          <w:p w:rsidR="007B62FA" w:rsidRPr="005D6EB1" w:rsidRDefault="007B62FA" w:rsidP="00EA73C3">
            <w:pPr>
              <w:widowControl/>
              <w:spacing w:before="29" w:line="288" w:lineRule="auto"/>
              <w:jc w:val="left"/>
              <w:rPr>
                <w:color w:val="000000"/>
                <w:szCs w:val="21"/>
              </w:rPr>
            </w:pPr>
          </w:p>
        </w:tc>
      </w:tr>
      <w:tr w:rsidR="00370906">
        <w:tc>
          <w:tcPr>
            <w:tcW w:w="1559" w:type="dxa"/>
            <w:vAlign w:val="center"/>
          </w:tcPr>
          <w:p w:rsidR="00370906" w:rsidRDefault="00D73761">
            <w:pPr>
              <w:jc w:val="center"/>
            </w:pPr>
            <w:r>
              <w:rPr>
                <w:color w:val="000000"/>
                <w:szCs w:val="21"/>
              </w:rPr>
              <w:t>BOCI Securities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43,791,550.51</w:t>
            </w:r>
          </w:p>
        </w:tc>
        <w:tc>
          <w:tcPr>
            <w:tcW w:w="1080" w:type="dxa"/>
            <w:vAlign w:val="center"/>
          </w:tcPr>
          <w:p w:rsidR="00370906" w:rsidRDefault="00D73761">
            <w:pPr>
              <w:jc w:val="right"/>
            </w:pPr>
            <w:r>
              <w:rPr>
                <w:color w:val="000000"/>
                <w:szCs w:val="21"/>
              </w:rPr>
              <w:t>21.95%</w:t>
            </w:r>
          </w:p>
        </w:tc>
        <w:tc>
          <w:tcPr>
            <w:tcW w:w="1620" w:type="dxa"/>
            <w:vAlign w:val="center"/>
          </w:tcPr>
          <w:p w:rsidR="00370906" w:rsidRDefault="00D73761">
            <w:pPr>
              <w:jc w:val="right"/>
            </w:pPr>
            <w:r>
              <w:rPr>
                <w:color w:val="000000"/>
                <w:szCs w:val="21"/>
              </w:rPr>
              <w:t>65,687.47</w:t>
            </w:r>
          </w:p>
        </w:tc>
        <w:tc>
          <w:tcPr>
            <w:tcW w:w="1080" w:type="dxa"/>
            <w:vAlign w:val="center"/>
          </w:tcPr>
          <w:p w:rsidR="00370906" w:rsidRDefault="00D73761">
            <w:pPr>
              <w:jc w:val="right"/>
            </w:pPr>
            <w:r>
              <w:rPr>
                <w:color w:val="000000"/>
                <w:szCs w:val="21"/>
              </w:rPr>
              <w:t>32.44%</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China Merchants Securities(HK)Co.Ltd.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51,961,012.60</w:t>
            </w:r>
          </w:p>
        </w:tc>
        <w:tc>
          <w:tcPr>
            <w:tcW w:w="1080" w:type="dxa"/>
            <w:vAlign w:val="center"/>
          </w:tcPr>
          <w:p w:rsidR="00370906" w:rsidRDefault="00D73761">
            <w:pPr>
              <w:jc w:val="right"/>
            </w:pPr>
            <w:r>
              <w:rPr>
                <w:color w:val="000000"/>
                <w:szCs w:val="21"/>
              </w:rPr>
              <w:t>26.04%</w:t>
            </w:r>
          </w:p>
        </w:tc>
        <w:tc>
          <w:tcPr>
            <w:tcW w:w="1620" w:type="dxa"/>
            <w:vAlign w:val="center"/>
          </w:tcPr>
          <w:p w:rsidR="00370906" w:rsidRDefault="00D73761">
            <w:pPr>
              <w:jc w:val="right"/>
            </w:pPr>
            <w:r>
              <w:rPr>
                <w:color w:val="000000"/>
                <w:szCs w:val="21"/>
              </w:rPr>
              <w:t>51,961.12</w:t>
            </w:r>
          </w:p>
        </w:tc>
        <w:tc>
          <w:tcPr>
            <w:tcW w:w="1080" w:type="dxa"/>
            <w:vAlign w:val="center"/>
          </w:tcPr>
          <w:p w:rsidR="00370906" w:rsidRDefault="00D73761">
            <w:pPr>
              <w:jc w:val="right"/>
            </w:pPr>
            <w:r>
              <w:rPr>
                <w:color w:val="000000"/>
                <w:szCs w:val="21"/>
              </w:rPr>
              <w:t>25.66%</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UOB Kay Hian(Hong Kong)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42,916,229.42</w:t>
            </w:r>
          </w:p>
        </w:tc>
        <w:tc>
          <w:tcPr>
            <w:tcW w:w="1080" w:type="dxa"/>
            <w:vAlign w:val="center"/>
          </w:tcPr>
          <w:p w:rsidR="00370906" w:rsidRDefault="00D73761">
            <w:pPr>
              <w:jc w:val="right"/>
            </w:pPr>
            <w:r>
              <w:rPr>
                <w:color w:val="000000"/>
                <w:szCs w:val="21"/>
              </w:rPr>
              <w:t>21.51%</w:t>
            </w:r>
          </w:p>
        </w:tc>
        <w:tc>
          <w:tcPr>
            <w:tcW w:w="1620" w:type="dxa"/>
            <w:vAlign w:val="center"/>
          </w:tcPr>
          <w:p w:rsidR="00370906" w:rsidRDefault="00D73761">
            <w:pPr>
              <w:jc w:val="right"/>
            </w:pPr>
            <w:r>
              <w:rPr>
                <w:color w:val="000000"/>
                <w:szCs w:val="21"/>
              </w:rPr>
              <w:t>51,499.55</w:t>
            </w:r>
          </w:p>
        </w:tc>
        <w:tc>
          <w:tcPr>
            <w:tcW w:w="1080" w:type="dxa"/>
            <w:vAlign w:val="center"/>
          </w:tcPr>
          <w:p w:rsidR="00370906" w:rsidRDefault="00D73761">
            <w:pPr>
              <w:jc w:val="right"/>
            </w:pPr>
            <w:r>
              <w:rPr>
                <w:color w:val="000000"/>
                <w:szCs w:val="21"/>
              </w:rPr>
              <w:t>25.43%</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Investment Technology Group Ltd Dublin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15,115,647.95</w:t>
            </w:r>
          </w:p>
        </w:tc>
        <w:tc>
          <w:tcPr>
            <w:tcW w:w="1080" w:type="dxa"/>
            <w:vAlign w:val="center"/>
          </w:tcPr>
          <w:p w:rsidR="00370906" w:rsidRDefault="00D73761">
            <w:pPr>
              <w:jc w:val="right"/>
            </w:pPr>
            <w:r>
              <w:rPr>
                <w:color w:val="000000"/>
                <w:szCs w:val="21"/>
              </w:rPr>
              <w:t>7.58%</w:t>
            </w:r>
          </w:p>
        </w:tc>
        <w:tc>
          <w:tcPr>
            <w:tcW w:w="1620" w:type="dxa"/>
            <w:vAlign w:val="center"/>
          </w:tcPr>
          <w:p w:rsidR="00370906" w:rsidRDefault="00D73761">
            <w:pPr>
              <w:jc w:val="right"/>
            </w:pPr>
            <w:r>
              <w:rPr>
                <w:color w:val="000000"/>
                <w:szCs w:val="21"/>
              </w:rPr>
              <w:t>9,341.53</w:t>
            </w:r>
          </w:p>
        </w:tc>
        <w:tc>
          <w:tcPr>
            <w:tcW w:w="1080" w:type="dxa"/>
            <w:vAlign w:val="center"/>
          </w:tcPr>
          <w:p w:rsidR="00370906" w:rsidRDefault="00D73761">
            <w:pPr>
              <w:jc w:val="right"/>
            </w:pPr>
            <w:r>
              <w:rPr>
                <w:color w:val="000000"/>
                <w:szCs w:val="21"/>
              </w:rPr>
              <w:t>4.61%</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Merrill Lynch International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7,620,890.23</w:t>
            </w:r>
          </w:p>
        </w:tc>
        <w:tc>
          <w:tcPr>
            <w:tcW w:w="1080" w:type="dxa"/>
            <w:vAlign w:val="center"/>
          </w:tcPr>
          <w:p w:rsidR="00370906" w:rsidRDefault="00D73761">
            <w:pPr>
              <w:jc w:val="right"/>
            </w:pPr>
            <w:r>
              <w:rPr>
                <w:color w:val="000000"/>
                <w:szCs w:val="21"/>
              </w:rPr>
              <w:t>3.82%</w:t>
            </w:r>
          </w:p>
        </w:tc>
        <w:tc>
          <w:tcPr>
            <w:tcW w:w="1620" w:type="dxa"/>
            <w:vAlign w:val="center"/>
          </w:tcPr>
          <w:p w:rsidR="00370906" w:rsidRDefault="00D73761">
            <w:pPr>
              <w:jc w:val="right"/>
            </w:pPr>
            <w:r>
              <w:rPr>
                <w:color w:val="000000"/>
                <w:szCs w:val="21"/>
              </w:rPr>
              <w:t>6,160.43</w:t>
            </w:r>
          </w:p>
        </w:tc>
        <w:tc>
          <w:tcPr>
            <w:tcW w:w="1080" w:type="dxa"/>
            <w:vAlign w:val="center"/>
          </w:tcPr>
          <w:p w:rsidR="00370906" w:rsidRDefault="00D73761">
            <w:pPr>
              <w:jc w:val="right"/>
            </w:pPr>
            <w:r>
              <w:rPr>
                <w:color w:val="000000"/>
                <w:szCs w:val="21"/>
              </w:rPr>
              <w:t>3.04%</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ITG Inc. New York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4,965,086.82</w:t>
            </w:r>
          </w:p>
        </w:tc>
        <w:tc>
          <w:tcPr>
            <w:tcW w:w="1080" w:type="dxa"/>
            <w:vAlign w:val="center"/>
          </w:tcPr>
          <w:p w:rsidR="00370906" w:rsidRDefault="00D73761">
            <w:pPr>
              <w:jc w:val="right"/>
            </w:pPr>
            <w:r>
              <w:rPr>
                <w:color w:val="000000"/>
                <w:szCs w:val="21"/>
              </w:rPr>
              <w:t>2.49%</w:t>
            </w:r>
          </w:p>
        </w:tc>
        <w:tc>
          <w:tcPr>
            <w:tcW w:w="1620" w:type="dxa"/>
            <w:vAlign w:val="center"/>
          </w:tcPr>
          <w:p w:rsidR="00370906" w:rsidRDefault="00D73761">
            <w:pPr>
              <w:jc w:val="right"/>
            </w:pPr>
            <w:r>
              <w:rPr>
                <w:color w:val="000000"/>
                <w:szCs w:val="21"/>
              </w:rPr>
              <w:t>3,410.62</w:t>
            </w:r>
          </w:p>
        </w:tc>
        <w:tc>
          <w:tcPr>
            <w:tcW w:w="1080" w:type="dxa"/>
            <w:vAlign w:val="center"/>
          </w:tcPr>
          <w:p w:rsidR="00370906" w:rsidRDefault="00D73761">
            <w:pPr>
              <w:jc w:val="right"/>
            </w:pPr>
            <w:r>
              <w:rPr>
                <w:color w:val="000000"/>
                <w:szCs w:val="21"/>
              </w:rPr>
              <w:t>1.68%</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Citigroup Global Markets Inc. NY (DTC418)</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6,589,557.37</w:t>
            </w:r>
          </w:p>
        </w:tc>
        <w:tc>
          <w:tcPr>
            <w:tcW w:w="1080" w:type="dxa"/>
            <w:vAlign w:val="center"/>
          </w:tcPr>
          <w:p w:rsidR="00370906" w:rsidRDefault="00D73761">
            <w:pPr>
              <w:jc w:val="right"/>
            </w:pPr>
            <w:r>
              <w:rPr>
                <w:color w:val="000000"/>
                <w:szCs w:val="21"/>
              </w:rPr>
              <w:t>3.30%</w:t>
            </w:r>
          </w:p>
        </w:tc>
        <w:tc>
          <w:tcPr>
            <w:tcW w:w="1620" w:type="dxa"/>
            <w:vAlign w:val="center"/>
          </w:tcPr>
          <w:p w:rsidR="00370906" w:rsidRDefault="00D73761">
            <w:pPr>
              <w:jc w:val="right"/>
            </w:pPr>
            <w:r>
              <w:rPr>
                <w:color w:val="000000"/>
                <w:szCs w:val="21"/>
              </w:rPr>
              <w:t>2,663.60</w:t>
            </w:r>
          </w:p>
        </w:tc>
        <w:tc>
          <w:tcPr>
            <w:tcW w:w="1080" w:type="dxa"/>
            <w:vAlign w:val="center"/>
          </w:tcPr>
          <w:p w:rsidR="00370906" w:rsidRDefault="00D73761">
            <w:pPr>
              <w:jc w:val="right"/>
            </w:pPr>
            <w:r>
              <w:rPr>
                <w:color w:val="000000"/>
                <w:szCs w:val="21"/>
              </w:rPr>
              <w:t>1.32%</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lastRenderedPageBreak/>
              <w:t>KCG Americas LLC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4,076,021.76</w:t>
            </w:r>
          </w:p>
        </w:tc>
        <w:tc>
          <w:tcPr>
            <w:tcW w:w="1080" w:type="dxa"/>
            <w:vAlign w:val="center"/>
          </w:tcPr>
          <w:p w:rsidR="00370906" w:rsidRDefault="00D73761">
            <w:pPr>
              <w:jc w:val="right"/>
            </w:pPr>
            <w:r>
              <w:rPr>
                <w:color w:val="000000"/>
                <w:szCs w:val="21"/>
              </w:rPr>
              <w:t>2.04%</w:t>
            </w:r>
          </w:p>
        </w:tc>
        <w:tc>
          <w:tcPr>
            <w:tcW w:w="1620" w:type="dxa"/>
            <w:vAlign w:val="center"/>
          </w:tcPr>
          <w:p w:rsidR="00370906" w:rsidRDefault="00D73761">
            <w:pPr>
              <w:jc w:val="right"/>
            </w:pPr>
            <w:r>
              <w:rPr>
                <w:color w:val="000000"/>
                <w:szCs w:val="21"/>
              </w:rPr>
              <w:t>2,510.97</w:t>
            </w:r>
          </w:p>
        </w:tc>
        <w:tc>
          <w:tcPr>
            <w:tcW w:w="1080" w:type="dxa"/>
            <w:vAlign w:val="center"/>
          </w:tcPr>
          <w:p w:rsidR="00370906" w:rsidRDefault="00D73761">
            <w:pPr>
              <w:jc w:val="right"/>
            </w:pPr>
            <w:r>
              <w:rPr>
                <w:color w:val="000000"/>
                <w:szCs w:val="21"/>
              </w:rPr>
              <w:t>1.24%</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UBS Limited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5,780,176.76</w:t>
            </w:r>
          </w:p>
        </w:tc>
        <w:tc>
          <w:tcPr>
            <w:tcW w:w="1080" w:type="dxa"/>
            <w:vAlign w:val="center"/>
          </w:tcPr>
          <w:p w:rsidR="00370906" w:rsidRDefault="00D73761">
            <w:pPr>
              <w:jc w:val="right"/>
            </w:pPr>
            <w:r>
              <w:rPr>
                <w:color w:val="000000"/>
                <w:szCs w:val="21"/>
              </w:rPr>
              <w:t>2.90%</w:t>
            </w:r>
          </w:p>
        </w:tc>
        <w:tc>
          <w:tcPr>
            <w:tcW w:w="1620" w:type="dxa"/>
            <w:vAlign w:val="center"/>
          </w:tcPr>
          <w:p w:rsidR="00370906" w:rsidRDefault="00D73761">
            <w:pPr>
              <w:jc w:val="right"/>
            </w:pPr>
            <w:r>
              <w:rPr>
                <w:color w:val="000000"/>
                <w:szCs w:val="21"/>
              </w:rPr>
              <w:t>1,983.19</w:t>
            </w:r>
          </w:p>
        </w:tc>
        <w:tc>
          <w:tcPr>
            <w:tcW w:w="1080" w:type="dxa"/>
            <w:vAlign w:val="center"/>
          </w:tcPr>
          <w:p w:rsidR="00370906" w:rsidRDefault="00D73761">
            <w:pPr>
              <w:jc w:val="right"/>
            </w:pPr>
            <w:r>
              <w:rPr>
                <w:color w:val="000000"/>
                <w:szCs w:val="21"/>
              </w:rPr>
              <w:t>0.98%</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UBS Securities Canada Inc Toronto</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803,791.83</w:t>
            </w:r>
          </w:p>
        </w:tc>
        <w:tc>
          <w:tcPr>
            <w:tcW w:w="1080" w:type="dxa"/>
            <w:vAlign w:val="center"/>
          </w:tcPr>
          <w:p w:rsidR="00370906" w:rsidRDefault="00D73761">
            <w:pPr>
              <w:jc w:val="right"/>
            </w:pPr>
            <w:r>
              <w:rPr>
                <w:color w:val="000000"/>
                <w:szCs w:val="21"/>
              </w:rPr>
              <w:t>0.40%</w:t>
            </w:r>
          </w:p>
        </w:tc>
        <w:tc>
          <w:tcPr>
            <w:tcW w:w="1620" w:type="dxa"/>
            <w:vAlign w:val="center"/>
          </w:tcPr>
          <w:p w:rsidR="00370906" w:rsidRDefault="00D73761">
            <w:pPr>
              <w:jc w:val="right"/>
            </w:pPr>
            <w:r>
              <w:rPr>
                <w:color w:val="000000"/>
                <w:szCs w:val="21"/>
              </w:rPr>
              <w:t>1,340.25</w:t>
            </w:r>
          </w:p>
        </w:tc>
        <w:tc>
          <w:tcPr>
            <w:tcW w:w="1080" w:type="dxa"/>
            <w:vAlign w:val="center"/>
          </w:tcPr>
          <w:p w:rsidR="00370906" w:rsidRDefault="00D73761">
            <w:pPr>
              <w:jc w:val="right"/>
            </w:pPr>
            <w:r>
              <w:rPr>
                <w:color w:val="000000"/>
                <w:szCs w:val="21"/>
              </w:rPr>
              <w:t>0.66%</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Merrill Lynch Pierce Fenner and Smith Inc.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3,621,146.88</w:t>
            </w:r>
          </w:p>
        </w:tc>
        <w:tc>
          <w:tcPr>
            <w:tcW w:w="1080" w:type="dxa"/>
            <w:vAlign w:val="center"/>
          </w:tcPr>
          <w:p w:rsidR="00370906" w:rsidRDefault="00D73761">
            <w:pPr>
              <w:jc w:val="right"/>
            </w:pPr>
            <w:r>
              <w:rPr>
                <w:color w:val="000000"/>
                <w:szCs w:val="21"/>
              </w:rPr>
              <w:t>1.81%</w:t>
            </w:r>
          </w:p>
        </w:tc>
        <w:tc>
          <w:tcPr>
            <w:tcW w:w="1620" w:type="dxa"/>
            <w:vAlign w:val="center"/>
          </w:tcPr>
          <w:p w:rsidR="00370906" w:rsidRDefault="00D73761">
            <w:pPr>
              <w:jc w:val="right"/>
            </w:pPr>
            <w:r>
              <w:rPr>
                <w:color w:val="000000"/>
                <w:szCs w:val="21"/>
              </w:rPr>
              <w:t>1,038.77</w:t>
            </w:r>
          </w:p>
        </w:tc>
        <w:tc>
          <w:tcPr>
            <w:tcW w:w="1080" w:type="dxa"/>
            <w:vAlign w:val="center"/>
          </w:tcPr>
          <w:p w:rsidR="00370906" w:rsidRDefault="00D73761">
            <w:pPr>
              <w:jc w:val="right"/>
            </w:pPr>
            <w:r>
              <w:rPr>
                <w:color w:val="000000"/>
                <w:szCs w:val="21"/>
              </w:rPr>
              <w:t>0.51%</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Nordea Bank Danmark A/S Copenhagen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570,593.21</w:t>
            </w:r>
          </w:p>
        </w:tc>
        <w:tc>
          <w:tcPr>
            <w:tcW w:w="1080" w:type="dxa"/>
            <w:vAlign w:val="center"/>
          </w:tcPr>
          <w:p w:rsidR="00370906" w:rsidRDefault="00D73761">
            <w:pPr>
              <w:jc w:val="right"/>
            </w:pPr>
            <w:r>
              <w:rPr>
                <w:color w:val="000000"/>
                <w:szCs w:val="21"/>
              </w:rPr>
              <w:t>0.29%</w:t>
            </w:r>
          </w:p>
        </w:tc>
        <w:tc>
          <w:tcPr>
            <w:tcW w:w="1620" w:type="dxa"/>
            <w:vAlign w:val="center"/>
          </w:tcPr>
          <w:p w:rsidR="00370906" w:rsidRDefault="00D73761">
            <w:pPr>
              <w:jc w:val="right"/>
            </w:pPr>
            <w:r>
              <w:rPr>
                <w:color w:val="000000"/>
                <w:szCs w:val="21"/>
              </w:rPr>
              <w:t>855.89</w:t>
            </w:r>
          </w:p>
        </w:tc>
        <w:tc>
          <w:tcPr>
            <w:tcW w:w="1080" w:type="dxa"/>
            <w:vAlign w:val="center"/>
          </w:tcPr>
          <w:p w:rsidR="00370906" w:rsidRDefault="00D73761">
            <w:pPr>
              <w:jc w:val="right"/>
            </w:pPr>
            <w:r>
              <w:rPr>
                <w:color w:val="000000"/>
                <w:szCs w:val="21"/>
              </w:rPr>
              <w:t>0.42%</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Morgan Stanley &amp; Co. International Plc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2,793,202.50</w:t>
            </w:r>
          </w:p>
        </w:tc>
        <w:tc>
          <w:tcPr>
            <w:tcW w:w="1080" w:type="dxa"/>
            <w:vAlign w:val="center"/>
          </w:tcPr>
          <w:p w:rsidR="00370906" w:rsidRDefault="00D73761">
            <w:pPr>
              <w:jc w:val="right"/>
            </w:pPr>
            <w:r>
              <w:rPr>
                <w:color w:val="000000"/>
                <w:szCs w:val="21"/>
              </w:rPr>
              <w:t>1.40%</w:t>
            </w:r>
          </w:p>
        </w:tc>
        <w:tc>
          <w:tcPr>
            <w:tcW w:w="1620" w:type="dxa"/>
            <w:vAlign w:val="center"/>
          </w:tcPr>
          <w:p w:rsidR="00370906" w:rsidRDefault="00D73761">
            <w:pPr>
              <w:jc w:val="right"/>
            </w:pPr>
            <w:r>
              <w:rPr>
                <w:color w:val="000000"/>
                <w:szCs w:val="21"/>
              </w:rPr>
              <w:t>837.89</w:t>
            </w:r>
          </w:p>
        </w:tc>
        <w:tc>
          <w:tcPr>
            <w:tcW w:w="1080" w:type="dxa"/>
            <w:vAlign w:val="center"/>
          </w:tcPr>
          <w:p w:rsidR="00370906" w:rsidRDefault="00D73761">
            <w:pPr>
              <w:jc w:val="right"/>
            </w:pPr>
            <w:r>
              <w:rPr>
                <w:color w:val="000000"/>
                <w:szCs w:val="21"/>
              </w:rPr>
              <w:t>0.41%</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Instinet Pacific Ltd Hong Kong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2,403,981.29</w:t>
            </w:r>
          </w:p>
        </w:tc>
        <w:tc>
          <w:tcPr>
            <w:tcW w:w="1080" w:type="dxa"/>
            <w:vAlign w:val="center"/>
          </w:tcPr>
          <w:p w:rsidR="00370906" w:rsidRDefault="00D73761">
            <w:pPr>
              <w:jc w:val="right"/>
            </w:pPr>
            <w:r>
              <w:rPr>
                <w:color w:val="000000"/>
                <w:szCs w:val="21"/>
              </w:rPr>
              <w:t>1.20%</w:t>
            </w:r>
          </w:p>
        </w:tc>
        <w:tc>
          <w:tcPr>
            <w:tcW w:w="1620" w:type="dxa"/>
            <w:vAlign w:val="center"/>
          </w:tcPr>
          <w:p w:rsidR="00370906" w:rsidRDefault="00D73761">
            <w:pPr>
              <w:jc w:val="right"/>
            </w:pPr>
            <w:r>
              <w:rPr>
                <w:color w:val="000000"/>
                <w:szCs w:val="21"/>
              </w:rPr>
              <w:t>721.03</w:t>
            </w:r>
          </w:p>
        </w:tc>
        <w:tc>
          <w:tcPr>
            <w:tcW w:w="1080" w:type="dxa"/>
            <w:vAlign w:val="center"/>
          </w:tcPr>
          <w:p w:rsidR="00370906" w:rsidRDefault="00D73761">
            <w:pPr>
              <w:jc w:val="right"/>
            </w:pPr>
            <w:r>
              <w:rPr>
                <w:color w:val="000000"/>
                <w:szCs w:val="21"/>
              </w:rPr>
              <w:t>0.36%</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Goldman Sachs &amp; Co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3,093,621.75</w:t>
            </w:r>
          </w:p>
        </w:tc>
        <w:tc>
          <w:tcPr>
            <w:tcW w:w="1080" w:type="dxa"/>
            <w:vAlign w:val="center"/>
          </w:tcPr>
          <w:p w:rsidR="00370906" w:rsidRDefault="00D73761">
            <w:pPr>
              <w:jc w:val="right"/>
            </w:pPr>
            <w:r>
              <w:rPr>
                <w:color w:val="000000"/>
                <w:szCs w:val="21"/>
              </w:rPr>
              <w:t>1.55%</w:t>
            </w:r>
          </w:p>
        </w:tc>
        <w:tc>
          <w:tcPr>
            <w:tcW w:w="1620" w:type="dxa"/>
            <w:vAlign w:val="center"/>
          </w:tcPr>
          <w:p w:rsidR="00370906" w:rsidRDefault="00D73761">
            <w:pPr>
              <w:jc w:val="right"/>
            </w:pPr>
            <w:r>
              <w:rPr>
                <w:color w:val="000000"/>
                <w:szCs w:val="21"/>
              </w:rPr>
              <w:t>669.18</w:t>
            </w:r>
          </w:p>
        </w:tc>
        <w:tc>
          <w:tcPr>
            <w:tcW w:w="1080" w:type="dxa"/>
            <w:vAlign w:val="center"/>
          </w:tcPr>
          <w:p w:rsidR="00370906" w:rsidRDefault="00D73761">
            <w:pPr>
              <w:jc w:val="right"/>
            </w:pPr>
            <w:r>
              <w:rPr>
                <w:color w:val="000000"/>
                <w:szCs w:val="21"/>
              </w:rPr>
              <w:t>0.33%</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Societe Generale London Branch</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452,539.80</w:t>
            </w:r>
          </w:p>
        </w:tc>
        <w:tc>
          <w:tcPr>
            <w:tcW w:w="1080" w:type="dxa"/>
            <w:vAlign w:val="center"/>
          </w:tcPr>
          <w:p w:rsidR="00370906" w:rsidRDefault="00D73761">
            <w:pPr>
              <w:jc w:val="right"/>
            </w:pPr>
            <w:r>
              <w:rPr>
                <w:color w:val="000000"/>
                <w:szCs w:val="21"/>
              </w:rPr>
              <w:t>0.23%</w:t>
            </w:r>
          </w:p>
        </w:tc>
        <w:tc>
          <w:tcPr>
            <w:tcW w:w="1620" w:type="dxa"/>
            <w:vAlign w:val="center"/>
          </w:tcPr>
          <w:p w:rsidR="00370906" w:rsidRDefault="00D73761">
            <w:pPr>
              <w:jc w:val="right"/>
            </w:pPr>
            <w:r>
              <w:rPr>
                <w:color w:val="000000"/>
                <w:szCs w:val="21"/>
              </w:rPr>
              <w:t>582.24</w:t>
            </w:r>
          </w:p>
        </w:tc>
        <w:tc>
          <w:tcPr>
            <w:tcW w:w="1080" w:type="dxa"/>
            <w:vAlign w:val="center"/>
          </w:tcPr>
          <w:p w:rsidR="00370906" w:rsidRDefault="00D73761">
            <w:pPr>
              <w:jc w:val="right"/>
            </w:pPr>
            <w:r>
              <w:rPr>
                <w:color w:val="000000"/>
                <w:szCs w:val="21"/>
              </w:rPr>
              <w:t>0.29%</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Morgan Stanley &amp; Co. LLC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455,423.17</w:t>
            </w:r>
          </w:p>
        </w:tc>
        <w:tc>
          <w:tcPr>
            <w:tcW w:w="1080" w:type="dxa"/>
            <w:vAlign w:val="center"/>
          </w:tcPr>
          <w:p w:rsidR="00370906" w:rsidRDefault="00D73761">
            <w:pPr>
              <w:jc w:val="right"/>
            </w:pPr>
            <w:r>
              <w:rPr>
                <w:color w:val="000000"/>
                <w:szCs w:val="21"/>
              </w:rPr>
              <w:t>0.23%</w:t>
            </w:r>
          </w:p>
        </w:tc>
        <w:tc>
          <w:tcPr>
            <w:tcW w:w="1620" w:type="dxa"/>
            <w:vAlign w:val="center"/>
          </w:tcPr>
          <w:p w:rsidR="00370906" w:rsidRDefault="00D73761">
            <w:pPr>
              <w:jc w:val="right"/>
            </w:pPr>
            <w:r>
              <w:rPr>
                <w:color w:val="000000"/>
                <w:szCs w:val="21"/>
              </w:rPr>
              <w:t>273.41</w:t>
            </w:r>
          </w:p>
        </w:tc>
        <w:tc>
          <w:tcPr>
            <w:tcW w:w="1080" w:type="dxa"/>
            <w:vAlign w:val="center"/>
          </w:tcPr>
          <w:p w:rsidR="00370906" w:rsidRDefault="00D73761">
            <w:pPr>
              <w:jc w:val="right"/>
            </w:pPr>
            <w:r>
              <w:rPr>
                <w:color w:val="000000"/>
                <w:szCs w:val="21"/>
              </w:rPr>
              <w:t>0.14%</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Two Sigma Securities LLC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827,410.12</w:t>
            </w:r>
          </w:p>
        </w:tc>
        <w:tc>
          <w:tcPr>
            <w:tcW w:w="1080" w:type="dxa"/>
            <w:vAlign w:val="center"/>
          </w:tcPr>
          <w:p w:rsidR="00370906" w:rsidRDefault="00D73761">
            <w:pPr>
              <w:jc w:val="right"/>
            </w:pPr>
            <w:r>
              <w:rPr>
                <w:color w:val="000000"/>
                <w:szCs w:val="21"/>
              </w:rPr>
              <w:t>0.41%</w:t>
            </w:r>
          </w:p>
        </w:tc>
        <w:tc>
          <w:tcPr>
            <w:tcW w:w="1620" w:type="dxa"/>
            <w:vAlign w:val="center"/>
          </w:tcPr>
          <w:p w:rsidR="00370906" w:rsidRDefault="00D73761">
            <w:pPr>
              <w:jc w:val="right"/>
            </w:pPr>
            <w:r>
              <w:rPr>
                <w:color w:val="000000"/>
                <w:szCs w:val="21"/>
              </w:rPr>
              <w:t>272.74</w:t>
            </w:r>
          </w:p>
        </w:tc>
        <w:tc>
          <w:tcPr>
            <w:tcW w:w="1080" w:type="dxa"/>
            <w:vAlign w:val="center"/>
          </w:tcPr>
          <w:p w:rsidR="00370906" w:rsidRDefault="00D73761">
            <w:pPr>
              <w:jc w:val="right"/>
            </w:pPr>
            <w:r>
              <w:rPr>
                <w:color w:val="000000"/>
                <w:szCs w:val="21"/>
              </w:rPr>
              <w:t>0.13%</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Citigroup Global Markets Limited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558,583.66</w:t>
            </w:r>
          </w:p>
        </w:tc>
        <w:tc>
          <w:tcPr>
            <w:tcW w:w="1080" w:type="dxa"/>
            <w:vAlign w:val="center"/>
          </w:tcPr>
          <w:p w:rsidR="00370906" w:rsidRDefault="00D73761">
            <w:pPr>
              <w:jc w:val="right"/>
            </w:pPr>
            <w:r>
              <w:rPr>
                <w:color w:val="000000"/>
                <w:szCs w:val="21"/>
              </w:rPr>
              <w:t>0.28%</w:t>
            </w:r>
          </w:p>
        </w:tc>
        <w:tc>
          <w:tcPr>
            <w:tcW w:w="1620" w:type="dxa"/>
            <w:vAlign w:val="center"/>
          </w:tcPr>
          <w:p w:rsidR="00370906" w:rsidRDefault="00D73761">
            <w:pPr>
              <w:jc w:val="right"/>
            </w:pPr>
            <w:r>
              <w:rPr>
                <w:color w:val="000000"/>
                <w:szCs w:val="21"/>
              </w:rPr>
              <w:t>167.55</w:t>
            </w:r>
          </w:p>
        </w:tc>
        <w:tc>
          <w:tcPr>
            <w:tcW w:w="1080" w:type="dxa"/>
            <w:vAlign w:val="center"/>
          </w:tcPr>
          <w:p w:rsidR="00370906" w:rsidRDefault="00D73761">
            <w:pPr>
              <w:jc w:val="right"/>
            </w:pPr>
            <w:r>
              <w:rPr>
                <w:color w:val="000000"/>
                <w:szCs w:val="21"/>
              </w:rPr>
              <w:t>0.08%</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LLC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196,235.52</w:t>
            </w:r>
          </w:p>
        </w:tc>
        <w:tc>
          <w:tcPr>
            <w:tcW w:w="1080" w:type="dxa"/>
            <w:vAlign w:val="center"/>
          </w:tcPr>
          <w:p w:rsidR="00370906" w:rsidRDefault="00D73761">
            <w:pPr>
              <w:jc w:val="right"/>
            </w:pPr>
            <w:r>
              <w:rPr>
                <w:color w:val="000000"/>
                <w:szCs w:val="21"/>
              </w:rPr>
              <w:t>0.10%</w:t>
            </w:r>
          </w:p>
        </w:tc>
        <w:tc>
          <w:tcPr>
            <w:tcW w:w="1620" w:type="dxa"/>
            <w:vAlign w:val="center"/>
          </w:tcPr>
          <w:p w:rsidR="00370906" w:rsidRDefault="00D73761">
            <w:pPr>
              <w:jc w:val="right"/>
            </w:pPr>
            <w:r>
              <w:rPr>
                <w:color w:val="000000"/>
                <w:szCs w:val="21"/>
              </w:rPr>
              <w:t>130.39</w:t>
            </w:r>
          </w:p>
        </w:tc>
        <w:tc>
          <w:tcPr>
            <w:tcW w:w="1080" w:type="dxa"/>
            <w:vAlign w:val="center"/>
          </w:tcPr>
          <w:p w:rsidR="00370906" w:rsidRDefault="00D73761">
            <w:pPr>
              <w:jc w:val="right"/>
            </w:pPr>
            <w:r>
              <w:rPr>
                <w:color w:val="000000"/>
                <w:szCs w:val="21"/>
              </w:rPr>
              <w:t>0.06%</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Scotia Capital (USA) Inc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146,733.67</w:t>
            </w:r>
          </w:p>
        </w:tc>
        <w:tc>
          <w:tcPr>
            <w:tcW w:w="1080" w:type="dxa"/>
            <w:vAlign w:val="center"/>
          </w:tcPr>
          <w:p w:rsidR="00370906" w:rsidRDefault="00D73761">
            <w:pPr>
              <w:jc w:val="right"/>
            </w:pPr>
            <w:r>
              <w:rPr>
                <w:color w:val="000000"/>
                <w:szCs w:val="21"/>
              </w:rPr>
              <w:t>0.07%</w:t>
            </w:r>
          </w:p>
        </w:tc>
        <w:tc>
          <w:tcPr>
            <w:tcW w:w="1620" w:type="dxa"/>
            <w:vAlign w:val="center"/>
          </w:tcPr>
          <w:p w:rsidR="00370906" w:rsidRDefault="00D73761">
            <w:pPr>
              <w:jc w:val="right"/>
            </w:pPr>
            <w:r>
              <w:rPr>
                <w:color w:val="000000"/>
                <w:szCs w:val="21"/>
              </w:rPr>
              <w:t>119.78</w:t>
            </w:r>
          </w:p>
        </w:tc>
        <w:tc>
          <w:tcPr>
            <w:tcW w:w="1080" w:type="dxa"/>
            <w:vAlign w:val="center"/>
          </w:tcPr>
          <w:p w:rsidR="00370906" w:rsidRDefault="00D73761">
            <w:pPr>
              <w:jc w:val="right"/>
            </w:pPr>
            <w:r>
              <w:rPr>
                <w:color w:val="000000"/>
                <w:szCs w:val="21"/>
              </w:rPr>
              <w:t>0.06%</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Credit Suisse(Hong Kong)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351,642.85</w:t>
            </w:r>
          </w:p>
        </w:tc>
        <w:tc>
          <w:tcPr>
            <w:tcW w:w="1080" w:type="dxa"/>
            <w:vAlign w:val="center"/>
          </w:tcPr>
          <w:p w:rsidR="00370906" w:rsidRDefault="00D73761">
            <w:pPr>
              <w:jc w:val="right"/>
            </w:pPr>
            <w:r>
              <w:rPr>
                <w:color w:val="000000"/>
                <w:szCs w:val="21"/>
              </w:rPr>
              <w:t>0.18%</w:t>
            </w:r>
          </w:p>
        </w:tc>
        <w:tc>
          <w:tcPr>
            <w:tcW w:w="1620" w:type="dxa"/>
            <w:vAlign w:val="center"/>
          </w:tcPr>
          <w:p w:rsidR="00370906" w:rsidRDefault="00D73761">
            <w:pPr>
              <w:jc w:val="right"/>
            </w:pPr>
            <w:r>
              <w:rPr>
                <w:color w:val="000000"/>
                <w:szCs w:val="21"/>
              </w:rPr>
              <w:t>105.45</w:t>
            </w:r>
          </w:p>
        </w:tc>
        <w:tc>
          <w:tcPr>
            <w:tcW w:w="1080" w:type="dxa"/>
            <w:vAlign w:val="center"/>
          </w:tcPr>
          <w:p w:rsidR="00370906" w:rsidRDefault="00D73761">
            <w:pPr>
              <w:jc w:val="right"/>
            </w:pPr>
            <w:r>
              <w:rPr>
                <w:color w:val="000000"/>
                <w:szCs w:val="21"/>
              </w:rPr>
              <w:t>0.05%</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lastRenderedPageBreak/>
              <w:t>UBS Securities Asia Limited Hong Kong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290,859.56</w:t>
            </w:r>
          </w:p>
        </w:tc>
        <w:tc>
          <w:tcPr>
            <w:tcW w:w="1080" w:type="dxa"/>
            <w:vAlign w:val="center"/>
          </w:tcPr>
          <w:p w:rsidR="00370906" w:rsidRDefault="00D73761">
            <w:pPr>
              <w:jc w:val="right"/>
            </w:pPr>
            <w:r>
              <w:rPr>
                <w:color w:val="000000"/>
                <w:szCs w:val="21"/>
              </w:rPr>
              <w:t>0.15%</w:t>
            </w:r>
          </w:p>
        </w:tc>
        <w:tc>
          <w:tcPr>
            <w:tcW w:w="1620" w:type="dxa"/>
            <w:vAlign w:val="center"/>
          </w:tcPr>
          <w:p w:rsidR="00370906" w:rsidRDefault="00D73761">
            <w:pPr>
              <w:jc w:val="right"/>
            </w:pPr>
            <w:r>
              <w:rPr>
                <w:color w:val="000000"/>
                <w:szCs w:val="21"/>
              </w:rPr>
              <w:t>87.23</w:t>
            </w:r>
          </w:p>
        </w:tc>
        <w:tc>
          <w:tcPr>
            <w:tcW w:w="1080" w:type="dxa"/>
            <w:vAlign w:val="center"/>
          </w:tcPr>
          <w:p w:rsidR="00370906" w:rsidRDefault="00D73761">
            <w:pPr>
              <w:jc w:val="right"/>
            </w:pPr>
            <w:r>
              <w:rPr>
                <w:color w:val="000000"/>
                <w:szCs w:val="21"/>
              </w:rPr>
              <w:t>0.04%</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Cowen &amp; Company LLC New York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160,492.54</w:t>
            </w:r>
          </w:p>
        </w:tc>
        <w:tc>
          <w:tcPr>
            <w:tcW w:w="1080" w:type="dxa"/>
            <w:vAlign w:val="center"/>
          </w:tcPr>
          <w:p w:rsidR="00370906" w:rsidRDefault="00D73761">
            <w:pPr>
              <w:jc w:val="right"/>
            </w:pPr>
            <w:r>
              <w:rPr>
                <w:color w:val="000000"/>
                <w:szCs w:val="21"/>
              </w:rPr>
              <w:t>0.08%</w:t>
            </w:r>
          </w:p>
        </w:tc>
        <w:tc>
          <w:tcPr>
            <w:tcW w:w="1620" w:type="dxa"/>
            <w:vAlign w:val="center"/>
          </w:tcPr>
          <w:p w:rsidR="00370906" w:rsidRDefault="00D73761">
            <w:pPr>
              <w:jc w:val="right"/>
            </w:pPr>
            <w:r>
              <w:rPr>
                <w:color w:val="000000"/>
                <w:szCs w:val="21"/>
              </w:rPr>
              <w:t>63.48</w:t>
            </w:r>
          </w:p>
        </w:tc>
        <w:tc>
          <w:tcPr>
            <w:tcW w:w="1080" w:type="dxa"/>
            <w:vAlign w:val="center"/>
          </w:tcPr>
          <w:p w:rsidR="00370906" w:rsidRDefault="00D73761">
            <w:pPr>
              <w:jc w:val="right"/>
            </w:pPr>
            <w:r>
              <w:rPr>
                <w:color w:val="000000"/>
                <w:szCs w:val="21"/>
              </w:rPr>
              <w:t>0.03%</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PIPER JAFFRAY ASIA SECURITIES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RBC Capital Markets Corp</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RBC Dain Rauscher Inc Minneapolis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Redburn Partners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Redburn Partners LLP (DMA)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Royal Bank of Scotland Plc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 J LEVINSON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Samsung Securities Asia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SG Securities (London)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Southern Cross Equities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UBS Securities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UBS Singapore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WALL ST ACCESS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Wall Street Access Corporation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lastRenderedPageBreak/>
              <w:t>Yuanta Securities(HONG KONG)Company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Shenyin Wanguo Securities(H.K.)Ltd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Guosen Securities(HK) Brokerage Company,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Instinet Pacific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Liquidnet Europe Limited London (International trades)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Jefferies and Company Inc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BTIG LLC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Imperial Capital LLC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Deutsche Bank AG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Instinet LLC New York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Goldman Sachs International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Citigroup Global Markets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plc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Deutsche Bank Securities Inc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lastRenderedPageBreak/>
              <w:t>Royal Bank of Canada London Branch</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Morgan Stanley &amp; Co Inc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State Street Global Markets LLC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Jefferies LLC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Barclays Capital Inc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Daiwa Capital Markets Hong Kong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LLC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Banco Di Investimentos CSFB Garantia SA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Goldman Sachs Execution and Clearing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CCB International Securities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Nomura International Plc London (Offshore)</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Macquarie Bank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CLSA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RBC Capital Markets Inc Toronto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Macquarie Equities Ltd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 xml:space="preserve">Barclays Bank </w:t>
            </w:r>
            <w:r>
              <w:rPr>
                <w:color w:val="000000"/>
                <w:szCs w:val="21"/>
              </w:rPr>
              <w:lastRenderedPageBreak/>
              <w:t>Plc London</w:t>
            </w:r>
          </w:p>
        </w:tc>
        <w:tc>
          <w:tcPr>
            <w:tcW w:w="779" w:type="dxa"/>
            <w:vAlign w:val="center"/>
          </w:tcPr>
          <w:p w:rsidR="00370906" w:rsidRDefault="00D73761">
            <w:pPr>
              <w:jc w:val="right"/>
            </w:pPr>
            <w:r>
              <w:rPr>
                <w:color w:val="000000"/>
                <w:szCs w:val="21"/>
              </w:rPr>
              <w:lastRenderedPageBreak/>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Sanford C. Bernstein &amp; Co. LLC NY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(Asia Pacific) Limited HK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HSBC Bank Plc London (equities)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Oriental Patron Securities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UBS Securities Hong Kong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DBS Vickers Securities (Singapore) Pte Ltd Singapore</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UBS Securities Ltd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Credit Suisse Securities (USA) LLC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Mizuho Securities Asia Limited Hong Kong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BNP Paribas Peregrine HK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Exane Ltd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Deutsche Securities Asia Ltd Singapore</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Itau BBA USA Securities Inc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Redburn (Europe) Limited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 xml:space="preserve">Goldman Sachs </w:t>
            </w:r>
            <w:r>
              <w:rPr>
                <w:color w:val="000000"/>
                <w:szCs w:val="21"/>
              </w:rPr>
              <w:lastRenderedPageBreak/>
              <w:t>(ASIA) Securities Limited</w:t>
            </w:r>
          </w:p>
        </w:tc>
        <w:tc>
          <w:tcPr>
            <w:tcW w:w="779" w:type="dxa"/>
            <w:vAlign w:val="center"/>
          </w:tcPr>
          <w:p w:rsidR="00370906" w:rsidRDefault="00D73761">
            <w:pPr>
              <w:jc w:val="right"/>
            </w:pPr>
            <w:r>
              <w:rPr>
                <w:color w:val="000000"/>
                <w:szCs w:val="21"/>
              </w:rPr>
              <w:lastRenderedPageBreak/>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Merrill Lynch Pierce Fenner &amp; Smith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Citigroup Global Markets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Morgan Stanley Hong Kong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Redburn Partners LLP</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LLC NY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RBC Capital Markets Corporation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Cormark Securities Inc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China Securities(International)Brokerage Company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Mitsubishi UFJ Securities International Plc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Leerink Swann &amp; Co</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Macquarie Securities (USA) Inc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ITG Australia Limited Sydney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HSBC Securities Inc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 xml:space="preserve">Macquarie </w:t>
            </w:r>
            <w:r>
              <w:rPr>
                <w:color w:val="000000"/>
                <w:szCs w:val="21"/>
              </w:rPr>
              <w:lastRenderedPageBreak/>
              <w:t>Equities Ltd Sydney</w:t>
            </w:r>
          </w:p>
        </w:tc>
        <w:tc>
          <w:tcPr>
            <w:tcW w:w="779" w:type="dxa"/>
            <w:vAlign w:val="center"/>
          </w:tcPr>
          <w:p w:rsidR="00370906" w:rsidRDefault="00D73761">
            <w:pPr>
              <w:jc w:val="right"/>
            </w:pPr>
            <w:r>
              <w:rPr>
                <w:color w:val="000000"/>
                <w:szCs w:val="21"/>
              </w:rPr>
              <w:lastRenderedPageBreak/>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DB UK Bank Ltd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Kempen &amp; Co NV Amsterdam</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UBS Securities Singapore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Deutsche Securities Australia Ltd Sydney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Merrill Lynch Equities (Australia) Ltd Sydney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CIMB Securities (Australia) Limited Sydney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Credit Suisse (Seoul) Ltd Seoul</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(Asia Pacific) Ltd.Hong Kong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Australia Ltd Sydney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UBS Securities Australia Equities Ltd Sydney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ABN Amro Australia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ABN Amro Bank N.V.</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ABS Sundal Collier</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 xml:space="preserve">Albert Fried &amp; </w:t>
            </w:r>
            <w:r>
              <w:rPr>
                <w:color w:val="000000"/>
                <w:szCs w:val="21"/>
              </w:rPr>
              <w:lastRenderedPageBreak/>
              <w:t>Company LLC</w:t>
            </w:r>
          </w:p>
        </w:tc>
        <w:tc>
          <w:tcPr>
            <w:tcW w:w="779" w:type="dxa"/>
            <w:vAlign w:val="center"/>
          </w:tcPr>
          <w:p w:rsidR="00370906" w:rsidRDefault="00D73761">
            <w:pPr>
              <w:jc w:val="right"/>
            </w:pPr>
            <w:r>
              <w:rPr>
                <w:color w:val="000000"/>
                <w:szCs w:val="21"/>
              </w:rPr>
              <w:lastRenderedPageBreak/>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Anglo Irish Bank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Barclays Capital Group</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Barclays Capital Inc.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Barclays Capital Securities Thailand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BNP Paribas Securities(Asia)Ltd.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BNP Paribas UK Ltd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BRADESCO SEC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BSCH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Calyon Securities (New York)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CITIC Securities Brokerage (HK)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Citigroup Global Markets Australia Pty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Citigroup Global Markets UK Equity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CSFB Singapore Securities PTE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Daiwa Securities (HK) Ltd Hong Kong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DBS Vickers Securities (Singapore) Pte</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lastRenderedPageBreak/>
              <w:t>Deutsche Bank Alex Brown Inc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Deutsche Securities Asia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Evolution Group Plc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Goldman Sachs Australia Pty Ltd Melbourne</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Goldman Sachs International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Goldman Sachs JB Were Pty Ltd Melbourne</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Guoyuan Securities Brokerage(Hong Kong)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Haitong International Securities Company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ICAP CORP LLC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Instinet Corporation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Instinet Corporation New York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Investec Securities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ITG Australia Ltd Melbourne</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ITG EUROPE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ITG Ltd - Hong Kong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ITG Triton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lastRenderedPageBreak/>
              <w:t>ITG Triton (US)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 P Morgan Securities Inc N.Y.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 P Morgan Securities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 P Morgan Securities Ltd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 &amp; E.Davy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Jefferies &amp; Co Inc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Jefferies International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Chase Bank - London (TRS)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(Asia Pacific) Korea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JP Morgan Securities. (Asia Pacific)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Lehman Brothers International (Europe)</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LIQUIDNET</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Liquidnet (International Trades)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Liquidnet Australia Pty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LIQUIDNET EURO</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Liquidnet Inc New York (US$ Trades)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 xml:space="preserve">Macquarie Equities New </w:t>
            </w:r>
            <w:r>
              <w:rPr>
                <w:color w:val="000000"/>
                <w:szCs w:val="21"/>
              </w:rPr>
              <w:lastRenderedPageBreak/>
              <w:t>Zealand Ltd</w:t>
            </w:r>
          </w:p>
        </w:tc>
        <w:tc>
          <w:tcPr>
            <w:tcW w:w="779" w:type="dxa"/>
            <w:vAlign w:val="center"/>
          </w:tcPr>
          <w:p w:rsidR="00370906" w:rsidRDefault="00D73761">
            <w:pPr>
              <w:jc w:val="right"/>
            </w:pPr>
            <w:r>
              <w:rPr>
                <w:color w:val="000000"/>
                <w:szCs w:val="21"/>
              </w:rPr>
              <w:lastRenderedPageBreak/>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Macquarie Securities(Singapore)Pte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Macquarie Securities HK</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Merrill Lynch Far East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Merrill Lynch Fund Managers</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Merrill Lynch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Merrill Lynch Singapore DMA</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Mitsubishi Securities International</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Mizuho Securities Asia Ltd (HongKong)</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Mizuho Securities Co (Tokyo)</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Morgan Grenfell &amp; Co</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Morgan Stanley</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Morgan Stanley International Ltd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Morgan Stanley N Co Intl Ltd ( Seoul )</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Nomura International Ltd London</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t>Nomura International PLC.</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r w:rsidR="00370906">
        <w:tc>
          <w:tcPr>
            <w:tcW w:w="1559" w:type="dxa"/>
            <w:vAlign w:val="center"/>
          </w:tcPr>
          <w:p w:rsidR="00370906" w:rsidRDefault="00D73761">
            <w:pPr>
              <w:jc w:val="center"/>
            </w:pPr>
            <w:r>
              <w:rPr>
                <w:color w:val="000000"/>
                <w:szCs w:val="21"/>
              </w:rPr>
              <w:lastRenderedPageBreak/>
              <w:t>Panmure Gordon Limited</w:t>
            </w:r>
          </w:p>
        </w:tc>
        <w:tc>
          <w:tcPr>
            <w:tcW w:w="779" w:type="dxa"/>
            <w:vAlign w:val="center"/>
          </w:tcPr>
          <w:p w:rsidR="00370906" w:rsidRDefault="00D73761">
            <w:pPr>
              <w:jc w:val="right"/>
            </w:pPr>
            <w:r>
              <w:rPr>
                <w:color w:val="000000"/>
                <w:szCs w:val="21"/>
              </w:rPr>
              <w:t>-</w:t>
            </w:r>
          </w:p>
        </w:tc>
        <w:tc>
          <w:tcPr>
            <w:tcW w:w="180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620" w:type="dxa"/>
            <w:vAlign w:val="center"/>
          </w:tcPr>
          <w:p w:rsidR="00370906" w:rsidRDefault="00D73761">
            <w:pPr>
              <w:jc w:val="right"/>
            </w:pPr>
            <w:r>
              <w:rPr>
                <w:color w:val="000000"/>
                <w:szCs w:val="21"/>
              </w:rPr>
              <w:t>-</w:t>
            </w:r>
          </w:p>
        </w:tc>
        <w:tc>
          <w:tcPr>
            <w:tcW w:w="1080" w:type="dxa"/>
            <w:vAlign w:val="center"/>
          </w:tcPr>
          <w:p w:rsidR="00370906" w:rsidRDefault="00D73761">
            <w:pPr>
              <w:jc w:val="right"/>
            </w:pPr>
            <w:r>
              <w:rPr>
                <w:color w:val="000000"/>
                <w:szCs w:val="21"/>
              </w:rPr>
              <w:t>-</w:t>
            </w:r>
          </w:p>
        </w:tc>
        <w:tc>
          <w:tcPr>
            <w:tcW w:w="1080" w:type="dxa"/>
            <w:vAlign w:val="center"/>
          </w:tcPr>
          <w:p w:rsidR="00370906" w:rsidRDefault="00D73761">
            <w:pPr>
              <w:jc w:val="left"/>
            </w:pPr>
            <w:r>
              <w:rPr>
                <w:color w:val="000000"/>
                <w:szCs w:val="21"/>
              </w:rPr>
              <w:t>-</w:t>
            </w:r>
          </w:p>
        </w:tc>
      </w:tr>
    </w:tbl>
    <w:p w:rsidR="00370906" w:rsidRDefault="00D73761">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、本公司投资海外市场，遵循公平分配、最佳执行的原则。公司挑选券商并开户均主要遵循以下原则：券商基本面评价，包括财务状况和经营状况；</w:t>
      </w:r>
      <w:r w:rsidRPr="00C65B39">
        <w:rPr>
          <w:kern w:val="0"/>
          <w:sz w:val="24"/>
        </w:rPr>
        <w:t xml:space="preserve"> </w:t>
      </w:r>
      <w:r w:rsidRPr="00C65B3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763B5" w:rsidRDefault="007B62FA" w:rsidP="00417F87">
      <w:pPr>
        <w:spacing w:line="360" w:lineRule="auto"/>
        <w:rPr>
          <w:rFonts w:ascii="宋体" w:hAnsi="宋体"/>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r w:rsidRPr="00B14BCC">
        <w:rPr>
          <w:rFonts w:ascii="Times New Roman" w:hAnsi="Times New Roman"/>
          <w:kern w:val="0"/>
          <w:szCs w:val="24"/>
        </w:rPr>
        <w:t>11.7.2</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基金租用证券公司交易单元进行其他证券投资的情况</w:t>
      </w:r>
      <w:bookmarkEnd w:id="301"/>
    </w:p>
    <w:p w:rsidR="007B62FA" w:rsidRDefault="007B62FA" w:rsidP="00C65B39">
      <w:pPr>
        <w:tabs>
          <w:tab w:val="left" w:pos="426"/>
        </w:tabs>
        <w:spacing w:before="29" w:line="288" w:lineRule="auto"/>
        <w:jc w:val="left"/>
        <w:rPr>
          <w:kern w:val="0"/>
          <w:sz w:val="24"/>
        </w:rPr>
      </w:pPr>
      <w:r w:rsidRPr="00C65B39">
        <w:rPr>
          <w:kern w:val="0"/>
          <w:sz w:val="24"/>
        </w:rPr>
        <w:t>无。</w:t>
      </w:r>
    </w:p>
    <w:p w:rsidR="00FF2978" w:rsidRPr="0063717B" w:rsidRDefault="00FF2978" w:rsidP="00FF2978">
      <w:pPr>
        <w:pStyle w:val="1"/>
        <w:keepNext/>
        <w:keepLines/>
        <w:widowControl w:val="0"/>
        <w:spacing w:beforeLines="100" w:before="312" w:afterLines="100" w:after="312" w:line="360" w:lineRule="auto"/>
        <w:jc w:val="center"/>
        <w:rPr>
          <w:rFonts w:eastAsiaTheme="minorEastAsia"/>
          <w:b/>
          <w:bCs/>
          <w:szCs w:val="24"/>
          <w:lang w:val="en-US"/>
        </w:rPr>
      </w:pPr>
      <w:bookmarkStart w:id="302" w:name="_Toc374532345"/>
      <w:r w:rsidRPr="0063717B">
        <w:rPr>
          <w:rFonts w:eastAsiaTheme="minorEastAsia"/>
          <w:b/>
          <w:bCs/>
          <w:szCs w:val="24"/>
          <w:lang w:val="en-US"/>
        </w:rPr>
        <w:t xml:space="preserve">12  </w:t>
      </w:r>
      <w:r w:rsidRPr="0063717B">
        <w:rPr>
          <w:rFonts w:eastAsiaTheme="minorEastAsia" w:hint="eastAsia"/>
          <w:b/>
          <w:bCs/>
          <w:szCs w:val="24"/>
          <w:lang w:val="en-US"/>
        </w:rPr>
        <w:t>影响投资者决策的其他重要信息</w:t>
      </w:r>
      <w:bookmarkEnd w:id="302"/>
    </w:p>
    <w:p w:rsidR="00FF2978" w:rsidRPr="0063717B" w:rsidRDefault="00FF2978" w:rsidP="00FF2978">
      <w:pPr>
        <w:autoSpaceDE w:val="0"/>
        <w:autoSpaceDN w:val="0"/>
        <w:adjustRightInd w:val="0"/>
        <w:spacing w:line="360" w:lineRule="auto"/>
        <w:jc w:val="left"/>
        <w:rPr>
          <w:rFonts w:ascii="宋体" w:hAnsi="宋体"/>
          <w:b/>
          <w:bCs/>
          <w:color w:val="000000"/>
          <w:kern w:val="0"/>
          <w:sz w:val="24"/>
        </w:rPr>
      </w:pPr>
      <w:r w:rsidRPr="0063717B">
        <w:rPr>
          <w:rFonts w:ascii="宋体" w:hAnsi="宋体"/>
          <w:b/>
          <w:bCs/>
          <w:color w:val="000000"/>
          <w:kern w:val="0"/>
          <w:sz w:val="24"/>
        </w:rPr>
        <w:t xml:space="preserve">12.1 </w:t>
      </w:r>
      <w:r w:rsidRPr="0063717B">
        <w:rPr>
          <w:rFonts w:ascii="宋体" w:hAnsi="宋体" w:hint="eastAsia"/>
          <w:b/>
          <w:bCs/>
          <w:color w:val="000000"/>
          <w:kern w:val="0"/>
          <w:sz w:val="24"/>
        </w:rPr>
        <w:t>报告期内单一投资者持有基金份额比例达到或超过</w:t>
      </w:r>
      <w:r w:rsidRPr="0063717B">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F2978" w:rsidRPr="004F0662" w:rsidTr="00D73761">
        <w:tc>
          <w:tcPr>
            <w:tcW w:w="993" w:type="dxa"/>
            <w:vMerge w:val="restart"/>
            <w:vAlign w:val="center"/>
          </w:tcPr>
          <w:p w:rsidR="00FF2978" w:rsidRPr="004F0662" w:rsidRDefault="00FF2978" w:rsidP="00D7376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FF2978" w:rsidRPr="004F0662" w:rsidRDefault="00FF2978" w:rsidP="00D7376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FF2978" w:rsidRPr="004F0662" w:rsidRDefault="00FF2978" w:rsidP="00D7376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FF2978" w:rsidRPr="004F0662" w:rsidTr="00D73761">
        <w:tc>
          <w:tcPr>
            <w:tcW w:w="993" w:type="dxa"/>
            <w:vMerge/>
            <w:vAlign w:val="center"/>
          </w:tcPr>
          <w:p w:rsidR="00FF2978" w:rsidRPr="004F0662" w:rsidRDefault="00FF2978" w:rsidP="00D73761">
            <w:pPr>
              <w:autoSpaceDE w:val="0"/>
              <w:autoSpaceDN w:val="0"/>
              <w:adjustRightInd w:val="0"/>
              <w:jc w:val="center"/>
              <w:rPr>
                <w:rFonts w:ascii="宋体" w:hAnsi="宋体"/>
                <w:b/>
                <w:bCs/>
                <w:color w:val="000000"/>
                <w:kern w:val="0"/>
                <w:szCs w:val="21"/>
              </w:rPr>
            </w:pPr>
          </w:p>
        </w:tc>
        <w:tc>
          <w:tcPr>
            <w:tcW w:w="992" w:type="dxa"/>
            <w:vAlign w:val="center"/>
          </w:tcPr>
          <w:p w:rsidR="00FF2978" w:rsidRPr="004F0662" w:rsidRDefault="00FF2978" w:rsidP="00D7376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FF2978" w:rsidRPr="004F0662" w:rsidRDefault="00FF2978" w:rsidP="00D7376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FF2978" w:rsidRPr="004F0662" w:rsidRDefault="00FF2978" w:rsidP="00D73761">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FF2978" w:rsidRPr="004F0662" w:rsidRDefault="00FF2978" w:rsidP="00D73761">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FF2978" w:rsidRPr="004F0662" w:rsidRDefault="00FF2978" w:rsidP="00D73761">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FF2978" w:rsidRPr="004F0662" w:rsidRDefault="00FF2978" w:rsidP="00D7376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FF2978" w:rsidRPr="004F0662" w:rsidRDefault="00FF2978" w:rsidP="00D7376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70906">
        <w:tc>
          <w:tcPr>
            <w:tcW w:w="993" w:type="dxa"/>
            <w:vMerge w:val="restart"/>
          </w:tcPr>
          <w:p w:rsidR="00370906" w:rsidRDefault="00370906"/>
          <w:p w:rsidR="00370906" w:rsidRDefault="00D73761">
            <w:r>
              <w:rPr>
                <w:rFonts w:ascii="宋体" w:hAnsi="宋体" w:hint="eastAsia"/>
                <w:bCs/>
                <w:color w:val="000000"/>
                <w:kern w:val="0"/>
                <w:szCs w:val="21"/>
              </w:rPr>
              <w:t>机构</w:t>
            </w:r>
          </w:p>
        </w:tc>
        <w:tc>
          <w:tcPr>
            <w:tcW w:w="992" w:type="dxa"/>
            <w:vAlign w:val="center"/>
          </w:tcPr>
          <w:p w:rsidR="00370906" w:rsidRDefault="00D73761">
            <w:pPr>
              <w:jc w:val="center"/>
            </w:pPr>
            <w:r>
              <w:rPr>
                <w:rFonts w:ascii="宋体" w:hAnsi="宋体"/>
                <w:color w:val="000000"/>
                <w:kern w:val="0"/>
                <w:szCs w:val="21"/>
              </w:rPr>
              <w:t>1</w:t>
            </w:r>
          </w:p>
        </w:tc>
        <w:tc>
          <w:tcPr>
            <w:tcW w:w="1843" w:type="dxa"/>
            <w:vAlign w:val="center"/>
          </w:tcPr>
          <w:p w:rsidR="00370906" w:rsidRDefault="00D73761">
            <w:pPr>
              <w:jc w:val="center"/>
            </w:pPr>
            <w:r>
              <w:rPr>
                <w:rFonts w:ascii="宋体" w:hAnsi="宋体"/>
                <w:color w:val="000000"/>
                <w:kern w:val="0"/>
                <w:szCs w:val="21"/>
              </w:rPr>
              <w:t>2017/1/1-2017/12/31</w:t>
            </w:r>
          </w:p>
        </w:tc>
        <w:tc>
          <w:tcPr>
            <w:tcW w:w="851" w:type="dxa"/>
            <w:vAlign w:val="center"/>
          </w:tcPr>
          <w:p w:rsidR="00370906" w:rsidRDefault="00D73761">
            <w:pPr>
              <w:jc w:val="center"/>
            </w:pPr>
            <w:r>
              <w:rPr>
                <w:rFonts w:ascii="宋体" w:hAnsi="宋体"/>
                <w:color w:val="000000"/>
                <w:kern w:val="0"/>
                <w:szCs w:val="21"/>
              </w:rPr>
              <w:t>24,959,634.69</w:t>
            </w:r>
          </w:p>
        </w:tc>
        <w:tc>
          <w:tcPr>
            <w:tcW w:w="850" w:type="dxa"/>
            <w:vAlign w:val="center"/>
          </w:tcPr>
          <w:p w:rsidR="00370906" w:rsidRDefault="00D73761">
            <w:pPr>
              <w:jc w:val="center"/>
            </w:pPr>
            <w:r>
              <w:rPr>
                <w:rFonts w:ascii="宋体" w:hAnsi="宋体"/>
                <w:color w:val="000000"/>
                <w:kern w:val="0"/>
                <w:szCs w:val="21"/>
              </w:rPr>
              <w:t>1,094,720.82</w:t>
            </w:r>
          </w:p>
        </w:tc>
        <w:tc>
          <w:tcPr>
            <w:tcW w:w="1134" w:type="dxa"/>
            <w:vAlign w:val="center"/>
          </w:tcPr>
          <w:p w:rsidR="00370906" w:rsidRDefault="00D73761">
            <w:pPr>
              <w:jc w:val="center"/>
            </w:pPr>
            <w:r>
              <w:rPr>
                <w:rFonts w:ascii="宋体" w:hAnsi="宋体"/>
                <w:color w:val="000000"/>
                <w:kern w:val="0"/>
                <w:szCs w:val="21"/>
              </w:rPr>
              <w:t>-</w:t>
            </w:r>
          </w:p>
        </w:tc>
        <w:tc>
          <w:tcPr>
            <w:tcW w:w="1419" w:type="dxa"/>
            <w:vAlign w:val="center"/>
          </w:tcPr>
          <w:p w:rsidR="00370906" w:rsidRDefault="00D73761">
            <w:pPr>
              <w:jc w:val="center"/>
            </w:pPr>
            <w:r>
              <w:rPr>
                <w:rFonts w:ascii="宋体" w:hAnsi="宋体"/>
                <w:color w:val="000000"/>
                <w:kern w:val="0"/>
                <w:szCs w:val="21"/>
              </w:rPr>
              <w:t>26,054,355.51</w:t>
            </w:r>
          </w:p>
        </w:tc>
        <w:tc>
          <w:tcPr>
            <w:tcW w:w="1130" w:type="dxa"/>
            <w:vAlign w:val="center"/>
          </w:tcPr>
          <w:p w:rsidR="00370906" w:rsidRDefault="00D73761" w:rsidP="00CC022F">
            <w:pPr>
              <w:jc w:val="center"/>
            </w:pPr>
            <w:r>
              <w:rPr>
                <w:rFonts w:ascii="宋体" w:hAnsi="宋体"/>
                <w:color w:val="000000"/>
                <w:kern w:val="0"/>
                <w:szCs w:val="21"/>
              </w:rPr>
              <w:t>40.3</w:t>
            </w:r>
            <w:r w:rsidR="00CC022F">
              <w:rPr>
                <w:rFonts w:ascii="宋体" w:hAnsi="宋体"/>
                <w:color w:val="000000"/>
                <w:kern w:val="0"/>
                <w:szCs w:val="21"/>
              </w:rPr>
              <w:t>2</w:t>
            </w:r>
            <w:r>
              <w:rPr>
                <w:rFonts w:ascii="宋体" w:hAnsi="宋体"/>
                <w:color w:val="000000"/>
                <w:kern w:val="0"/>
                <w:szCs w:val="21"/>
              </w:rPr>
              <w:t>%</w:t>
            </w:r>
          </w:p>
        </w:tc>
      </w:tr>
      <w:tr w:rsidR="00FF2978" w:rsidRPr="004F0662" w:rsidTr="00D73761">
        <w:tc>
          <w:tcPr>
            <w:tcW w:w="9212" w:type="dxa"/>
            <w:gridSpan w:val="8"/>
            <w:vAlign w:val="center"/>
          </w:tcPr>
          <w:p w:rsidR="00FF2978" w:rsidRPr="004F0662" w:rsidRDefault="00FF2978" w:rsidP="00D73761">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FF2978" w:rsidRPr="004F0662" w:rsidTr="00D73761">
        <w:tc>
          <w:tcPr>
            <w:tcW w:w="9212" w:type="dxa"/>
            <w:gridSpan w:val="8"/>
            <w:vAlign w:val="center"/>
          </w:tcPr>
          <w:p w:rsidR="00FF2978" w:rsidRPr="004F0662" w:rsidRDefault="00FF2978" w:rsidP="00D73761">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0EFA" w:rsidRDefault="00F20EFA" w:rsidP="007E5C23">
      <w:pPr>
        <w:spacing w:before="29" w:line="288" w:lineRule="auto"/>
        <w:ind w:firstLineChars="200" w:firstLine="482"/>
        <w:jc w:val="right"/>
        <w:rPr>
          <w:b/>
          <w:color w:val="000000"/>
          <w:sz w:val="24"/>
        </w:rPr>
      </w:pPr>
    </w:p>
    <w:p w:rsidR="00F20EFA" w:rsidRDefault="00F20EFA" w:rsidP="007E5C23">
      <w:pPr>
        <w:spacing w:before="29" w:line="288" w:lineRule="auto"/>
        <w:ind w:firstLineChars="200" w:firstLine="482"/>
        <w:jc w:val="right"/>
        <w:rPr>
          <w:b/>
          <w:color w:val="000000"/>
          <w:sz w:val="24"/>
        </w:rPr>
      </w:pP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二〇一八年三月二十八日</w:t>
      </w:r>
    </w:p>
    <w:sectPr w:rsidR="007B62FA" w:rsidRPr="007E5C23"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4C" w:rsidRDefault="00CA674C">
      <w:r>
        <w:separator/>
      </w:r>
    </w:p>
  </w:endnote>
  <w:endnote w:type="continuationSeparator" w:id="0">
    <w:p w:rsidR="00CA674C" w:rsidRDefault="00CA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B9" w:rsidRDefault="001122B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122B9" w:rsidRDefault="001122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B9" w:rsidRDefault="001122B9"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3717B">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3717B">
      <w:rPr>
        <w:noProof/>
        <w:kern w:val="0"/>
        <w:szCs w:val="21"/>
      </w:rPr>
      <w:t>44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4C" w:rsidRDefault="00CA674C">
      <w:r>
        <w:separator/>
      </w:r>
    </w:p>
  </w:footnote>
  <w:footnote w:type="continuationSeparator" w:id="0">
    <w:p w:rsidR="00CA674C" w:rsidRDefault="00CA6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B9" w:rsidRPr="00350014" w:rsidRDefault="001122B9" w:rsidP="00350014">
    <w:pPr>
      <w:pStyle w:val="aa"/>
      <w:pBdr>
        <w:bottom w:val="single" w:sz="6" w:space="0" w:color="auto"/>
      </w:pBdr>
      <w:jc w:val="right"/>
      <w:rPr>
        <w:sz w:val="21"/>
        <w:szCs w:val="21"/>
      </w:rPr>
    </w:pPr>
    <w:r w:rsidRPr="00665064">
      <w:rPr>
        <w:rFonts w:hint="eastAsia"/>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2B9"/>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4EAB"/>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906"/>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17B"/>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5CFC"/>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948"/>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DD6"/>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2772"/>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74C"/>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22F"/>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761"/>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533"/>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981"/>
    <w:rsid w:val="00F20C9C"/>
    <w:rsid w:val="00F20EFA"/>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978"/>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2751B0-BF10-4717-B6F7-06F03D8E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paragraph" w:styleId="af8">
    <w:name w:val="Revision"/>
    <w:hidden/>
    <w:uiPriority w:val="99"/>
    <w:semiHidden/>
    <w:rsid w:val="006371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44</Pages>
  <Words>4936</Words>
  <Characters>28136</Characters>
  <Application>Microsoft Office Word</Application>
  <DocSecurity>0</DocSecurity>
  <Lines>234</Lines>
  <Paragraphs>66</Paragraphs>
  <ScaleCrop>false</ScaleCrop>
  <Company/>
  <LinksUpToDate>false</LinksUpToDate>
  <CharactersWithSpaces>33006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496</cp:revision>
  <cp:lastPrinted>2007-07-19T00:46:00Z</cp:lastPrinted>
  <dcterms:created xsi:type="dcterms:W3CDTF">2013-08-08T02:33:00Z</dcterms:created>
  <dcterms:modified xsi:type="dcterms:W3CDTF">2018-03-26T12:56:00Z</dcterms:modified>
</cp:coreProperties>
</file>