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交银施罗德天鑫宝货币市场基金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基金托管人：兴业银行股份有限公司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二〇一八年三月二十八日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0" w:name="_Toc509581466"/>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509581467"/>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2622A8" w:rsidRDefault="00DF40FE">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2622A8" w:rsidRDefault="00DF40FE">
      <w:pPr>
        <w:spacing w:before="29" w:line="288" w:lineRule="auto"/>
        <w:ind w:firstLineChars="200" w:firstLine="480"/>
        <w:rPr>
          <w:sz w:val="24"/>
        </w:rPr>
      </w:pPr>
      <w:r>
        <w:rPr>
          <w:rFonts w:hint="eastAsia"/>
          <w:sz w:val="24"/>
        </w:rPr>
        <w:t>基金托管人兴业银行股份有限公司根据本基金合同规定，于</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2622A8" w:rsidRDefault="00DF40FE">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2622A8" w:rsidRDefault="00DF40FE">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2017</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C512DE" w:rsidRDefault="000D1BA5">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509581466" w:history="1">
        <w:r w:rsidR="00C512DE" w:rsidRPr="009134AE">
          <w:rPr>
            <w:rStyle w:val="a8"/>
            <w:b/>
            <w:bCs/>
            <w:noProof/>
          </w:rPr>
          <w:t xml:space="preserve">§1  </w:t>
        </w:r>
        <w:r w:rsidR="00C512DE" w:rsidRPr="009134AE">
          <w:rPr>
            <w:rStyle w:val="a8"/>
            <w:rFonts w:hint="eastAsia"/>
            <w:b/>
            <w:bCs/>
            <w:noProof/>
          </w:rPr>
          <w:t>重要提示及目录</w:t>
        </w:r>
        <w:r w:rsidR="00C512DE">
          <w:rPr>
            <w:noProof/>
            <w:webHidden/>
          </w:rPr>
          <w:tab/>
        </w:r>
        <w:r w:rsidR="00C512DE">
          <w:rPr>
            <w:noProof/>
            <w:webHidden/>
          </w:rPr>
          <w:fldChar w:fldCharType="begin"/>
        </w:r>
        <w:r w:rsidR="00C512DE">
          <w:rPr>
            <w:noProof/>
            <w:webHidden/>
          </w:rPr>
          <w:instrText xml:space="preserve"> PAGEREF _Toc509581466 \h </w:instrText>
        </w:r>
        <w:r w:rsidR="00C512DE">
          <w:rPr>
            <w:noProof/>
            <w:webHidden/>
          </w:rPr>
        </w:r>
        <w:r w:rsidR="00C512DE">
          <w:rPr>
            <w:noProof/>
            <w:webHidden/>
          </w:rPr>
          <w:fldChar w:fldCharType="separate"/>
        </w:r>
        <w:r w:rsidR="0006291C">
          <w:rPr>
            <w:noProof/>
            <w:webHidden/>
          </w:rPr>
          <w:t>2</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67" w:history="1">
        <w:r w:rsidR="00C512DE" w:rsidRPr="009134AE">
          <w:rPr>
            <w:rStyle w:val="a8"/>
            <w:noProof/>
          </w:rPr>
          <w:t xml:space="preserve">1.1 </w:t>
        </w:r>
        <w:r w:rsidR="00C512DE" w:rsidRPr="009134AE">
          <w:rPr>
            <w:rStyle w:val="a8"/>
            <w:rFonts w:hint="eastAsia"/>
            <w:noProof/>
          </w:rPr>
          <w:t>重要提示</w:t>
        </w:r>
        <w:r w:rsidR="00C512DE">
          <w:rPr>
            <w:noProof/>
            <w:webHidden/>
          </w:rPr>
          <w:tab/>
        </w:r>
        <w:r w:rsidR="00C512DE">
          <w:rPr>
            <w:noProof/>
            <w:webHidden/>
          </w:rPr>
          <w:fldChar w:fldCharType="begin"/>
        </w:r>
        <w:r w:rsidR="00C512DE">
          <w:rPr>
            <w:noProof/>
            <w:webHidden/>
          </w:rPr>
          <w:instrText xml:space="preserve"> PAGEREF _Toc509581467 \h </w:instrText>
        </w:r>
        <w:r w:rsidR="00C512DE">
          <w:rPr>
            <w:noProof/>
            <w:webHidden/>
          </w:rPr>
        </w:r>
        <w:r w:rsidR="00C512DE">
          <w:rPr>
            <w:noProof/>
            <w:webHidden/>
          </w:rPr>
          <w:fldChar w:fldCharType="separate"/>
        </w:r>
        <w:r w:rsidR="0006291C">
          <w:rPr>
            <w:noProof/>
            <w:webHidden/>
          </w:rPr>
          <w:t>2</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468" w:history="1">
        <w:r w:rsidR="00C512DE" w:rsidRPr="009134AE">
          <w:rPr>
            <w:rStyle w:val="a8"/>
            <w:b/>
            <w:bCs/>
            <w:noProof/>
          </w:rPr>
          <w:t xml:space="preserve">§2  </w:t>
        </w:r>
        <w:r w:rsidR="00C512DE" w:rsidRPr="009134AE">
          <w:rPr>
            <w:rStyle w:val="a8"/>
            <w:rFonts w:hint="eastAsia"/>
            <w:b/>
            <w:bCs/>
            <w:noProof/>
          </w:rPr>
          <w:t>基金简介</w:t>
        </w:r>
        <w:r w:rsidR="00C512DE">
          <w:rPr>
            <w:noProof/>
            <w:webHidden/>
          </w:rPr>
          <w:tab/>
        </w:r>
        <w:r w:rsidR="00C512DE">
          <w:rPr>
            <w:noProof/>
            <w:webHidden/>
          </w:rPr>
          <w:fldChar w:fldCharType="begin"/>
        </w:r>
        <w:r w:rsidR="00C512DE">
          <w:rPr>
            <w:noProof/>
            <w:webHidden/>
          </w:rPr>
          <w:instrText xml:space="preserve"> PAGEREF _Toc509581468 \h </w:instrText>
        </w:r>
        <w:r w:rsidR="00C512DE">
          <w:rPr>
            <w:noProof/>
            <w:webHidden/>
          </w:rPr>
        </w:r>
        <w:r w:rsidR="00C512DE">
          <w:rPr>
            <w:noProof/>
            <w:webHidden/>
          </w:rPr>
          <w:fldChar w:fldCharType="separate"/>
        </w:r>
        <w:r w:rsidR="0006291C">
          <w:rPr>
            <w:noProof/>
            <w:webHidden/>
          </w:rPr>
          <w:t>5</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69" w:history="1">
        <w:r w:rsidR="00C512DE" w:rsidRPr="009134AE">
          <w:rPr>
            <w:rStyle w:val="a8"/>
            <w:noProof/>
          </w:rPr>
          <w:t xml:space="preserve">2.1 </w:t>
        </w:r>
        <w:r w:rsidR="00C512DE" w:rsidRPr="009134AE">
          <w:rPr>
            <w:rStyle w:val="a8"/>
            <w:rFonts w:hint="eastAsia"/>
            <w:noProof/>
          </w:rPr>
          <w:t>基金基本情况</w:t>
        </w:r>
        <w:r w:rsidR="00C512DE">
          <w:rPr>
            <w:noProof/>
            <w:webHidden/>
          </w:rPr>
          <w:tab/>
        </w:r>
        <w:r w:rsidR="00C512DE">
          <w:rPr>
            <w:noProof/>
            <w:webHidden/>
          </w:rPr>
          <w:fldChar w:fldCharType="begin"/>
        </w:r>
        <w:r w:rsidR="00C512DE">
          <w:rPr>
            <w:noProof/>
            <w:webHidden/>
          </w:rPr>
          <w:instrText xml:space="preserve"> PAGEREF _Toc509581469 \h </w:instrText>
        </w:r>
        <w:r w:rsidR="00C512DE">
          <w:rPr>
            <w:noProof/>
            <w:webHidden/>
          </w:rPr>
        </w:r>
        <w:r w:rsidR="00C512DE">
          <w:rPr>
            <w:noProof/>
            <w:webHidden/>
          </w:rPr>
          <w:fldChar w:fldCharType="separate"/>
        </w:r>
        <w:r w:rsidR="0006291C">
          <w:rPr>
            <w:noProof/>
            <w:webHidden/>
          </w:rPr>
          <w:t>5</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70" w:history="1">
        <w:r w:rsidR="00C512DE" w:rsidRPr="009134AE">
          <w:rPr>
            <w:rStyle w:val="a8"/>
            <w:noProof/>
          </w:rPr>
          <w:t xml:space="preserve">2.2 </w:t>
        </w:r>
        <w:r w:rsidR="00C512DE" w:rsidRPr="009134AE">
          <w:rPr>
            <w:rStyle w:val="a8"/>
            <w:rFonts w:hint="eastAsia"/>
            <w:noProof/>
          </w:rPr>
          <w:t>基金产品说明</w:t>
        </w:r>
        <w:r w:rsidR="00C512DE">
          <w:rPr>
            <w:noProof/>
            <w:webHidden/>
          </w:rPr>
          <w:tab/>
        </w:r>
        <w:r w:rsidR="00C512DE">
          <w:rPr>
            <w:noProof/>
            <w:webHidden/>
          </w:rPr>
          <w:fldChar w:fldCharType="begin"/>
        </w:r>
        <w:r w:rsidR="00C512DE">
          <w:rPr>
            <w:noProof/>
            <w:webHidden/>
          </w:rPr>
          <w:instrText xml:space="preserve"> PAGEREF _Toc509581470 \h </w:instrText>
        </w:r>
        <w:r w:rsidR="00C512DE">
          <w:rPr>
            <w:noProof/>
            <w:webHidden/>
          </w:rPr>
        </w:r>
        <w:r w:rsidR="00C512DE">
          <w:rPr>
            <w:noProof/>
            <w:webHidden/>
          </w:rPr>
          <w:fldChar w:fldCharType="separate"/>
        </w:r>
        <w:r w:rsidR="0006291C">
          <w:rPr>
            <w:noProof/>
            <w:webHidden/>
          </w:rPr>
          <w:t>5</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71" w:history="1">
        <w:r w:rsidR="00C512DE" w:rsidRPr="009134AE">
          <w:rPr>
            <w:rStyle w:val="a8"/>
            <w:noProof/>
          </w:rPr>
          <w:t xml:space="preserve">2.3 </w:t>
        </w:r>
        <w:r w:rsidR="00C512DE" w:rsidRPr="009134AE">
          <w:rPr>
            <w:rStyle w:val="a8"/>
            <w:rFonts w:hint="eastAsia"/>
            <w:noProof/>
          </w:rPr>
          <w:t>基金管理人和基金托管人</w:t>
        </w:r>
        <w:r w:rsidR="00C512DE">
          <w:rPr>
            <w:noProof/>
            <w:webHidden/>
          </w:rPr>
          <w:tab/>
        </w:r>
        <w:r w:rsidR="00C512DE">
          <w:rPr>
            <w:noProof/>
            <w:webHidden/>
          </w:rPr>
          <w:fldChar w:fldCharType="begin"/>
        </w:r>
        <w:r w:rsidR="00C512DE">
          <w:rPr>
            <w:noProof/>
            <w:webHidden/>
          </w:rPr>
          <w:instrText xml:space="preserve"> PAGEREF _Toc509581471 \h </w:instrText>
        </w:r>
        <w:r w:rsidR="00C512DE">
          <w:rPr>
            <w:noProof/>
            <w:webHidden/>
          </w:rPr>
        </w:r>
        <w:r w:rsidR="00C512DE">
          <w:rPr>
            <w:noProof/>
            <w:webHidden/>
          </w:rPr>
          <w:fldChar w:fldCharType="separate"/>
        </w:r>
        <w:r w:rsidR="0006291C">
          <w:rPr>
            <w:noProof/>
            <w:webHidden/>
          </w:rPr>
          <w:t>5</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72" w:history="1">
        <w:r w:rsidR="00C512DE" w:rsidRPr="009134AE">
          <w:rPr>
            <w:rStyle w:val="a8"/>
            <w:noProof/>
          </w:rPr>
          <w:t xml:space="preserve">2.4 </w:t>
        </w:r>
        <w:r w:rsidR="00C512DE" w:rsidRPr="009134AE">
          <w:rPr>
            <w:rStyle w:val="a8"/>
            <w:rFonts w:hint="eastAsia"/>
            <w:noProof/>
          </w:rPr>
          <w:t>信息披露方式</w:t>
        </w:r>
        <w:r w:rsidR="00C512DE">
          <w:rPr>
            <w:noProof/>
            <w:webHidden/>
          </w:rPr>
          <w:tab/>
        </w:r>
        <w:r w:rsidR="00C512DE">
          <w:rPr>
            <w:noProof/>
            <w:webHidden/>
          </w:rPr>
          <w:fldChar w:fldCharType="begin"/>
        </w:r>
        <w:r w:rsidR="00C512DE">
          <w:rPr>
            <w:noProof/>
            <w:webHidden/>
          </w:rPr>
          <w:instrText xml:space="preserve"> PAGEREF _Toc509581472 \h </w:instrText>
        </w:r>
        <w:r w:rsidR="00C512DE">
          <w:rPr>
            <w:noProof/>
            <w:webHidden/>
          </w:rPr>
        </w:r>
        <w:r w:rsidR="00C512DE">
          <w:rPr>
            <w:noProof/>
            <w:webHidden/>
          </w:rPr>
          <w:fldChar w:fldCharType="separate"/>
        </w:r>
        <w:r w:rsidR="0006291C">
          <w:rPr>
            <w:noProof/>
            <w:webHidden/>
          </w:rPr>
          <w:t>6</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73" w:history="1">
        <w:r w:rsidR="00C512DE" w:rsidRPr="009134AE">
          <w:rPr>
            <w:rStyle w:val="a8"/>
            <w:noProof/>
          </w:rPr>
          <w:t xml:space="preserve">2.5 </w:t>
        </w:r>
        <w:r w:rsidR="00C512DE" w:rsidRPr="009134AE">
          <w:rPr>
            <w:rStyle w:val="a8"/>
            <w:rFonts w:hint="eastAsia"/>
            <w:noProof/>
          </w:rPr>
          <w:t>其他相关资料</w:t>
        </w:r>
        <w:r w:rsidR="00C512DE">
          <w:rPr>
            <w:noProof/>
            <w:webHidden/>
          </w:rPr>
          <w:tab/>
        </w:r>
        <w:r w:rsidR="00C512DE">
          <w:rPr>
            <w:noProof/>
            <w:webHidden/>
          </w:rPr>
          <w:fldChar w:fldCharType="begin"/>
        </w:r>
        <w:r w:rsidR="00C512DE">
          <w:rPr>
            <w:noProof/>
            <w:webHidden/>
          </w:rPr>
          <w:instrText xml:space="preserve"> PAGEREF _Toc509581473 \h </w:instrText>
        </w:r>
        <w:r w:rsidR="00C512DE">
          <w:rPr>
            <w:noProof/>
            <w:webHidden/>
          </w:rPr>
        </w:r>
        <w:r w:rsidR="00C512DE">
          <w:rPr>
            <w:noProof/>
            <w:webHidden/>
          </w:rPr>
          <w:fldChar w:fldCharType="separate"/>
        </w:r>
        <w:r w:rsidR="0006291C">
          <w:rPr>
            <w:noProof/>
            <w:webHidden/>
          </w:rPr>
          <w:t>6</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474" w:history="1">
        <w:r w:rsidR="00C512DE" w:rsidRPr="009134AE">
          <w:rPr>
            <w:rStyle w:val="a8"/>
            <w:b/>
            <w:bCs/>
            <w:noProof/>
          </w:rPr>
          <w:t xml:space="preserve">§3  </w:t>
        </w:r>
        <w:r w:rsidR="00C512DE" w:rsidRPr="009134AE">
          <w:rPr>
            <w:rStyle w:val="a8"/>
            <w:rFonts w:hint="eastAsia"/>
            <w:b/>
            <w:bCs/>
            <w:noProof/>
          </w:rPr>
          <w:t>主要财务指标、基金净值表现及利润分配情况</w:t>
        </w:r>
        <w:r w:rsidR="00C512DE">
          <w:rPr>
            <w:noProof/>
            <w:webHidden/>
          </w:rPr>
          <w:tab/>
        </w:r>
        <w:r w:rsidR="00C512DE">
          <w:rPr>
            <w:noProof/>
            <w:webHidden/>
          </w:rPr>
          <w:fldChar w:fldCharType="begin"/>
        </w:r>
        <w:r w:rsidR="00C512DE">
          <w:rPr>
            <w:noProof/>
            <w:webHidden/>
          </w:rPr>
          <w:instrText xml:space="preserve"> PAGEREF _Toc509581474 \h </w:instrText>
        </w:r>
        <w:r w:rsidR="00C512DE">
          <w:rPr>
            <w:noProof/>
            <w:webHidden/>
          </w:rPr>
        </w:r>
        <w:r w:rsidR="00C512DE">
          <w:rPr>
            <w:noProof/>
            <w:webHidden/>
          </w:rPr>
          <w:fldChar w:fldCharType="separate"/>
        </w:r>
        <w:r w:rsidR="0006291C">
          <w:rPr>
            <w:noProof/>
            <w:webHidden/>
          </w:rPr>
          <w:t>6</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75" w:history="1">
        <w:r w:rsidR="00C512DE" w:rsidRPr="009134AE">
          <w:rPr>
            <w:rStyle w:val="a8"/>
            <w:noProof/>
          </w:rPr>
          <w:t xml:space="preserve">3.1 </w:t>
        </w:r>
        <w:r w:rsidR="00C512DE" w:rsidRPr="009134AE">
          <w:rPr>
            <w:rStyle w:val="a8"/>
            <w:rFonts w:hint="eastAsia"/>
            <w:noProof/>
          </w:rPr>
          <w:t>主要会计数据和财务指标</w:t>
        </w:r>
        <w:r w:rsidR="00C512DE">
          <w:rPr>
            <w:noProof/>
            <w:webHidden/>
          </w:rPr>
          <w:tab/>
        </w:r>
        <w:r w:rsidR="00C512DE">
          <w:rPr>
            <w:noProof/>
            <w:webHidden/>
          </w:rPr>
          <w:fldChar w:fldCharType="begin"/>
        </w:r>
        <w:r w:rsidR="00C512DE">
          <w:rPr>
            <w:noProof/>
            <w:webHidden/>
          </w:rPr>
          <w:instrText xml:space="preserve"> PAGEREF _Toc509581475 \h </w:instrText>
        </w:r>
        <w:r w:rsidR="00C512DE">
          <w:rPr>
            <w:noProof/>
            <w:webHidden/>
          </w:rPr>
        </w:r>
        <w:r w:rsidR="00C512DE">
          <w:rPr>
            <w:noProof/>
            <w:webHidden/>
          </w:rPr>
          <w:fldChar w:fldCharType="separate"/>
        </w:r>
        <w:r w:rsidR="0006291C">
          <w:rPr>
            <w:noProof/>
            <w:webHidden/>
          </w:rPr>
          <w:t>6</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76" w:history="1">
        <w:r w:rsidR="00C512DE" w:rsidRPr="009134AE">
          <w:rPr>
            <w:rStyle w:val="a8"/>
            <w:noProof/>
          </w:rPr>
          <w:t xml:space="preserve">3.2 </w:t>
        </w:r>
        <w:r w:rsidR="00C512DE" w:rsidRPr="009134AE">
          <w:rPr>
            <w:rStyle w:val="a8"/>
            <w:rFonts w:hint="eastAsia"/>
            <w:noProof/>
          </w:rPr>
          <w:t>基金净值表现</w:t>
        </w:r>
        <w:r w:rsidR="00C512DE">
          <w:rPr>
            <w:noProof/>
            <w:webHidden/>
          </w:rPr>
          <w:tab/>
        </w:r>
        <w:r w:rsidR="00C512DE">
          <w:rPr>
            <w:noProof/>
            <w:webHidden/>
          </w:rPr>
          <w:fldChar w:fldCharType="begin"/>
        </w:r>
        <w:r w:rsidR="00C512DE">
          <w:rPr>
            <w:noProof/>
            <w:webHidden/>
          </w:rPr>
          <w:instrText xml:space="preserve"> PAGEREF _Toc509581476 \h </w:instrText>
        </w:r>
        <w:r w:rsidR="00C512DE">
          <w:rPr>
            <w:noProof/>
            <w:webHidden/>
          </w:rPr>
        </w:r>
        <w:r w:rsidR="00C512DE">
          <w:rPr>
            <w:noProof/>
            <w:webHidden/>
          </w:rPr>
          <w:fldChar w:fldCharType="separate"/>
        </w:r>
        <w:r w:rsidR="0006291C">
          <w:rPr>
            <w:noProof/>
            <w:webHidden/>
          </w:rPr>
          <w:t>7</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77" w:history="1">
        <w:r w:rsidR="00C512DE" w:rsidRPr="009134AE">
          <w:rPr>
            <w:rStyle w:val="a8"/>
            <w:noProof/>
          </w:rPr>
          <w:t>3.3</w:t>
        </w:r>
        <w:r w:rsidR="00C512DE" w:rsidRPr="009134AE">
          <w:rPr>
            <w:rStyle w:val="a8"/>
            <w:rFonts w:hint="eastAsia"/>
            <w:noProof/>
          </w:rPr>
          <w:t>过去三年基金的利润分配情况</w:t>
        </w:r>
        <w:r w:rsidR="00C512DE">
          <w:rPr>
            <w:noProof/>
            <w:webHidden/>
          </w:rPr>
          <w:tab/>
        </w:r>
        <w:r w:rsidR="00C512DE">
          <w:rPr>
            <w:noProof/>
            <w:webHidden/>
          </w:rPr>
          <w:fldChar w:fldCharType="begin"/>
        </w:r>
        <w:r w:rsidR="00C512DE">
          <w:rPr>
            <w:noProof/>
            <w:webHidden/>
          </w:rPr>
          <w:instrText xml:space="preserve"> PAGEREF _Toc509581477 \h </w:instrText>
        </w:r>
        <w:r w:rsidR="00C512DE">
          <w:rPr>
            <w:noProof/>
            <w:webHidden/>
          </w:rPr>
        </w:r>
        <w:r w:rsidR="00C512DE">
          <w:rPr>
            <w:noProof/>
            <w:webHidden/>
          </w:rPr>
          <w:fldChar w:fldCharType="separate"/>
        </w:r>
        <w:r w:rsidR="0006291C">
          <w:rPr>
            <w:noProof/>
            <w:webHidden/>
          </w:rPr>
          <w:t>11</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478" w:history="1">
        <w:r w:rsidR="00C512DE" w:rsidRPr="009134AE">
          <w:rPr>
            <w:rStyle w:val="a8"/>
            <w:b/>
            <w:bCs/>
            <w:noProof/>
          </w:rPr>
          <w:t xml:space="preserve">§4  </w:t>
        </w:r>
        <w:r w:rsidR="00C512DE" w:rsidRPr="009134AE">
          <w:rPr>
            <w:rStyle w:val="a8"/>
            <w:rFonts w:hint="eastAsia"/>
            <w:b/>
            <w:bCs/>
            <w:noProof/>
          </w:rPr>
          <w:t>管理人报告</w:t>
        </w:r>
        <w:r w:rsidR="00C512DE">
          <w:rPr>
            <w:noProof/>
            <w:webHidden/>
          </w:rPr>
          <w:tab/>
        </w:r>
        <w:r w:rsidR="00C512DE">
          <w:rPr>
            <w:noProof/>
            <w:webHidden/>
          </w:rPr>
          <w:fldChar w:fldCharType="begin"/>
        </w:r>
        <w:r w:rsidR="00C512DE">
          <w:rPr>
            <w:noProof/>
            <w:webHidden/>
          </w:rPr>
          <w:instrText xml:space="preserve"> PAGEREF _Toc509581478 \h </w:instrText>
        </w:r>
        <w:r w:rsidR="00C512DE">
          <w:rPr>
            <w:noProof/>
            <w:webHidden/>
          </w:rPr>
        </w:r>
        <w:r w:rsidR="00C512DE">
          <w:rPr>
            <w:noProof/>
            <w:webHidden/>
          </w:rPr>
          <w:fldChar w:fldCharType="separate"/>
        </w:r>
        <w:r w:rsidR="0006291C">
          <w:rPr>
            <w:noProof/>
            <w:webHidden/>
          </w:rPr>
          <w:t>11</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79" w:history="1">
        <w:r w:rsidR="00C512DE" w:rsidRPr="009134AE">
          <w:rPr>
            <w:rStyle w:val="a8"/>
            <w:noProof/>
          </w:rPr>
          <w:t xml:space="preserve">4.1 </w:t>
        </w:r>
        <w:r w:rsidR="00C512DE" w:rsidRPr="009134AE">
          <w:rPr>
            <w:rStyle w:val="a8"/>
            <w:rFonts w:hint="eastAsia"/>
            <w:noProof/>
          </w:rPr>
          <w:t>基金管理人及基金经理情况</w:t>
        </w:r>
        <w:r w:rsidR="00C512DE">
          <w:rPr>
            <w:noProof/>
            <w:webHidden/>
          </w:rPr>
          <w:tab/>
        </w:r>
        <w:r w:rsidR="00C512DE">
          <w:rPr>
            <w:noProof/>
            <w:webHidden/>
          </w:rPr>
          <w:fldChar w:fldCharType="begin"/>
        </w:r>
        <w:r w:rsidR="00C512DE">
          <w:rPr>
            <w:noProof/>
            <w:webHidden/>
          </w:rPr>
          <w:instrText xml:space="preserve"> PAGEREF _Toc509581479 \h </w:instrText>
        </w:r>
        <w:r w:rsidR="00C512DE">
          <w:rPr>
            <w:noProof/>
            <w:webHidden/>
          </w:rPr>
        </w:r>
        <w:r w:rsidR="00C512DE">
          <w:rPr>
            <w:noProof/>
            <w:webHidden/>
          </w:rPr>
          <w:fldChar w:fldCharType="separate"/>
        </w:r>
        <w:r w:rsidR="0006291C">
          <w:rPr>
            <w:noProof/>
            <w:webHidden/>
          </w:rPr>
          <w:t>11</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80" w:history="1">
        <w:r w:rsidR="00C512DE" w:rsidRPr="009134AE">
          <w:rPr>
            <w:rStyle w:val="a8"/>
            <w:noProof/>
          </w:rPr>
          <w:t xml:space="preserve">4.2 </w:t>
        </w:r>
        <w:r w:rsidR="00C512DE" w:rsidRPr="009134AE">
          <w:rPr>
            <w:rStyle w:val="a8"/>
            <w:rFonts w:hint="eastAsia"/>
            <w:noProof/>
          </w:rPr>
          <w:t>管理人对报告期内本基金运作遵规守信情况的说明</w:t>
        </w:r>
        <w:r w:rsidR="00C512DE">
          <w:rPr>
            <w:noProof/>
            <w:webHidden/>
          </w:rPr>
          <w:tab/>
        </w:r>
        <w:r w:rsidR="00C512DE">
          <w:rPr>
            <w:noProof/>
            <w:webHidden/>
          </w:rPr>
          <w:fldChar w:fldCharType="begin"/>
        </w:r>
        <w:r w:rsidR="00C512DE">
          <w:rPr>
            <w:noProof/>
            <w:webHidden/>
          </w:rPr>
          <w:instrText xml:space="preserve"> PAGEREF _Toc509581480 \h </w:instrText>
        </w:r>
        <w:r w:rsidR="00C512DE">
          <w:rPr>
            <w:noProof/>
            <w:webHidden/>
          </w:rPr>
        </w:r>
        <w:r w:rsidR="00C512DE">
          <w:rPr>
            <w:noProof/>
            <w:webHidden/>
          </w:rPr>
          <w:fldChar w:fldCharType="separate"/>
        </w:r>
        <w:r w:rsidR="0006291C">
          <w:rPr>
            <w:noProof/>
            <w:webHidden/>
          </w:rPr>
          <w:t>14</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81" w:history="1">
        <w:r w:rsidR="00C512DE" w:rsidRPr="009134AE">
          <w:rPr>
            <w:rStyle w:val="a8"/>
            <w:noProof/>
          </w:rPr>
          <w:t xml:space="preserve">4.3 </w:t>
        </w:r>
        <w:r w:rsidR="00C512DE" w:rsidRPr="009134AE">
          <w:rPr>
            <w:rStyle w:val="a8"/>
            <w:rFonts w:hint="eastAsia"/>
            <w:noProof/>
          </w:rPr>
          <w:t>管理人对报告期内公平交易情况的专项说明</w:t>
        </w:r>
        <w:r w:rsidR="00C512DE">
          <w:rPr>
            <w:noProof/>
            <w:webHidden/>
          </w:rPr>
          <w:tab/>
        </w:r>
        <w:r w:rsidR="00C512DE">
          <w:rPr>
            <w:noProof/>
            <w:webHidden/>
          </w:rPr>
          <w:fldChar w:fldCharType="begin"/>
        </w:r>
        <w:r w:rsidR="00C512DE">
          <w:rPr>
            <w:noProof/>
            <w:webHidden/>
          </w:rPr>
          <w:instrText xml:space="preserve"> PAGEREF _Toc509581481 \h </w:instrText>
        </w:r>
        <w:r w:rsidR="00C512DE">
          <w:rPr>
            <w:noProof/>
            <w:webHidden/>
          </w:rPr>
        </w:r>
        <w:r w:rsidR="00C512DE">
          <w:rPr>
            <w:noProof/>
            <w:webHidden/>
          </w:rPr>
          <w:fldChar w:fldCharType="separate"/>
        </w:r>
        <w:r w:rsidR="0006291C">
          <w:rPr>
            <w:noProof/>
            <w:webHidden/>
          </w:rPr>
          <w:t>14</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82" w:history="1">
        <w:r w:rsidR="00C512DE" w:rsidRPr="009134AE">
          <w:rPr>
            <w:rStyle w:val="a8"/>
            <w:noProof/>
          </w:rPr>
          <w:t xml:space="preserve">4.4 </w:t>
        </w:r>
        <w:r w:rsidR="00C512DE" w:rsidRPr="009134AE">
          <w:rPr>
            <w:rStyle w:val="a8"/>
            <w:rFonts w:hint="eastAsia"/>
            <w:noProof/>
          </w:rPr>
          <w:t>管理人对报告期内基金的投资策略和业绩表现的说明</w:t>
        </w:r>
        <w:r w:rsidR="00C512DE">
          <w:rPr>
            <w:noProof/>
            <w:webHidden/>
          </w:rPr>
          <w:tab/>
        </w:r>
        <w:r w:rsidR="00C512DE">
          <w:rPr>
            <w:noProof/>
            <w:webHidden/>
          </w:rPr>
          <w:fldChar w:fldCharType="begin"/>
        </w:r>
        <w:r w:rsidR="00C512DE">
          <w:rPr>
            <w:noProof/>
            <w:webHidden/>
          </w:rPr>
          <w:instrText xml:space="preserve"> PAGEREF _Toc509581482 \h </w:instrText>
        </w:r>
        <w:r w:rsidR="00C512DE">
          <w:rPr>
            <w:noProof/>
            <w:webHidden/>
          </w:rPr>
        </w:r>
        <w:r w:rsidR="00C512DE">
          <w:rPr>
            <w:noProof/>
            <w:webHidden/>
          </w:rPr>
          <w:fldChar w:fldCharType="separate"/>
        </w:r>
        <w:r w:rsidR="0006291C">
          <w:rPr>
            <w:noProof/>
            <w:webHidden/>
          </w:rPr>
          <w:t>15</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83" w:history="1">
        <w:r w:rsidR="00C512DE" w:rsidRPr="009134AE">
          <w:rPr>
            <w:rStyle w:val="a8"/>
            <w:noProof/>
          </w:rPr>
          <w:t xml:space="preserve">4.5 </w:t>
        </w:r>
        <w:r w:rsidR="00C512DE" w:rsidRPr="009134AE">
          <w:rPr>
            <w:rStyle w:val="a8"/>
            <w:rFonts w:hint="eastAsia"/>
            <w:noProof/>
          </w:rPr>
          <w:t>管理人对宏观经济、证券市场及行业走势的简要展望</w:t>
        </w:r>
        <w:r w:rsidR="00C512DE">
          <w:rPr>
            <w:noProof/>
            <w:webHidden/>
          </w:rPr>
          <w:tab/>
        </w:r>
        <w:r w:rsidR="00C512DE">
          <w:rPr>
            <w:noProof/>
            <w:webHidden/>
          </w:rPr>
          <w:fldChar w:fldCharType="begin"/>
        </w:r>
        <w:r w:rsidR="00C512DE">
          <w:rPr>
            <w:noProof/>
            <w:webHidden/>
          </w:rPr>
          <w:instrText xml:space="preserve"> PAGEREF _Toc509581483 \h </w:instrText>
        </w:r>
        <w:r w:rsidR="00C512DE">
          <w:rPr>
            <w:noProof/>
            <w:webHidden/>
          </w:rPr>
        </w:r>
        <w:r w:rsidR="00C512DE">
          <w:rPr>
            <w:noProof/>
            <w:webHidden/>
          </w:rPr>
          <w:fldChar w:fldCharType="separate"/>
        </w:r>
        <w:r w:rsidR="0006291C">
          <w:rPr>
            <w:noProof/>
            <w:webHidden/>
          </w:rPr>
          <w:t>16</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84" w:history="1">
        <w:r w:rsidR="00C512DE" w:rsidRPr="009134AE">
          <w:rPr>
            <w:rStyle w:val="a8"/>
            <w:noProof/>
          </w:rPr>
          <w:t xml:space="preserve">4.6 </w:t>
        </w:r>
        <w:r w:rsidR="00C512DE" w:rsidRPr="009134AE">
          <w:rPr>
            <w:rStyle w:val="a8"/>
            <w:rFonts w:hint="eastAsia"/>
            <w:noProof/>
          </w:rPr>
          <w:t>管理人内部有关本基金的监察稽核工作情况</w:t>
        </w:r>
        <w:r w:rsidR="00C512DE">
          <w:rPr>
            <w:noProof/>
            <w:webHidden/>
          </w:rPr>
          <w:tab/>
        </w:r>
        <w:r w:rsidR="00C512DE">
          <w:rPr>
            <w:noProof/>
            <w:webHidden/>
          </w:rPr>
          <w:fldChar w:fldCharType="begin"/>
        </w:r>
        <w:r w:rsidR="00C512DE">
          <w:rPr>
            <w:noProof/>
            <w:webHidden/>
          </w:rPr>
          <w:instrText xml:space="preserve"> PAGEREF _Toc509581484 \h </w:instrText>
        </w:r>
        <w:r w:rsidR="00C512DE">
          <w:rPr>
            <w:noProof/>
            <w:webHidden/>
          </w:rPr>
        </w:r>
        <w:r w:rsidR="00C512DE">
          <w:rPr>
            <w:noProof/>
            <w:webHidden/>
          </w:rPr>
          <w:fldChar w:fldCharType="separate"/>
        </w:r>
        <w:r w:rsidR="0006291C">
          <w:rPr>
            <w:noProof/>
            <w:webHidden/>
          </w:rPr>
          <w:t>16</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85" w:history="1">
        <w:r w:rsidR="00C512DE" w:rsidRPr="009134AE">
          <w:rPr>
            <w:rStyle w:val="a8"/>
            <w:noProof/>
          </w:rPr>
          <w:t xml:space="preserve">4.7 </w:t>
        </w:r>
        <w:r w:rsidR="00C512DE" w:rsidRPr="009134AE">
          <w:rPr>
            <w:rStyle w:val="a8"/>
            <w:rFonts w:hint="eastAsia"/>
            <w:noProof/>
          </w:rPr>
          <w:t>管理人对报告期内基金估值程序等事项的说明</w:t>
        </w:r>
        <w:r w:rsidR="00C512DE">
          <w:rPr>
            <w:noProof/>
            <w:webHidden/>
          </w:rPr>
          <w:tab/>
        </w:r>
        <w:r w:rsidR="00C512DE">
          <w:rPr>
            <w:noProof/>
            <w:webHidden/>
          </w:rPr>
          <w:fldChar w:fldCharType="begin"/>
        </w:r>
        <w:r w:rsidR="00C512DE">
          <w:rPr>
            <w:noProof/>
            <w:webHidden/>
          </w:rPr>
          <w:instrText xml:space="preserve"> PAGEREF _Toc509581485 \h </w:instrText>
        </w:r>
        <w:r w:rsidR="00C512DE">
          <w:rPr>
            <w:noProof/>
            <w:webHidden/>
          </w:rPr>
        </w:r>
        <w:r w:rsidR="00C512DE">
          <w:rPr>
            <w:noProof/>
            <w:webHidden/>
          </w:rPr>
          <w:fldChar w:fldCharType="separate"/>
        </w:r>
        <w:r w:rsidR="0006291C">
          <w:rPr>
            <w:noProof/>
            <w:webHidden/>
          </w:rPr>
          <w:t>17</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86" w:history="1">
        <w:r w:rsidR="00C512DE" w:rsidRPr="009134AE">
          <w:rPr>
            <w:rStyle w:val="a8"/>
            <w:noProof/>
          </w:rPr>
          <w:t xml:space="preserve">4.8 </w:t>
        </w:r>
        <w:r w:rsidR="00C512DE" w:rsidRPr="009134AE">
          <w:rPr>
            <w:rStyle w:val="a8"/>
            <w:rFonts w:hint="eastAsia"/>
            <w:noProof/>
          </w:rPr>
          <w:t>管理人对报告期内基金利润分配情况的说明</w:t>
        </w:r>
        <w:r w:rsidR="00C512DE">
          <w:rPr>
            <w:noProof/>
            <w:webHidden/>
          </w:rPr>
          <w:tab/>
        </w:r>
        <w:r w:rsidR="00C512DE">
          <w:rPr>
            <w:noProof/>
            <w:webHidden/>
          </w:rPr>
          <w:fldChar w:fldCharType="begin"/>
        </w:r>
        <w:r w:rsidR="00C512DE">
          <w:rPr>
            <w:noProof/>
            <w:webHidden/>
          </w:rPr>
          <w:instrText xml:space="preserve"> PAGEREF _Toc509581486 \h </w:instrText>
        </w:r>
        <w:r w:rsidR="00C512DE">
          <w:rPr>
            <w:noProof/>
            <w:webHidden/>
          </w:rPr>
        </w:r>
        <w:r w:rsidR="00C512DE">
          <w:rPr>
            <w:noProof/>
            <w:webHidden/>
          </w:rPr>
          <w:fldChar w:fldCharType="separate"/>
        </w:r>
        <w:r w:rsidR="0006291C">
          <w:rPr>
            <w:noProof/>
            <w:webHidden/>
          </w:rPr>
          <w:t>17</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87" w:history="1">
        <w:r w:rsidR="00C512DE" w:rsidRPr="009134AE">
          <w:rPr>
            <w:rStyle w:val="a8"/>
            <w:noProof/>
          </w:rPr>
          <w:t xml:space="preserve">4.9 </w:t>
        </w:r>
        <w:r w:rsidR="00C512DE" w:rsidRPr="009134AE">
          <w:rPr>
            <w:rStyle w:val="a8"/>
            <w:rFonts w:hint="eastAsia"/>
            <w:noProof/>
          </w:rPr>
          <w:t>报告期内管理人对本基金持有人数或基金资产净值预警情形的说明</w:t>
        </w:r>
        <w:r w:rsidR="00C512DE">
          <w:rPr>
            <w:noProof/>
            <w:webHidden/>
          </w:rPr>
          <w:tab/>
        </w:r>
        <w:r w:rsidR="00C512DE">
          <w:rPr>
            <w:noProof/>
            <w:webHidden/>
          </w:rPr>
          <w:fldChar w:fldCharType="begin"/>
        </w:r>
        <w:r w:rsidR="00C512DE">
          <w:rPr>
            <w:noProof/>
            <w:webHidden/>
          </w:rPr>
          <w:instrText xml:space="preserve"> PAGEREF _Toc509581487 \h </w:instrText>
        </w:r>
        <w:r w:rsidR="00C512DE">
          <w:rPr>
            <w:noProof/>
            <w:webHidden/>
          </w:rPr>
        </w:r>
        <w:r w:rsidR="00C512DE">
          <w:rPr>
            <w:noProof/>
            <w:webHidden/>
          </w:rPr>
          <w:fldChar w:fldCharType="separate"/>
        </w:r>
        <w:r w:rsidR="0006291C">
          <w:rPr>
            <w:noProof/>
            <w:webHidden/>
          </w:rPr>
          <w:t>17</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488" w:history="1">
        <w:r w:rsidR="00C512DE" w:rsidRPr="009134AE">
          <w:rPr>
            <w:rStyle w:val="a8"/>
            <w:b/>
            <w:bCs/>
            <w:noProof/>
          </w:rPr>
          <w:t xml:space="preserve">§5  </w:t>
        </w:r>
        <w:r w:rsidR="00C512DE" w:rsidRPr="009134AE">
          <w:rPr>
            <w:rStyle w:val="a8"/>
            <w:rFonts w:hint="eastAsia"/>
            <w:b/>
            <w:bCs/>
            <w:noProof/>
          </w:rPr>
          <w:t>托管人报告</w:t>
        </w:r>
        <w:r w:rsidR="00C512DE">
          <w:rPr>
            <w:noProof/>
            <w:webHidden/>
          </w:rPr>
          <w:tab/>
        </w:r>
        <w:r w:rsidR="00C512DE">
          <w:rPr>
            <w:noProof/>
            <w:webHidden/>
          </w:rPr>
          <w:fldChar w:fldCharType="begin"/>
        </w:r>
        <w:r w:rsidR="00C512DE">
          <w:rPr>
            <w:noProof/>
            <w:webHidden/>
          </w:rPr>
          <w:instrText xml:space="preserve"> PAGEREF _Toc509581488 \h </w:instrText>
        </w:r>
        <w:r w:rsidR="00C512DE">
          <w:rPr>
            <w:noProof/>
            <w:webHidden/>
          </w:rPr>
        </w:r>
        <w:r w:rsidR="00C512DE">
          <w:rPr>
            <w:noProof/>
            <w:webHidden/>
          </w:rPr>
          <w:fldChar w:fldCharType="separate"/>
        </w:r>
        <w:r w:rsidR="0006291C">
          <w:rPr>
            <w:noProof/>
            <w:webHidden/>
          </w:rPr>
          <w:t>17</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89" w:history="1">
        <w:r w:rsidR="00C512DE" w:rsidRPr="009134AE">
          <w:rPr>
            <w:rStyle w:val="a8"/>
            <w:noProof/>
          </w:rPr>
          <w:t xml:space="preserve">5.1 </w:t>
        </w:r>
        <w:r w:rsidR="00C512DE" w:rsidRPr="009134AE">
          <w:rPr>
            <w:rStyle w:val="a8"/>
            <w:rFonts w:hint="eastAsia"/>
            <w:noProof/>
          </w:rPr>
          <w:t>报告期内本基金托管人遵规守信情况声明</w:t>
        </w:r>
        <w:r w:rsidR="00C512DE">
          <w:rPr>
            <w:noProof/>
            <w:webHidden/>
          </w:rPr>
          <w:tab/>
        </w:r>
        <w:r w:rsidR="00C512DE">
          <w:rPr>
            <w:noProof/>
            <w:webHidden/>
          </w:rPr>
          <w:fldChar w:fldCharType="begin"/>
        </w:r>
        <w:r w:rsidR="00C512DE">
          <w:rPr>
            <w:noProof/>
            <w:webHidden/>
          </w:rPr>
          <w:instrText xml:space="preserve"> PAGEREF _Toc509581489 \h </w:instrText>
        </w:r>
        <w:r w:rsidR="00C512DE">
          <w:rPr>
            <w:noProof/>
            <w:webHidden/>
          </w:rPr>
        </w:r>
        <w:r w:rsidR="00C512DE">
          <w:rPr>
            <w:noProof/>
            <w:webHidden/>
          </w:rPr>
          <w:fldChar w:fldCharType="separate"/>
        </w:r>
        <w:r w:rsidR="0006291C">
          <w:rPr>
            <w:noProof/>
            <w:webHidden/>
          </w:rPr>
          <w:t>17</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90" w:history="1">
        <w:r w:rsidR="00C512DE" w:rsidRPr="009134AE">
          <w:rPr>
            <w:rStyle w:val="a8"/>
            <w:noProof/>
          </w:rPr>
          <w:t xml:space="preserve">5.2 </w:t>
        </w:r>
        <w:r w:rsidR="00C512DE" w:rsidRPr="009134AE">
          <w:rPr>
            <w:rStyle w:val="a8"/>
            <w:rFonts w:hint="eastAsia"/>
            <w:noProof/>
          </w:rPr>
          <w:t>托管人对报告期内本基金投资运作遵规守信、净值计算、利润分配等情况的说明</w:t>
        </w:r>
        <w:r w:rsidR="00C512DE">
          <w:rPr>
            <w:noProof/>
            <w:webHidden/>
          </w:rPr>
          <w:tab/>
        </w:r>
        <w:r w:rsidR="00C512DE">
          <w:rPr>
            <w:noProof/>
            <w:webHidden/>
          </w:rPr>
          <w:fldChar w:fldCharType="begin"/>
        </w:r>
        <w:r w:rsidR="00C512DE">
          <w:rPr>
            <w:noProof/>
            <w:webHidden/>
          </w:rPr>
          <w:instrText xml:space="preserve"> PAGEREF _Toc509581490 \h </w:instrText>
        </w:r>
        <w:r w:rsidR="00C512DE">
          <w:rPr>
            <w:noProof/>
            <w:webHidden/>
          </w:rPr>
        </w:r>
        <w:r w:rsidR="00C512DE">
          <w:rPr>
            <w:noProof/>
            <w:webHidden/>
          </w:rPr>
          <w:fldChar w:fldCharType="separate"/>
        </w:r>
        <w:r w:rsidR="0006291C">
          <w:rPr>
            <w:noProof/>
            <w:webHidden/>
          </w:rPr>
          <w:t>17</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91" w:history="1">
        <w:r w:rsidR="00C512DE" w:rsidRPr="009134AE">
          <w:rPr>
            <w:rStyle w:val="a8"/>
            <w:noProof/>
          </w:rPr>
          <w:t xml:space="preserve">5.3 </w:t>
        </w:r>
        <w:r w:rsidR="00C512DE" w:rsidRPr="009134AE">
          <w:rPr>
            <w:rStyle w:val="a8"/>
            <w:rFonts w:hint="eastAsia"/>
            <w:noProof/>
          </w:rPr>
          <w:t>托管人对本年度报告中财务信息等内容的真实、准确和完整发表意见</w:t>
        </w:r>
        <w:r w:rsidR="00C512DE">
          <w:rPr>
            <w:noProof/>
            <w:webHidden/>
          </w:rPr>
          <w:tab/>
        </w:r>
        <w:r w:rsidR="00C512DE">
          <w:rPr>
            <w:noProof/>
            <w:webHidden/>
          </w:rPr>
          <w:fldChar w:fldCharType="begin"/>
        </w:r>
        <w:r w:rsidR="00C512DE">
          <w:rPr>
            <w:noProof/>
            <w:webHidden/>
          </w:rPr>
          <w:instrText xml:space="preserve"> PAGEREF _Toc509581491 \h </w:instrText>
        </w:r>
        <w:r w:rsidR="00C512DE">
          <w:rPr>
            <w:noProof/>
            <w:webHidden/>
          </w:rPr>
        </w:r>
        <w:r w:rsidR="00C512DE">
          <w:rPr>
            <w:noProof/>
            <w:webHidden/>
          </w:rPr>
          <w:fldChar w:fldCharType="separate"/>
        </w:r>
        <w:r w:rsidR="0006291C">
          <w:rPr>
            <w:noProof/>
            <w:webHidden/>
          </w:rPr>
          <w:t>18</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492" w:history="1">
        <w:r w:rsidR="00C512DE" w:rsidRPr="009134AE">
          <w:rPr>
            <w:rStyle w:val="a8"/>
            <w:b/>
            <w:bCs/>
            <w:noProof/>
          </w:rPr>
          <w:t xml:space="preserve">§6  </w:t>
        </w:r>
        <w:r w:rsidR="00C512DE" w:rsidRPr="009134AE">
          <w:rPr>
            <w:rStyle w:val="a8"/>
            <w:rFonts w:hint="eastAsia"/>
            <w:b/>
            <w:bCs/>
            <w:noProof/>
          </w:rPr>
          <w:t>审计报告</w:t>
        </w:r>
        <w:r w:rsidR="00C512DE">
          <w:rPr>
            <w:noProof/>
            <w:webHidden/>
          </w:rPr>
          <w:tab/>
        </w:r>
        <w:r w:rsidR="00C512DE">
          <w:rPr>
            <w:noProof/>
            <w:webHidden/>
          </w:rPr>
          <w:fldChar w:fldCharType="begin"/>
        </w:r>
        <w:r w:rsidR="00C512DE">
          <w:rPr>
            <w:noProof/>
            <w:webHidden/>
          </w:rPr>
          <w:instrText xml:space="preserve"> PAGEREF _Toc509581492 \h </w:instrText>
        </w:r>
        <w:r w:rsidR="00C512DE">
          <w:rPr>
            <w:noProof/>
            <w:webHidden/>
          </w:rPr>
        </w:r>
        <w:r w:rsidR="00C512DE">
          <w:rPr>
            <w:noProof/>
            <w:webHidden/>
          </w:rPr>
          <w:fldChar w:fldCharType="separate"/>
        </w:r>
        <w:r w:rsidR="0006291C">
          <w:rPr>
            <w:noProof/>
            <w:webHidden/>
          </w:rPr>
          <w:t>18</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493" w:history="1">
        <w:r w:rsidR="00C512DE" w:rsidRPr="009134AE">
          <w:rPr>
            <w:rStyle w:val="a8"/>
            <w:b/>
            <w:bCs/>
            <w:noProof/>
          </w:rPr>
          <w:t xml:space="preserve">§7  </w:t>
        </w:r>
        <w:r w:rsidR="00C512DE" w:rsidRPr="009134AE">
          <w:rPr>
            <w:rStyle w:val="a8"/>
            <w:rFonts w:hint="eastAsia"/>
            <w:b/>
            <w:bCs/>
            <w:noProof/>
          </w:rPr>
          <w:t>年度财务报表</w:t>
        </w:r>
        <w:r w:rsidR="00C512DE">
          <w:rPr>
            <w:noProof/>
            <w:webHidden/>
          </w:rPr>
          <w:tab/>
        </w:r>
        <w:r w:rsidR="00C512DE">
          <w:rPr>
            <w:noProof/>
            <w:webHidden/>
          </w:rPr>
          <w:fldChar w:fldCharType="begin"/>
        </w:r>
        <w:r w:rsidR="00C512DE">
          <w:rPr>
            <w:noProof/>
            <w:webHidden/>
          </w:rPr>
          <w:instrText xml:space="preserve"> PAGEREF _Toc509581493 \h </w:instrText>
        </w:r>
        <w:r w:rsidR="00C512DE">
          <w:rPr>
            <w:noProof/>
            <w:webHidden/>
          </w:rPr>
        </w:r>
        <w:r w:rsidR="00C512DE">
          <w:rPr>
            <w:noProof/>
            <w:webHidden/>
          </w:rPr>
          <w:fldChar w:fldCharType="separate"/>
        </w:r>
        <w:r w:rsidR="0006291C">
          <w:rPr>
            <w:noProof/>
            <w:webHidden/>
          </w:rPr>
          <w:t>20</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94" w:history="1">
        <w:r w:rsidR="00C512DE" w:rsidRPr="009134AE">
          <w:rPr>
            <w:rStyle w:val="a8"/>
            <w:noProof/>
          </w:rPr>
          <w:t xml:space="preserve">7.1 </w:t>
        </w:r>
        <w:r w:rsidR="00C512DE" w:rsidRPr="009134AE">
          <w:rPr>
            <w:rStyle w:val="a8"/>
            <w:rFonts w:hint="eastAsia"/>
            <w:noProof/>
          </w:rPr>
          <w:t>资产负债表</w:t>
        </w:r>
        <w:r w:rsidR="00C512DE">
          <w:rPr>
            <w:noProof/>
            <w:webHidden/>
          </w:rPr>
          <w:tab/>
        </w:r>
        <w:r w:rsidR="00C512DE">
          <w:rPr>
            <w:noProof/>
            <w:webHidden/>
          </w:rPr>
          <w:fldChar w:fldCharType="begin"/>
        </w:r>
        <w:r w:rsidR="00C512DE">
          <w:rPr>
            <w:noProof/>
            <w:webHidden/>
          </w:rPr>
          <w:instrText xml:space="preserve"> PAGEREF _Toc509581494 \h </w:instrText>
        </w:r>
        <w:r w:rsidR="00C512DE">
          <w:rPr>
            <w:noProof/>
            <w:webHidden/>
          </w:rPr>
        </w:r>
        <w:r w:rsidR="00C512DE">
          <w:rPr>
            <w:noProof/>
            <w:webHidden/>
          </w:rPr>
          <w:fldChar w:fldCharType="separate"/>
        </w:r>
        <w:r w:rsidR="0006291C">
          <w:rPr>
            <w:noProof/>
            <w:webHidden/>
          </w:rPr>
          <w:t>20</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95" w:history="1">
        <w:r w:rsidR="00C512DE" w:rsidRPr="009134AE">
          <w:rPr>
            <w:rStyle w:val="a8"/>
            <w:noProof/>
          </w:rPr>
          <w:t xml:space="preserve">7.2 </w:t>
        </w:r>
        <w:r w:rsidR="00C512DE" w:rsidRPr="009134AE">
          <w:rPr>
            <w:rStyle w:val="a8"/>
            <w:rFonts w:hint="eastAsia"/>
            <w:noProof/>
          </w:rPr>
          <w:t>利润表</w:t>
        </w:r>
        <w:r w:rsidR="00C512DE">
          <w:rPr>
            <w:noProof/>
            <w:webHidden/>
          </w:rPr>
          <w:tab/>
        </w:r>
        <w:r w:rsidR="00C512DE">
          <w:rPr>
            <w:noProof/>
            <w:webHidden/>
          </w:rPr>
          <w:fldChar w:fldCharType="begin"/>
        </w:r>
        <w:r w:rsidR="00C512DE">
          <w:rPr>
            <w:noProof/>
            <w:webHidden/>
          </w:rPr>
          <w:instrText xml:space="preserve"> PAGEREF _Toc509581495 \h </w:instrText>
        </w:r>
        <w:r w:rsidR="00C512DE">
          <w:rPr>
            <w:noProof/>
            <w:webHidden/>
          </w:rPr>
        </w:r>
        <w:r w:rsidR="00C512DE">
          <w:rPr>
            <w:noProof/>
            <w:webHidden/>
          </w:rPr>
          <w:fldChar w:fldCharType="separate"/>
        </w:r>
        <w:r w:rsidR="0006291C">
          <w:rPr>
            <w:noProof/>
            <w:webHidden/>
          </w:rPr>
          <w:t>21</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96" w:history="1">
        <w:r w:rsidR="00C512DE" w:rsidRPr="009134AE">
          <w:rPr>
            <w:rStyle w:val="a8"/>
            <w:noProof/>
          </w:rPr>
          <w:t xml:space="preserve">7.3 </w:t>
        </w:r>
        <w:r w:rsidR="00C512DE" w:rsidRPr="009134AE">
          <w:rPr>
            <w:rStyle w:val="a8"/>
            <w:rFonts w:hint="eastAsia"/>
            <w:noProof/>
          </w:rPr>
          <w:t>所有者权益（基金净值）变动表</w:t>
        </w:r>
        <w:r w:rsidR="00C512DE">
          <w:rPr>
            <w:noProof/>
            <w:webHidden/>
          </w:rPr>
          <w:tab/>
        </w:r>
        <w:r w:rsidR="00C512DE">
          <w:rPr>
            <w:noProof/>
            <w:webHidden/>
          </w:rPr>
          <w:fldChar w:fldCharType="begin"/>
        </w:r>
        <w:r w:rsidR="00C512DE">
          <w:rPr>
            <w:noProof/>
            <w:webHidden/>
          </w:rPr>
          <w:instrText xml:space="preserve"> PAGEREF _Toc509581496 \h </w:instrText>
        </w:r>
        <w:r w:rsidR="00C512DE">
          <w:rPr>
            <w:noProof/>
            <w:webHidden/>
          </w:rPr>
        </w:r>
        <w:r w:rsidR="00C512DE">
          <w:rPr>
            <w:noProof/>
            <w:webHidden/>
          </w:rPr>
          <w:fldChar w:fldCharType="separate"/>
        </w:r>
        <w:r w:rsidR="0006291C">
          <w:rPr>
            <w:noProof/>
            <w:webHidden/>
          </w:rPr>
          <w:t>23</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97" w:history="1">
        <w:r w:rsidR="00C512DE" w:rsidRPr="009134AE">
          <w:rPr>
            <w:rStyle w:val="a8"/>
            <w:noProof/>
          </w:rPr>
          <w:t xml:space="preserve">7.4 </w:t>
        </w:r>
        <w:r w:rsidR="00C512DE" w:rsidRPr="009134AE">
          <w:rPr>
            <w:rStyle w:val="a8"/>
            <w:rFonts w:hint="eastAsia"/>
            <w:noProof/>
          </w:rPr>
          <w:t>报表附注</w:t>
        </w:r>
        <w:r w:rsidR="00C512DE">
          <w:rPr>
            <w:noProof/>
            <w:webHidden/>
          </w:rPr>
          <w:tab/>
        </w:r>
        <w:r w:rsidR="00C512DE">
          <w:rPr>
            <w:noProof/>
            <w:webHidden/>
          </w:rPr>
          <w:fldChar w:fldCharType="begin"/>
        </w:r>
        <w:r w:rsidR="00C512DE">
          <w:rPr>
            <w:noProof/>
            <w:webHidden/>
          </w:rPr>
          <w:instrText xml:space="preserve"> PAGEREF _Toc509581497 \h </w:instrText>
        </w:r>
        <w:r w:rsidR="00C512DE">
          <w:rPr>
            <w:noProof/>
            <w:webHidden/>
          </w:rPr>
        </w:r>
        <w:r w:rsidR="00C512DE">
          <w:rPr>
            <w:noProof/>
            <w:webHidden/>
          </w:rPr>
          <w:fldChar w:fldCharType="separate"/>
        </w:r>
        <w:r w:rsidR="0006291C">
          <w:rPr>
            <w:noProof/>
            <w:webHidden/>
          </w:rPr>
          <w:t>24</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498" w:history="1">
        <w:r w:rsidR="00C512DE" w:rsidRPr="009134AE">
          <w:rPr>
            <w:rStyle w:val="a8"/>
            <w:b/>
            <w:bCs/>
            <w:noProof/>
          </w:rPr>
          <w:t xml:space="preserve">§8  </w:t>
        </w:r>
        <w:r w:rsidR="00C512DE" w:rsidRPr="009134AE">
          <w:rPr>
            <w:rStyle w:val="a8"/>
            <w:rFonts w:hint="eastAsia"/>
            <w:b/>
            <w:bCs/>
            <w:noProof/>
          </w:rPr>
          <w:t>投资组合报告</w:t>
        </w:r>
        <w:r w:rsidR="00C512DE">
          <w:rPr>
            <w:noProof/>
            <w:webHidden/>
          </w:rPr>
          <w:tab/>
        </w:r>
        <w:r w:rsidR="00C512DE">
          <w:rPr>
            <w:noProof/>
            <w:webHidden/>
          </w:rPr>
          <w:fldChar w:fldCharType="begin"/>
        </w:r>
        <w:r w:rsidR="00C512DE">
          <w:rPr>
            <w:noProof/>
            <w:webHidden/>
          </w:rPr>
          <w:instrText xml:space="preserve"> PAGEREF _Toc509581498 \h </w:instrText>
        </w:r>
        <w:r w:rsidR="00C512DE">
          <w:rPr>
            <w:noProof/>
            <w:webHidden/>
          </w:rPr>
        </w:r>
        <w:r w:rsidR="00C512DE">
          <w:rPr>
            <w:noProof/>
            <w:webHidden/>
          </w:rPr>
          <w:fldChar w:fldCharType="separate"/>
        </w:r>
        <w:r w:rsidR="0006291C">
          <w:rPr>
            <w:noProof/>
            <w:webHidden/>
          </w:rPr>
          <w:t>48</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499" w:history="1">
        <w:r w:rsidR="00C512DE" w:rsidRPr="009134AE">
          <w:rPr>
            <w:rStyle w:val="a8"/>
            <w:noProof/>
          </w:rPr>
          <w:t>8.1</w:t>
        </w:r>
        <w:r w:rsidR="00C512DE" w:rsidRPr="009134AE">
          <w:rPr>
            <w:rStyle w:val="a8"/>
            <w:rFonts w:hint="eastAsia"/>
            <w:noProof/>
          </w:rPr>
          <w:t>期末基金资产组合情况</w:t>
        </w:r>
        <w:r w:rsidR="00C512DE">
          <w:rPr>
            <w:noProof/>
            <w:webHidden/>
          </w:rPr>
          <w:tab/>
        </w:r>
        <w:r w:rsidR="00C512DE">
          <w:rPr>
            <w:noProof/>
            <w:webHidden/>
          </w:rPr>
          <w:fldChar w:fldCharType="begin"/>
        </w:r>
        <w:r w:rsidR="00C512DE">
          <w:rPr>
            <w:noProof/>
            <w:webHidden/>
          </w:rPr>
          <w:instrText xml:space="preserve"> PAGEREF _Toc509581499 \h </w:instrText>
        </w:r>
        <w:r w:rsidR="00C512DE">
          <w:rPr>
            <w:noProof/>
            <w:webHidden/>
          </w:rPr>
        </w:r>
        <w:r w:rsidR="00C512DE">
          <w:rPr>
            <w:noProof/>
            <w:webHidden/>
          </w:rPr>
          <w:fldChar w:fldCharType="separate"/>
        </w:r>
        <w:r w:rsidR="0006291C">
          <w:rPr>
            <w:noProof/>
            <w:webHidden/>
          </w:rPr>
          <w:t>48</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00" w:history="1">
        <w:r w:rsidR="00C512DE" w:rsidRPr="009134AE">
          <w:rPr>
            <w:rStyle w:val="a8"/>
            <w:noProof/>
          </w:rPr>
          <w:t>8.2</w:t>
        </w:r>
        <w:r w:rsidR="00C512DE" w:rsidRPr="009134AE">
          <w:rPr>
            <w:rStyle w:val="a8"/>
            <w:rFonts w:hint="eastAsia"/>
            <w:noProof/>
          </w:rPr>
          <w:t>债券回购融资情况</w:t>
        </w:r>
        <w:r w:rsidR="00C512DE">
          <w:rPr>
            <w:noProof/>
            <w:webHidden/>
          </w:rPr>
          <w:tab/>
        </w:r>
        <w:r w:rsidR="00C512DE">
          <w:rPr>
            <w:noProof/>
            <w:webHidden/>
          </w:rPr>
          <w:fldChar w:fldCharType="begin"/>
        </w:r>
        <w:r w:rsidR="00C512DE">
          <w:rPr>
            <w:noProof/>
            <w:webHidden/>
          </w:rPr>
          <w:instrText xml:space="preserve"> PAGEREF _Toc509581500 \h </w:instrText>
        </w:r>
        <w:r w:rsidR="00C512DE">
          <w:rPr>
            <w:noProof/>
            <w:webHidden/>
          </w:rPr>
        </w:r>
        <w:r w:rsidR="00C512DE">
          <w:rPr>
            <w:noProof/>
            <w:webHidden/>
          </w:rPr>
          <w:fldChar w:fldCharType="separate"/>
        </w:r>
        <w:r w:rsidR="0006291C">
          <w:rPr>
            <w:noProof/>
            <w:webHidden/>
          </w:rPr>
          <w:t>48</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01" w:history="1">
        <w:r w:rsidR="00C512DE" w:rsidRPr="009134AE">
          <w:rPr>
            <w:rStyle w:val="a8"/>
            <w:noProof/>
          </w:rPr>
          <w:t>8.4</w:t>
        </w:r>
        <w:r w:rsidR="00C512DE" w:rsidRPr="009134AE">
          <w:rPr>
            <w:rStyle w:val="a8"/>
            <w:rFonts w:hint="eastAsia"/>
            <w:noProof/>
          </w:rPr>
          <w:t>报告期内投资组合平均剩余存续期超过</w:t>
        </w:r>
        <w:r w:rsidR="00C512DE" w:rsidRPr="009134AE">
          <w:rPr>
            <w:rStyle w:val="a8"/>
            <w:noProof/>
          </w:rPr>
          <w:t>240</w:t>
        </w:r>
        <w:r w:rsidR="00C512DE" w:rsidRPr="009134AE">
          <w:rPr>
            <w:rStyle w:val="a8"/>
            <w:rFonts w:ascii="宋体" w:hAnsi="宋体" w:hint="eastAsia"/>
            <w:noProof/>
          </w:rPr>
          <w:t>天情况说明</w:t>
        </w:r>
        <w:r w:rsidR="00C512DE">
          <w:rPr>
            <w:noProof/>
            <w:webHidden/>
          </w:rPr>
          <w:tab/>
        </w:r>
        <w:r w:rsidR="00C512DE">
          <w:rPr>
            <w:noProof/>
            <w:webHidden/>
          </w:rPr>
          <w:fldChar w:fldCharType="begin"/>
        </w:r>
        <w:r w:rsidR="00C512DE">
          <w:rPr>
            <w:noProof/>
            <w:webHidden/>
          </w:rPr>
          <w:instrText xml:space="preserve"> PAGEREF _Toc509581501 \h </w:instrText>
        </w:r>
        <w:r w:rsidR="00C512DE">
          <w:rPr>
            <w:noProof/>
            <w:webHidden/>
          </w:rPr>
        </w:r>
        <w:r w:rsidR="00C512DE">
          <w:rPr>
            <w:noProof/>
            <w:webHidden/>
          </w:rPr>
          <w:fldChar w:fldCharType="separate"/>
        </w:r>
        <w:r w:rsidR="0006291C">
          <w:rPr>
            <w:noProof/>
            <w:webHidden/>
          </w:rPr>
          <w:t>50</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02" w:history="1">
        <w:r w:rsidR="00C512DE" w:rsidRPr="009134AE">
          <w:rPr>
            <w:rStyle w:val="a8"/>
            <w:noProof/>
          </w:rPr>
          <w:t>8.5</w:t>
        </w:r>
        <w:r w:rsidR="00C512DE" w:rsidRPr="009134AE">
          <w:rPr>
            <w:rStyle w:val="a8"/>
            <w:rFonts w:hint="eastAsia"/>
            <w:noProof/>
          </w:rPr>
          <w:t>期末按债券品种分类的债券投资组合</w:t>
        </w:r>
        <w:r w:rsidR="00C512DE">
          <w:rPr>
            <w:noProof/>
            <w:webHidden/>
          </w:rPr>
          <w:tab/>
        </w:r>
        <w:r w:rsidR="00C512DE">
          <w:rPr>
            <w:noProof/>
            <w:webHidden/>
          </w:rPr>
          <w:fldChar w:fldCharType="begin"/>
        </w:r>
        <w:r w:rsidR="00C512DE">
          <w:rPr>
            <w:noProof/>
            <w:webHidden/>
          </w:rPr>
          <w:instrText xml:space="preserve"> PAGEREF _Toc509581502 \h </w:instrText>
        </w:r>
        <w:r w:rsidR="00C512DE">
          <w:rPr>
            <w:noProof/>
            <w:webHidden/>
          </w:rPr>
        </w:r>
        <w:r w:rsidR="00C512DE">
          <w:rPr>
            <w:noProof/>
            <w:webHidden/>
          </w:rPr>
          <w:fldChar w:fldCharType="separate"/>
        </w:r>
        <w:r w:rsidR="0006291C">
          <w:rPr>
            <w:noProof/>
            <w:webHidden/>
          </w:rPr>
          <w:t>50</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03" w:history="1">
        <w:r w:rsidR="00C512DE" w:rsidRPr="009134AE">
          <w:rPr>
            <w:rStyle w:val="a8"/>
            <w:noProof/>
          </w:rPr>
          <w:t>8.6</w:t>
        </w:r>
        <w:r w:rsidR="00C512DE" w:rsidRPr="009134AE">
          <w:rPr>
            <w:rStyle w:val="a8"/>
            <w:rFonts w:hint="eastAsia"/>
            <w:noProof/>
          </w:rPr>
          <w:t>期末按摊余成本占基金资产净值比例大小排序的前十名债券投资明细</w:t>
        </w:r>
        <w:r w:rsidR="00C512DE">
          <w:rPr>
            <w:noProof/>
            <w:webHidden/>
          </w:rPr>
          <w:tab/>
        </w:r>
        <w:r w:rsidR="00C512DE">
          <w:rPr>
            <w:noProof/>
            <w:webHidden/>
          </w:rPr>
          <w:fldChar w:fldCharType="begin"/>
        </w:r>
        <w:r w:rsidR="00C512DE">
          <w:rPr>
            <w:noProof/>
            <w:webHidden/>
          </w:rPr>
          <w:instrText xml:space="preserve"> PAGEREF _Toc509581503 \h </w:instrText>
        </w:r>
        <w:r w:rsidR="00C512DE">
          <w:rPr>
            <w:noProof/>
            <w:webHidden/>
          </w:rPr>
        </w:r>
        <w:r w:rsidR="00C512DE">
          <w:rPr>
            <w:noProof/>
            <w:webHidden/>
          </w:rPr>
          <w:fldChar w:fldCharType="separate"/>
        </w:r>
        <w:r w:rsidR="0006291C">
          <w:rPr>
            <w:noProof/>
            <w:webHidden/>
          </w:rPr>
          <w:t>50</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04" w:history="1">
        <w:r w:rsidR="00C512DE" w:rsidRPr="009134AE">
          <w:rPr>
            <w:rStyle w:val="a8"/>
            <w:noProof/>
          </w:rPr>
          <w:t>8.7“</w:t>
        </w:r>
        <w:r w:rsidR="00C512DE" w:rsidRPr="009134AE">
          <w:rPr>
            <w:rStyle w:val="a8"/>
            <w:rFonts w:hint="eastAsia"/>
            <w:noProof/>
          </w:rPr>
          <w:t>影子定价</w:t>
        </w:r>
        <w:r w:rsidR="00C512DE" w:rsidRPr="009134AE">
          <w:rPr>
            <w:rStyle w:val="a8"/>
            <w:noProof/>
          </w:rPr>
          <w:t>”</w:t>
        </w:r>
        <w:r w:rsidR="00C512DE" w:rsidRPr="009134AE">
          <w:rPr>
            <w:rStyle w:val="a8"/>
            <w:rFonts w:hint="eastAsia"/>
            <w:noProof/>
          </w:rPr>
          <w:t>与</w:t>
        </w:r>
        <w:r w:rsidR="00C512DE" w:rsidRPr="009134AE">
          <w:rPr>
            <w:rStyle w:val="a8"/>
            <w:noProof/>
          </w:rPr>
          <w:t>“</w:t>
        </w:r>
        <w:r w:rsidR="00C512DE" w:rsidRPr="009134AE">
          <w:rPr>
            <w:rStyle w:val="a8"/>
            <w:rFonts w:hint="eastAsia"/>
            <w:noProof/>
          </w:rPr>
          <w:t>摊余成本法</w:t>
        </w:r>
        <w:r w:rsidR="00C512DE" w:rsidRPr="009134AE">
          <w:rPr>
            <w:rStyle w:val="a8"/>
            <w:noProof/>
          </w:rPr>
          <w:t>”</w:t>
        </w:r>
        <w:r w:rsidR="00C512DE" w:rsidRPr="009134AE">
          <w:rPr>
            <w:rStyle w:val="a8"/>
            <w:rFonts w:hint="eastAsia"/>
            <w:noProof/>
          </w:rPr>
          <w:t>确定的基金资产净值的偏离</w:t>
        </w:r>
        <w:r w:rsidR="00C512DE">
          <w:rPr>
            <w:noProof/>
            <w:webHidden/>
          </w:rPr>
          <w:tab/>
        </w:r>
        <w:r w:rsidR="00C512DE">
          <w:rPr>
            <w:noProof/>
            <w:webHidden/>
          </w:rPr>
          <w:fldChar w:fldCharType="begin"/>
        </w:r>
        <w:r w:rsidR="00C512DE">
          <w:rPr>
            <w:noProof/>
            <w:webHidden/>
          </w:rPr>
          <w:instrText xml:space="preserve"> PAGEREF _Toc509581504 \h </w:instrText>
        </w:r>
        <w:r w:rsidR="00C512DE">
          <w:rPr>
            <w:noProof/>
            <w:webHidden/>
          </w:rPr>
        </w:r>
        <w:r w:rsidR="00C512DE">
          <w:rPr>
            <w:noProof/>
            <w:webHidden/>
          </w:rPr>
          <w:fldChar w:fldCharType="separate"/>
        </w:r>
        <w:r w:rsidR="0006291C">
          <w:rPr>
            <w:noProof/>
            <w:webHidden/>
          </w:rPr>
          <w:t>51</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05" w:history="1">
        <w:r w:rsidR="00C512DE" w:rsidRPr="009134AE">
          <w:rPr>
            <w:rStyle w:val="a8"/>
            <w:noProof/>
          </w:rPr>
          <w:t>8.8</w:t>
        </w:r>
        <w:r w:rsidR="00C512DE" w:rsidRPr="009134AE">
          <w:rPr>
            <w:rStyle w:val="a8"/>
            <w:rFonts w:hint="eastAsia"/>
            <w:noProof/>
          </w:rPr>
          <w:t>期末按公允价值占基金资产净值比例大小排序的所有资产支持证券投资明细</w:t>
        </w:r>
        <w:r w:rsidR="00C512DE">
          <w:rPr>
            <w:noProof/>
            <w:webHidden/>
          </w:rPr>
          <w:tab/>
        </w:r>
        <w:r w:rsidR="00C512DE">
          <w:rPr>
            <w:noProof/>
            <w:webHidden/>
          </w:rPr>
          <w:fldChar w:fldCharType="begin"/>
        </w:r>
        <w:r w:rsidR="00C512DE">
          <w:rPr>
            <w:noProof/>
            <w:webHidden/>
          </w:rPr>
          <w:instrText xml:space="preserve"> PAGEREF _Toc509581505 \h </w:instrText>
        </w:r>
        <w:r w:rsidR="00C512DE">
          <w:rPr>
            <w:noProof/>
            <w:webHidden/>
          </w:rPr>
        </w:r>
        <w:r w:rsidR="00C512DE">
          <w:rPr>
            <w:noProof/>
            <w:webHidden/>
          </w:rPr>
          <w:fldChar w:fldCharType="separate"/>
        </w:r>
        <w:r w:rsidR="0006291C">
          <w:rPr>
            <w:noProof/>
            <w:webHidden/>
          </w:rPr>
          <w:t>51</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06" w:history="1">
        <w:r w:rsidR="00C512DE" w:rsidRPr="009134AE">
          <w:rPr>
            <w:rStyle w:val="a8"/>
            <w:noProof/>
          </w:rPr>
          <w:t xml:space="preserve">8.9 </w:t>
        </w:r>
        <w:r w:rsidR="00C512DE" w:rsidRPr="009134AE">
          <w:rPr>
            <w:rStyle w:val="a8"/>
            <w:rFonts w:hint="eastAsia"/>
            <w:noProof/>
          </w:rPr>
          <w:t>投资组合报告附注</w:t>
        </w:r>
        <w:r w:rsidR="00C512DE">
          <w:rPr>
            <w:noProof/>
            <w:webHidden/>
          </w:rPr>
          <w:tab/>
        </w:r>
        <w:r w:rsidR="00C512DE">
          <w:rPr>
            <w:noProof/>
            <w:webHidden/>
          </w:rPr>
          <w:fldChar w:fldCharType="begin"/>
        </w:r>
        <w:r w:rsidR="00C512DE">
          <w:rPr>
            <w:noProof/>
            <w:webHidden/>
          </w:rPr>
          <w:instrText xml:space="preserve"> PAGEREF _Toc509581506 \h </w:instrText>
        </w:r>
        <w:r w:rsidR="00C512DE">
          <w:rPr>
            <w:noProof/>
            <w:webHidden/>
          </w:rPr>
        </w:r>
        <w:r w:rsidR="00C512DE">
          <w:rPr>
            <w:noProof/>
            <w:webHidden/>
          </w:rPr>
          <w:fldChar w:fldCharType="separate"/>
        </w:r>
        <w:r w:rsidR="0006291C">
          <w:rPr>
            <w:noProof/>
            <w:webHidden/>
          </w:rPr>
          <w:t>51</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507" w:history="1">
        <w:r w:rsidR="00C512DE" w:rsidRPr="009134AE">
          <w:rPr>
            <w:rStyle w:val="a8"/>
            <w:b/>
            <w:bCs/>
            <w:noProof/>
          </w:rPr>
          <w:t xml:space="preserve">§9  </w:t>
        </w:r>
        <w:r w:rsidR="00C512DE" w:rsidRPr="009134AE">
          <w:rPr>
            <w:rStyle w:val="a8"/>
            <w:rFonts w:hint="eastAsia"/>
            <w:b/>
            <w:bCs/>
            <w:noProof/>
          </w:rPr>
          <w:t>基金份额持有人信息</w:t>
        </w:r>
        <w:r w:rsidR="00C512DE">
          <w:rPr>
            <w:noProof/>
            <w:webHidden/>
          </w:rPr>
          <w:tab/>
        </w:r>
        <w:r w:rsidR="00C512DE">
          <w:rPr>
            <w:noProof/>
            <w:webHidden/>
          </w:rPr>
          <w:fldChar w:fldCharType="begin"/>
        </w:r>
        <w:r w:rsidR="00C512DE">
          <w:rPr>
            <w:noProof/>
            <w:webHidden/>
          </w:rPr>
          <w:instrText xml:space="preserve"> PAGEREF _Toc509581507 \h </w:instrText>
        </w:r>
        <w:r w:rsidR="00C512DE">
          <w:rPr>
            <w:noProof/>
            <w:webHidden/>
          </w:rPr>
        </w:r>
        <w:r w:rsidR="00C512DE">
          <w:rPr>
            <w:noProof/>
            <w:webHidden/>
          </w:rPr>
          <w:fldChar w:fldCharType="separate"/>
        </w:r>
        <w:r w:rsidR="0006291C">
          <w:rPr>
            <w:noProof/>
            <w:webHidden/>
          </w:rPr>
          <w:t>52</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08" w:history="1">
        <w:r w:rsidR="00C512DE" w:rsidRPr="009134AE">
          <w:rPr>
            <w:rStyle w:val="a8"/>
            <w:noProof/>
          </w:rPr>
          <w:t xml:space="preserve">9.1 </w:t>
        </w:r>
        <w:r w:rsidR="00C512DE" w:rsidRPr="009134AE">
          <w:rPr>
            <w:rStyle w:val="a8"/>
            <w:rFonts w:hint="eastAsia"/>
            <w:noProof/>
          </w:rPr>
          <w:t>期末基金份额持有人户数及持有人结构</w:t>
        </w:r>
        <w:r w:rsidR="00C512DE">
          <w:rPr>
            <w:noProof/>
            <w:webHidden/>
          </w:rPr>
          <w:tab/>
        </w:r>
        <w:r w:rsidR="00C512DE">
          <w:rPr>
            <w:noProof/>
            <w:webHidden/>
          </w:rPr>
          <w:fldChar w:fldCharType="begin"/>
        </w:r>
        <w:r w:rsidR="00C512DE">
          <w:rPr>
            <w:noProof/>
            <w:webHidden/>
          </w:rPr>
          <w:instrText xml:space="preserve"> PAGEREF _Toc509581508 \h </w:instrText>
        </w:r>
        <w:r w:rsidR="00C512DE">
          <w:rPr>
            <w:noProof/>
            <w:webHidden/>
          </w:rPr>
        </w:r>
        <w:r w:rsidR="00C512DE">
          <w:rPr>
            <w:noProof/>
            <w:webHidden/>
          </w:rPr>
          <w:fldChar w:fldCharType="separate"/>
        </w:r>
        <w:r w:rsidR="0006291C">
          <w:rPr>
            <w:noProof/>
            <w:webHidden/>
          </w:rPr>
          <w:t>52</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09" w:history="1">
        <w:r w:rsidR="00C512DE" w:rsidRPr="009134AE">
          <w:rPr>
            <w:rStyle w:val="a8"/>
            <w:noProof/>
          </w:rPr>
          <w:t xml:space="preserve">9.2 </w:t>
        </w:r>
        <w:r w:rsidR="00C512DE" w:rsidRPr="009134AE">
          <w:rPr>
            <w:rStyle w:val="a8"/>
            <w:rFonts w:hint="eastAsia"/>
            <w:noProof/>
          </w:rPr>
          <w:t>期末货币市场基金前十名份额持有人情况</w:t>
        </w:r>
        <w:r w:rsidR="00C512DE">
          <w:rPr>
            <w:noProof/>
            <w:webHidden/>
          </w:rPr>
          <w:tab/>
        </w:r>
        <w:r w:rsidR="00C512DE">
          <w:rPr>
            <w:noProof/>
            <w:webHidden/>
          </w:rPr>
          <w:fldChar w:fldCharType="begin"/>
        </w:r>
        <w:r w:rsidR="00C512DE">
          <w:rPr>
            <w:noProof/>
            <w:webHidden/>
          </w:rPr>
          <w:instrText xml:space="preserve"> PAGEREF _Toc509581509 \h </w:instrText>
        </w:r>
        <w:r w:rsidR="00C512DE">
          <w:rPr>
            <w:noProof/>
            <w:webHidden/>
          </w:rPr>
        </w:r>
        <w:r w:rsidR="00C512DE">
          <w:rPr>
            <w:noProof/>
            <w:webHidden/>
          </w:rPr>
          <w:fldChar w:fldCharType="separate"/>
        </w:r>
        <w:r w:rsidR="0006291C">
          <w:rPr>
            <w:noProof/>
            <w:webHidden/>
          </w:rPr>
          <w:t>52</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10" w:history="1">
        <w:r w:rsidR="00C512DE" w:rsidRPr="009134AE">
          <w:rPr>
            <w:rStyle w:val="a8"/>
            <w:noProof/>
          </w:rPr>
          <w:t>9.3</w:t>
        </w:r>
        <w:r w:rsidR="00C512DE" w:rsidRPr="009134AE">
          <w:rPr>
            <w:rStyle w:val="a8"/>
            <w:rFonts w:hint="eastAsia"/>
            <w:noProof/>
          </w:rPr>
          <w:t>期末基金管理人的从业人员持有本基金的情况</w:t>
        </w:r>
        <w:r w:rsidR="00C512DE">
          <w:rPr>
            <w:noProof/>
            <w:webHidden/>
          </w:rPr>
          <w:tab/>
        </w:r>
        <w:r w:rsidR="00C512DE">
          <w:rPr>
            <w:noProof/>
            <w:webHidden/>
          </w:rPr>
          <w:fldChar w:fldCharType="begin"/>
        </w:r>
        <w:r w:rsidR="00C512DE">
          <w:rPr>
            <w:noProof/>
            <w:webHidden/>
          </w:rPr>
          <w:instrText xml:space="preserve"> PAGEREF _Toc509581510 \h </w:instrText>
        </w:r>
        <w:r w:rsidR="00C512DE">
          <w:rPr>
            <w:noProof/>
            <w:webHidden/>
          </w:rPr>
        </w:r>
        <w:r w:rsidR="00C512DE">
          <w:rPr>
            <w:noProof/>
            <w:webHidden/>
          </w:rPr>
          <w:fldChar w:fldCharType="separate"/>
        </w:r>
        <w:r w:rsidR="0006291C">
          <w:rPr>
            <w:noProof/>
            <w:webHidden/>
          </w:rPr>
          <w:t>53</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11" w:history="1">
        <w:r w:rsidR="00C512DE" w:rsidRPr="009134AE">
          <w:rPr>
            <w:rStyle w:val="a8"/>
            <w:noProof/>
          </w:rPr>
          <w:t>9.4</w:t>
        </w:r>
        <w:r w:rsidR="00C512DE" w:rsidRPr="009134AE">
          <w:rPr>
            <w:rStyle w:val="a8"/>
            <w:rFonts w:hint="eastAsia"/>
            <w:noProof/>
          </w:rPr>
          <w:t>期末基金管理人的从业人员持有本开放式基金份额总量区间的情况</w:t>
        </w:r>
        <w:r w:rsidR="00C512DE">
          <w:rPr>
            <w:noProof/>
            <w:webHidden/>
          </w:rPr>
          <w:tab/>
        </w:r>
        <w:r w:rsidR="00C512DE">
          <w:rPr>
            <w:noProof/>
            <w:webHidden/>
          </w:rPr>
          <w:fldChar w:fldCharType="begin"/>
        </w:r>
        <w:r w:rsidR="00C512DE">
          <w:rPr>
            <w:noProof/>
            <w:webHidden/>
          </w:rPr>
          <w:instrText xml:space="preserve"> PAGEREF _Toc509581511 \h </w:instrText>
        </w:r>
        <w:r w:rsidR="00C512DE">
          <w:rPr>
            <w:noProof/>
            <w:webHidden/>
          </w:rPr>
        </w:r>
        <w:r w:rsidR="00C512DE">
          <w:rPr>
            <w:noProof/>
            <w:webHidden/>
          </w:rPr>
          <w:fldChar w:fldCharType="separate"/>
        </w:r>
        <w:r w:rsidR="0006291C">
          <w:rPr>
            <w:noProof/>
            <w:webHidden/>
          </w:rPr>
          <w:t>53</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512" w:history="1">
        <w:r w:rsidR="00C512DE" w:rsidRPr="009134AE">
          <w:rPr>
            <w:rStyle w:val="a8"/>
            <w:b/>
            <w:bCs/>
            <w:noProof/>
          </w:rPr>
          <w:t xml:space="preserve">§10  </w:t>
        </w:r>
        <w:r w:rsidR="00C512DE" w:rsidRPr="009134AE">
          <w:rPr>
            <w:rStyle w:val="a8"/>
            <w:rFonts w:hint="eastAsia"/>
            <w:b/>
            <w:bCs/>
            <w:noProof/>
          </w:rPr>
          <w:t>开放式基金份额变动</w:t>
        </w:r>
        <w:r w:rsidR="00C512DE">
          <w:rPr>
            <w:noProof/>
            <w:webHidden/>
          </w:rPr>
          <w:tab/>
        </w:r>
        <w:r w:rsidR="00C512DE">
          <w:rPr>
            <w:noProof/>
            <w:webHidden/>
          </w:rPr>
          <w:fldChar w:fldCharType="begin"/>
        </w:r>
        <w:r w:rsidR="00C512DE">
          <w:rPr>
            <w:noProof/>
            <w:webHidden/>
          </w:rPr>
          <w:instrText xml:space="preserve"> PAGEREF _Toc509581512 \h </w:instrText>
        </w:r>
        <w:r w:rsidR="00C512DE">
          <w:rPr>
            <w:noProof/>
            <w:webHidden/>
          </w:rPr>
        </w:r>
        <w:r w:rsidR="00C512DE">
          <w:rPr>
            <w:noProof/>
            <w:webHidden/>
          </w:rPr>
          <w:fldChar w:fldCharType="separate"/>
        </w:r>
        <w:r w:rsidR="0006291C">
          <w:rPr>
            <w:noProof/>
            <w:webHidden/>
          </w:rPr>
          <w:t>53</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513" w:history="1">
        <w:r w:rsidR="00C512DE" w:rsidRPr="009134AE">
          <w:rPr>
            <w:rStyle w:val="a8"/>
            <w:b/>
            <w:bCs/>
            <w:noProof/>
          </w:rPr>
          <w:t xml:space="preserve">§11  </w:t>
        </w:r>
        <w:r w:rsidR="00C512DE" w:rsidRPr="009134AE">
          <w:rPr>
            <w:rStyle w:val="a8"/>
            <w:rFonts w:hint="eastAsia"/>
            <w:b/>
            <w:bCs/>
            <w:noProof/>
          </w:rPr>
          <w:t>重大事件揭示</w:t>
        </w:r>
        <w:r w:rsidR="00C512DE">
          <w:rPr>
            <w:noProof/>
            <w:webHidden/>
          </w:rPr>
          <w:tab/>
        </w:r>
        <w:r w:rsidR="00C512DE">
          <w:rPr>
            <w:noProof/>
            <w:webHidden/>
          </w:rPr>
          <w:fldChar w:fldCharType="begin"/>
        </w:r>
        <w:r w:rsidR="00C512DE">
          <w:rPr>
            <w:noProof/>
            <w:webHidden/>
          </w:rPr>
          <w:instrText xml:space="preserve"> PAGEREF _Toc509581513 \h </w:instrText>
        </w:r>
        <w:r w:rsidR="00C512DE">
          <w:rPr>
            <w:noProof/>
            <w:webHidden/>
          </w:rPr>
        </w:r>
        <w:r w:rsidR="00C512DE">
          <w:rPr>
            <w:noProof/>
            <w:webHidden/>
          </w:rPr>
          <w:fldChar w:fldCharType="separate"/>
        </w:r>
        <w:r w:rsidR="0006291C">
          <w:rPr>
            <w:noProof/>
            <w:webHidden/>
          </w:rPr>
          <w:t>54</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14" w:history="1">
        <w:r w:rsidR="00C512DE" w:rsidRPr="009134AE">
          <w:rPr>
            <w:rStyle w:val="a8"/>
            <w:noProof/>
          </w:rPr>
          <w:t>11.1</w:t>
        </w:r>
        <w:r w:rsidR="00C512DE" w:rsidRPr="009134AE">
          <w:rPr>
            <w:rStyle w:val="a8"/>
            <w:rFonts w:hint="eastAsia"/>
            <w:noProof/>
          </w:rPr>
          <w:t>基金份额持有人大会决议</w:t>
        </w:r>
        <w:r w:rsidR="00C512DE">
          <w:rPr>
            <w:noProof/>
            <w:webHidden/>
          </w:rPr>
          <w:tab/>
        </w:r>
        <w:r w:rsidR="00C512DE">
          <w:rPr>
            <w:noProof/>
            <w:webHidden/>
          </w:rPr>
          <w:fldChar w:fldCharType="begin"/>
        </w:r>
        <w:r w:rsidR="00C512DE">
          <w:rPr>
            <w:noProof/>
            <w:webHidden/>
          </w:rPr>
          <w:instrText xml:space="preserve"> PAGEREF _Toc509581514 \h </w:instrText>
        </w:r>
        <w:r w:rsidR="00C512DE">
          <w:rPr>
            <w:noProof/>
            <w:webHidden/>
          </w:rPr>
        </w:r>
        <w:r w:rsidR="00C512DE">
          <w:rPr>
            <w:noProof/>
            <w:webHidden/>
          </w:rPr>
          <w:fldChar w:fldCharType="separate"/>
        </w:r>
        <w:r w:rsidR="0006291C">
          <w:rPr>
            <w:noProof/>
            <w:webHidden/>
          </w:rPr>
          <w:t>54</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15" w:history="1">
        <w:r w:rsidR="00C512DE" w:rsidRPr="009134AE">
          <w:rPr>
            <w:rStyle w:val="a8"/>
            <w:noProof/>
          </w:rPr>
          <w:t>11.2</w:t>
        </w:r>
        <w:r w:rsidR="00C512DE" w:rsidRPr="009134AE">
          <w:rPr>
            <w:rStyle w:val="a8"/>
            <w:rFonts w:hint="eastAsia"/>
            <w:noProof/>
          </w:rPr>
          <w:t>基金管理人、基金托管人的专门基金托管部门的重大人事变动</w:t>
        </w:r>
        <w:r w:rsidR="00C512DE">
          <w:rPr>
            <w:noProof/>
            <w:webHidden/>
          </w:rPr>
          <w:tab/>
        </w:r>
        <w:r w:rsidR="00C512DE">
          <w:rPr>
            <w:noProof/>
            <w:webHidden/>
          </w:rPr>
          <w:fldChar w:fldCharType="begin"/>
        </w:r>
        <w:r w:rsidR="00C512DE">
          <w:rPr>
            <w:noProof/>
            <w:webHidden/>
          </w:rPr>
          <w:instrText xml:space="preserve"> PAGEREF _Toc509581515 \h </w:instrText>
        </w:r>
        <w:r w:rsidR="00C512DE">
          <w:rPr>
            <w:noProof/>
            <w:webHidden/>
          </w:rPr>
        </w:r>
        <w:r w:rsidR="00C512DE">
          <w:rPr>
            <w:noProof/>
            <w:webHidden/>
          </w:rPr>
          <w:fldChar w:fldCharType="separate"/>
        </w:r>
        <w:r w:rsidR="0006291C">
          <w:rPr>
            <w:noProof/>
            <w:webHidden/>
          </w:rPr>
          <w:t>54</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16" w:history="1">
        <w:r w:rsidR="00C512DE" w:rsidRPr="009134AE">
          <w:rPr>
            <w:rStyle w:val="a8"/>
            <w:noProof/>
          </w:rPr>
          <w:t xml:space="preserve">11.3 </w:t>
        </w:r>
        <w:r w:rsidR="00C512DE" w:rsidRPr="009134AE">
          <w:rPr>
            <w:rStyle w:val="a8"/>
            <w:rFonts w:hint="eastAsia"/>
            <w:noProof/>
          </w:rPr>
          <w:t>涉及基金管理人、基金财产、基金托管业务的诉讼</w:t>
        </w:r>
        <w:r w:rsidR="00C512DE">
          <w:rPr>
            <w:noProof/>
            <w:webHidden/>
          </w:rPr>
          <w:tab/>
        </w:r>
        <w:r w:rsidR="00C512DE">
          <w:rPr>
            <w:noProof/>
            <w:webHidden/>
          </w:rPr>
          <w:fldChar w:fldCharType="begin"/>
        </w:r>
        <w:r w:rsidR="00C512DE">
          <w:rPr>
            <w:noProof/>
            <w:webHidden/>
          </w:rPr>
          <w:instrText xml:space="preserve"> PAGEREF _Toc509581516 \h </w:instrText>
        </w:r>
        <w:r w:rsidR="00C512DE">
          <w:rPr>
            <w:noProof/>
            <w:webHidden/>
          </w:rPr>
        </w:r>
        <w:r w:rsidR="00C512DE">
          <w:rPr>
            <w:noProof/>
            <w:webHidden/>
          </w:rPr>
          <w:fldChar w:fldCharType="separate"/>
        </w:r>
        <w:r w:rsidR="0006291C">
          <w:rPr>
            <w:noProof/>
            <w:webHidden/>
          </w:rPr>
          <w:t>54</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17" w:history="1">
        <w:r w:rsidR="00C512DE" w:rsidRPr="009134AE">
          <w:rPr>
            <w:rStyle w:val="a8"/>
            <w:noProof/>
          </w:rPr>
          <w:t xml:space="preserve">11.4 </w:t>
        </w:r>
        <w:r w:rsidR="00C512DE" w:rsidRPr="009134AE">
          <w:rPr>
            <w:rStyle w:val="a8"/>
            <w:rFonts w:hint="eastAsia"/>
            <w:noProof/>
          </w:rPr>
          <w:t>基金投资策略的改变</w:t>
        </w:r>
        <w:r w:rsidR="00C512DE">
          <w:rPr>
            <w:noProof/>
            <w:webHidden/>
          </w:rPr>
          <w:tab/>
        </w:r>
        <w:r w:rsidR="00C512DE">
          <w:rPr>
            <w:noProof/>
            <w:webHidden/>
          </w:rPr>
          <w:fldChar w:fldCharType="begin"/>
        </w:r>
        <w:r w:rsidR="00C512DE">
          <w:rPr>
            <w:noProof/>
            <w:webHidden/>
          </w:rPr>
          <w:instrText xml:space="preserve"> PAGEREF _Toc509581517 \h </w:instrText>
        </w:r>
        <w:r w:rsidR="00C512DE">
          <w:rPr>
            <w:noProof/>
            <w:webHidden/>
          </w:rPr>
        </w:r>
        <w:r w:rsidR="00C512DE">
          <w:rPr>
            <w:noProof/>
            <w:webHidden/>
          </w:rPr>
          <w:fldChar w:fldCharType="separate"/>
        </w:r>
        <w:r w:rsidR="0006291C">
          <w:rPr>
            <w:noProof/>
            <w:webHidden/>
          </w:rPr>
          <w:t>54</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18" w:history="1">
        <w:r w:rsidR="00C512DE" w:rsidRPr="009134AE">
          <w:rPr>
            <w:rStyle w:val="a8"/>
            <w:noProof/>
          </w:rPr>
          <w:t>11.5</w:t>
        </w:r>
        <w:r w:rsidR="00C512DE" w:rsidRPr="009134AE">
          <w:rPr>
            <w:rStyle w:val="a8"/>
            <w:rFonts w:hint="eastAsia"/>
            <w:noProof/>
          </w:rPr>
          <w:t>为基金进行审计的会计师事务所情况</w:t>
        </w:r>
        <w:r w:rsidR="00C512DE">
          <w:rPr>
            <w:noProof/>
            <w:webHidden/>
          </w:rPr>
          <w:tab/>
        </w:r>
        <w:r w:rsidR="00C512DE">
          <w:rPr>
            <w:noProof/>
            <w:webHidden/>
          </w:rPr>
          <w:fldChar w:fldCharType="begin"/>
        </w:r>
        <w:r w:rsidR="00C512DE">
          <w:rPr>
            <w:noProof/>
            <w:webHidden/>
          </w:rPr>
          <w:instrText xml:space="preserve"> PAGEREF _Toc509581518 \h </w:instrText>
        </w:r>
        <w:r w:rsidR="00C512DE">
          <w:rPr>
            <w:noProof/>
            <w:webHidden/>
          </w:rPr>
        </w:r>
        <w:r w:rsidR="00C512DE">
          <w:rPr>
            <w:noProof/>
            <w:webHidden/>
          </w:rPr>
          <w:fldChar w:fldCharType="separate"/>
        </w:r>
        <w:r w:rsidR="0006291C">
          <w:rPr>
            <w:noProof/>
            <w:webHidden/>
          </w:rPr>
          <w:t>54</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19" w:history="1">
        <w:r w:rsidR="00C512DE" w:rsidRPr="009134AE">
          <w:rPr>
            <w:rStyle w:val="a8"/>
            <w:noProof/>
          </w:rPr>
          <w:t xml:space="preserve">11.6 </w:t>
        </w:r>
        <w:r w:rsidR="00C512DE" w:rsidRPr="009134AE">
          <w:rPr>
            <w:rStyle w:val="a8"/>
            <w:rFonts w:hint="eastAsia"/>
            <w:noProof/>
          </w:rPr>
          <w:t>管理人、托管人及其高级管理人员受稽查或处罚等情况</w:t>
        </w:r>
        <w:r w:rsidR="00C512DE">
          <w:rPr>
            <w:noProof/>
            <w:webHidden/>
          </w:rPr>
          <w:tab/>
        </w:r>
        <w:r w:rsidR="00C512DE">
          <w:rPr>
            <w:noProof/>
            <w:webHidden/>
          </w:rPr>
          <w:fldChar w:fldCharType="begin"/>
        </w:r>
        <w:r w:rsidR="00C512DE">
          <w:rPr>
            <w:noProof/>
            <w:webHidden/>
          </w:rPr>
          <w:instrText xml:space="preserve"> PAGEREF _Toc509581519 \h </w:instrText>
        </w:r>
        <w:r w:rsidR="00C512DE">
          <w:rPr>
            <w:noProof/>
            <w:webHidden/>
          </w:rPr>
        </w:r>
        <w:r w:rsidR="00C512DE">
          <w:rPr>
            <w:noProof/>
            <w:webHidden/>
          </w:rPr>
          <w:fldChar w:fldCharType="separate"/>
        </w:r>
        <w:r w:rsidR="0006291C">
          <w:rPr>
            <w:noProof/>
            <w:webHidden/>
          </w:rPr>
          <w:t>54</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20" w:history="1">
        <w:r w:rsidR="00C512DE" w:rsidRPr="009134AE">
          <w:rPr>
            <w:rStyle w:val="a8"/>
            <w:noProof/>
          </w:rPr>
          <w:t xml:space="preserve">11.7 </w:t>
        </w:r>
        <w:r w:rsidR="00C512DE" w:rsidRPr="009134AE">
          <w:rPr>
            <w:rStyle w:val="a8"/>
            <w:rFonts w:hint="eastAsia"/>
            <w:noProof/>
          </w:rPr>
          <w:t>基金租用证券公司交易单元的有关情况</w:t>
        </w:r>
        <w:r w:rsidR="00C512DE">
          <w:rPr>
            <w:noProof/>
            <w:webHidden/>
          </w:rPr>
          <w:tab/>
        </w:r>
        <w:r w:rsidR="00C512DE">
          <w:rPr>
            <w:noProof/>
            <w:webHidden/>
          </w:rPr>
          <w:fldChar w:fldCharType="begin"/>
        </w:r>
        <w:r w:rsidR="00C512DE">
          <w:rPr>
            <w:noProof/>
            <w:webHidden/>
          </w:rPr>
          <w:instrText xml:space="preserve"> PAGEREF _Toc509581520 \h </w:instrText>
        </w:r>
        <w:r w:rsidR="00C512DE">
          <w:rPr>
            <w:noProof/>
            <w:webHidden/>
          </w:rPr>
        </w:r>
        <w:r w:rsidR="00C512DE">
          <w:rPr>
            <w:noProof/>
            <w:webHidden/>
          </w:rPr>
          <w:fldChar w:fldCharType="separate"/>
        </w:r>
        <w:r w:rsidR="0006291C">
          <w:rPr>
            <w:noProof/>
            <w:webHidden/>
          </w:rPr>
          <w:t>55</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21" w:history="1">
        <w:r w:rsidR="00C512DE" w:rsidRPr="009134AE">
          <w:rPr>
            <w:rStyle w:val="a8"/>
            <w:noProof/>
          </w:rPr>
          <w:t>11.8</w:t>
        </w:r>
        <w:r w:rsidR="00C512DE" w:rsidRPr="009134AE">
          <w:rPr>
            <w:rStyle w:val="a8"/>
            <w:rFonts w:hint="eastAsia"/>
            <w:noProof/>
          </w:rPr>
          <w:t>偏离度绝对值超过</w:t>
        </w:r>
        <w:r w:rsidR="00C512DE" w:rsidRPr="009134AE">
          <w:rPr>
            <w:rStyle w:val="a8"/>
            <w:noProof/>
          </w:rPr>
          <w:t>0.5%</w:t>
        </w:r>
        <w:r w:rsidR="00C512DE" w:rsidRPr="009134AE">
          <w:rPr>
            <w:rStyle w:val="a8"/>
            <w:rFonts w:hint="eastAsia"/>
            <w:noProof/>
          </w:rPr>
          <w:t>的情况</w:t>
        </w:r>
        <w:r w:rsidR="00C512DE">
          <w:rPr>
            <w:noProof/>
            <w:webHidden/>
          </w:rPr>
          <w:tab/>
        </w:r>
        <w:r w:rsidR="00C512DE">
          <w:rPr>
            <w:noProof/>
            <w:webHidden/>
          </w:rPr>
          <w:fldChar w:fldCharType="begin"/>
        </w:r>
        <w:r w:rsidR="00C512DE">
          <w:rPr>
            <w:noProof/>
            <w:webHidden/>
          </w:rPr>
          <w:instrText xml:space="preserve"> PAGEREF _Toc509581521 \h </w:instrText>
        </w:r>
        <w:r w:rsidR="00C512DE">
          <w:rPr>
            <w:noProof/>
            <w:webHidden/>
          </w:rPr>
        </w:r>
        <w:r w:rsidR="00C512DE">
          <w:rPr>
            <w:noProof/>
            <w:webHidden/>
          </w:rPr>
          <w:fldChar w:fldCharType="separate"/>
        </w:r>
        <w:r w:rsidR="0006291C">
          <w:rPr>
            <w:noProof/>
            <w:webHidden/>
          </w:rPr>
          <w:t>55</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22" w:history="1">
        <w:r w:rsidR="00C512DE" w:rsidRPr="009134AE">
          <w:rPr>
            <w:rStyle w:val="a8"/>
            <w:noProof/>
          </w:rPr>
          <w:t>11.9</w:t>
        </w:r>
        <w:r w:rsidR="00C512DE" w:rsidRPr="009134AE">
          <w:rPr>
            <w:rStyle w:val="a8"/>
            <w:rFonts w:hint="eastAsia"/>
            <w:noProof/>
          </w:rPr>
          <w:t>其他重大事件</w:t>
        </w:r>
        <w:r w:rsidR="00C512DE">
          <w:rPr>
            <w:noProof/>
            <w:webHidden/>
          </w:rPr>
          <w:tab/>
        </w:r>
        <w:r w:rsidR="00C512DE">
          <w:rPr>
            <w:noProof/>
            <w:webHidden/>
          </w:rPr>
          <w:fldChar w:fldCharType="begin"/>
        </w:r>
        <w:r w:rsidR="00C512DE">
          <w:rPr>
            <w:noProof/>
            <w:webHidden/>
          </w:rPr>
          <w:instrText xml:space="preserve"> PAGEREF _Toc509581522 \h </w:instrText>
        </w:r>
        <w:r w:rsidR="00C512DE">
          <w:rPr>
            <w:noProof/>
            <w:webHidden/>
          </w:rPr>
        </w:r>
        <w:r w:rsidR="00C512DE">
          <w:rPr>
            <w:noProof/>
            <w:webHidden/>
          </w:rPr>
          <w:fldChar w:fldCharType="separate"/>
        </w:r>
        <w:r w:rsidR="0006291C">
          <w:rPr>
            <w:noProof/>
            <w:webHidden/>
          </w:rPr>
          <w:t>55</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523" w:history="1">
        <w:r w:rsidR="00C512DE" w:rsidRPr="009134AE">
          <w:rPr>
            <w:rStyle w:val="a8"/>
            <w:b/>
            <w:bCs/>
            <w:noProof/>
          </w:rPr>
          <w:t xml:space="preserve">12  </w:t>
        </w:r>
        <w:r w:rsidR="00C512DE" w:rsidRPr="009134AE">
          <w:rPr>
            <w:rStyle w:val="a8"/>
            <w:rFonts w:hint="eastAsia"/>
            <w:b/>
            <w:bCs/>
            <w:noProof/>
          </w:rPr>
          <w:t>影响投资者决策的其他重要信息</w:t>
        </w:r>
        <w:r w:rsidR="00C512DE">
          <w:rPr>
            <w:noProof/>
            <w:webHidden/>
          </w:rPr>
          <w:tab/>
        </w:r>
        <w:r w:rsidR="00C512DE">
          <w:rPr>
            <w:noProof/>
            <w:webHidden/>
          </w:rPr>
          <w:fldChar w:fldCharType="begin"/>
        </w:r>
        <w:r w:rsidR="00C512DE">
          <w:rPr>
            <w:noProof/>
            <w:webHidden/>
          </w:rPr>
          <w:instrText xml:space="preserve"> PAGEREF _Toc509581523 \h </w:instrText>
        </w:r>
        <w:r w:rsidR="00C512DE">
          <w:rPr>
            <w:noProof/>
            <w:webHidden/>
          </w:rPr>
        </w:r>
        <w:r w:rsidR="00C512DE">
          <w:rPr>
            <w:noProof/>
            <w:webHidden/>
          </w:rPr>
          <w:fldChar w:fldCharType="separate"/>
        </w:r>
        <w:r w:rsidR="0006291C">
          <w:rPr>
            <w:noProof/>
            <w:webHidden/>
          </w:rPr>
          <w:t>56</w:t>
        </w:r>
        <w:r w:rsidR="00C512DE">
          <w:rPr>
            <w:noProof/>
            <w:webHidden/>
          </w:rPr>
          <w:fldChar w:fldCharType="end"/>
        </w:r>
      </w:hyperlink>
    </w:p>
    <w:p w:rsidR="00C512DE" w:rsidRDefault="00E511E2">
      <w:pPr>
        <w:pStyle w:val="11"/>
        <w:rPr>
          <w:rFonts w:asciiTheme="minorHAnsi" w:eastAsiaTheme="minorEastAsia" w:hAnsiTheme="minorHAnsi" w:cstheme="minorBidi"/>
          <w:noProof/>
          <w:szCs w:val="22"/>
        </w:rPr>
      </w:pPr>
      <w:hyperlink w:anchor="_Toc509581524" w:history="1">
        <w:r w:rsidR="00C512DE" w:rsidRPr="009134AE">
          <w:rPr>
            <w:rStyle w:val="a8"/>
            <w:b/>
            <w:bCs/>
            <w:noProof/>
          </w:rPr>
          <w:t xml:space="preserve">§13  </w:t>
        </w:r>
        <w:r w:rsidR="00C512DE" w:rsidRPr="009134AE">
          <w:rPr>
            <w:rStyle w:val="a8"/>
            <w:rFonts w:hint="eastAsia"/>
            <w:b/>
            <w:bCs/>
            <w:noProof/>
          </w:rPr>
          <w:t>备查文件目录</w:t>
        </w:r>
        <w:r w:rsidR="00C512DE">
          <w:rPr>
            <w:noProof/>
            <w:webHidden/>
          </w:rPr>
          <w:tab/>
        </w:r>
        <w:r w:rsidR="00C512DE">
          <w:rPr>
            <w:noProof/>
            <w:webHidden/>
          </w:rPr>
          <w:fldChar w:fldCharType="begin"/>
        </w:r>
        <w:r w:rsidR="00C512DE">
          <w:rPr>
            <w:noProof/>
            <w:webHidden/>
          </w:rPr>
          <w:instrText xml:space="preserve"> PAGEREF _Toc509581524 \h </w:instrText>
        </w:r>
        <w:r w:rsidR="00C512DE">
          <w:rPr>
            <w:noProof/>
            <w:webHidden/>
          </w:rPr>
        </w:r>
        <w:r w:rsidR="00C512DE">
          <w:rPr>
            <w:noProof/>
            <w:webHidden/>
          </w:rPr>
          <w:fldChar w:fldCharType="separate"/>
        </w:r>
        <w:r w:rsidR="0006291C">
          <w:rPr>
            <w:noProof/>
            <w:webHidden/>
          </w:rPr>
          <w:t>57</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25" w:history="1">
        <w:r w:rsidR="00C512DE" w:rsidRPr="009134AE">
          <w:rPr>
            <w:rStyle w:val="a8"/>
            <w:noProof/>
          </w:rPr>
          <w:t>13.1</w:t>
        </w:r>
        <w:r w:rsidR="00C512DE" w:rsidRPr="009134AE">
          <w:rPr>
            <w:rStyle w:val="a8"/>
            <w:rFonts w:hint="eastAsia"/>
            <w:noProof/>
          </w:rPr>
          <w:t>备查文件目录</w:t>
        </w:r>
        <w:r w:rsidR="00C512DE">
          <w:rPr>
            <w:noProof/>
            <w:webHidden/>
          </w:rPr>
          <w:tab/>
        </w:r>
        <w:r w:rsidR="00C512DE">
          <w:rPr>
            <w:noProof/>
            <w:webHidden/>
          </w:rPr>
          <w:fldChar w:fldCharType="begin"/>
        </w:r>
        <w:r w:rsidR="00C512DE">
          <w:rPr>
            <w:noProof/>
            <w:webHidden/>
          </w:rPr>
          <w:instrText xml:space="preserve"> PAGEREF _Toc509581525 \h </w:instrText>
        </w:r>
        <w:r w:rsidR="00C512DE">
          <w:rPr>
            <w:noProof/>
            <w:webHidden/>
          </w:rPr>
        </w:r>
        <w:r w:rsidR="00C512DE">
          <w:rPr>
            <w:noProof/>
            <w:webHidden/>
          </w:rPr>
          <w:fldChar w:fldCharType="separate"/>
        </w:r>
        <w:r w:rsidR="0006291C">
          <w:rPr>
            <w:noProof/>
            <w:webHidden/>
          </w:rPr>
          <w:t>57</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26" w:history="1">
        <w:r w:rsidR="00C512DE" w:rsidRPr="009134AE">
          <w:rPr>
            <w:rStyle w:val="a8"/>
            <w:noProof/>
          </w:rPr>
          <w:t>13.2</w:t>
        </w:r>
        <w:r w:rsidR="00C512DE" w:rsidRPr="009134AE">
          <w:rPr>
            <w:rStyle w:val="a8"/>
            <w:rFonts w:hint="eastAsia"/>
            <w:noProof/>
          </w:rPr>
          <w:t>存放地点</w:t>
        </w:r>
        <w:r w:rsidR="00C512DE">
          <w:rPr>
            <w:noProof/>
            <w:webHidden/>
          </w:rPr>
          <w:tab/>
        </w:r>
        <w:r w:rsidR="00C512DE">
          <w:rPr>
            <w:noProof/>
            <w:webHidden/>
          </w:rPr>
          <w:fldChar w:fldCharType="begin"/>
        </w:r>
        <w:r w:rsidR="00C512DE">
          <w:rPr>
            <w:noProof/>
            <w:webHidden/>
          </w:rPr>
          <w:instrText xml:space="preserve"> PAGEREF _Toc509581526 \h </w:instrText>
        </w:r>
        <w:r w:rsidR="00C512DE">
          <w:rPr>
            <w:noProof/>
            <w:webHidden/>
          </w:rPr>
        </w:r>
        <w:r w:rsidR="00C512DE">
          <w:rPr>
            <w:noProof/>
            <w:webHidden/>
          </w:rPr>
          <w:fldChar w:fldCharType="separate"/>
        </w:r>
        <w:r w:rsidR="0006291C">
          <w:rPr>
            <w:noProof/>
            <w:webHidden/>
          </w:rPr>
          <w:t>57</w:t>
        </w:r>
        <w:r w:rsidR="00C512DE">
          <w:rPr>
            <w:noProof/>
            <w:webHidden/>
          </w:rPr>
          <w:fldChar w:fldCharType="end"/>
        </w:r>
      </w:hyperlink>
    </w:p>
    <w:p w:rsidR="00C512DE" w:rsidRDefault="00E511E2">
      <w:pPr>
        <w:pStyle w:val="22"/>
        <w:ind w:left="420"/>
        <w:rPr>
          <w:rFonts w:asciiTheme="minorHAnsi" w:eastAsiaTheme="minorEastAsia" w:hAnsiTheme="minorHAnsi" w:cstheme="minorBidi"/>
          <w:noProof/>
          <w:kern w:val="2"/>
          <w:szCs w:val="22"/>
        </w:rPr>
      </w:pPr>
      <w:hyperlink w:anchor="_Toc509581527" w:history="1">
        <w:r w:rsidR="00C512DE" w:rsidRPr="009134AE">
          <w:rPr>
            <w:rStyle w:val="a8"/>
            <w:noProof/>
          </w:rPr>
          <w:t>13.3</w:t>
        </w:r>
        <w:r w:rsidR="00C512DE" w:rsidRPr="009134AE">
          <w:rPr>
            <w:rStyle w:val="a8"/>
            <w:rFonts w:hint="eastAsia"/>
            <w:noProof/>
          </w:rPr>
          <w:t>查阅方式</w:t>
        </w:r>
        <w:r w:rsidR="00C512DE">
          <w:rPr>
            <w:noProof/>
            <w:webHidden/>
          </w:rPr>
          <w:tab/>
        </w:r>
        <w:r w:rsidR="00C512DE">
          <w:rPr>
            <w:noProof/>
            <w:webHidden/>
          </w:rPr>
          <w:fldChar w:fldCharType="begin"/>
        </w:r>
        <w:r w:rsidR="00C512DE">
          <w:rPr>
            <w:noProof/>
            <w:webHidden/>
          </w:rPr>
          <w:instrText xml:space="preserve"> PAGEREF _Toc509581527 \h </w:instrText>
        </w:r>
        <w:r w:rsidR="00C512DE">
          <w:rPr>
            <w:noProof/>
            <w:webHidden/>
          </w:rPr>
        </w:r>
        <w:r w:rsidR="00C512DE">
          <w:rPr>
            <w:noProof/>
            <w:webHidden/>
          </w:rPr>
          <w:fldChar w:fldCharType="separate"/>
        </w:r>
        <w:r w:rsidR="0006291C">
          <w:rPr>
            <w:noProof/>
            <w:webHidden/>
          </w:rPr>
          <w:t>57</w:t>
        </w:r>
        <w:r w:rsidR="00C512DE">
          <w:rPr>
            <w:noProof/>
            <w:webHidden/>
          </w:rPr>
          <w:fldChar w:fldCharType="end"/>
        </w:r>
      </w:hyperlink>
    </w:p>
    <w:p w:rsidR="00223DFB" w:rsidRPr="00D0515B" w:rsidRDefault="000D1BA5"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509581468"/>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2"/>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509581469"/>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交银施罗德天鑫宝货币市场基金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交银天鑫宝货币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003482</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12</w:t>
            </w:r>
            <w:r w:rsidRPr="00143EB4">
              <w:rPr>
                <w:sz w:val="24"/>
              </w:rPr>
              <w:t>月</w:t>
            </w:r>
            <w:r w:rsidRPr="00143EB4">
              <w:rPr>
                <w:sz w:val="24"/>
              </w:rPr>
              <w:t>7</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兴业银行股份有限公司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23,545,451,800.45</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交银天鑫宝货币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交银天鑫宝货币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003482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003483</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94,716,926.30</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23,450,734,874.15</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509581470"/>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509581471"/>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兴业银行股份有限公司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吴玉婷</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021-52629999-212052</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015289@cib.com.cn</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95561</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021-62535823</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福建省福州市湖东路</w:t>
            </w:r>
            <w:r w:rsidRPr="00EB1150">
              <w:rPr>
                <w:rFonts w:hint="eastAsia"/>
                <w:kern w:val="0"/>
                <w:sz w:val="24"/>
              </w:rPr>
              <w:t>154</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上海江宁路</w:t>
            </w:r>
            <w:r w:rsidRPr="00EB1150">
              <w:rPr>
                <w:rFonts w:hint="eastAsia"/>
                <w:kern w:val="0"/>
                <w:sz w:val="24"/>
              </w:rPr>
              <w:t>168</w:t>
            </w:r>
            <w:r w:rsidRPr="00EB1150">
              <w:rPr>
                <w:rFonts w:hint="eastAsia"/>
                <w:kern w:val="0"/>
                <w:sz w:val="24"/>
              </w:rPr>
              <w:t>号兴业大厦</w:t>
            </w:r>
            <w:r w:rsidRPr="00EB1150">
              <w:rPr>
                <w:rFonts w:hint="eastAsia"/>
                <w:kern w:val="0"/>
                <w:sz w:val="24"/>
              </w:rPr>
              <w:t>20</w:t>
            </w:r>
            <w:r w:rsidRPr="00EB1150">
              <w:rPr>
                <w:rFonts w:hint="eastAsia"/>
                <w:kern w:val="0"/>
                <w:sz w:val="24"/>
              </w:rPr>
              <w:t>楼</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200041</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高建平</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509581472"/>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509581473"/>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w:t>
            </w:r>
            <w:r w:rsidRPr="00F555A5">
              <w:rPr>
                <w:sz w:val="24"/>
              </w:rPr>
              <w:t>(</w:t>
            </w:r>
            <w:r w:rsidRPr="00F555A5">
              <w:rPr>
                <w:sz w:val="24"/>
              </w:rPr>
              <w:t>特殊普通合伙</w:t>
            </w:r>
            <w:r w:rsidRPr="00F555A5">
              <w:rPr>
                <w:sz w:val="24"/>
              </w:rPr>
              <w:t>)</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8" w:name="_Toc509581474"/>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509581475"/>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1826"/>
        <w:gridCol w:w="1826"/>
        <w:gridCol w:w="1826"/>
        <w:gridCol w:w="2028"/>
      </w:tblGrid>
      <w:tr w:rsidR="000A475E" w:rsidRPr="00506D23" w:rsidTr="000A475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w:t>
            </w:r>
            <w:r w:rsidRPr="00506D23">
              <w:rPr>
                <w:rFonts w:hint="eastAsia"/>
                <w:b/>
                <w:szCs w:val="21"/>
              </w:rPr>
              <w:lastRenderedPageBreak/>
              <w:t>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lastRenderedPageBreak/>
              <w:t>2017</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7</w:t>
            </w:r>
            <w:r w:rsidRPr="00506D23">
              <w:rPr>
                <w:rFonts w:hint="eastAsia"/>
                <w:b/>
                <w:szCs w:val="21"/>
              </w:rPr>
              <w:t>日（基金合同生效日）至</w:t>
            </w:r>
            <w:r w:rsidRPr="00506D23">
              <w:rPr>
                <w:rFonts w:hint="eastAsia"/>
                <w:b/>
                <w:szCs w:val="21"/>
              </w:rPr>
              <w:lastRenderedPageBreak/>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31</w:t>
            </w:r>
            <w:r w:rsidRPr="00506D23">
              <w:rPr>
                <w:rFonts w:hint="eastAsia"/>
                <w:b/>
                <w:szCs w:val="21"/>
              </w:rPr>
              <w:t>日</w:t>
            </w:r>
          </w:p>
        </w:tc>
      </w:tr>
      <w:tr w:rsidR="000A475E" w:rsidRPr="00506D23" w:rsidTr="000A475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r>
      <w:tr w:rsidR="000A475E" w:rsidRPr="00506D23" w:rsidTr="000A475E">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1,793,801.73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287,693,721.79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343.85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427,202.30</w:t>
            </w:r>
          </w:p>
        </w:tc>
      </w:tr>
      <w:tr w:rsidR="000A475E" w:rsidRPr="00506D23" w:rsidTr="000A475E">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1,793,801.73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287,693,721.79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343.85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427,202.30</w:t>
            </w:r>
          </w:p>
        </w:tc>
      </w:tr>
      <w:tr w:rsidR="000A475E" w:rsidRPr="00506D23" w:rsidTr="000A475E">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3.71%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3.96%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0.20%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0.21%</w:t>
            </w:r>
          </w:p>
        </w:tc>
      </w:tr>
      <w:tr w:rsidR="000A475E" w:rsidRPr="00506D23" w:rsidTr="000A475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0A475E" w:rsidRPr="00506D23" w:rsidTr="000A475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r>
      <w:tr w:rsidR="000A475E" w:rsidRPr="00506D23" w:rsidTr="000A475E">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94,716,926.30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23,450,734,874.15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230,120.24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200,444,301.68</w:t>
            </w:r>
          </w:p>
        </w:tc>
      </w:tr>
      <w:tr w:rsidR="000A475E" w:rsidRPr="00506D23" w:rsidTr="000A475E">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0A475E" w:rsidRPr="00506D23" w:rsidTr="000A475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2016</w:t>
            </w:r>
            <w:r w:rsidRPr="00506D23">
              <w:rPr>
                <w:rFonts w:hint="eastAsia"/>
                <w:b/>
                <w:szCs w:val="21"/>
              </w:rPr>
              <w:t>年末</w:t>
            </w:r>
          </w:p>
        </w:tc>
      </w:tr>
      <w:tr w:rsidR="000A475E" w:rsidRPr="00506D23" w:rsidTr="000A475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交银天鑫宝货币</w:t>
            </w:r>
            <w:r>
              <w:rPr>
                <w:rFonts w:hint="eastAsia"/>
                <w:szCs w:val="21"/>
              </w:rPr>
              <w:t>E</w:t>
            </w:r>
          </w:p>
        </w:tc>
      </w:tr>
      <w:tr w:rsidR="000A475E" w:rsidRPr="00506D23" w:rsidTr="000A475E">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3.92%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4.18%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0.20%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0.21%</w:t>
            </w:r>
          </w:p>
        </w:tc>
      </w:tr>
    </w:tbl>
    <w:p w:rsidR="00B13599" w:rsidRDefault="00DF40F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B13599" w:rsidRPr="0006291C">
        <w:rPr>
          <w:rFonts w:hint="eastAsia"/>
          <w:kern w:val="0"/>
          <w:sz w:val="24"/>
        </w:rPr>
        <w:t>本基金申购赎回费为零。</w:t>
      </w:r>
    </w:p>
    <w:p w:rsidR="002622A8" w:rsidRDefault="00B13599" w:rsidP="0006291C">
      <w:pPr>
        <w:tabs>
          <w:tab w:val="left" w:pos="426"/>
        </w:tabs>
        <w:spacing w:before="29" w:line="288" w:lineRule="auto"/>
        <w:ind w:firstLineChars="150" w:firstLine="360"/>
        <w:jc w:val="left"/>
        <w:rPr>
          <w:kern w:val="0"/>
          <w:sz w:val="24"/>
        </w:rPr>
      </w:pPr>
      <w:r>
        <w:rPr>
          <w:rFonts w:hint="eastAsia"/>
          <w:kern w:val="0"/>
          <w:sz w:val="24"/>
        </w:rPr>
        <w:t>2</w:t>
      </w:r>
      <w:r>
        <w:rPr>
          <w:rFonts w:hint="eastAsia"/>
          <w:kern w:val="0"/>
          <w:sz w:val="24"/>
        </w:rPr>
        <w:t>、</w:t>
      </w:r>
      <w:r w:rsidR="00DF40FE">
        <w:rPr>
          <w:rFonts w:hint="eastAsia"/>
          <w:kern w:val="0"/>
          <w:sz w:val="24"/>
        </w:rPr>
        <w:t>本基金收益分配按日结转份额。</w:t>
      </w:r>
    </w:p>
    <w:p w:rsidR="002622A8" w:rsidRDefault="00DF40FE">
      <w:pPr>
        <w:tabs>
          <w:tab w:val="left" w:pos="426"/>
        </w:tabs>
        <w:spacing w:before="29" w:line="288" w:lineRule="auto"/>
        <w:jc w:val="left"/>
        <w:rPr>
          <w:kern w:val="0"/>
          <w:sz w:val="24"/>
        </w:rPr>
      </w:pPr>
      <w:r>
        <w:rPr>
          <w:rFonts w:hint="eastAsia"/>
          <w:kern w:val="0"/>
          <w:sz w:val="24"/>
        </w:rPr>
        <w:t xml:space="preserve">   </w:t>
      </w:r>
      <w:r w:rsidR="00B13599">
        <w:rPr>
          <w:kern w:val="0"/>
          <w:sz w:val="24"/>
        </w:rPr>
        <w:t>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w:t>
      </w:r>
      <w:r w:rsidR="00B13599">
        <w:rPr>
          <w:kern w:val="0"/>
          <w:sz w:val="24"/>
        </w:rPr>
        <w:t>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0" w:name="_Toc509581476"/>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0"/>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．交银天鑫宝货币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2622A8">
        <w:tc>
          <w:tcPr>
            <w:tcW w:w="1600" w:type="dxa"/>
            <w:vAlign w:val="center"/>
          </w:tcPr>
          <w:p w:rsidR="002622A8" w:rsidRDefault="00DF40FE">
            <w:pPr>
              <w:jc w:val="left"/>
            </w:pPr>
            <w:r>
              <w:rPr>
                <w:sz w:val="24"/>
              </w:rPr>
              <w:lastRenderedPageBreak/>
              <w:t>过去三个月</w:t>
            </w:r>
          </w:p>
        </w:tc>
        <w:tc>
          <w:tcPr>
            <w:tcW w:w="1233" w:type="dxa"/>
            <w:vAlign w:val="center"/>
          </w:tcPr>
          <w:p w:rsidR="002622A8" w:rsidRDefault="00DF40FE">
            <w:pPr>
              <w:jc w:val="center"/>
            </w:pPr>
            <w:r>
              <w:rPr>
                <w:sz w:val="24"/>
              </w:rPr>
              <w:t>1.0395%</w:t>
            </w:r>
          </w:p>
        </w:tc>
        <w:tc>
          <w:tcPr>
            <w:tcW w:w="1233" w:type="dxa"/>
            <w:vAlign w:val="center"/>
          </w:tcPr>
          <w:p w:rsidR="002622A8" w:rsidRDefault="00DF40FE">
            <w:pPr>
              <w:jc w:val="center"/>
            </w:pPr>
            <w:r>
              <w:rPr>
                <w:sz w:val="24"/>
              </w:rPr>
              <w:t>0.0006%</w:t>
            </w:r>
          </w:p>
        </w:tc>
        <w:tc>
          <w:tcPr>
            <w:tcW w:w="1233" w:type="dxa"/>
            <w:vAlign w:val="center"/>
          </w:tcPr>
          <w:p w:rsidR="002622A8" w:rsidRDefault="00DF40FE">
            <w:pPr>
              <w:jc w:val="center"/>
            </w:pPr>
            <w:r>
              <w:rPr>
                <w:sz w:val="24"/>
              </w:rPr>
              <w:t>0.0882%</w:t>
            </w:r>
          </w:p>
        </w:tc>
        <w:tc>
          <w:tcPr>
            <w:tcW w:w="1233" w:type="dxa"/>
            <w:vAlign w:val="center"/>
          </w:tcPr>
          <w:p w:rsidR="002622A8" w:rsidRDefault="00DF40FE">
            <w:pPr>
              <w:jc w:val="center"/>
            </w:pPr>
            <w:r>
              <w:rPr>
                <w:sz w:val="24"/>
              </w:rPr>
              <w:t>0.0000%</w:t>
            </w:r>
          </w:p>
        </w:tc>
        <w:tc>
          <w:tcPr>
            <w:tcW w:w="1233" w:type="dxa"/>
            <w:vAlign w:val="center"/>
          </w:tcPr>
          <w:p w:rsidR="002622A8" w:rsidRDefault="00DF40FE">
            <w:pPr>
              <w:jc w:val="center"/>
            </w:pPr>
            <w:r>
              <w:rPr>
                <w:sz w:val="24"/>
              </w:rPr>
              <w:t>0.9513%</w:t>
            </w:r>
          </w:p>
        </w:tc>
        <w:tc>
          <w:tcPr>
            <w:tcW w:w="1233" w:type="dxa"/>
            <w:vAlign w:val="center"/>
          </w:tcPr>
          <w:p w:rsidR="002622A8" w:rsidRDefault="00DF40FE">
            <w:pPr>
              <w:jc w:val="center"/>
            </w:pPr>
            <w:r>
              <w:rPr>
                <w:sz w:val="24"/>
              </w:rPr>
              <w:t>0.0006%</w:t>
            </w:r>
          </w:p>
        </w:tc>
      </w:tr>
      <w:tr w:rsidR="002622A8">
        <w:tc>
          <w:tcPr>
            <w:tcW w:w="1600" w:type="dxa"/>
            <w:vAlign w:val="center"/>
          </w:tcPr>
          <w:p w:rsidR="002622A8" w:rsidRDefault="00DF40FE">
            <w:pPr>
              <w:jc w:val="left"/>
            </w:pPr>
            <w:r>
              <w:rPr>
                <w:sz w:val="24"/>
              </w:rPr>
              <w:t>过去六个月</w:t>
            </w:r>
          </w:p>
        </w:tc>
        <w:tc>
          <w:tcPr>
            <w:tcW w:w="1233" w:type="dxa"/>
            <w:vAlign w:val="center"/>
          </w:tcPr>
          <w:p w:rsidR="002622A8" w:rsidRDefault="00DF40FE">
            <w:pPr>
              <w:jc w:val="center"/>
            </w:pPr>
            <w:r>
              <w:rPr>
                <w:sz w:val="24"/>
              </w:rPr>
              <w:t>2.0745%</w:t>
            </w:r>
          </w:p>
        </w:tc>
        <w:tc>
          <w:tcPr>
            <w:tcW w:w="1233" w:type="dxa"/>
            <w:vAlign w:val="center"/>
          </w:tcPr>
          <w:p w:rsidR="002622A8" w:rsidRDefault="00DF40FE">
            <w:pPr>
              <w:jc w:val="center"/>
            </w:pPr>
            <w:r>
              <w:rPr>
                <w:sz w:val="24"/>
              </w:rPr>
              <w:t>0.0013%</w:t>
            </w:r>
          </w:p>
        </w:tc>
        <w:tc>
          <w:tcPr>
            <w:tcW w:w="1233" w:type="dxa"/>
            <w:vAlign w:val="center"/>
          </w:tcPr>
          <w:p w:rsidR="002622A8" w:rsidRDefault="00DF40FE">
            <w:pPr>
              <w:jc w:val="center"/>
            </w:pPr>
            <w:r>
              <w:rPr>
                <w:sz w:val="24"/>
              </w:rPr>
              <w:t>0.1764%</w:t>
            </w:r>
          </w:p>
        </w:tc>
        <w:tc>
          <w:tcPr>
            <w:tcW w:w="1233" w:type="dxa"/>
            <w:vAlign w:val="center"/>
          </w:tcPr>
          <w:p w:rsidR="002622A8" w:rsidRDefault="00DF40FE">
            <w:pPr>
              <w:jc w:val="center"/>
            </w:pPr>
            <w:r>
              <w:rPr>
                <w:sz w:val="24"/>
              </w:rPr>
              <w:t>0.0000%</w:t>
            </w:r>
          </w:p>
        </w:tc>
        <w:tc>
          <w:tcPr>
            <w:tcW w:w="1233" w:type="dxa"/>
            <w:vAlign w:val="center"/>
          </w:tcPr>
          <w:p w:rsidR="002622A8" w:rsidRDefault="00DF40FE">
            <w:pPr>
              <w:jc w:val="center"/>
            </w:pPr>
            <w:r>
              <w:rPr>
                <w:sz w:val="24"/>
              </w:rPr>
              <w:t>1.8981%</w:t>
            </w:r>
          </w:p>
        </w:tc>
        <w:tc>
          <w:tcPr>
            <w:tcW w:w="1233" w:type="dxa"/>
            <w:vAlign w:val="center"/>
          </w:tcPr>
          <w:p w:rsidR="002622A8" w:rsidRDefault="00DF40FE">
            <w:pPr>
              <w:jc w:val="center"/>
            </w:pPr>
            <w:r>
              <w:rPr>
                <w:sz w:val="24"/>
              </w:rPr>
              <w:t>0.0013%</w:t>
            </w:r>
          </w:p>
        </w:tc>
      </w:tr>
      <w:tr w:rsidR="002622A8">
        <w:tc>
          <w:tcPr>
            <w:tcW w:w="1600" w:type="dxa"/>
            <w:vAlign w:val="center"/>
          </w:tcPr>
          <w:p w:rsidR="002622A8" w:rsidRDefault="00DF40FE">
            <w:pPr>
              <w:jc w:val="left"/>
            </w:pPr>
            <w:r>
              <w:rPr>
                <w:sz w:val="24"/>
              </w:rPr>
              <w:t>过去一年</w:t>
            </w:r>
          </w:p>
        </w:tc>
        <w:tc>
          <w:tcPr>
            <w:tcW w:w="1233" w:type="dxa"/>
            <w:vAlign w:val="center"/>
          </w:tcPr>
          <w:p w:rsidR="002622A8" w:rsidRDefault="00DF40FE">
            <w:pPr>
              <w:jc w:val="center"/>
            </w:pPr>
            <w:r>
              <w:rPr>
                <w:sz w:val="24"/>
              </w:rPr>
              <w:t>3.7108%</w:t>
            </w:r>
          </w:p>
        </w:tc>
        <w:tc>
          <w:tcPr>
            <w:tcW w:w="1233" w:type="dxa"/>
            <w:vAlign w:val="center"/>
          </w:tcPr>
          <w:p w:rsidR="002622A8" w:rsidRDefault="00DF40FE">
            <w:pPr>
              <w:jc w:val="center"/>
            </w:pPr>
            <w:r>
              <w:rPr>
                <w:sz w:val="24"/>
              </w:rPr>
              <w:t>0.0031%</w:t>
            </w:r>
          </w:p>
        </w:tc>
        <w:tc>
          <w:tcPr>
            <w:tcW w:w="1233" w:type="dxa"/>
            <w:vAlign w:val="center"/>
          </w:tcPr>
          <w:p w:rsidR="002622A8" w:rsidRDefault="00DF40FE">
            <w:pPr>
              <w:jc w:val="center"/>
            </w:pPr>
            <w:r>
              <w:rPr>
                <w:sz w:val="24"/>
              </w:rPr>
              <w:t>0.3500%</w:t>
            </w:r>
          </w:p>
        </w:tc>
        <w:tc>
          <w:tcPr>
            <w:tcW w:w="1233" w:type="dxa"/>
            <w:vAlign w:val="center"/>
          </w:tcPr>
          <w:p w:rsidR="002622A8" w:rsidRDefault="00DF40FE">
            <w:pPr>
              <w:jc w:val="center"/>
            </w:pPr>
            <w:r>
              <w:rPr>
                <w:sz w:val="24"/>
              </w:rPr>
              <w:t>0.0000%</w:t>
            </w:r>
          </w:p>
        </w:tc>
        <w:tc>
          <w:tcPr>
            <w:tcW w:w="1233" w:type="dxa"/>
            <w:vAlign w:val="center"/>
          </w:tcPr>
          <w:p w:rsidR="002622A8" w:rsidRDefault="00DF40FE">
            <w:pPr>
              <w:jc w:val="center"/>
            </w:pPr>
            <w:r>
              <w:rPr>
                <w:sz w:val="24"/>
              </w:rPr>
              <w:t>3.3608%</w:t>
            </w:r>
          </w:p>
        </w:tc>
        <w:tc>
          <w:tcPr>
            <w:tcW w:w="1233" w:type="dxa"/>
            <w:vAlign w:val="center"/>
          </w:tcPr>
          <w:p w:rsidR="002622A8" w:rsidRDefault="00DF40FE">
            <w:pPr>
              <w:jc w:val="center"/>
            </w:pPr>
            <w:r>
              <w:rPr>
                <w:sz w:val="24"/>
              </w:rPr>
              <w:t>0.0031%</w:t>
            </w:r>
          </w:p>
        </w:tc>
      </w:tr>
      <w:tr w:rsidR="002622A8">
        <w:tc>
          <w:tcPr>
            <w:tcW w:w="1600" w:type="dxa"/>
            <w:vAlign w:val="center"/>
          </w:tcPr>
          <w:p w:rsidR="002622A8" w:rsidRDefault="00DF40FE">
            <w:pPr>
              <w:jc w:val="left"/>
            </w:pPr>
            <w:r>
              <w:rPr>
                <w:sz w:val="24"/>
              </w:rPr>
              <w:t>自基金合同生效起至今</w:t>
            </w:r>
          </w:p>
        </w:tc>
        <w:tc>
          <w:tcPr>
            <w:tcW w:w="1233" w:type="dxa"/>
            <w:vAlign w:val="center"/>
          </w:tcPr>
          <w:p w:rsidR="002622A8" w:rsidRDefault="00DF40FE">
            <w:pPr>
              <w:jc w:val="center"/>
            </w:pPr>
            <w:r>
              <w:rPr>
                <w:sz w:val="24"/>
              </w:rPr>
              <w:t>3.9164%</w:t>
            </w:r>
          </w:p>
        </w:tc>
        <w:tc>
          <w:tcPr>
            <w:tcW w:w="1233" w:type="dxa"/>
            <w:vAlign w:val="center"/>
          </w:tcPr>
          <w:p w:rsidR="002622A8" w:rsidRDefault="00DF40FE">
            <w:pPr>
              <w:jc w:val="center"/>
            </w:pPr>
            <w:r>
              <w:rPr>
                <w:sz w:val="24"/>
              </w:rPr>
              <w:t>0.0033%</w:t>
            </w:r>
          </w:p>
        </w:tc>
        <w:tc>
          <w:tcPr>
            <w:tcW w:w="1233" w:type="dxa"/>
            <w:vAlign w:val="center"/>
          </w:tcPr>
          <w:p w:rsidR="002622A8" w:rsidRDefault="00DF40FE">
            <w:pPr>
              <w:jc w:val="center"/>
            </w:pPr>
            <w:r>
              <w:rPr>
                <w:sz w:val="24"/>
              </w:rPr>
              <w:t>0.3740%</w:t>
            </w:r>
          </w:p>
        </w:tc>
        <w:tc>
          <w:tcPr>
            <w:tcW w:w="1233" w:type="dxa"/>
            <w:vAlign w:val="center"/>
          </w:tcPr>
          <w:p w:rsidR="002622A8" w:rsidRDefault="00DF40FE">
            <w:pPr>
              <w:jc w:val="center"/>
            </w:pPr>
            <w:r>
              <w:rPr>
                <w:sz w:val="24"/>
              </w:rPr>
              <w:t>0.0000%</w:t>
            </w:r>
          </w:p>
        </w:tc>
        <w:tc>
          <w:tcPr>
            <w:tcW w:w="1233" w:type="dxa"/>
            <w:vAlign w:val="center"/>
          </w:tcPr>
          <w:p w:rsidR="002622A8" w:rsidRDefault="00DF40FE">
            <w:pPr>
              <w:jc w:val="center"/>
            </w:pPr>
            <w:r>
              <w:rPr>
                <w:sz w:val="24"/>
              </w:rPr>
              <w:t>3.5424%</w:t>
            </w:r>
          </w:p>
        </w:tc>
        <w:tc>
          <w:tcPr>
            <w:tcW w:w="1233" w:type="dxa"/>
            <w:vAlign w:val="center"/>
          </w:tcPr>
          <w:p w:rsidR="002622A8" w:rsidRDefault="00DF40FE">
            <w:pPr>
              <w:jc w:val="center"/>
            </w:pPr>
            <w:r>
              <w:rPr>
                <w:sz w:val="24"/>
              </w:rPr>
              <w:t>0.0033%</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交银天鑫宝货币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2622A8">
        <w:tc>
          <w:tcPr>
            <w:tcW w:w="1600" w:type="dxa"/>
            <w:vAlign w:val="center"/>
          </w:tcPr>
          <w:p w:rsidR="002622A8" w:rsidRDefault="00DF40FE">
            <w:pPr>
              <w:jc w:val="left"/>
            </w:pPr>
            <w:r>
              <w:rPr>
                <w:sz w:val="24"/>
              </w:rPr>
              <w:t>过去三个月</w:t>
            </w:r>
          </w:p>
        </w:tc>
        <w:tc>
          <w:tcPr>
            <w:tcW w:w="1233" w:type="dxa"/>
            <w:vAlign w:val="center"/>
          </w:tcPr>
          <w:p w:rsidR="002622A8" w:rsidRDefault="00DF40FE">
            <w:pPr>
              <w:jc w:val="center"/>
            </w:pPr>
            <w:r>
              <w:rPr>
                <w:sz w:val="24"/>
              </w:rPr>
              <w:t>1.1004%</w:t>
            </w:r>
          </w:p>
        </w:tc>
        <w:tc>
          <w:tcPr>
            <w:tcW w:w="1233" w:type="dxa"/>
            <w:vAlign w:val="center"/>
          </w:tcPr>
          <w:p w:rsidR="002622A8" w:rsidRDefault="00DF40FE">
            <w:pPr>
              <w:jc w:val="center"/>
            </w:pPr>
            <w:r>
              <w:rPr>
                <w:sz w:val="24"/>
              </w:rPr>
              <w:t>0.0006%</w:t>
            </w:r>
          </w:p>
        </w:tc>
        <w:tc>
          <w:tcPr>
            <w:tcW w:w="1233" w:type="dxa"/>
            <w:vAlign w:val="center"/>
          </w:tcPr>
          <w:p w:rsidR="002622A8" w:rsidRDefault="00DF40FE">
            <w:pPr>
              <w:jc w:val="center"/>
            </w:pPr>
            <w:r>
              <w:rPr>
                <w:sz w:val="24"/>
              </w:rPr>
              <w:t>0.0882%</w:t>
            </w:r>
          </w:p>
        </w:tc>
        <w:tc>
          <w:tcPr>
            <w:tcW w:w="1233" w:type="dxa"/>
            <w:vAlign w:val="center"/>
          </w:tcPr>
          <w:p w:rsidR="002622A8" w:rsidRDefault="00DF40FE">
            <w:pPr>
              <w:jc w:val="center"/>
            </w:pPr>
            <w:r>
              <w:rPr>
                <w:sz w:val="24"/>
              </w:rPr>
              <w:t>0.0000%</w:t>
            </w:r>
          </w:p>
        </w:tc>
        <w:tc>
          <w:tcPr>
            <w:tcW w:w="1233" w:type="dxa"/>
            <w:vAlign w:val="center"/>
          </w:tcPr>
          <w:p w:rsidR="002622A8" w:rsidRDefault="00DF40FE">
            <w:pPr>
              <w:jc w:val="center"/>
            </w:pPr>
            <w:r>
              <w:rPr>
                <w:sz w:val="24"/>
              </w:rPr>
              <w:t>1.0122%</w:t>
            </w:r>
          </w:p>
        </w:tc>
        <w:tc>
          <w:tcPr>
            <w:tcW w:w="1233" w:type="dxa"/>
            <w:vAlign w:val="center"/>
          </w:tcPr>
          <w:p w:rsidR="002622A8" w:rsidRDefault="00DF40FE">
            <w:pPr>
              <w:jc w:val="center"/>
            </w:pPr>
            <w:r>
              <w:rPr>
                <w:sz w:val="24"/>
              </w:rPr>
              <w:t>0.0006%</w:t>
            </w:r>
          </w:p>
        </w:tc>
      </w:tr>
      <w:tr w:rsidR="002622A8">
        <w:tc>
          <w:tcPr>
            <w:tcW w:w="1600" w:type="dxa"/>
            <w:vAlign w:val="center"/>
          </w:tcPr>
          <w:p w:rsidR="002622A8" w:rsidRDefault="00DF40FE">
            <w:pPr>
              <w:jc w:val="left"/>
            </w:pPr>
            <w:r>
              <w:rPr>
                <w:sz w:val="24"/>
              </w:rPr>
              <w:t>过去六个月</w:t>
            </w:r>
          </w:p>
        </w:tc>
        <w:tc>
          <w:tcPr>
            <w:tcW w:w="1233" w:type="dxa"/>
            <w:vAlign w:val="center"/>
          </w:tcPr>
          <w:p w:rsidR="002622A8" w:rsidRDefault="00DF40FE">
            <w:pPr>
              <w:jc w:val="center"/>
            </w:pPr>
            <w:r>
              <w:rPr>
                <w:sz w:val="24"/>
              </w:rPr>
              <w:t>2.1976%</w:t>
            </w:r>
          </w:p>
        </w:tc>
        <w:tc>
          <w:tcPr>
            <w:tcW w:w="1233" w:type="dxa"/>
            <w:vAlign w:val="center"/>
          </w:tcPr>
          <w:p w:rsidR="002622A8" w:rsidRDefault="00DF40FE">
            <w:pPr>
              <w:jc w:val="center"/>
            </w:pPr>
            <w:r>
              <w:rPr>
                <w:sz w:val="24"/>
              </w:rPr>
              <w:t>0.0013%</w:t>
            </w:r>
          </w:p>
        </w:tc>
        <w:tc>
          <w:tcPr>
            <w:tcW w:w="1233" w:type="dxa"/>
            <w:vAlign w:val="center"/>
          </w:tcPr>
          <w:p w:rsidR="002622A8" w:rsidRDefault="00DF40FE">
            <w:pPr>
              <w:jc w:val="center"/>
            </w:pPr>
            <w:r>
              <w:rPr>
                <w:sz w:val="24"/>
              </w:rPr>
              <w:t>0.1764%</w:t>
            </w:r>
          </w:p>
        </w:tc>
        <w:tc>
          <w:tcPr>
            <w:tcW w:w="1233" w:type="dxa"/>
            <w:vAlign w:val="center"/>
          </w:tcPr>
          <w:p w:rsidR="002622A8" w:rsidRDefault="00DF40FE">
            <w:pPr>
              <w:jc w:val="center"/>
            </w:pPr>
            <w:r>
              <w:rPr>
                <w:sz w:val="24"/>
              </w:rPr>
              <w:t>0.0000%</w:t>
            </w:r>
          </w:p>
        </w:tc>
        <w:tc>
          <w:tcPr>
            <w:tcW w:w="1233" w:type="dxa"/>
            <w:vAlign w:val="center"/>
          </w:tcPr>
          <w:p w:rsidR="002622A8" w:rsidRDefault="00DF40FE">
            <w:pPr>
              <w:jc w:val="center"/>
            </w:pPr>
            <w:r>
              <w:rPr>
                <w:sz w:val="24"/>
              </w:rPr>
              <w:t>2.0212%</w:t>
            </w:r>
          </w:p>
        </w:tc>
        <w:tc>
          <w:tcPr>
            <w:tcW w:w="1233" w:type="dxa"/>
            <w:vAlign w:val="center"/>
          </w:tcPr>
          <w:p w:rsidR="002622A8" w:rsidRDefault="00DF40FE">
            <w:pPr>
              <w:jc w:val="center"/>
            </w:pPr>
            <w:r>
              <w:rPr>
                <w:sz w:val="24"/>
              </w:rPr>
              <w:t>0.0013%</w:t>
            </w:r>
          </w:p>
        </w:tc>
      </w:tr>
      <w:tr w:rsidR="002622A8">
        <w:tc>
          <w:tcPr>
            <w:tcW w:w="1600" w:type="dxa"/>
            <w:vAlign w:val="center"/>
          </w:tcPr>
          <w:p w:rsidR="002622A8" w:rsidRDefault="00DF40FE">
            <w:pPr>
              <w:jc w:val="left"/>
            </w:pPr>
            <w:r>
              <w:rPr>
                <w:sz w:val="24"/>
              </w:rPr>
              <w:t>过去一年</w:t>
            </w:r>
          </w:p>
        </w:tc>
        <w:tc>
          <w:tcPr>
            <w:tcW w:w="1233" w:type="dxa"/>
            <w:vAlign w:val="center"/>
          </w:tcPr>
          <w:p w:rsidR="002622A8" w:rsidRDefault="00DF40FE">
            <w:pPr>
              <w:jc w:val="center"/>
            </w:pPr>
            <w:r>
              <w:rPr>
                <w:sz w:val="24"/>
              </w:rPr>
              <w:t>3.9592%</w:t>
            </w:r>
          </w:p>
        </w:tc>
        <w:tc>
          <w:tcPr>
            <w:tcW w:w="1233" w:type="dxa"/>
            <w:vAlign w:val="center"/>
          </w:tcPr>
          <w:p w:rsidR="002622A8" w:rsidRDefault="00DF40FE">
            <w:pPr>
              <w:jc w:val="center"/>
            </w:pPr>
            <w:r>
              <w:rPr>
                <w:sz w:val="24"/>
              </w:rPr>
              <w:t>0.0031%</w:t>
            </w:r>
          </w:p>
        </w:tc>
        <w:tc>
          <w:tcPr>
            <w:tcW w:w="1233" w:type="dxa"/>
            <w:vAlign w:val="center"/>
          </w:tcPr>
          <w:p w:rsidR="002622A8" w:rsidRDefault="00DF40FE">
            <w:pPr>
              <w:jc w:val="center"/>
            </w:pPr>
            <w:r>
              <w:rPr>
                <w:sz w:val="24"/>
              </w:rPr>
              <w:t>0.3500%</w:t>
            </w:r>
          </w:p>
        </w:tc>
        <w:tc>
          <w:tcPr>
            <w:tcW w:w="1233" w:type="dxa"/>
            <w:vAlign w:val="center"/>
          </w:tcPr>
          <w:p w:rsidR="002622A8" w:rsidRDefault="00DF40FE">
            <w:pPr>
              <w:jc w:val="center"/>
            </w:pPr>
            <w:r>
              <w:rPr>
                <w:sz w:val="24"/>
              </w:rPr>
              <w:t>0.0000%</w:t>
            </w:r>
          </w:p>
        </w:tc>
        <w:tc>
          <w:tcPr>
            <w:tcW w:w="1233" w:type="dxa"/>
            <w:vAlign w:val="center"/>
          </w:tcPr>
          <w:p w:rsidR="002622A8" w:rsidRDefault="00DF40FE">
            <w:pPr>
              <w:jc w:val="center"/>
            </w:pPr>
            <w:r>
              <w:rPr>
                <w:sz w:val="24"/>
              </w:rPr>
              <w:t>3.6092%</w:t>
            </w:r>
          </w:p>
        </w:tc>
        <w:tc>
          <w:tcPr>
            <w:tcW w:w="1233" w:type="dxa"/>
            <w:vAlign w:val="center"/>
          </w:tcPr>
          <w:p w:rsidR="002622A8" w:rsidRDefault="00DF40FE">
            <w:pPr>
              <w:jc w:val="center"/>
            </w:pPr>
            <w:r>
              <w:rPr>
                <w:sz w:val="24"/>
              </w:rPr>
              <w:t>0.0031%</w:t>
            </w:r>
          </w:p>
        </w:tc>
      </w:tr>
      <w:tr w:rsidR="002622A8">
        <w:tc>
          <w:tcPr>
            <w:tcW w:w="1600" w:type="dxa"/>
            <w:vAlign w:val="center"/>
          </w:tcPr>
          <w:p w:rsidR="002622A8" w:rsidRDefault="00DF40FE">
            <w:pPr>
              <w:jc w:val="left"/>
            </w:pPr>
            <w:r>
              <w:rPr>
                <w:sz w:val="24"/>
              </w:rPr>
              <w:t>自基金合同生效起至今</w:t>
            </w:r>
          </w:p>
        </w:tc>
        <w:tc>
          <w:tcPr>
            <w:tcW w:w="1233" w:type="dxa"/>
            <w:vAlign w:val="center"/>
          </w:tcPr>
          <w:p w:rsidR="002622A8" w:rsidRDefault="00DF40FE">
            <w:pPr>
              <w:jc w:val="center"/>
            </w:pPr>
            <w:r>
              <w:rPr>
                <w:sz w:val="24"/>
              </w:rPr>
              <w:t>4.1813%</w:t>
            </w:r>
          </w:p>
        </w:tc>
        <w:tc>
          <w:tcPr>
            <w:tcW w:w="1233" w:type="dxa"/>
            <w:vAlign w:val="center"/>
          </w:tcPr>
          <w:p w:rsidR="002622A8" w:rsidRDefault="00DF40FE">
            <w:pPr>
              <w:jc w:val="center"/>
            </w:pPr>
            <w:r>
              <w:rPr>
                <w:sz w:val="24"/>
              </w:rPr>
              <w:t>0.0032%</w:t>
            </w:r>
          </w:p>
        </w:tc>
        <w:tc>
          <w:tcPr>
            <w:tcW w:w="1233" w:type="dxa"/>
            <w:vAlign w:val="center"/>
          </w:tcPr>
          <w:p w:rsidR="002622A8" w:rsidRDefault="00DF40FE">
            <w:pPr>
              <w:jc w:val="center"/>
            </w:pPr>
            <w:r>
              <w:rPr>
                <w:sz w:val="24"/>
              </w:rPr>
              <w:t>0.3740%</w:t>
            </w:r>
          </w:p>
        </w:tc>
        <w:tc>
          <w:tcPr>
            <w:tcW w:w="1233" w:type="dxa"/>
            <w:vAlign w:val="center"/>
          </w:tcPr>
          <w:p w:rsidR="002622A8" w:rsidRDefault="00DF40FE">
            <w:pPr>
              <w:jc w:val="center"/>
            </w:pPr>
            <w:r>
              <w:rPr>
                <w:sz w:val="24"/>
              </w:rPr>
              <w:t>0.0000%</w:t>
            </w:r>
          </w:p>
        </w:tc>
        <w:tc>
          <w:tcPr>
            <w:tcW w:w="1233" w:type="dxa"/>
            <w:vAlign w:val="center"/>
          </w:tcPr>
          <w:p w:rsidR="002622A8" w:rsidRDefault="00DF40FE">
            <w:pPr>
              <w:jc w:val="center"/>
            </w:pPr>
            <w:r>
              <w:rPr>
                <w:sz w:val="24"/>
              </w:rPr>
              <w:t>3.8073%</w:t>
            </w:r>
          </w:p>
        </w:tc>
        <w:tc>
          <w:tcPr>
            <w:tcW w:w="1233" w:type="dxa"/>
            <w:vAlign w:val="center"/>
          </w:tcPr>
          <w:p w:rsidR="002622A8" w:rsidRDefault="00DF40FE">
            <w:pPr>
              <w:jc w:val="center"/>
            </w:pPr>
            <w:r>
              <w:rPr>
                <w:sz w:val="24"/>
              </w:rPr>
              <w:t>0.0032%</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、交银天鑫宝货币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注：本基金基金合同生效日为</w:t>
      </w:r>
      <w:r w:rsidRPr="004D7955">
        <w:rPr>
          <w:rFonts w:hint="eastAsia"/>
          <w:kern w:val="0"/>
          <w:sz w:val="24"/>
        </w:rPr>
        <w:t>2016</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7</w:t>
      </w:r>
      <w:r w:rsidRPr="004D7955">
        <w:rPr>
          <w:rFonts w:hint="eastAsia"/>
          <w:kern w:val="0"/>
          <w:sz w:val="24"/>
        </w:rPr>
        <w:t>日，截至报告期期末，本基金已完成建仓但报告期期末距建仓结束未满一年。本基金建仓期为自基金合同生效日起的</w:t>
      </w:r>
      <w:r w:rsidRPr="004D7955">
        <w:rPr>
          <w:rFonts w:hint="eastAsia"/>
          <w:kern w:val="0"/>
          <w:sz w:val="24"/>
        </w:rPr>
        <w:t>6</w:t>
      </w:r>
      <w:r w:rsidRPr="004D7955">
        <w:rPr>
          <w:rFonts w:hint="eastAsia"/>
          <w:kern w:val="0"/>
          <w:sz w:val="24"/>
        </w:rPr>
        <w:t>个月。截</w:t>
      </w:r>
      <w:r w:rsidRPr="004D7955">
        <w:rPr>
          <w:rFonts w:hint="eastAsia"/>
          <w:kern w:val="0"/>
          <w:sz w:val="24"/>
        </w:rPr>
        <w:lastRenderedPageBreak/>
        <w:t>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交银天鑫宝货币</w:t>
      </w:r>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注：本基金基金合同生效日为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7</w:t>
      </w:r>
      <w:r>
        <w:rPr>
          <w:rFonts w:eastAsiaTheme="minorEastAsia" w:hint="eastAsia"/>
          <w:kern w:val="0"/>
          <w:sz w:val="24"/>
        </w:rPr>
        <w:t>日，截至报告期期末，本基金已完成建仓但报告期期末距建仓结束未满一年。本基金建仓期为自基金合同生效日起的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交银天鑫宝货币</w:t>
      </w:r>
      <w:r w:rsidR="00223DFB" w:rsidRPr="00A74F64">
        <w:rPr>
          <w:rFonts w:hint="eastAsia"/>
          <w:sz w:val="24"/>
        </w:rPr>
        <w:t>A</w:t>
      </w:r>
    </w:p>
    <w:p w:rsidR="00223DFB" w:rsidRPr="00D0515B" w:rsidRDefault="00D97705"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14:anchorId="6C401CEB" wp14:editId="72A25ACE">
            <wp:extent cx="5759450" cy="3372485"/>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23DFB"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7</w:t>
      </w:r>
      <w:r w:rsidRPr="00A74F64">
        <w:rPr>
          <w:rFonts w:hint="eastAsia"/>
          <w:kern w:val="0"/>
          <w:sz w:val="24"/>
        </w:rPr>
        <w:t>日</w:t>
      </w:r>
      <w:r w:rsidR="00034653" w:rsidRPr="0006291C">
        <w:rPr>
          <w:rFonts w:hint="eastAsia"/>
          <w:kern w:val="0"/>
          <w:sz w:val="24"/>
        </w:rPr>
        <w:t>（基金合同生效日）</w:t>
      </w:r>
      <w:r w:rsidRPr="00A74F64">
        <w:rPr>
          <w:rFonts w:hint="eastAsia"/>
          <w:kern w:val="0"/>
          <w:sz w:val="24"/>
        </w:rPr>
        <w:t>至</w:t>
      </w:r>
      <w:r w:rsidRPr="00A74F64">
        <w:rPr>
          <w:rFonts w:hint="eastAsia"/>
          <w:kern w:val="0"/>
          <w:sz w:val="24"/>
        </w:rPr>
        <w:t>2017</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034653" w:rsidRPr="00A74F64" w:rsidRDefault="00034653" w:rsidP="00A74F64">
      <w:pPr>
        <w:spacing w:before="29" w:line="288" w:lineRule="auto"/>
        <w:rPr>
          <w:kern w:val="0"/>
          <w:sz w:val="24"/>
        </w:rPr>
      </w:pP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交银天鑫宝货币</w:t>
      </w:r>
      <w:r w:rsidR="00D32085">
        <w:rPr>
          <w:rFonts w:hint="eastAsia"/>
          <w:sz w:val="24"/>
        </w:rPr>
        <w:t>E</w:t>
      </w:r>
    </w:p>
    <w:p w:rsidR="00223DFB" w:rsidRPr="00D0515B" w:rsidRDefault="00D97705"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41FC1166" wp14:editId="7E345AFB">
            <wp:extent cx="5759450" cy="3372485"/>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7</w:t>
      </w:r>
      <w:r>
        <w:rPr>
          <w:rFonts w:eastAsiaTheme="minorEastAsia" w:hint="eastAsia"/>
          <w:kern w:val="0"/>
          <w:sz w:val="24"/>
        </w:rPr>
        <w:t>日</w:t>
      </w:r>
      <w:r w:rsidR="00034653" w:rsidRPr="006B052A">
        <w:rPr>
          <w:rFonts w:hint="eastAsia"/>
          <w:kern w:val="0"/>
          <w:sz w:val="24"/>
        </w:rPr>
        <w:t>（</w:t>
      </w:r>
      <w:r w:rsidR="00034653" w:rsidRPr="006B052A">
        <w:rPr>
          <w:kern w:val="0"/>
          <w:sz w:val="24"/>
        </w:rPr>
        <w:t>基金合同生效日）</w:t>
      </w:r>
      <w:r>
        <w:rPr>
          <w:rFonts w:eastAsiaTheme="minorEastAsia" w:hint="eastAsia"/>
          <w:kern w:val="0"/>
          <w:sz w:val="24"/>
        </w:rPr>
        <w:t>至</w:t>
      </w:r>
      <w:r>
        <w:rPr>
          <w:rFonts w:eastAsiaTheme="minorEastAsia" w:hint="eastAsia"/>
          <w:kern w:val="0"/>
          <w:sz w:val="24"/>
        </w:rPr>
        <w:t>2017</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A54C25" w:rsidRDefault="00223DFB" w:rsidP="0006291C">
      <w:pPr>
        <w:pStyle w:val="20"/>
        <w:spacing w:before="29" w:after="0" w:line="288" w:lineRule="auto"/>
        <w:rPr>
          <w:b w:val="0"/>
          <w:bCs w:val="0"/>
          <w:kern w:val="0"/>
        </w:rPr>
      </w:pPr>
      <w:bookmarkStart w:id="11" w:name="_Toc509581477"/>
      <w:r w:rsidRPr="00A54C25">
        <w:rPr>
          <w:rFonts w:ascii="Times New Roman" w:hAnsi="Times New Roman" w:cs="Times New Roman"/>
          <w:kern w:val="0"/>
          <w:szCs w:val="24"/>
        </w:rPr>
        <w:lastRenderedPageBreak/>
        <w:t>3.3</w:t>
      </w:r>
      <w:r w:rsidRPr="00A54C25">
        <w:rPr>
          <w:rFonts w:ascii="Times New Roman" w:hAnsi="Times New Roman" w:cs="Times New Roman" w:hint="eastAsia"/>
          <w:kern w:val="0"/>
          <w:szCs w:val="24"/>
        </w:rPr>
        <w:t>过去三年基金的利润分配情况</w:t>
      </w:r>
      <w:bookmarkEnd w:id="11"/>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交银天鑫宝货币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2622A8">
        <w:trPr>
          <w:jc w:val="center"/>
        </w:trPr>
        <w:tc>
          <w:tcPr>
            <w:tcW w:w="1157" w:type="dxa"/>
            <w:vAlign w:val="center"/>
          </w:tcPr>
          <w:p w:rsidR="002622A8" w:rsidRDefault="00DF40FE">
            <w:pPr>
              <w:jc w:val="center"/>
            </w:pPr>
            <w:r>
              <w:rPr>
                <w:rFonts w:hint="eastAsia"/>
                <w:color w:val="000000"/>
                <w:sz w:val="24"/>
              </w:rPr>
              <w:t>2017</w:t>
            </w:r>
            <w:r w:rsidR="004D3EB2">
              <w:rPr>
                <w:rFonts w:hint="eastAsia"/>
                <w:color w:val="000000"/>
                <w:sz w:val="24"/>
              </w:rPr>
              <w:t>年</w:t>
            </w:r>
          </w:p>
        </w:tc>
        <w:tc>
          <w:tcPr>
            <w:tcW w:w="1786" w:type="dxa"/>
            <w:vAlign w:val="center"/>
          </w:tcPr>
          <w:p w:rsidR="002622A8" w:rsidRDefault="00DF40FE">
            <w:pPr>
              <w:jc w:val="right"/>
            </w:pPr>
            <w:r>
              <w:rPr>
                <w:rFonts w:hint="eastAsia"/>
                <w:color w:val="000000"/>
                <w:sz w:val="24"/>
              </w:rPr>
              <w:t>1,781,543.98</w:t>
            </w:r>
          </w:p>
        </w:tc>
        <w:tc>
          <w:tcPr>
            <w:tcW w:w="1701" w:type="dxa"/>
            <w:vAlign w:val="center"/>
          </w:tcPr>
          <w:p w:rsidR="002622A8" w:rsidRDefault="00DF40FE">
            <w:pPr>
              <w:jc w:val="right"/>
            </w:pPr>
            <w:r>
              <w:rPr>
                <w:rFonts w:hint="eastAsia"/>
                <w:color w:val="000000"/>
                <w:sz w:val="24"/>
              </w:rPr>
              <w:t>-</w:t>
            </w:r>
          </w:p>
        </w:tc>
        <w:tc>
          <w:tcPr>
            <w:tcW w:w="1680" w:type="dxa"/>
            <w:vAlign w:val="center"/>
          </w:tcPr>
          <w:p w:rsidR="002622A8" w:rsidRDefault="00DF40FE">
            <w:pPr>
              <w:jc w:val="right"/>
            </w:pPr>
            <w:r>
              <w:rPr>
                <w:rFonts w:hint="eastAsia"/>
                <w:color w:val="000000"/>
                <w:sz w:val="24"/>
              </w:rPr>
              <w:t>12,257.75</w:t>
            </w:r>
          </w:p>
        </w:tc>
        <w:tc>
          <w:tcPr>
            <w:tcW w:w="1894" w:type="dxa"/>
            <w:vAlign w:val="center"/>
          </w:tcPr>
          <w:p w:rsidR="002622A8" w:rsidRDefault="00DF40FE">
            <w:pPr>
              <w:jc w:val="right"/>
            </w:pPr>
            <w:r>
              <w:rPr>
                <w:rFonts w:hint="eastAsia"/>
                <w:color w:val="000000"/>
                <w:sz w:val="24"/>
              </w:rPr>
              <w:t>1,793,801.73</w:t>
            </w:r>
          </w:p>
        </w:tc>
        <w:tc>
          <w:tcPr>
            <w:tcW w:w="1068" w:type="dxa"/>
            <w:vAlign w:val="center"/>
          </w:tcPr>
          <w:p w:rsidR="002622A8" w:rsidRDefault="00DF40FE">
            <w:pPr>
              <w:jc w:val="left"/>
            </w:pPr>
            <w:r>
              <w:rPr>
                <w:rFonts w:hint="eastAsia"/>
                <w:color w:val="000000"/>
                <w:sz w:val="24"/>
              </w:rPr>
              <w:t>-</w:t>
            </w:r>
          </w:p>
        </w:tc>
      </w:tr>
      <w:tr w:rsidR="002622A8">
        <w:trPr>
          <w:jc w:val="center"/>
        </w:trPr>
        <w:tc>
          <w:tcPr>
            <w:tcW w:w="1157" w:type="dxa"/>
            <w:vAlign w:val="center"/>
          </w:tcPr>
          <w:p w:rsidR="002622A8" w:rsidRDefault="00DF40FE">
            <w:pPr>
              <w:jc w:val="center"/>
            </w:pPr>
            <w:r>
              <w:rPr>
                <w:rFonts w:hint="eastAsia"/>
                <w:color w:val="000000"/>
                <w:sz w:val="24"/>
              </w:rPr>
              <w:t>2016</w:t>
            </w:r>
            <w:r w:rsidR="004D3EB2">
              <w:rPr>
                <w:rFonts w:hint="eastAsia"/>
                <w:color w:val="000000"/>
                <w:sz w:val="24"/>
              </w:rPr>
              <w:t>年</w:t>
            </w:r>
          </w:p>
        </w:tc>
        <w:tc>
          <w:tcPr>
            <w:tcW w:w="1786" w:type="dxa"/>
            <w:vAlign w:val="center"/>
          </w:tcPr>
          <w:p w:rsidR="002622A8" w:rsidRDefault="00DF40FE">
            <w:pPr>
              <w:jc w:val="right"/>
            </w:pPr>
            <w:r>
              <w:rPr>
                <w:rFonts w:hint="eastAsia"/>
                <w:color w:val="000000"/>
                <w:sz w:val="24"/>
              </w:rPr>
              <w:t>333.99</w:t>
            </w:r>
          </w:p>
        </w:tc>
        <w:tc>
          <w:tcPr>
            <w:tcW w:w="1701" w:type="dxa"/>
            <w:vAlign w:val="center"/>
          </w:tcPr>
          <w:p w:rsidR="002622A8" w:rsidRDefault="00DF40FE">
            <w:pPr>
              <w:jc w:val="right"/>
            </w:pPr>
            <w:r>
              <w:rPr>
                <w:rFonts w:hint="eastAsia"/>
                <w:color w:val="000000"/>
                <w:sz w:val="24"/>
              </w:rPr>
              <w:t>-</w:t>
            </w:r>
          </w:p>
        </w:tc>
        <w:tc>
          <w:tcPr>
            <w:tcW w:w="1680" w:type="dxa"/>
            <w:vAlign w:val="center"/>
          </w:tcPr>
          <w:p w:rsidR="002622A8" w:rsidRDefault="00DF40FE">
            <w:pPr>
              <w:jc w:val="right"/>
            </w:pPr>
            <w:r>
              <w:rPr>
                <w:rFonts w:hint="eastAsia"/>
                <w:color w:val="000000"/>
                <w:sz w:val="24"/>
              </w:rPr>
              <w:t>9.86</w:t>
            </w:r>
          </w:p>
        </w:tc>
        <w:tc>
          <w:tcPr>
            <w:tcW w:w="1894" w:type="dxa"/>
            <w:vAlign w:val="center"/>
          </w:tcPr>
          <w:p w:rsidR="002622A8" w:rsidRDefault="00DF40FE">
            <w:pPr>
              <w:jc w:val="right"/>
            </w:pPr>
            <w:r>
              <w:rPr>
                <w:rFonts w:hint="eastAsia"/>
                <w:color w:val="000000"/>
                <w:sz w:val="24"/>
              </w:rPr>
              <w:t>343.85</w:t>
            </w:r>
          </w:p>
        </w:tc>
        <w:tc>
          <w:tcPr>
            <w:tcW w:w="1068" w:type="dxa"/>
            <w:vAlign w:val="center"/>
          </w:tcPr>
          <w:p w:rsidR="002622A8" w:rsidRDefault="00DF40FE">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1,781,877.97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12,267.61</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1,794,145.58</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交银天鑫宝货币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2622A8">
        <w:trPr>
          <w:jc w:val="center"/>
        </w:trPr>
        <w:tc>
          <w:tcPr>
            <w:tcW w:w="1157" w:type="dxa"/>
            <w:vAlign w:val="center"/>
          </w:tcPr>
          <w:p w:rsidR="002622A8" w:rsidRDefault="00DF40FE">
            <w:pPr>
              <w:jc w:val="center"/>
            </w:pPr>
            <w:r>
              <w:rPr>
                <w:rFonts w:hint="eastAsia"/>
                <w:color w:val="000000"/>
                <w:sz w:val="24"/>
              </w:rPr>
              <w:t>2017</w:t>
            </w:r>
            <w:r w:rsidR="004D3EB2">
              <w:rPr>
                <w:rFonts w:hint="eastAsia"/>
                <w:color w:val="000000"/>
                <w:sz w:val="24"/>
              </w:rPr>
              <w:t>年</w:t>
            </w:r>
          </w:p>
        </w:tc>
        <w:tc>
          <w:tcPr>
            <w:tcW w:w="1786" w:type="dxa"/>
            <w:vAlign w:val="center"/>
          </w:tcPr>
          <w:p w:rsidR="002622A8" w:rsidRDefault="00DF40FE">
            <w:pPr>
              <w:jc w:val="right"/>
            </w:pPr>
            <w:r>
              <w:rPr>
                <w:rFonts w:hint="eastAsia"/>
                <w:color w:val="000000"/>
                <w:sz w:val="24"/>
              </w:rPr>
              <w:t>284,512,137.09</w:t>
            </w:r>
          </w:p>
        </w:tc>
        <w:tc>
          <w:tcPr>
            <w:tcW w:w="1701" w:type="dxa"/>
            <w:vAlign w:val="center"/>
          </w:tcPr>
          <w:p w:rsidR="002622A8" w:rsidRDefault="00DF40FE">
            <w:pPr>
              <w:jc w:val="right"/>
            </w:pPr>
            <w:r>
              <w:rPr>
                <w:rFonts w:hint="eastAsia"/>
                <w:color w:val="000000"/>
                <w:sz w:val="24"/>
              </w:rPr>
              <w:t>-</w:t>
            </w:r>
          </w:p>
        </w:tc>
        <w:tc>
          <w:tcPr>
            <w:tcW w:w="1680" w:type="dxa"/>
            <w:vAlign w:val="center"/>
          </w:tcPr>
          <w:p w:rsidR="002622A8" w:rsidRDefault="00DF40FE">
            <w:pPr>
              <w:jc w:val="right"/>
            </w:pPr>
            <w:r>
              <w:rPr>
                <w:rFonts w:hint="eastAsia"/>
                <w:color w:val="000000"/>
                <w:sz w:val="24"/>
              </w:rPr>
              <w:t>3,181,584.70</w:t>
            </w:r>
          </w:p>
        </w:tc>
        <w:tc>
          <w:tcPr>
            <w:tcW w:w="1894" w:type="dxa"/>
            <w:vAlign w:val="center"/>
          </w:tcPr>
          <w:p w:rsidR="002622A8" w:rsidRDefault="00DF40FE">
            <w:pPr>
              <w:jc w:val="right"/>
            </w:pPr>
            <w:r>
              <w:rPr>
                <w:rFonts w:hint="eastAsia"/>
                <w:color w:val="000000"/>
                <w:sz w:val="24"/>
              </w:rPr>
              <w:t>287,693,721.79</w:t>
            </w:r>
          </w:p>
        </w:tc>
        <w:tc>
          <w:tcPr>
            <w:tcW w:w="1068" w:type="dxa"/>
            <w:vAlign w:val="center"/>
          </w:tcPr>
          <w:p w:rsidR="002622A8" w:rsidRDefault="00DF40FE">
            <w:pPr>
              <w:jc w:val="left"/>
            </w:pPr>
            <w:r>
              <w:rPr>
                <w:rFonts w:hint="eastAsia"/>
                <w:color w:val="000000"/>
                <w:sz w:val="24"/>
              </w:rPr>
              <w:t>-</w:t>
            </w:r>
          </w:p>
        </w:tc>
      </w:tr>
      <w:tr w:rsidR="002622A8">
        <w:trPr>
          <w:jc w:val="center"/>
        </w:trPr>
        <w:tc>
          <w:tcPr>
            <w:tcW w:w="1157" w:type="dxa"/>
            <w:vAlign w:val="center"/>
          </w:tcPr>
          <w:p w:rsidR="002622A8" w:rsidRDefault="00DF40FE">
            <w:pPr>
              <w:jc w:val="center"/>
            </w:pPr>
            <w:r>
              <w:rPr>
                <w:rFonts w:hint="eastAsia"/>
                <w:color w:val="000000"/>
                <w:sz w:val="24"/>
              </w:rPr>
              <w:t>2016</w:t>
            </w:r>
            <w:r w:rsidR="004D3EB2">
              <w:rPr>
                <w:rFonts w:hint="eastAsia"/>
                <w:color w:val="000000"/>
                <w:sz w:val="24"/>
              </w:rPr>
              <w:t>年</w:t>
            </w:r>
          </w:p>
        </w:tc>
        <w:tc>
          <w:tcPr>
            <w:tcW w:w="1786" w:type="dxa"/>
            <w:vAlign w:val="center"/>
          </w:tcPr>
          <w:p w:rsidR="002622A8" w:rsidRDefault="00DF40FE">
            <w:pPr>
              <w:jc w:val="right"/>
            </w:pPr>
            <w:r>
              <w:rPr>
                <w:rFonts w:hint="eastAsia"/>
                <w:color w:val="000000"/>
                <w:sz w:val="24"/>
              </w:rPr>
              <w:t>417,301.68</w:t>
            </w:r>
          </w:p>
        </w:tc>
        <w:tc>
          <w:tcPr>
            <w:tcW w:w="1701" w:type="dxa"/>
            <w:vAlign w:val="center"/>
          </w:tcPr>
          <w:p w:rsidR="002622A8" w:rsidRDefault="00DF40FE">
            <w:pPr>
              <w:jc w:val="right"/>
            </w:pPr>
            <w:r>
              <w:rPr>
                <w:rFonts w:hint="eastAsia"/>
                <w:color w:val="000000"/>
                <w:sz w:val="24"/>
              </w:rPr>
              <w:t>-</w:t>
            </w:r>
          </w:p>
        </w:tc>
        <w:tc>
          <w:tcPr>
            <w:tcW w:w="1680" w:type="dxa"/>
            <w:vAlign w:val="center"/>
          </w:tcPr>
          <w:p w:rsidR="002622A8" w:rsidRDefault="00DF40FE">
            <w:pPr>
              <w:jc w:val="right"/>
            </w:pPr>
            <w:r>
              <w:rPr>
                <w:rFonts w:hint="eastAsia"/>
                <w:color w:val="000000"/>
                <w:sz w:val="24"/>
              </w:rPr>
              <w:t>9,900.62</w:t>
            </w:r>
          </w:p>
        </w:tc>
        <w:tc>
          <w:tcPr>
            <w:tcW w:w="1894" w:type="dxa"/>
            <w:vAlign w:val="center"/>
          </w:tcPr>
          <w:p w:rsidR="002622A8" w:rsidRDefault="00DF40FE">
            <w:pPr>
              <w:jc w:val="right"/>
            </w:pPr>
            <w:r>
              <w:rPr>
                <w:rFonts w:hint="eastAsia"/>
                <w:color w:val="000000"/>
                <w:sz w:val="24"/>
              </w:rPr>
              <w:t>427,202.30</w:t>
            </w:r>
          </w:p>
        </w:tc>
        <w:tc>
          <w:tcPr>
            <w:tcW w:w="1068" w:type="dxa"/>
            <w:vAlign w:val="center"/>
          </w:tcPr>
          <w:p w:rsidR="002622A8" w:rsidRDefault="00DF40FE">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284,929,438.77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3,191,485.32</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288,120,924.09</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2" w:name="_Toc509581478"/>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2"/>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3" w:name="_Toc509581479"/>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3"/>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2622A8" w:rsidRDefault="00DF40FE">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78</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lastRenderedPageBreak/>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2622A8">
        <w:tc>
          <w:tcPr>
            <w:tcW w:w="1090" w:type="dxa"/>
            <w:vAlign w:val="center"/>
          </w:tcPr>
          <w:p w:rsidR="002622A8" w:rsidRDefault="00DF40FE">
            <w:pPr>
              <w:jc w:val="center"/>
            </w:pPr>
            <w:r>
              <w:rPr>
                <w:rFonts w:hint="eastAsia"/>
                <w:sz w:val="24"/>
              </w:rPr>
              <w:t>黄莹洁</w:t>
            </w:r>
          </w:p>
        </w:tc>
        <w:tc>
          <w:tcPr>
            <w:tcW w:w="1075" w:type="dxa"/>
            <w:vAlign w:val="center"/>
          </w:tcPr>
          <w:p w:rsidR="002622A8" w:rsidRDefault="00DF40FE">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615" w:type="dxa"/>
            <w:vAlign w:val="center"/>
          </w:tcPr>
          <w:p w:rsidR="002622A8" w:rsidRDefault="00DF40FE">
            <w:pPr>
              <w:jc w:val="center"/>
            </w:pPr>
            <w:r>
              <w:rPr>
                <w:rFonts w:hint="eastAsia"/>
                <w:sz w:val="24"/>
              </w:rPr>
              <w:t>2016-12-07</w:t>
            </w:r>
          </w:p>
        </w:tc>
        <w:tc>
          <w:tcPr>
            <w:tcW w:w="1260" w:type="dxa"/>
            <w:vAlign w:val="center"/>
          </w:tcPr>
          <w:p w:rsidR="002622A8" w:rsidRDefault="00DF40FE">
            <w:pPr>
              <w:jc w:val="center"/>
            </w:pPr>
            <w:r>
              <w:rPr>
                <w:rFonts w:hint="eastAsia"/>
                <w:sz w:val="24"/>
              </w:rPr>
              <w:t>-</w:t>
            </w:r>
          </w:p>
        </w:tc>
        <w:tc>
          <w:tcPr>
            <w:tcW w:w="1094" w:type="dxa"/>
            <w:vAlign w:val="center"/>
          </w:tcPr>
          <w:p w:rsidR="002622A8" w:rsidRDefault="00DF40FE">
            <w:pPr>
              <w:jc w:val="center"/>
            </w:pPr>
            <w:r>
              <w:rPr>
                <w:rFonts w:hint="eastAsia"/>
                <w:sz w:val="24"/>
              </w:rPr>
              <w:t>9</w:t>
            </w:r>
            <w:r>
              <w:rPr>
                <w:rFonts w:hint="eastAsia"/>
                <w:sz w:val="24"/>
              </w:rPr>
              <w:t>年</w:t>
            </w:r>
          </w:p>
        </w:tc>
        <w:tc>
          <w:tcPr>
            <w:tcW w:w="3406" w:type="dxa"/>
            <w:vAlign w:val="center"/>
          </w:tcPr>
          <w:p w:rsidR="002622A8" w:rsidRDefault="00DF40FE">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tc>
      </w:tr>
      <w:tr w:rsidR="002622A8">
        <w:tc>
          <w:tcPr>
            <w:tcW w:w="1090" w:type="dxa"/>
            <w:vAlign w:val="center"/>
          </w:tcPr>
          <w:p w:rsidR="002622A8" w:rsidRDefault="00DF40FE">
            <w:pPr>
              <w:jc w:val="center"/>
            </w:pPr>
            <w:r>
              <w:rPr>
                <w:rFonts w:hint="eastAsia"/>
                <w:sz w:val="24"/>
              </w:rPr>
              <w:t>连端清</w:t>
            </w:r>
          </w:p>
        </w:tc>
        <w:tc>
          <w:tcPr>
            <w:tcW w:w="1075" w:type="dxa"/>
            <w:vAlign w:val="center"/>
          </w:tcPr>
          <w:p w:rsidR="002622A8" w:rsidRDefault="00DF40FE">
            <w:pPr>
              <w:jc w:val="center"/>
            </w:pPr>
            <w:r>
              <w:rPr>
                <w:rFonts w:hint="eastAsia"/>
                <w:sz w:val="24"/>
              </w:rPr>
              <w:t>交银货币、交银理财</w:t>
            </w:r>
            <w:r>
              <w:rPr>
                <w:rFonts w:hint="eastAsia"/>
                <w:sz w:val="24"/>
              </w:rPr>
              <w:t>60</w:t>
            </w:r>
            <w:r>
              <w:rPr>
                <w:rFonts w:hint="eastAsia"/>
                <w:sz w:val="24"/>
              </w:rPr>
              <w:t>天债券、交银丰盈收益债券、交银现金宝货币、交银丰</w:t>
            </w:r>
            <w:r>
              <w:rPr>
                <w:rFonts w:hint="eastAsia"/>
                <w:sz w:val="24"/>
              </w:rPr>
              <w:lastRenderedPageBreak/>
              <w:t>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615" w:type="dxa"/>
            <w:vAlign w:val="center"/>
          </w:tcPr>
          <w:p w:rsidR="002622A8" w:rsidRDefault="00DF40FE">
            <w:pPr>
              <w:jc w:val="center"/>
            </w:pPr>
            <w:r>
              <w:rPr>
                <w:rFonts w:hint="eastAsia"/>
                <w:sz w:val="24"/>
              </w:rPr>
              <w:lastRenderedPageBreak/>
              <w:t>2016-12-07</w:t>
            </w:r>
          </w:p>
        </w:tc>
        <w:tc>
          <w:tcPr>
            <w:tcW w:w="1260" w:type="dxa"/>
            <w:vAlign w:val="center"/>
          </w:tcPr>
          <w:p w:rsidR="002622A8" w:rsidRDefault="00DF40FE">
            <w:pPr>
              <w:jc w:val="center"/>
            </w:pPr>
            <w:r>
              <w:rPr>
                <w:rFonts w:hint="eastAsia"/>
                <w:sz w:val="24"/>
              </w:rPr>
              <w:t>-</w:t>
            </w:r>
          </w:p>
        </w:tc>
        <w:tc>
          <w:tcPr>
            <w:tcW w:w="1094" w:type="dxa"/>
            <w:vAlign w:val="center"/>
          </w:tcPr>
          <w:p w:rsidR="002622A8" w:rsidRDefault="00DF40FE">
            <w:pPr>
              <w:jc w:val="center"/>
            </w:pPr>
            <w:r>
              <w:rPr>
                <w:rFonts w:hint="eastAsia"/>
                <w:sz w:val="24"/>
              </w:rPr>
              <w:t>4</w:t>
            </w:r>
            <w:r>
              <w:rPr>
                <w:rFonts w:hint="eastAsia"/>
                <w:sz w:val="24"/>
              </w:rPr>
              <w:t>年</w:t>
            </w:r>
          </w:p>
        </w:tc>
        <w:tc>
          <w:tcPr>
            <w:tcW w:w="3406" w:type="dxa"/>
            <w:vAlign w:val="center"/>
          </w:tcPr>
          <w:p w:rsidR="002622A8" w:rsidRDefault="00DF40FE">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tc>
      </w:tr>
      <w:tr w:rsidR="002622A8">
        <w:tc>
          <w:tcPr>
            <w:tcW w:w="1090" w:type="dxa"/>
            <w:vAlign w:val="center"/>
          </w:tcPr>
          <w:p w:rsidR="002622A8" w:rsidRDefault="00DF40FE">
            <w:pPr>
              <w:jc w:val="center"/>
            </w:pPr>
            <w:r>
              <w:rPr>
                <w:rFonts w:hint="eastAsia"/>
                <w:sz w:val="24"/>
              </w:rPr>
              <w:t>季参平</w:t>
            </w:r>
          </w:p>
        </w:tc>
        <w:tc>
          <w:tcPr>
            <w:tcW w:w="1075" w:type="dxa"/>
            <w:vAlign w:val="center"/>
          </w:tcPr>
          <w:p w:rsidR="002622A8" w:rsidRDefault="00DF40FE">
            <w:pPr>
              <w:jc w:val="center"/>
            </w:pPr>
            <w:r>
              <w:rPr>
                <w:rFonts w:hint="eastAsia"/>
                <w:sz w:val="24"/>
              </w:rPr>
              <w:t>交银货币、交银裕隆纯债债券、交银天鑫宝货币、交银瑞鑫定期开放灵活配置混合、交银瑞景定期开放灵活配置混合、交</w:t>
            </w:r>
            <w:r>
              <w:rPr>
                <w:rFonts w:hint="eastAsia"/>
                <w:sz w:val="24"/>
              </w:rPr>
              <w:lastRenderedPageBreak/>
              <w:t>银瑞利定期开放灵活配置混合的基金经理助理</w:t>
            </w:r>
          </w:p>
        </w:tc>
        <w:tc>
          <w:tcPr>
            <w:tcW w:w="1615" w:type="dxa"/>
            <w:vAlign w:val="center"/>
          </w:tcPr>
          <w:p w:rsidR="002622A8" w:rsidRDefault="00DF40FE">
            <w:pPr>
              <w:jc w:val="center"/>
            </w:pPr>
            <w:r>
              <w:rPr>
                <w:rFonts w:hint="eastAsia"/>
                <w:sz w:val="24"/>
              </w:rPr>
              <w:lastRenderedPageBreak/>
              <w:t>2017-09-19</w:t>
            </w:r>
          </w:p>
        </w:tc>
        <w:tc>
          <w:tcPr>
            <w:tcW w:w="1260" w:type="dxa"/>
            <w:vAlign w:val="center"/>
          </w:tcPr>
          <w:p w:rsidR="002622A8" w:rsidRDefault="00DF40FE">
            <w:pPr>
              <w:jc w:val="center"/>
            </w:pPr>
            <w:r>
              <w:rPr>
                <w:rFonts w:hint="eastAsia"/>
                <w:sz w:val="24"/>
              </w:rPr>
              <w:t>-</w:t>
            </w:r>
          </w:p>
        </w:tc>
        <w:tc>
          <w:tcPr>
            <w:tcW w:w="1094" w:type="dxa"/>
            <w:vAlign w:val="center"/>
          </w:tcPr>
          <w:p w:rsidR="002622A8" w:rsidRDefault="00DF40FE">
            <w:pPr>
              <w:jc w:val="center"/>
            </w:pPr>
            <w:r>
              <w:rPr>
                <w:rFonts w:hint="eastAsia"/>
                <w:sz w:val="24"/>
              </w:rPr>
              <w:t>6</w:t>
            </w:r>
            <w:r>
              <w:rPr>
                <w:rFonts w:hint="eastAsia"/>
                <w:sz w:val="24"/>
              </w:rPr>
              <w:t>年</w:t>
            </w:r>
          </w:p>
        </w:tc>
        <w:tc>
          <w:tcPr>
            <w:tcW w:w="3406" w:type="dxa"/>
            <w:vAlign w:val="center"/>
          </w:tcPr>
          <w:p w:rsidR="002622A8" w:rsidRDefault="00DF40FE">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p>
        </w:tc>
      </w:tr>
    </w:tbl>
    <w:p w:rsidR="002622A8" w:rsidRDefault="00DF40F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、本表所列基金经理（助理）任职日期和离职日期均以基金合同生效日或公司作出决定并公告（如适用）之日为准。</w:t>
      </w:r>
    </w:p>
    <w:p w:rsidR="002622A8" w:rsidRDefault="00DF40FE">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4" w:name="_Toc509581480"/>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4"/>
    </w:p>
    <w:p w:rsidR="002622A8" w:rsidRDefault="00DF40FE">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5" w:name="_Toc509581481"/>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5"/>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2622A8" w:rsidRDefault="00DF40FE">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622A8" w:rsidRDefault="00DF40F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2622A8" w:rsidRDefault="00DF40F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2622A8" w:rsidRDefault="00DF40F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w:t>
      </w:r>
      <w:r>
        <w:rPr>
          <w:rFonts w:hint="eastAsia"/>
          <w:kern w:val="0"/>
          <w:sz w:val="24"/>
        </w:rPr>
        <w:lastRenderedPageBreak/>
        <w:t>决策的客观性和独立性，防范不公平及异常交易的发生。</w:t>
      </w:r>
    </w:p>
    <w:p w:rsidR="002622A8" w:rsidRDefault="00DF40F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6" w:name="_Toc509581482"/>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2622A8" w:rsidRDefault="00DF40FE">
      <w:pPr>
        <w:tabs>
          <w:tab w:val="left" w:pos="426"/>
        </w:tabs>
        <w:spacing w:before="29" w:line="288" w:lineRule="auto"/>
        <w:ind w:firstLineChars="200" w:firstLine="480"/>
        <w:rPr>
          <w:kern w:val="0"/>
          <w:sz w:val="24"/>
        </w:rPr>
      </w:pPr>
      <w:r>
        <w:rPr>
          <w:rFonts w:hint="eastAsia"/>
          <w:kern w:val="0"/>
          <w:sz w:val="24"/>
        </w:rPr>
        <w:t>本报告期内，</w:t>
      </w:r>
      <w:r>
        <w:rPr>
          <w:rFonts w:hint="eastAsia"/>
          <w:kern w:val="0"/>
          <w:sz w:val="24"/>
        </w:rPr>
        <w:t>2017</w:t>
      </w:r>
      <w:r>
        <w:rPr>
          <w:rFonts w:hint="eastAsia"/>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rFonts w:hint="eastAsia"/>
          <w:kern w:val="0"/>
          <w:sz w:val="24"/>
        </w:rPr>
        <w:t>MPA</w:t>
      </w:r>
      <w:r>
        <w:rPr>
          <w:rFonts w:hint="eastAsia"/>
          <w:kern w:val="0"/>
          <w:sz w:val="24"/>
        </w:rPr>
        <w:t>考核和金融去杠杆政策不时成为主导。十月份公布的流动性新规更是对货币基金的流动性管理提出了更高的要求，使得银行间资金市场发生一定结构性的变化，非银和银行类机构之间的流动性差别进一步扩大。报告期间，三个月上海银行间拆借利率上行</w:t>
      </w:r>
      <w:r>
        <w:rPr>
          <w:rFonts w:hint="eastAsia"/>
          <w:kern w:val="0"/>
          <w:sz w:val="24"/>
        </w:rPr>
        <w:t>164BP</w:t>
      </w:r>
      <w:r>
        <w:rPr>
          <w:rFonts w:hint="eastAsia"/>
          <w:kern w:val="0"/>
          <w:sz w:val="24"/>
        </w:rPr>
        <w:t>到</w:t>
      </w:r>
      <w:r>
        <w:rPr>
          <w:rFonts w:hint="eastAsia"/>
          <w:kern w:val="0"/>
          <w:sz w:val="24"/>
        </w:rPr>
        <w:t>4.9133%</w:t>
      </w:r>
      <w:r>
        <w:rPr>
          <w:rFonts w:hint="eastAsia"/>
          <w:kern w:val="0"/>
          <w:sz w:val="24"/>
        </w:rPr>
        <w:t>。</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基金操作方面，组合规模有所增长，十二月末我们视组合流动性和市场情况，择机配置了估值波动下的银行存款和有流动性溢价的同业存单，提高了组合收益。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lastRenderedPageBreak/>
        <w:t>本报告期内，交银天鑫宝</w:t>
      </w:r>
      <w:r w:rsidRPr="00EB7915">
        <w:rPr>
          <w:rFonts w:hint="eastAsia"/>
          <w:kern w:val="0"/>
          <w:sz w:val="24"/>
        </w:rPr>
        <w:t>A</w:t>
      </w:r>
      <w:r w:rsidRPr="00EB7915">
        <w:rPr>
          <w:rFonts w:hint="eastAsia"/>
          <w:kern w:val="0"/>
          <w:sz w:val="24"/>
        </w:rPr>
        <w:t>净值收益率为</w:t>
      </w:r>
      <w:r w:rsidRPr="00EB7915">
        <w:rPr>
          <w:rFonts w:hint="eastAsia"/>
          <w:kern w:val="0"/>
          <w:sz w:val="24"/>
        </w:rPr>
        <w:t>3.7108%</w:t>
      </w:r>
      <w:r w:rsidRPr="00EB7915">
        <w:rPr>
          <w:rFonts w:hint="eastAsia"/>
          <w:kern w:val="0"/>
          <w:sz w:val="24"/>
        </w:rPr>
        <w:t>，同期业绩比较基准收益率为</w:t>
      </w:r>
      <w:r w:rsidR="00923EA2">
        <w:rPr>
          <w:rFonts w:hint="eastAsia"/>
          <w:kern w:val="0"/>
          <w:sz w:val="24"/>
        </w:rPr>
        <w:t>0.35</w:t>
      </w:r>
      <w:r w:rsidR="00923EA2">
        <w:rPr>
          <w:kern w:val="0"/>
          <w:sz w:val="24"/>
        </w:rPr>
        <w:t>0</w:t>
      </w:r>
      <w:r w:rsidRPr="00EB7915">
        <w:rPr>
          <w:rFonts w:hint="eastAsia"/>
          <w:kern w:val="0"/>
          <w:sz w:val="24"/>
        </w:rPr>
        <w:t>0%</w:t>
      </w:r>
      <w:r w:rsidRPr="00EB7915">
        <w:rPr>
          <w:rFonts w:hint="eastAsia"/>
          <w:kern w:val="0"/>
          <w:sz w:val="24"/>
        </w:rPr>
        <w:t>；交银天鑫宝</w:t>
      </w:r>
      <w:r w:rsidRPr="00EB7915">
        <w:rPr>
          <w:rFonts w:hint="eastAsia"/>
          <w:kern w:val="0"/>
          <w:sz w:val="24"/>
        </w:rPr>
        <w:t>E</w:t>
      </w:r>
      <w:r w:rsidRPr="00EB7915">
        <w:rPr>
          <w:rFonts w:hint="eastAsia"/>
          <w:kern w:val="0"/>
          <w:sz w:val="24"/>
        </w:rPr>
        <w:t>净值收益率为</w:t>
      </w:r>
      <w:r w:rsidRPr="00EB7915">
        <w:rPr>
          <w:rFonts w:hint="eastAsia"/>
          <w:kern w:val="0"/>
          <w:sz w:val="24"/>
        </w:rPr>
        <w:t>3.9592%</w:t>
      </w:r>
      <w:r w:rsidRPr="00EB7915">
        <w:rPr>
          <w:rFonts w:hint="eastAsia"/>
          <w:kern w:val="0"/>
          <w:sz w:val="24"/>
        </w:rPr>
        <w:t>，同期业绩比较基准收益率为</w:t>
      </w:r>
      <w:r w:rsidR="00923EA2">
        <w:rPr>
          <w:rFonts w:hint="eastAsia"/>
          <w:kern w:val="0"/>
          <w:sz w:val="24"/>
        </w:rPr>
        <w:t>0.350</w:t>
      </w:r>
      <w:r w:rsidRPr="00EB7915">
        <w:rPr>
          <w:rFonts w:hint="eastAsia"/>
          <w:kern w:val="0"/>
          <w:sz w:val="24"/>
        </w:rPr>
        <w:t>0%</w:t>
      </w:r>
      <w:r w:rsidRPr="00EB7915">
        <w:rPr>
          <w:rFonts w:hint="eastAsia"/>
          <w:kern w:val="0"/>
          <w:sz w:val="24"/>
        </w:rPr>
        <w:t>。</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509581483"/>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7"/>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2018</w:t>
      </w:r>
      <w:r w:rsidRPr="00EB7915">
        <w:rPr>
          <w:rFonts w:hint="eastAsia"/>
          <w:kern w:val="0"/>
          <w:sz w:val="24"/>
        </w:rPr>
        <w:t>年，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力求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509581484"/>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8"/>
    </w:p>
    <w:p w:rsidR="002622A8" w:rsidRDefault="00DF40FE">
      <w:pPr>
        <w:tabs>
          <w:tab w:val="left" w:pos="426"/>
        </w:tabs>
        <w:spacing w:before="29" w:line="288" w:lineRule="auto"/>
        <w:ind w:firstLineChars="200" w:firstLine="480"/>
        <w:rPr>
          <w:kern w:val="0"/>
          <w:sz w:val="24"/>
        </w:rPr>
      </w:pPr>
      <w:r>
        <w:rPr>
          <w:rFonts w:hint="eastAsia"/>
          <w:kern w:val="0"/>
          <w:sz w:val="24"/>
        </w:rPr>
        <w:t>2017</w:t>
      </w:r>
      <w:r>
        <w:rPr>
          <w:rFonts w:hint="eastAsia"/>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2622A8" w:rsidRDefault="00DF40FE">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2622A8" w:rsidRDefault="00DF40FE">
      <w:pPr>
        <w:tabs>
          <w:tab w:val="left" w:pos="426"/>
        </w:tabs>
        <w:spacing w:before="29" w:line="288" w:lineRule="auto"/>
        <w:ind w:firstLineChars="200" w:firstLine="480"/>
        <w:rPr>
          <w:kern w:val="0"/>
          <w:sz w:val="24"/>
        </w:rPr>
      </w:pPr>
      <w:r>
        <w:rPr>
          <w:rFonts w:hint="eastAsia"/>
          <w:kern w:val="0"/>
          <w:sz w:val="24"/>
        </w:rPr>
        <w:t>（一）持续完善公司内部控制制度和业务流程，推动制度流程的及时更新。</w:t>
      </w:r>
    </w:p>
    <w:p w:rsidR="002622A8" w:rsidRDefault="00DF40FE">
      <w:pPr>
        <w:tabs>
          <w:tab w:val="left" w:pos="426"/>
        </w:tabs>
        <w:spacing w:before="29" w:line="288" w:lineRule="auto"/>
        <w:ind w:firstLineChars="200" w:firstLine="480"/>
        <w:rPr>
          <w:kern w:val="0"/>
          <w:sz w:val="24"/>
        </w:rPr>
      </w:pPr>
      <w:r>
        <w:rPr>
          <w:rFonts w:hint="eastAsia"/>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2622A8" w:rsidRDefault="00DF40FE">
      <w:pPr>
        <w:tabs>
          <w:tab w:val="left" w:pos="426"/>
        </w:tabs>
        <w:spacing w:before="29" w:line="288" w:lineRule="auto"/>
        <w:ind w:firstLineChars="200" w:firstLine="480"/>
        <w:rPr>
          <w:kern w:val="0"/>
          <w:sz w:val="24"/>
        </w:rPr>
      </w:pPr>
      <w:r>
        <w:rPr>
          <w:rFonts w:hint="eastAsia"/>
          <w:kern w:val="0"/>
          <w:sz w:val="24"/>
        </w:rPr>
        <w:t>（二）深化事前事中合规及风险管理，提高合规管理及风险控制有效性。</w:t>
      </w:r>
    </w:p>
    <w:p w:rsidR="002622A8" w:rsidRDefault="00DF40FE">
      <w:pPr>
        <w:tabs>
          <w:tab w:val="left" w:pos="426"/>
        </w:tabs>
        <w:spacing w:before="29" w:line="288" w:lineRule="auto"/>
        <w:ind w:firstLineChars="200" w:firstLine="480"/>
        <w:rPr>
          <w:kern w:val="0"/>
          <w:sz w:val="24"/>
        </w:rPr>
      </w:pPr>
      <w:r>
        <w:rPr>
          <w:rFonts w:hint="eastAsia"/>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2622A8" w:rsidRDefault="00DF40FE">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rsidR="002622A8" w:rsidRDefault="00DF40FE">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2622A8" w:rsidRDefault="00DF40FE">
      <w:pPr>
        <w:tabs>
          <w:tab w:val="left" w:pos="426"/>
        </w:tabs>
        <w:spacing w:before="29" w:line="288" w:lineRule="auto"/>
        <w:ind w:firstLineChars="200" w:firstLine="480"/>
        <w:rPr>
          <w:kern w:val="0"/>
          <w:sz w:val="24"/>
        </w:rPr>
      </w:pPr>
      <w:r>
        <w:rPr>
          <w:rFonts w:hint="eastAsia"/>
          <w:kern w:val="0"/>
          <w:sz w:val="24"/>
        </w:rPr>
        <w:t>（四）强化培训教育，持续提高全员风险合规意识。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w:t>
      </w:r>
      <w:r w:rsidRPr="00EB7915">
        <w:rPr>
          <w:rFonts w:hint="eastAsia"/>
          <w:kern w:val="0"/>
          <w:sz w:val="24"/>
        </w:rPr>
        <w:lastRenderedPageBreak/>
        <w:t>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509581485"/>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19"/>
    </w:p>
    <w:p w:rsidR="002622A8" w:rsidRDefault="00DF40FE">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622A8" w:rsidRDefault="00DF40FE">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BB731C" w:rsidRDefault="00BC7A30" w:rsidP="0006291C">
      <w:pPr>
        <w:pStyle w:val="20"/>
        <w:spacing w:before="29" w:after="0" w:line="288" w:lineRule="auto"/>
        <w:rPr>
          <w:rFonts w:eastAsiaTheme="minorEastAsia"/>
        </w:rPr>
      </w:pPr>
      <w:bookmarkStart w:id="20" w:name="_Toc247959458"/>
      <w:bookmarkStart w:id="21" w:name="_Toc225570084"/>
      <w:bookmarkStart w:id="22" w:name="_Toc361324862"/>
      <w:bookmarkStart w:id="23" w:name="_Toc374374942"/>
      <w:bookmarkStart w:id="24" w:name="_Toc509581486"/>
      <w:r w:rsidRPr="0006291C">
        <w:rPr>
          <w:rFonts w:ascii="Times New Roman" w:hAnsi="Times New Roman" w:cs="Times New Roman"/>
          <w:kern w:val="0"/>
          <w:szCs w:val="24"/>
        </w:rPr>
        <w:t xml:space="preserve">4.8 </w:t>
      </w:r>
      <w:r w:rsidRPr="0006291C">
        <w:rPr>
          <w:rFonts w:ascii="Times New Roman" w:hAnsi="Times New Roman" w:cs="Times New Roman" w:hint="eastAsia"/>
          <w:kern w:val="0"/>
          <w:szCs w:val="24"/>
        </w:rPr>
        <w:t>管理人对报告期内基金利润分配情况的说明</w:t>
      </w:r>
      <w:bookmarkEnd w:id="20"/>
      <w:bookmarkEnd w:id="21"/>
      <w:bookmarkEnd w:id="22"/>
      <w:bookmarkEnd w:id="23"/>
      <w:bookmarkEnd w:id="24"/>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007A5808">
        <w:rPr>
          <w:rFonts w:hint="eastAsia"/>
          <w:kern w:val="0"/>
          <w:sz w:val="24"/>
        </w:rPr>
        <w:t>年度报告正文</w:t>
      </w:r>
      <w:bookmarkStart w:id="25" w:name="_GoBack"/>
      <w:bookmarkEnd w:id="25"/>
      <w:r w:rsidRPr="00BB731C">
        <w:rPr>
          <w:kern w:val="0"/>
          <w:sz w:val="24"/>
        </w:rPr>
        <w:t>7.4.</w:t>
      </w:r>
      <w:r w:rsidR="00034653">
        <w:rPr>
          <w:kern w:val="0"/>
          <w:sz w:val="24"/>
        </w:rPr>
        <w:t>11</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06291C" w:rsidRDefault="00BC7A30" w:rsidP="0006291C">
      <w:pPr>
        <w:pStyle w:val="20"/>
        <w:spacing w:before="29" w:after="0" w:line="288" w:lineRule="auto"/>
        <w:rPr>
          <w:b w:val="0"/>
          <w:kern w:val="0"/>
        </w:rPr>
      </w:pPr>
      <w:bookmarkStart w:id="26" w:name="_Toc509581487"/>
      <w:r w:rsidRPr="0006291C">
        <w:rPr>
          <w:rFonts w:ascii="Times New Roman" w:hAnsi="Times New Roman" w:cs="Times New Roman"/>
          <w:kern w:val="0"/>
          <w:szCs w:val="24"/>
        </w:rPr>
        <w:t xml:space="preserve">4.9 </w:t>
      </w:r>
      <w:r w:rsidRPr="0006291C">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rsidR="00282EBF" w:rsidRDefault="00282EBF" w:rsidP="00EB7915">
      <w:pPr>
        <w:tabs>
          <w:tab w:val="left" w:pos="426"/>
        </w:tabs>
        <w:spacing w:before="29" w:line="288" w:lineRule="auto"/>
        <w:ind w:firstLineChars="200" w:firstLine="480"/>
        <w:rPr>
          <w:kern w:val="0"/>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27" w:name="_Toc509581488"/>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509581489"/>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509581490"/>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报告期内，本托管人根据国家有关法律法规、基金合同和托管协议的规定，对基金</w:t>
      </w:r>
      <w:r w:rsidRPr="00F97694">
        <w:rPr>
          <w:rFonts w:hint="eastAsia"/>
          <w:kern w:val="0"/>
          <w:sz w:val="24"/>
        </w:rPr>
        <w:lastRenderedPageBreak/>
        <w:t>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509581491"/>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本托管人认真复核了本年度报告中的财务指标、净值表现、收益分配情况、财务会计报告、投资组合报告等内容，认为其真实、准确和完整，不存在虚假记载、误导性陈述或者重大遗漏。</w:t>
      </w:r>
    </w:p>
    <w:p w:rsidR="00A20C66" w:rsidRPr="00F97694" w:rsidRDefault="00A20C66" w:rsidP="00F97694">
      <w:pPr>
        <w:tabs>
          <w:tab w:val="left" w:pos="426"/>
        </w:tabs>
        <w:spacing w:before="29" w:line="288" w:lineRule="auto"/>
        <w:ind w:firstLineChars="200" w:firstLine="480"/>
        <w:rPr>
          <w:kern w:val="0"/>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31" w:name="_Toc509581492"/>
      <w:r w:rsidRPr="00A20C66">
        <w:rPr>
          <w:rFonts w:hint="eastAsia"/>
          <w:b/>
          <w:bCs/>
          <w:szCs w:val="24"/>
          <w:lang w:val="en-US"/>
        </w:rPr>
        <w:t>§</w:t>
      </w:r>
      <w:r w:rsidRPr="00A20C66">
        <w:rPr>
          <w:rFonts w:hint="eastAsia"/>
          <w:b/>
          <w:bCs/>
          <w:szCs w:val="24"/>
          <w:lang w:val="en-US"/>
        </w:rPr>
        <w:t xml:space="preserve">6  </w:t>
      </w:r>
      <w:r w:rsidRPr="00A20C66">
        <w:rPr>
          <w:rFonts w:hint="eastAsia"/>
          <w:b/>
          <w:bCs/>
          <w:szCs w:val="24"/>
          <w:lang w:val="en-US"/>
        </w:rPr>
        <w:t>审计报告</w:t>
      </w:r>
      <w:bookmarkEnd w:id="31"/>
    </w:p>
    <w:p w:rsidR="00FB3BC2" w:rsidRPr="00FB3BC2" w:rsidRDefault="00FB3BC2" w:rsidP="00FB3BC2"/>
    <w:p w:rsidR="0026623F" w:rsidRDefault="0026623F" w:rsidP="0026623F">
      <w:pPr>
        <w:wordWrap w:val="0"/>
        <w:ind w:left="540" w:right="8"/>
        <w:jc w:val="right"/>
        <w:rPr>
          <w:rFonts w:ascii="Georgia" w:hAnsi="Georgia" w:cs="Arial"/>
          <w:kern w:val="0"/>
          <w:sz w:val="24"/>
        </w:rPr>
      </w:pPr>
      <w:r>
        <w:rPr>
          <w:rFonts w:ascii="Georgia" w:hAnsi="Georgia" w:cs="Arial" w:hint="eastAsia"/>
          <w:noProof/>
          <w:sz w:val="24"/>
        </w:rPr>
        <w:t>普华永道中天审字</w:t>
      </w:r>
      <w:r>
        <w:rPr>
          <w:rFonts w:ascii="Georgia" w:hAnsi="Georgia" w:cs="Arial"/>
          <w:noProof/>
          <w:sz w:val="24"/>
        </w:rPr>
        <w:t>(2018)</w:t>
      </w:r>
      <w:r>
        <w:rPr>
          <w:rFonts w:ascii="Georgia" w:hAnsi="Georgia" w:cs="Arial" w:hint="eastAsia"/>
          <w:noProof/>
          <w:sz w:val="24"/>
        </w:rPr>
        <w:t>第</w:t>
      </w:r>
      <w:r>
        <w:rPr>
          <w:rFonts w:ascii="Georgia" w:hAnsi="Georgia" w:cs="Arial"/>
          <w:noProof/>
          <w:sz w:val="24"/>
        </w:rPr>
        <w:t>21993</w:t>
      </w:r>
      <w:r>
        <w:rPr>
          <w:rFonts w:ascii="Georgia" w:hAnsi="Georgia" w:cs="Arial" w:hint="eastAsia"/>
          <w:noProof/>
          <w:sz w:val="24"/>
        </w:rPr>
        <w:t>号</w:t>
      </w:r>
    </w:p>
    <w:p w:rsidR="0026623F" w:rsidRDefault="0026623F" w:rsidP="0026623F">
      <w:pPr>
        <w:rPr>
          <w:rFonts w:ascii="Georgia" w:hAnsi="Georgia"/>
          <w:kern w:val="0"/>
          <w:sz w:val="24"/>
        </w:rPr>
      </w:pPr>
      <w:r>
        <w:rPr>
          <w:rFonts w:ascii="Georgia" w:hAnsi="Georgia" w:hint="eastAsia"/>
          <w:noProof/>
          <w:sz w:val="24"/>
        </w:rPr>
        <w:t>交银施罗德天鑫宝货币市场基金</w:t>
      </w:r>
      <w:r>
        <w:rPr>
          <w:rFonts w:ascii="Georgia" w:hAnsi="Georgia" w:hint="eastAsia"/>
          <w:sz w:val="24"/>
        </w:rPr>
        <w:t>全体基金份额持有人：</w:t>
      </w:r>
    </w:p>
    <w:p w:rsidR="0026623F" w:rsidRDefault="0026623F" w:rsidP="0026623F">
      <w:pPr>
        <w:rPr>
          <w:rFonts w:ascii="Georgia" w:hAnsi="Georgia" w:cs="Arial"/>
          <w:sz w:val="24"/>
        </w:rPr>
      </w:pPr>
    </w:p>
    <w:p w:rsidR="0026623F" w:rsidRDefault="0026623F" w:rsidP="0026623F">
      <w:pPr>
        <w:pStyle w:val="af9"/>
        <w:numPr>
          <w:ilvl w:val="0"/>
          <w:numId w:val="17"/>
        </w:numPr>
        <w:spacing w:line="360" w:lineRule="auto"/>
        <w:ind w:right="113" w:firstLine="482"/>
        <w:jc w:val="both"/>
        <w:rPr>
          <w:rFonts w:ascii="Georgia" w:hAnsi="Georgia"/>
          <w:b/>
          <w:sz w:val="24"/>
          <w:szCs w:val="24"/>
        </w:rPr>
      </w:pPr>
      <w:r>
        <w:rPr>
          <w:rFonts w:ascii="Georgia" w:hAnsi="Georgia" w:hint="eastAsia"/>
          <w:b/>
          <w:sz w:val="24"/>
          <w:szCs w:val="24"/>
        </w:rPr>
        <w:t>审计意见</w:t>
      </w:r>
    </w:p>
    <w:p w:rsidR="0026623F" w:rsidRDefault="0026623F" w:rsidP="0026623F">
      <w:pPr>
        <w:pStyle w:val="af9"/>
        <w:numPr>
          <w:ilvl w:val="0"/>
          <w:numId w:val="18"/>
        </w:numPr>
        <w:ind w:left="1484" w:right="113" w:firstLine="480"/>
        <w:jc w:val="both"/>
        <w:rPr>
          <w:rFonts w:ascii="Georgia" w:hAnsi="Georgia"/>
          <w:sz w:val="24"/>
          <w:szCs w:val="24"/>
        </w:rPr>
      </w:pPr>
      <w:r>
        <w:rPr>
          <w:rFonts w:ascii="Georgia" w:hAnsi="Georgia" w:hint="eastAsia"/>
          <w:sz w:val="24"/>
          <w:szCs w:val="24"/>
        </w:rPr>
        <w:t>我们审计的内容</w:t>
      </w:r>
    </w:p>
    <w:p w:rsidR="0026623F" w:rsidRDefault="0026623F" w:rsidP="0026623F">
      <w:pPr>
        <w:ind w:firstLineChars="227" w:firstLine="545"/>
        <w:rPr>
          <w:rFonts w:ascii="Georgia" w:hAnsi="Georgia"/>
          <w:sz w:val="24"/>
        </w:rPr>
      </w:pPr>
      <w:r>
        <w:rPr>
          <w:rFonts w:ascii="Georgia" w:hAnsi="Georgia" w:hint="eastAsia"/>
          <w:sz w:val="24"/>
        </w:rPr>
        <w:t>我们审计了</w:t>
      </w:r>
      <w:r>
        <w:rPr>
          <w:rFonts w:ascii="Georgia" w:hAnsi="Georgia" w:cs="Arial" w:hint="eastAsia"/>
          <w:noProof/>
          <w:sz w:val="24"/>
        </w:rPr>
        <w:t>交银施罗德天鑫宝货币市场基金</w:t>
      </w:r>
      <w:r>
        <w:rPr>
          <w:rFonts w:ascii="Georgia" w:hAnsi="Georgia" w:cs="Arial"/>
          <w:sz w:val="24"/>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noProof/>
          <w:sz w:val="24"/>
          <w:lang w:val="en-AU"/>
        </w:rPr>
        <w:t>交银施罗德天鑫宝基金</w:t>
      </w:r>
      <w:r>
        <w:rPr>
          <w:rFonts w:ascii="宋体" w:hAnsi="宋体" w:cs="Arial" w:hint="eastAsia"/>
          <w:sz w:val="24"/>
          <w:lang w:val="en-AU"/>
        </w:rPr>
        <w:t>”</w:t>
      </w:r>
      <w:r>
        <w:rPr>
          <w:rFonts w:ascii="Georgia" w:hAnsi="Georgia" w:cs="Arial"/>
          <w:sz w:val="24"/>
          <w:lang w:val="en-AU"/>
        </w:rPr>
        <w:t>)</w:t>
      </w:r>
      <w:r>
        <w:rPr>
          <w:rFonts w:ascii="Georgia" w:hAnsi="Georgia" w:hint="eastAsia"/>
          <w:sz w:val="24"/>
        </w:rPr>
        <w:t>的财务报表，包括</w:t>
      </w:r>
      <w:r>
        <w:rPr>
          <w:rFonts w:ascii="Georgia" w:hAnsi="Georgia" w:cs="Arial"/>
          <w:noProof/>
          <w:sz w:val="24"/>
        </w:rPr>
        <w:t>2017</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w:t>
      </w:r>
      <w:r>
        <w:rPr>
          <w:rFonts w:ascii="Georgia" w:hAnsi="Georgia" w:hint="eastAsia"/>
          <w:sz w:val="24"/>
        </w:rPr>
        <w:t>的资产负债表，</w:t>
      </w:r>
      <w:r>
        <w:rPr>
          <w:rFonts w:ascii="Georgia" w:hAnsi="Georgia" w:cs="Arial"/>
          <w:noProof/>
          <w:sz w:val="24"/>
        </w:rPr>
        <w:t>2017</w:t>
      </w:r>
      <w:r>
        <w:rPr>
          <w:rFonts w:ascii="Georgia" w:hAnsi="Georgia" w:cs="Arial" w:hint="eastAsia"/>
          <w:noProof/>
          <w:sz w:val="24"/>
        </w:rPr>
        <w:t>年度和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7</w:t>
      </w:r>
      <w:r>
        <w:rPr>
          <w:rFonts w:ascii="Georgia" w:hAnsi="Georgia" w:cs="Arial" w:hint="eastAsia"/>
          <w:noProof/>
          <w:sz w:val="24"/>
        </w:rPr>
        <w:t>日</w:t>
      </w:r>
      <w:r>
        <w:rPr>
          <w:rFonts w:ascii="Georgia" w:hAnsi="Georgia" w:cs="Arial"/>
          <w:noProof/>
          <w:sz w:val="24"/>
        </w:rPr>
        <w:t>(</w:t>
      </w:r>
      <w:r>
        <w:rPr>
          <w:rFonts w:ascii="Georgia" w:hAnsi="Georgia" w:cs="Arial" w:hint="eastAsia"/>
          <w:noProof/>
          <w:sz w:val="24"/>
        </w:rPr>
        <w:t>基金合同生效日</w:t>
      </w:r>
      <w:r>
        <w:rPr>
          <w:rFonts w:ascii="Georgia" w:hAnsi="Georgia" w:cs="Arial"/>
          <w:noProof/>
          <w:sz w:val="24"/>
        </w:rPr>
        <w:t>)</w:t>
      </w:r>
      <w:r>
        <w:rPr>
          <w:rFonts w:ascii="Georgia" w:hAnsi="Georgia" w:cs="Arial" w:hint="eastAsia"/>
          <w:noProof/>
          <w:sz w:val="24"/>
        </w:rPr>
        <w:t>至</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日止期间</w:t>
      </w:r>
      <w:r>
        <w:rPr>
          <w:rFonts w:ascii="Georgia" w:hAnsi="Georgia" w:hint="eastAsia"/>
          <w:sz w:val="24"/>
        </w:rPr>
        <w:t>的利润表</w:t>
      </w:r>
      <w:r>
        <w:rPr>
          <w:rFonts w:ascii="Georgia" w:hAnsi="Georgia" w:cs="Arial" w:hint="eastAsia"/>
          <w:sz w:val="24"/>
        </w:rPr>
        <w:t>和所有者权益</w:t>
      </w:r>
      <w:r>
        <w:rPr>
          <w:rFonts w:ascii="Georgia" w:hAnsi="Georgia" w:cs="Arial"/>
          <w:sz w:val="24"/>
        </w:rPr>
        <w:t>(</w:t>
      </w:r>
      <w:r>
        <w:rPr>
          <w:rFonts w:ascii="Georgia" w:hAnsi="Georgia" w:cs="Arial" w:hint="eastAsia"/>
          <w:sz w:val="24"/>
        </w:rPr>
        <w:t>基金净值</w:t>
      </w:r>
      <w:r>
        <w:rPr>
          <w:rFonts w:ascii="Georgia" w:hAnsi="Georgia" w:cs="Arial"/>
          <w:sz w:val="24"/>
        </w:rPr>
        <w:t>)</w:t>
      </w:r>
      <w:r>
        <w:rPr>
          <w:rFonts w:ascii="Georgia" w:hAnsi="Georgia" w:cs="Arial" w:hint="eastAsia"/>
          <w:sz w:val="24"/>
        </w:rPr>
        <w:t>变动表</w:t>
      </w:r>
      <w:r>
        <w:rPr>
          <w:rFonts w:ascii="Georgia" w:hAnsi="Georgia" w:hint="eastAsia"/>
          <w:sz w:val="24"/>
        </w:rPr>
        <w:t>以及财务报表附注。</w:t>
      </w:r>
    </w:p>
    <w:p w:rsidR="0026623F" w:rsidRDefault="0026623F" w:rsidP="0026623F">
      <w:pPr>
        <w:pStyle w:val="af9"/>
        <w:numPr>
          <w:ilvl w:val="0"/>
          <w:numId w:val="18"/>
        </w:numPr>
        <w:ind w:left="1484" w:right="113" w:firstLine="480"/>
        <w:jc w:val="both"/>
        <w:rPr>
          <w:rFonts w:ascii="Georgia" w:hAnsi="Georgia"/>
          <w:sz w:val="24"/>
          <w:szCs w:val="24"/>
        </w:rPr>
      </w:pPr>
      <w:r>
        <w:rPr>
          <w:rFonts w:ascii="Georgia" w:hAnsi="Georgia" w:hint="eastAsia"/>
          <w:sz w:val="24"/>
          <w:szCs w:val="24"/>
        </w:rPr>
        <w:t>我们的意见</w:t>
      </w:r>
    </w:p>
    <w:p w:rsidR="0026623F" w:rsidRDefault="0026623F" w:rsidP="0026623F">
      <w:pPr>
        <w:ind w:firstLineChars="227" w:firstLine="545"/>
        <w:rPr>
          <w:rFonts w:ascii="Georgia" w:hAnsi="Georgia"/>
          <w:sz w:val="24"/>
        </w:rPr>
      </w:pPr>
      <w:r>
        <w:rPr>
          <w:rFonts w:ascii="Georgia" w:hAnsi="Georgia" w:hint="eastAsia"/>
          <w:sz w:val="24"/>
        </w:rPr>
        <w:t>我们认为，后附的财务报表在所有重大方面按照企业会计准则</w:t>
      </w:r>
      <w:r>
        <w:rPr>
          <w:rFonts w:ascii="Georgia" w:hAnsi="Georgia" w:cs="Arial" w:hint="eastAsia"/>
          <w:sz w:val="24"/>
        </w:rPr>
        <w:t>和在财务报表附注中所列示的中国证券监督管理委员会</w:t>
      </w:r>
      <w:r>
        <w:rPr>
          <w:rFonts w:ascii="Georgia" w:hAnsi="Georgia" w:cs="Arial"/>
          <w:sz w:val="24"/>
          <w:lang w:val="en-AU"/>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sz w:val="24"/>
          <w:lang w:val="en-AU"/>
        </w:rPr>
        <w:t>中国证监会</w:t>
      </w:r>
      <w:r>
        <w:rPr>
          <w:rFonts w:ascii="宋体" w:hAnsi="宋体" w:cs="Arial" w:hint="eastAsia"/>
          <w:sz w:val="24"/>
          <w:lang w:val="en-AU"/>
        </w:rPr>
        <w:t>”</w:t>
      </w:r>
      <w:r>
        <w:rPr>
          <w:rFonts w:ascii="Georgia" w:hAnsi="Georgia" w:cs="Arial"/>
          <w:sz w:val="24"/>
          <w:lang w:val="en-AU"/>
        </w:rPr>
        <w:t>)</w:t>
      </w:r>
      <w:r>
        <w:rPr>
          <w:rFonts w:ascii="Georgia" w:hAnsi="Georgia" w:cs="Arial" w:hint="eastAsia"/>
          <w:sz w:val="24"/>
        </w:rPr>
        <w:t>、</w:t>
      </w:r>
      <w:r>
        <w:rPr>
          <w:rFonts w:ascii="Georgia" w:hAnsi="Georgia" w:cs="Arial" w:hint="eastAsia"/>
          <w:sz w:val="24"/>
          <w:lang w:val="en-AU"/>
        </w:rPr>
        <w:t>中国证券投资基金业协会</w:t>
      </w:r>
      <w:r>
        <w:rPr>
          <w:rFonts w:ascii="Georgia" w:hAnsi="Georgia" w:cs="Arial"/>
          <w:sz w:val="24"/>
          <w:lang w:val="en-AU"/>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sz w:val="24"/>
          <w:lang w:val="en-AU"/>
        </w:rPr>
        <w:t>中国基金业协会</w:t>
      </w:r>
      <w:r>
        <w:rPr>
          <w:rFonts w:ascii="宋体" w:hAnsi="宋体" w:cs="Arial" w:hint="eastAsia"/>
          <w:sz w:val="24"/>
          <w:lang w:val="en-AU"/>
        </w:rPr>
        <w:t>”</w:t>
      </w:r>
      <w:r>
        <w:rPr>
          <w:rFonts w:ascii="Georgia" w:hAnsi="Georgia" w:cs="Arial"/>
          <w:sz w:val="24"/>
          <w:lang w:val="en-AU"/>
        </w:rPr>
        <w:t>)</w:t>
      </w:r>
      <w:r>
        <w:rPr>
          <w:rFonts w:ascii="Georgia" w:hAnsi="Georgia" w:cs="Arial" w:hint="eastAsia"/>
          <w:sz w:val="24"/>
        </w:rPr>
        <w:t>发布的有关规定及允许的基金行业实务操作</w:t>
      </w:r>
      <w:r>
        <w:rPr>
          <w:rFonts w:ascii="Georgia" w:hAnsi="Georgia" w:hint="eastAsia"/>
          <w:sz w:val="24"/>
        </w:rPr>
        <w:t>编制，公允反映了</w:t>
      </w:r>
      <w:r>
        <w:rPr>
          <w:rFonts w:ascii="Georgia" w:hAnsi="Georgia" w:cs="Arial" w:hint="eastAsia"/>
          <w:noProof/>
          <w:sz w:val="24"/>
          <w:lang w:val="en-AU"/>
        </w:rPr>
        <w:t>交银施罗德天鑫宝基金</w:t>
      </w:r>
      <w:r>
        <w:rPr>
          <w:rFonts w:ascii="Georgia" w:hAnsi="Georgia" w:cs="Arial"/>
          <w:noProof/>
          <w:sz w:val="24"/>
        </w:rPr>
        <w:t>2017</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w:t>
      </w:r>
      <w:r>
        <w:rPr>
          <w:rFonts w:ascii="Georgia" w:hAnsi="Georgia" w:hint="eastAsia"/>
          <w:sz w:val="24"/>
        </w:rPr>
        <w:t>的</w:t>
      </w:r>
      <w:r>
        <w:rPr>
          <w:rFonts w:ascii="Georgia" w:hAnsi="Georgia" w:cs="Arial" w:hint="eastAsia"/>
          <w:sz w:val="24"/>
        </w:rPr>
        <w:t>财务状况以及</w:t>
      </w:r>
      <w:r>
        <w:rPr>
          <w:rFonts w:ascii="Georgia" w:hAnsi="Georgia" w:cs="Arial"/>
          <w:noProof/>
          <w:sz w:val="24"/>
        </w:rPr>
        <w:t>2017</w:t>
      </w:r>
      <w:r>
        <w:rPr>
          <w:rFonts w:ascii="Georgia" w:hAnsi="Georgia" w:cs="Arial" w:hint="eastAsia"/>
          <w:noProof/>
          <w:sz w:val="24"/>
        </w:rPr>
        <w:t>年度和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7</w:t>
      </w:r>
      <w:r>
        <w:rPr>
          <w:rFonts w:ascii="Georgia" w:hAnsi="Georgia" w:cs="Arial" w:hint="eastAsia"/>
          <w:noProof/>
          <w:sz w:val="24"/>
        </w:rPr>
        <w:t>日</w:t>
      </w:r>
      <w:r>
        <w:rPr>
          <w:rFonts w:ascii="Georgia" w:hAnsi="Georgia" w:cs="Arial"/>
          <w:noProof/>
          <w:sz w:val="24"/>
        </w:rPr>
        <w:t>(</w:t>
      </w:r>
      <w:r>
        <w:rPr>
          <w:rFonts w:ascii="Georgia" w:hAnsi="Georgia" w:cs="Arial" w:hint="eastAsia"/>
          <w:noProof/>
          <w:sz w:val="24"/>
        </w:rPr>
        <w:t>基金合同生效日</w:t>
      </w:r>
      <w:r>
        <w:rPr>
          <w:rFonts w:ascii="Georgia" w:hAnsi="Georgia" w:cs="Arial"/>
          <w:noProof/>
          <w:sz w:val="24"/>
        </w:rPr>
        <w:t>)</w:t>
      </w:r>
      <w:r>
        <w:rPr>
          <w:rFonts w:ascii="Georgia" w:hAnsi="Georgia" w:cs="Arial" w:hint="eastAsia"/>
          <w:noProof/>
          <w:sz w:val="24"/>
        </w:rPr>
        <w:t>至</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日止期间</w:t>
      </w:r>
      <w:r>
        <w:rPr>
          <w:rFonts w:ascii="Georgia" w:hAnsi="Georgia" w:cs="Arial" w:hint="eastAsia"/>
          <w:sz w:val="24"/>
        </w:rPr>
        <w:t>的经营成果和基金净值变动情况</w:t>
      </w:r>
      <w:r>
        <w:rPr>
          <w:rFonts w:ascii="Georgia" w:hAnsi="Georgia" w:hint="eastAsia"/>
          <w:sz w:val="24"/>
        </w:rPr>
        <w:t>。</w:t>
      </w:r>
    </w:p>
    <w:p w:rsidR="0026623F" w:rsidRDefault="0026623F" w:rsidP="0026623F">
      <w:pPr>
        <w:pStyle w:val="af9"/>
        <w:numPr>
          <w:ilvl w:val="0"/>
          <w:numId w:val="17"/>
        </w:numPr>
        <w:spacing w:line="360" w:lineRule="auto"/>
        <w:ind w:right="113" w:firstLine="482"/>
        <w:jc w:val="both"/>
        <w:rPr>
          <w:rFonts w:ascii="Georgia" w:hAnsi="Georgia"/>
          <w:b/>
          <w:sz w:val="24"/>
          <w:szCs w:val="24"/>
        </w:rPr>
      </w:pPr>
      <w:r w:rsidRPr="0026623F">
        <w:rPr>
          <w:rFonts w:ascii="Georgia" w:hAnsi="Georgia" w:hint="eastAsia"/>
          <w:b/>
          <w:sz w:val="24"/>
          <w:szCs w:val="24"/>
        </w:rPr>
        <w:t>形成审计意见的基础</w:t>
      </w:r>
    </w:p>
    <w:p w:rsidR="0026623F" w:rsidRPr="0026623F" w:rsidRDefault="0026623F" w:rsidP="0026623F">
      <w:pPr>
        <w:ind w:firstLineChars="227" w:firstLine="545"/>
        <w:rPr>
          <w:rFonts w:ascii="Georgia" w:hAnsi="Georgia"/>
          <w:sz w:val="24"/>
        </w:rPr>
      </w:pPr>
      <w:r w:rsidRPr="0026623F">
        <w:rPr>
          <w:rFonts w:ascii="Georgia" w:hAnsi="Georg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26623F" w:rsidRPr="0026623F" w:rsidRDefault="0026623F" w:rsidP="0026623F">
      <w:pPr>
        <w:ind w:firstLineChars="227" w:firstLine="545"/>
        <w:rPr>
          <w:rFonts w:ascii="Georgia" w:hAnsi="Georgia"/>
          <w:sz w:val="24"/>
        </w:rPr>
      </w:pPr>
    </w:p>
    <w:p w:rsidR="0026623F" w:rsidRDefault="0026623F" w:rsidP="0026623F">
      <w:pPr>
        <w:ind w:firstLineChars="227" w:firstLine="545"/>
        <w:rPr>
          <w:rFonts w:ascii="Georgia" w:hAnsi="Georgia"/>
          <w:sz w:val="24"/>
        </w:rPr>
      </w:pPr>
      <w:r w:rsidRPr="0026623F">
        <w:rPr>
          <w:rFonts w:ascii="Georgia" w:hAnsi="Georgia" w:hint="eastAsia"/>
          <w:sz w:val="24"/>
        </w:rPr>
        <w:t>按照中国注册会计师职业道德守则，我们独立于交银施罗德天鑫宝基金，并履行了职业道德方面的其他责任。</w:t>
      </w:r>
    </w:p>
    <w:p w:rsidR="0026623F" w:rsidRDefault="0026623F" w:rsidP="0026623F">
      <w:pPr>
        <w:ind w:firstLineChars="227" w:firstLine="545"/>
        <w:rPr>
          <w:rFonts w:ascii="Georgia" w:hAnsi="Georgia"/>
          <w:sz w:val="24"/>
        </w:rPr>
      </w:pPr>
    </w:p>
    <w:p w:rsidR="0026623F" w:rsidRDefault="0026623F" w:rsidP="0026623F">
      <w:pPr>
        <w:pStyle w:val="af9"/>
        <w:numPr>
          <w:ilvl w:val="0"/>
          <w:numId w:val="17"/>
        </w:numPr>
        <w:spacing w:line="360" w:lineRule="auto"/>
        <w:ind w:right="113" w:firstLine="482"/>
        <w:jc w:val="both"/>
        <w:rPr>
          <w:rFonts w:ascii="Georgia" w:hAnsi="Georgia"/>
          <w:b/>
          <w:sz w:val="24"/>
          <w:szCs w:val="24"/>
        </w:rPr>
      </w:pPr>
      <w:r>
        <w:rPr>
          <w:rFonts w:ascii="Georgia" w:hAnsi="Georgia" w:hint="eastAsia"/>
          <w:b/>
          <w:sz w:val="24"/>
          <w:szCs w:val="24"/>
        </w:rPr>
        <w:t>管理层和治理层对财务报表的责任</w:t>
      </w:r>
    </w:p>
    <w:p w:rsidR="0026623F" w:rsidRDefault="0026623F" w:rsidP="0026623F">
      <w:pPr>
        <w:ind w:firstLineChars="227" w:firstLine="545"/>
        <w:rPr>
          <w:rFonts w:ascii="Georgia" w:hAnsi="Georgia"/>
          <w:sz w:val="24"/>
        </w:rPr>
      </w:pPr>
      <w:r>
        <w:rPr>
          <w:rFonts w:ascii="Georgia" w:hAnsi="Georgia" w:cs="Arial" w:hint="eastAsia"/>
          <w:noProof/>
          <w:sz w:val="24"/>
          <w:lang w:val="en-AU"/>
        </w:rPr>
        <w:lastRenderedPageBreak/>
        <w:t>交银施罗德天鑫宝基金</w:t>
      </w:r>
      <w:r>
        <w:rPr>
          <w:rFonts w:ascii="Arial" w:hAnsi="Arial" w:cs="Arial" w:hint="eastAsia"/>
          <w:sz w:val="24"/>
        </w:rPr>
        <w:t>的基金管理人</w:t>
      </w:r>
      <w:r>
        <w:rPr>
          <w:rFonts w:ascii="Georgia" w:hAnsi="Georgia" w:cs="Arial" w:hint="eastAsia"/>
          <w:noProof/>
          <w:sz w:val="24"/>
          <w:lang w:val="en-AU"/>
        </w:rPr>
        <w:t>交银施罗德基金管理有限公司</w:t>
      </w:r>
      <w:r>
        <w:rPr>
          <w:rFonts w:ascii="Georgia" w:hAnsi="Georgia" w:cs="Arial"/>
          <w:sz w:val="24"/>
        </w:rPr>
        <w:t>(</w:t>
      </w:r>
      <w:r>
        <w:rPr>
          <w:rFonts w:ascii="Georgia" w:hAnsi="Georgia" w:cs="Arial" w:hint="eastAsia"/>
          <w:sz w:val="24"/>
        </w:rPr>
        <w:t>以下简称“基金管理人”</w:t>
      </w:r>
      <w:r>
        <w:rPr>
          <w:rFonts w:ascii="Georgia" w:hAnsi="Georgia" w:cs="Arial"/>
          <w:sz w:val="24"/>
        </w:rPr>
        <w:t>)</w:t>
      </w:r>
      <w:r>
        <w:rPr>
          <w:rFonts w:ascii="Georgia" w:hAnsi="Georgia" w:hint="eastAsia"/>
          <w:sz w:val="24"/>
        </w:rPr>
        <w:t>管理层负责按照企业会计准则</w:t>
      </w:r>
      <w:r>
        <w:rPr>
          <w:rFonts w:ascii="Arial" w:hAnsi="Arial" w:cs="Arial" w:hint="eastAsia"/>
          <w:sz w:val="24"/>
        </w:rPr>
        <w:t>和</w:t>
      </w:r>
      <w:r>
        <w:rPr>
          <w:rFonts w:cs="Arial" w:hint="eastAsia"/>
          <w:sz w:val="24"/>
          <w:lang w:val="en-AU"/>
        </w:rPr>
        <w:t>中国证监会</w:t>
      </w:r>
      <w:r>
        <w:rPr>
          <w:rFonts w:ascii="Georgia" w:hAnsi="Georgia" w:cs="Arial" w:hint="eastAsia"/>
          <w:sz w:val="24"/>
          <w:lang w:val="en-AU"/>
        </w:rPr>
        <w:t>、中国基金业协会</w:t>
      </w:r>
      <w:r>
        <w:rPr>
          <w:rFonts w:ascii="Arial" w:hAnsi="Arial" w:cs="Arial" w:hint="eastAsia"/>
          <w:sz w:val="24"/>
        </w:rPr>
        <w:t>发布的有关规定及允许的基金行业实务操作</w:t>
      </w:r>
      <w:r>
        <w:rPr>
          <w:rFonts w:ascii="Georgia" w:hAnsi="Georgia" w:hint="eastAsia"/>
          <w:sz w:val="24"/>
        </w:rPr>
        <w:t>编制财务报表，使其实现公允反映，并设计、执行和维护必要的内部控制，以使财务报表不存在由于舞弊或错误导致的重大错报。</w:t>
      </w:r>
    </w:p>
    <w:p w:rsidR="0026623F" w:rsidRDefault="0026623F" w:rsidP="0026623F">
      <w:pPr>
        <w:ind w:right="113" w:firstLine="567"/>
        <w:rPr>
          <w:rFonts w:ascii="Georgia" w:hAnsi="Georgia"/>
          <w:color w:val="FF0000"/>
          <w:sz w:val="24"/>
        </w:rPr>
      </w:pPr>
    </w:p>
    <w:p w:rsidR="0026623F" w:rsidRDefault="0026623F" w:rsidP="0026623F">
      <w:pPr>
        <w:ind w:firstLineChars="227" w:firstLine="545"/>
        <w:rPr>
          <w:rFonts w:ascii="Georgia" w:hAnsi="Georgia" w:cs="Arial"/>
          <w:sz w:val="24"/>
        </w:rPr>
      </w:pPr>
      <w:r>
        <w:rPr>
          <w:rFonts w:ascii="Georgia" w:hAnsi="Georgia" w:hint="eastAsia"/>
          <w:sz w:val="24"/>
        </w:rPr>
        <w:t>在编制财务报表时，基金管理人管理层负责评估</w:t>
      </w:r>
      <w:r>
        <w:rPr>
          <w:rFonts w:ascii="Georgia" w:hAnsi="Georgia" w:cs="Arial" w:hint="eastAsia"/>
          <w:noProof/>
          <w:sz w:val="24"/>
          <w:lang w:val="en-AU"/>
        </w:rPr>
        <w:t>交银施罗德天鑫宝基金</w:t>
      </w:r>
      <w:r>
        <w:rPr>
          <w:rFonts w:ascii="Georgia" w:hAnsi="Georgia" w:hint="eastAsia"/>
          <w:sz w:val="24"/>
        </w:rPr>
        <w:t>的持续经营能力，披露与持续经营相关的事项</w:t>
      </w:r>
      <w:r>
        <w:rPr>
          <w:rFonts w:ascii="Georgia" w:hAnsi="Georgia"/>
          <w:sz w:val="24"/>
        </w:rPr>
        <w:t>(</w:t>
      </w:r>
      <w:r>
        <w:rPr>
          <w:rFonts w:ascii="Georgia" w:hAnsi="Georgia" w:hint="eastAsia"/>
          <w:sz w:val="24"/>
        </w:rPr>
        <w:t>如适用</w:t>
      </w:r>
      <w:r>
        <w:rPr>
          <w:rFonts w:ascii="Georgia" w:hAnsi="Georgia"/>
          <w:sz w:val="24"/>
        </w:rPr>
        <w:t>)</w:t>
      </w:r>
      <w:r>
        <w:rPr>
          <w:rFonts w:ascii="Georgia" w:hAnsi="Georgia" w:hint="eastAsia"/>
          <w:sz w:val="24"/>
        </w:rPr>
        <w:t>，并运用持续经营假设，除非基金管理人管理层计划清算</w:t>
      </w:r>
      <w:r>
        <w:rPr>
          <w:rFonts w:ascii="Georgia" w:hAnsi="Georgia" w:cs="Arial" w:hint="eastAsia"/>
          <w:noProof/>
          <w:sz w:val="24"/>
          <w:lang w:val="en-AU"/>
        </w:rPr>
        <w:t>交银施罗德天鑫宝基金</w:t>
      </w:r>
      <w:r>
        <w:rPr>
          <w:rFonts w:ascii="Georgia" w:hAnsi="Georgia" w:hint="eastAsia"/>
          <w:sz w:val="24"/>
        </w:rPr>
        <w:t>、终止运营或别无其他现实的选择。</w:t>
      </w:r>
    </w:p>
    <w:p w:rsidR="0026623F" w:rsidRDefault="0026623F" w:rsidP="0026623F">
      <w:pPr>
        <w:ind w:firstLineChars="200" w:firstLine="480"/>
        <w:rPr>
          <w:rFonts w:ascii="Georgia" w:hAnsi="Georgia" w:cs="Arial"/>
          <w:sz w:val="24"/>
        </w:rPr>
      </w:pPr>
    </w:p>
    <w:p w:rsidR="0026623F" w:rsidRDefault="0026623F" w:rsidP="0026623F">
      <w:pPr>
        <w:ind w:firstLineChars="227" w:firstLine="545"/>
        <w:rPr>
          <w:rFonts w:ascii="Georgia" w:hAnsi="Georgia"/>
          <w:sz w:val="24"/>
        </w:rPr>
      </w:pPr>
      <w:r>
        <w:rPr>
          <w:rFonts w:ascii="Arial" w:hAnsi="Arial" w:cs="Arial" w:hint="eastAsia"/>
          <w:sz w:val="24"/>
        </w:rPr>
        <w:t>基金管理人</w:t>
      </w:r>
      <w:r>
        <w:rPr>
          <w:rFonts w:ascii="Georgia" w:hAnsi="Georgia" w:hint="eastAsia"/>
          <w:sz w:val="24"/>
        </w:rPr>
        <w:t>治理层负责监督</w:t>
      </w:r>
      <w:r>
        <w:rPr>
          <w:rFonts w:ascii="Georgia" w:hAnsi="Georgia" w:cs="Arial" w:hint="eastAsia"/>
          <w:noProof/>
          <w:sz w:val="24"/>
          <w:lang w:val="en-AU"/>
        </w:rPr>
        <w:t>交银施罗德天鑫宝基金</w:t>
      </w:r>
      <w:r>
        <w:rPr>
          <w:rFonts w:ascii="Georgia" w:hAnsi="Georgia" w:hint="eastAsia"/>
          <w:sz w:val="24"/>
        </w:rPr>
        <w:t>的财务报告过程。</w:t>
      </w:r>
    </w:p>
    <w:p w:rsidR="0026623F" w:rsidRDefault="0026623F" w:rsidP="0026623F">
      <w:pPr>
        <w:ind w:right="113"/>
        <w:rPr>
          <w:rFonts w:ascii="Calibri Light" w:eastAsia="等线" w:hAnsi="Calibri Light"/>
          <w:sz w:val="24"/>
        </w:rPr>
      </w:pPr>
    </w:p>
    <w:p w:rsidR="0026623F" w:rsidRDefault="0026623F" w:rsidP="0026623F">
      <w:pPr>
        <w:pStyle w:val="af9"/>
        <w:numPr>
          <w:ilvl w:val="0"/>
          <w:numId w:val="17"/>
        </w:numPr>
        <w:spacing w:line="360" w:lineRule="auto"/>
        <w:ind w:right="113" w:firstLine="482"/>
        <w:jc w:val="both"/>
        <w:rPr>
          <w:rFonts w:ascii="Georgia" w:hAnsi="Georgia"/>
          <w:b/>
          <w:sz w:val="24"/>
          <w:szCs w:val="24"/>
        </w:rPr>
      </w:pPr>
      <w:r>
        <w:rPr>
          <w:rFonts w:ascii="Georgia" w:hAnsi="Georgia" w:hint="eastAsia"/>
          <w:b/>
          <w:sz w:val="24"/>
          <w:szCs w:val="24"/>
        </w:rPr>
        <w:t>注册会计师对财务报表审计的责任</w:t>
      </w:r>
    </w:p>
    <w:p w:rsidR="0026623F" w:rsidRDefault="0026623F" w:rsidP="0026623F">
      <w:pPr>
        <w:ind w:firstLineChars="227" w:firstLine="545"/>
        <w:rPr>
          <w:rFonts w:ascii="Georgia" w:hAnsi="Georgia"/>
          <w:sz w:val="24"/>
        </w:rPr>
      </w:pPr>
      <w:r>
        <w:rPr>
          <w:rFonts w:ascii="Georgia" w:hAnsi="Georgia"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6623F" w:rsidRDefault="0026623F" w:rsidP="0026623F">
      <w:pPr>
        <w:ind w:right="113" w:firstLine="567"/>
        <w:rPr>
          <w:rFonts w:ascii="Georgia" w:hAnsi="Georgia"/>
          <w:sz w:val="24"/>
        </w:rPr>
      </w:pPr>
    </w:p>
    <w:p w:rsidR="0026623F" w:rsidRDefault="0026623F" w:rsidP="0026623F">
      <w:pPr>
        <w:ind w:firstLineChars="227" w:firstLine="545"/>
        <w:rPr>
          <w:rFonts w:ascii="Georgia" w:hAnsi="Georgia"/>
          <w:sz w:val="24"/>
        </w:rPr>
      </w:pPr>
      <w:r>
        <w:rPr>
          <w:rFonts w:ascii="Georgia" w:hAnsi="Georgia" w:hint="eastAsia"/>
          <w:sz w:val="24"/>
        </w:rPr>
        <w:t>在按照审计准则执行审计工作的过程中，我们运用职业判断，并保持职业怀疑。同时，我们也执行以下工作：</w:t>
      </w:r>
    </w:p>
    <w:p w:rsidR="0026623F" w:rsidRDefault="0026623F" w:rsidP="0026623F">
      <w:pPr>
        <w:ind w:right="113"/>
        <w:rPr>
          <w:rFonts w:ascii="Georgia" w:hAnsi="Georgia"/>
          <w:sz w:val="24"/>
        </w:rPr>
      </w:pPr>
      <w:r>
        <w:rPr>
          <w:rFonts w:ascii="Georgia" w:hAnsi="Georgia"/>
          <w:sz w:val="24"/>
        </w:rPr>
        <w:tab/>
      </w:r>
    </w:p>
    <w:p w:rsidR="0026623F" w:rsidRDefault="0026623F" w:rsidP="0026623F">
      <w:pPr>
        <w:ind w:firstLineChars="227" w:firstLine="545"/>
        <w:rPr>
          <w:rFonts w:ascii="Georgia" w:hAnsi="Georgia"/>
          <w:sz w:val="24"/>
        </w:rPr>
      </w:pPr>
      <w:r>
        <w:rPr>
          <w:rFonts w:ascii="Georgia" w:hAnsi="Georgia"/>
          <w:sz w:val="24"/>
        </w:rPr>
        <w:t>(</w:t>
      </w:r>
      <w:r>
        <w:rPr>
          <w:rFonts w:ascii="Georgia" w:hAnsi="Georgia" w:hint="eastAsia"/>
          <w:sz w:val="24"/>
        </w:rPr>
        <w:t>一</w:t>
      </w:r>
      <w:r>
        <w:rPr>
          <w:rFonts w:ascii="Georgia" w:hAnsi="Georgia"/>
          <w:sz w:val="24"/>
        </w:rPr>
        <w:t xml:space="preserve">) </w:t>
      </w:r>
      <w:r>
        <w:rPr>
          <w:rFonts w:ascii="Georgia" w:hAnsi="Georgia"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6623F" w:rsidRDefault="0026623F" w:rsidP="0026623F">
      <w:pPr>
        <w:ind w:firstLineChars="227" w:firstLine="545"/>
        <w:rPr>
          <w:rFonts w:ascii="Georgia" w:hAnsi="Georgia"/>
          <w:sz w:val="24"/>
        </w:rPr>
      </w:pPr>
    </w:p>
    <w:p w:rsidR="0026623F" w:rsidRDefault="0026623F" w:rsidP="0026623F">
      <w:pPr>
        <w:ind w:firstLineChars="227" w:firstLine="545"/>
        <w:rPr>
          <w:rFonts w:ascii="Georgia" w:hAnsi="Georgia"/>
          <w:sz w:val="24"/>
        </w:rPr>
      </w:pPr>
      <w:r>
        <w:rPr>
          <w:rFonts w:ascii="Georgia" w:hAnsi="Georgia"/>
          <w:sz w:val="24"/>
        </w:rPr>
        <w:t xml:space="preserve"> (</w:t>
      </w:r>
      <w:r>
        <w:rPr>
          <w:rFonts w:ascii="Georgia" w:hAnsi="Georgia" w:hint="eastAsia"/>
          <w:sz w:val="24"/>
        </w:rPr>
        <w:t>二</w:t>
      </w:r>
      <w:r>
        <w:rPr>
          <w:rFonts w:ascii="Georgia" w:hAnsi="Georgia"/>
          <w:sz w:val="24"/>
        </w:rPr>
        <w:t xml:space="preserve">) </w:t>
      </w:r>
      <w:r>
        <w:rPr>
          <w:rFonts w:ascii="Georgia" w:hAnsi="Georgia" w:hint="eastAsia"/>
          <w:sz w:val="24"/>
        </w:rPr>
        <w:t>了解与审计相关的内部控制，以设计恰当的审计程序，但目的并非对内部控制的有效性发表意见。</w:t>
      </w:r>
    </w:p>
    <w:p w:rsidR="0026623F" w:rsidRDefault="0026623F" w:rsidP="0026623F">
      <w:pPr>
        <w:ind w:right="113"/>
        <w:rPr>
          <w:rFonts w:ascii="Georgia" w:hAnsi="Georgia"/>
          <w:sz w:val="24"/>
        </w:rPr>
      </w:pPr>
    </w:p>
    <w:p w:rsidR="0026623F" w:rsidRDefault="0026623F" w:rsidP="0026623F">
      <w:pPr>
        <w:ind w:firstLine="602"/>
        <w:rPr>
          <w:rFonts w:ascii="Georgia" w:hAnsi="Georgia"/>
          <w:sz w:val="24"/>
        </w:rPr>
      </w:pPr>
      <w:r>
        <w:rPr>
          <w:rFonts w:ascii="Georgia" w:hAnsi="Georgia"/>
          <w:sz w:val="24"/>
        </w:rPr>
        <w:t>(</w:t>
      </w:r>
      <w:r>
        <w:rPr>
          <w:rFonts w:ascii="Georgia" w:hAnsi="Georgia" w:hint="eastAsia"/>
          <w:sz w:val="24"/>
        </w:rPr>
        <w:t>三</w:t>
      </w:r>
      <w:r>
        <w:rPr>
          <w:rFonts w:ascii="Georgia" w:hAnsi="Georgia"/>
          <w:sz w:val="24"/>
        </w:rPr>
        <w:t xml:space="preserve">) </w:t>
      </w:r>
      <w:r>
        <w:rPr>
          <w:rFonts w:ascii="Georgia" w:hAnsi="Georgia" w:hint="eastAsia"/>
          <w:sz w:val="24"/>
        </w:rPr>
        <w:t>评价基金管理人管理层选用会计政策的恰当性和作出会计估计及相关披露的合理性。</w:t>
      </w:r>
    </w:p>
    <w:p w:rsidR="0026623F" w:rsidRDefault="0026623F" w:rsidP="0026623F">
      <w:pPr>
        <w:ind w:right="113" w:firstLine="142"/>
        <w:rPr>
          <w:rFonts w:ascii="Georgia" w:hAnsi="Georgia"/>
          <w:sz w:val="24"/>
        </w:rPr>
      </w:pPr>
    </w:p>
    <w:p w:rsidR="0026623F" w:rsidRDefault="0026623F" w:rsidP="0026623F">
      <w:pPr>
        <w:ind w:firstLine="602"/>
        <w:rPr>
          <w:rFonts w:ascii="Georgia" w:hAnsi="Georgia"/>
          <w:sz w:val="24"/>
        </w:rPr>
      </w:pPr>
      <w:r>
        <w:rPr>
          <w:rFonts w:ascii="Georgia" w:hAnsi="Georgia"/>
          <w:sz w:val="24"/>
        </w:rPr>
        <w:t>(</w:t>
      </w:r>
      <w:r>
        <w:rPr>
          <w:rFonts w:ascii="Georgia" w:hAnsi="Georgia" w:hint="eastAsia"/>
          <w:sz w:val="24"/>
        </w:rPr>
        <w:t>四</w:t>
      </w:r>
      <w:r>
        <w:rPr>
          <w:rFonts w:ascii="Georgia" w:hAnsi="Georgia"/>
          <w:sz w:val="24"/>
        </w:rPr>
        <w:t xml:space="preserve">) </w:t>
      </w:r>
      <w:r>
        <w:rPr>
          <w:rFonts w:ascii="Georgia" w:hAnsi="Georgia" w:hint="eastAsia"/>
          <w:sz w:val="24"/>
        </w:rPr>
        <w:t>对基金管理人管理层使用持续经营假设的恰当性得出结论。同时，</w:t>
      </w:r>
      <w:r>
        <w:rPr>
          <w:rFonts w:ascii="Georgia" w:hAnsi="Georgia" w:hint="eastAsia"/>
          <w:bCs/>
          <w:sz w:val="24"/>
        </w:rPr>
        <w:t>根据获取的审计证据，就可能导致对</w:t>
      </w:r>
      <w:r>
        <w:rPr>
          <w:rFonts w:ascii="Georgia" w:hAnsi="Georgia" w:cs="Arial" w:hint="eastAsia"/>
          <w:noProof/>
          <w:sz w:val="24"/>
          <w:lang w:val="en-AU"/>
        </w:rPr>
        <w:t>交银施罗德天鑫宝基金</w:t>
      </w:r>
      <w:r>
        <w:rPr>
          <w:rFonts w:ascii="Georgia" w:hAnsi="Georgia" w:hint="eastAsia"/>
          <w:bCs/>
          <w:sz w:val="24"/>
        </w:rPr>
        <w:t>持续经营能力产生重大疑虑的事项或情况是否存在重大不确定性得出结论</w:t>
      </w:r>
      <w:r>
        <w:rPr>
          <w:rFonts w:ascii="Georgia" w:hAnsi="Georgia" w:hint="eastAsia"/>
          <w:sz w:val="24"/>
        </w:rPr>
        <w:t>。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ascii="Georgia" w:hAnsi="Georgia" w:cs="Arial" w:hint="eastAsia"/>
          <w:noProof/>
          <w:sz w:val="24"/>
          <w:lang w:val="en-AU"/>
        </w:rPr>
        <w:t>交银施罗德天鑫宝基金</w:t>
      </w:r>
      <w:r>
        <w:rPr>
          <w:rFonts w:ascii="Georgia" w:hAnsi="Georgia" w:hint="eastAsia"/>
          <w:sz w:val="24"/>
        </w:rPr>
        <w:t>不能持续经营。</w:t>
      </w:r>
    </w:p>
    <w:p w:rsidR="0026623F" w:rsidRDefault="0026623F" w:rsidP="0026623F">
      <w:pPr>
        <w:ind w:firstLine="142"/>
        <w:rPr>
          <w:rFonts w:ascii="Georgia" w:hAnsi="Georgia"/>
          <w:sz w:val="24"/>
        </w:rPr>
      </w:pPr>
    </w:p>
    <w:p w:rsidR="0026623F" w:rsidRDefault="0026623F" w:rsidP="0026623F">
      <w:pPr>
        <w:ind w:firstLine="602"/>
        <w:rPr>
          <w:rFonts w:ascii="Georgia" w:hAnsi="Georgia"/>
          <w:sz w:val="24"/>
        </w:rPr>
      </w:pPr>
      <w:r>
        <w:rPr>
          <w:rFonts w:ascii="Georgia" w:hAnsi="Georgia"/>
          <w:sz w:val="24"/>
        </w:rPr>
        <w:t>(</w:t>
      </w:r>
      <w:r>
        <w:rPr>
          <w:rFonts w:ascii="Georgia" w:hAnsi="Georgia" w:hint="eastAsia"/>
          <w:sz w:val="24"/>
        </w:rPr>
        <w:t>五</w:t>
      </w:r>
      <w:r>
        <w:rPr>
          <w:rFonts w:ascii="Georgia" w:hAnsi="Georgia"/>
          <w:sz w:val="24"/>
        </w:rPr>
        <w:t xml:space="preserve">) </w:t>
      </w:r>
      <w:r>
        <w:rPr>
          <w:rFonts w:ascii="Georgia" w:hAnsi="Georgia" w:hint="eastAsia"/>
          <w:sz w:val="24"/>
        </w:rPr>
        <w:t>评价财务报表的总体列报、结构和内容</w:t>
      </w:r>
      <w:r>
        <w:rPr>
          <w:rFonts w:ascii="Georgia" w:hAnsi="Georgia"/>
          <w:sz w:val="24"/>
        </w:rPr>
        <w:t>(</w:t>
      </w:r>
      <w:r>
        <w:rPr>
          <w:rFonts w:ascii="Georgia" w:hAnsi="Georgia" w:hint="eastAsia"/>
          <w:sz w:val="24"/>
        </w:rPr>
        <w:t>包括披露</w:t>
      </w:r>
      <w:r>
        <w:rPr>
          <w:rFonts w:ascii="Georgia" w:hAnsi="Georgia"/>
          <w:sz w:val="24"/>
        </w:rPr>
        <w:t>)</w:t>
      </w:r>
      <w:r>
        <w:rPr>
          <w:rFonts w:ascii="Georgia" w:hAnsi="Georgia" w:hint="eastAsia"/>
          <w:sz w:val="24"/>
        </w:rPr>
        <w:t>，并评价财务报表是否公允反映相关交易和事项。</w:t>
      </w:r>
    </w:p>
    <w:p w:rsidR="0026623F" w:rsidRDefault="0026623F" w:rsidP="0026623F">
      <w:pPr>
        <w:ind w:firstLineChars="200" w:firstLine="480"/>
        <w:rPr>
          <w:rFonts w:ascii="Georgia" w:hAnsi="Georgia"/>
          <w:sz w:val="24"/>
        </w:rPr>
      </w:pPr>
    </w:p>
    <w:p w:rsidR="0026623F" w:rsidRDefault="0026623F" w:rsidP="0026623F">
      <w:pPr>
        <w:ind w:firstLineChars="227" w:firstLine="545"/>
        <w:rPr>
          <w:rFonts w:ascii="Georgia" w:hAnsi="Georgia"/>
          <w:sz w:val="24"/>
        </w:rPr>
      </w:pPr>
      <w:r>
        <w:rPr>
          <w:rFonts w:ascii="Georgia" w:hAnsi="Georgia" w:hint="eastAsia"/>
          <w:sz w:val="24"/>
        </w:rPr>
        <w:t>我们与</w:t>
      </w:r>
      <w:r>
        <w:rPr>
          <w:rFonts w:ascii="Arial" w:hAnsi="Arial" w:cs="Arial" w:hint="eastAsia"/>
          <w:sz w:val="24"/>
        </w:rPr>
        <w:t>基金管理人</w:t>
      </w:r>
      <w:r>
        <w:rPr>
          <w:rFonts w:ascii="Georgia" w:hAnsi="Georgia" w:hint="eastAsia"/>
          <w:sz w:val="24"/>
        </w:rPr>
        <w:t>治理层就计划的审计范围、时间安排和重大审计发现等事项进行沟通，包括沟通我们在审计中识别出的值得关注的内部控制缺陷。</w:t>
      </w:r>
    </w:p>
    <w:p w:rsidR="0026623F" w:rsidRPr="0026623F" w:rsidRDefault="0026623F" w:rsidP="0026623F">
      <w:pPr>
        <w:ind w:firstLineChars="227" w:firstLine="545"/>
        <w:rPr>
          <w:rFonts w:ascii="Georgia" w:hAnsi="Georgia"/>
          <w:sz w:val="24"/>
        </w:rPr>
      </w:pPr>
    </w:p>
    <w:p w:rsidR="00A35BF0" w:rsidRPr="00A57D19" w:rsidRDefault="00223DFB" w:rsidP="00662033">
      <w:pPr>
        <w:wordWrap w:val="0"/>
        <w:spacing w:before="29" w:line="288" w:lineRule="auto"/>
        <w:jc w:val="left"/>
        <w:rPr>
          <w:sz w:val="24"/>
        </w:rPr>
      </w:pPr>
      <w:r w:rsidRPr="00A57D19">
        <w:rPr>
          <w:rFonts w:hint="eastAsia"/>
          <w:sz w:val="24"/>
        </w:rPr>
        <w:t>普华永道中天会计师事务所</w:t>
      </w:r>
      <w:r w:rsidRPr="00A57D19">
        <w:rPr>
          <w:rFonts w:hint="eastAsia"/>
          <w:sz w:val="24"/>
        </w:rPr>
        <w:t>(</w:t>
      </w:r>
      <w:r w:rsidRPr="00A57D19">
        <w:rPr>
          <w:rFonts w:hint="eastAsia"/>
          <w:sz w:val="24"/>
        </w:rPr>
        <w:t>特殊普通合伙</w:t>
      </w:r>
      <w:r w:rsidRPr="00A57D19">
        <w:rPr>
          <w:rFonts w:hint="eastAsia"/>
          <w:sz w:val="24"/>
        </w:rPr>
        <w:t>)</w:t>
      </w:r>
      <w:r w:rsidR="0096000C">
        <w:rPr>
          <w:rFonts w:hint="eastAsia"/>
          <w:sz w:val="24"/>
        </w:rPr>
        <w:t xml:space="preserve">                      </w:t>
      </w:r>
      <w:r w:rsidRPr="00A57D19">
        <w:rPr>
          <w:rFonts w:hint="eastAsia"/>
          <w:sz w:val="24"/>
        </w:rPr>
        <w:t>中国注册会计师</w:t>
      </w:r>
    </w:p>
    <w:p w:rsidR="00223DFB" w:rsidRPr="00A57D19" w:rsidRDefault="0026623F" w:rsidP="00A57D19">
      <w:pPr>
        <w:spacing w:before="29" w:line="288" w:lineRule="auto"/>
        <w:jc w:val="right"/>
        <w:rPr>
          <w:sz w:val="24"/>
        </w:rPr>
      </w:pPr>
      <w:r>
        <w:rPr>
          <w:rFonts w:hint="eastAsia"/>
          <w:sz w:val="24"/>
        </w:rPr>
        <w:t xml:space="preserve">  </w:t>
      </w:r>
      <w:r>
        <w:rPr>
          <w:rFonts w:hint="eastAsia"/>
          <w:sz w:val="24"/>
        </w:rPr>
        <w:t>薛</w:t>
      </w:r>
      <w:r>
        <w:rPr>
          <w:sz w:val="24"/>
        </w:rPr>
        <w:t>竞</w:t>
      </w:r>
      <w:r>
        <w:rPr>
          <w:rFonts w:hint="eastAsia"/>
          <w:sz w:val="24"/>
        </w:rPr>
        <w:t xml:space="preserve">  </w:t>
      </w:r>
      <w:r>
        <w:rPr>
          <w:rFonts w:hint="eastAsia"/>
          <w:sz w:val="24"/>
        </w:rPr>
        <w:t>朱</w:t>
      </w:r>
      <w:r>
        <w:rPr>
          <w:sz w:val="24"/>
        </w:rPr>
        <w:t>宏</w:t>
      </w:r>
      <w:r>
        <w:rPr>
          <w:rFonts w:hint="eastAsia"/>
          <w:sz w:val="24"/>
        </w:rPr>
        <w:t>宇</w:t>
      </w:r>
    </w:p>
    <w:p w:rsidR="00223DFB" w:rsidRPr="00A57D19" w:rsidRDefault="00223DFB" w:rsidP="00A57D19">
      <w:pPr>
        <w:spacing w:before="29" w:line="288" w:lineRule="auto"/>
        <w:jc w:val="right"/>
        <w:rPr>
          <w:sz w:val="24"/>
        </w:rPr>
      </w:pPr>
      <w:r w:rsidRPr="00A57D19">
        <w:rPr>
          <w:rFonts w:hint="eastAsia"/>
          <w:sz w:val="24"/>
        </w:rPr>
        <w:t>上海市湖滨路</w:t>
      </w:r>
      <w:r w:rsidRPr="00A57D19">
        <w:rPr>
          <w:rFonts w:hint="eastAsia"/>
          <w:sz w:val="24"/>
        </w:rPr>
        <w:t>202</w:t>
      </w:r>
      <w:r w:rsidRPr="00A57D19">
        <w:rPr>
          <w:rFonts w:hint="eastAsia"/>
          <w:sz w:val="24"/>
        </w:rPr>
        <w:t>号普华永道中心</w:t>
      </w:r>
      <w:r w:rsidRPr="00A57D19">
        <w:rPr>
          <w:rFonts w:hint="eastAsia"/>
          <w:sz w:val="24"/>
        </w:rPr>
        <w:t>11</w:t>
      </w:r>
      <w:r w:rsidRPr="00A57D19">
        <w:rPr>
          <w:rFonts w:hint="eastAsia"/>
          <w:sz w:val="24"/>
        </w:rPr>
        <w:t>楼</w:t>
      </w:r>
    </w:p>
    <w:p w:rsidR="00223DFB" w:rsidRDefault="0026623F" w:rsidP="00A57D19">
      <w:pPr>
        <w:spacing w:before="29" w:line="288" w:lineRule="auto"/>
        <w:jc w:val="right"/>
        <w:rPr>
          <w:sz w:val="24"/>
        </w:rPr>
      </w:pPr>
      <w:r>
        <w:rPr>
          <w:rFonts w:hint="eastAsia"/>
          <w:sz w:val="24"/>
        </w:rPr>
        <w:t>2018-03-2</w:t>
      </w:r>
      <w:r>
        <w:rPr>
          <w:sz w:val="24"/>
        </w:rPr>
        <w:t>6</w:t>
      </w:r>
    </w:p>
    <w:p w:rsidR="006E5E9C" w:rsidRPr="00A57D19" w:rsidRDefault="006E5E9C" w:rsidP="00A57D19">
      <w:pPr>
        <w:spacing w:before="29" w:line="288" w:lineRule="auto"/>
        <w:jc w:val="right"/>
        <w:rPr>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32" w:name="_Toc509581493"/>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32"/>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33" w:name="_Toc509581494"/>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33"/>
    </w:p>
    <w:p w:rsidR="00223DFB" w:rsidRPr="00EE38B1" w:rsidRDefault="00223DFB" w:rsidP="00EE38B1">
      <w:pPr>
        <w:spacing w:before="29" w:line="288" w:lineRule="auto"/>
        <w:rPr>
          <w:sz w:val="24"/>
        </w:rPr>
      </w:pPr>
      <w:r w:rsidRPr="00EE38B1">
        <w:rPr>
          <w:rFonts w:hint="eastAsia"/>
          <w:sz w:val="24"/>
        </w:rPr>
        <w:t>会计主体：交银施罗德天鑫宝货币市场基金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2017</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2017</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2016</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5,955,626,483.40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52,625,821.79</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7,756,263,607.37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7,756,263,607.37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9,752,662,836.71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148,000,000.00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15,732.28</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60,874,030.42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75,474.01</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26,265,454.76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23,551,692,412.66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200,717,028.08</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lastRenderedPageBreak/>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2017</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2016</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1,927,764.43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19,707.28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642,588.16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6,569.09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146,058.72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1,338.56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79,034.00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3,203,752.93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9,910.48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241,413.97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5,080.75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6,240,612.21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42,606.16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23,545,451,800.45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200,674,421.92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23,545,451,800.45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200,674,421.92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23,551,692,412.66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200,717,028.08</w:t>
            </w:r>
          </w:p>
        </w:tc>
      </w:tr>
    </w:tbl>
    <w:p w:rsidR="00A7226E" w:rsidRPr="00F63F69" w:rsidRDefault="00223DFB" w:rsidP="00A7226E">
      <w:pPr>
        <w:tabs>
          <w:tab w:val="left" w:pos="426"/>
        </w:tabs>
        <w:spacing w:before="29" w:line="288" w:lineRule="auto"/>
        <w:jc w:val="left"/>
        <w:rPr>
          <w:kern w:val="0"/>
          <w:sz w:val="24"/>
        </w:rPr>
      </w:pPr>
      <w:r w:rsidRPr="008B27D5">
        <w:rPr>
          <w:rFonts w:hint="eastAsia"/>
          <w:kern w:val="0"/>
          <w:sz w:val="24"/>
        </w:rPr>
        <w:t>注：</w:t>
      </w:r>
      <w:r w:rsidR="00A7226E">
        <w:rPr>
          <w:rFonts w:hint="eastAsia"/>
          <w:kern w:val="0"/>
          <w:sz w:val="24"/>
        </w:rPr>
        <w:t>1</w:t>
      </w:r>
      <w:r w:rsidR="00A7226E">
        <w:rPr>
          <w:rFonts w:hint="eastAsia"/>
          <w:kern w:val="0"/>
          <w:sz w:val="24"/>
        </w:rPr>
        <w:t>、</w:t>
      </w:r>
      <w:r w:rsidR="00A7226E" w:rsidRPr="00F63F69">
        <w:rPr>
          <w:rFonts w:hint="eastAsia"/>
          <w:kern w:val="0"/>
          <w:sz w:val="24"/>
        </w:rPr>
        <w:t>报告截止日</w:t>
      </w:r>
      <w:r w:rsidR="00A7226E" w:rsidRPr="00F63F69">
        <w:rPr>
          <w:rFonts w:hint="eastAsia"/>
          <w:kern w:val="0"/>
          <w:sz w:val="24"/>
        </w:rPr>
        <w:t>2017</w:t>
      </w:r>
      <w:r w:rsidR="00A7226E" w:rsidRPr="00F63F69">
        <w:rPr>
          <w:rFonts w:hint="eastAsia"/>
          <w:kern w:val="0"/>
          <w:sz w:val="24"/>
        </w:rPr>
        <w:t>年</w:t>
      </w:r>
      <w:r w:rsidR="00A7226E" w:rsidRPr="00F63F69">
        <w:rPr>
          <w:rFonts w:hint="eastAsia"/>
          <w:kern w:val="0"/>
          <w:sz w:val="24"/>
        </w:rPr>
        <w:t>12</w:t>
      </w:r>
      <w:r w:rsidR="00A7226E" w:rsidRPr="00F63F69">
        <w:rPr>
          <w:rFonts w:hint="eastAsia"/>
          <w:kern w:val="0"/>
          <w:sz w:val="24"/>
        </w:rPr>
        <w:t>月</w:t>
      </w:r>
      <w:r w:rsidR="00A7226E" w:rsidRPr="00F63F69">
        <w:rPr>
          <w:rFonts w:hint="eastAsia"/>
          <w:kern w:val="0"/>
          <w:sz w:val="24"/>
        </w:rPr>
        <w:t>31</w:t>
      </w:r>
      <w:r w:rsidR="00A7226E" w:rsidRPr="00F63F69">
        <w:rPr>
          <w:rFonts w:hint="eastAsia"/>
          <w:kern w:val="0"/>
          <w:sz w:val="24"/>
        </w:rPr>
        <w:t>日，基金份额净值</w:t>
      </w:r>
      <w:r w:rsidR="00A7226E" w:rsidRPr="00F63F69">
        <w:rPr>
          <w:rFonts w:hint="eastAsia"/>
          <w:kern w:val="0"/>
          <w:sz w:val="24"/>
        </w:rPr>
        <w:t>1.0000</w:t>
      </w:r>
      <w:r w:rsidR="00A7226E" w:rsidRPr="00F63F69">
        <w:rPr>
          <w:rFonts w:hint="eastAsia"/>
          <w:kern w:val="0"/>
          <w:sz w:val="24"/>
        </w:rPr>
        <w:t>元，基金份额总额</w:t>
      </w:r>
      <w:r w:rsidR="00A7226E" w:rsidRPr="00F63F69">
        <w:rPr>
          <w:rFonts w:hint="eastAsia"/>
          <w:kern w:val="0"/>
          <w:sz w:val="24"/>
        </w:rPr>
        <w:t>23,545,451,800.45</w:t>
      </w:r>
      <w:r w:rsidR="00A7226E" w:rsidRPr="00F63F69">
        <w:rPr>
          <w:rFonts w:hint="eastAsia"/>
          <w:kern w:val="0"/>
          <w:sz w:val="24"/>
        </w:rPr>
        <w:t>份，其中</w:t>
      </w:r>
      <w:r w:rsidR="00A7226E" w:rsidRPr="00F63F69">
        <w:rPr>
          <w:rFonts w:hint="eastAsia"/>
          <w:kern w:val="0"/>
          <w:sz w:val="24"/>
        </w:rPr>
        <w:t>A</w:t>
      </w:r>
      <w:r w:rsidR="00A7226E" w:rsidRPr="00F63F69">
        <w:rPr>
          <w:rFonts w:hint="eastAsia"/>
          <w:kern w:val="0"/>
          <w:sz w:val="24"/>
        </w:rPr>
        <w:t>类基金份额总额</w:t>
      </w:r>
      <w:r w:rsidR="00A7226E" w:rsidRPr="00F63F69">
        <w:rPr>
          <w:rFonts w:hint="eastAsia"/>
          <w:kern w:val="0"/>
          <w:sz w:val="24"/>
        </w:rPr>
        <w:t>94,716,926.30</w:t>
      </w:r>
      <w:r w:rsidR="00A7226E" w:rsidRPr="00F63F69">
        <w:rPr>
          <w:rFonts w:hint="eastAsia"/>
          <w:kern w:val="0"/>
          <w:sz w:val="24"/>
        </w:rPr>
        <w:t>份，</w:t>
      </w:r>
      <w:r w:rsidR="00A7226E" w:rsidRPr="00F63F69">
        <w:rPr>
          <w:rFonts w:hint="eastAsia"/>
          <w:kern w:val="0"/>
          <w:sz w:val="24"/>
        </w:rPr>
        <w:t>E</w:t>
      </w:r>
      <w:r w:rsidR="00A7226E" w:rsidRPr="00F63F69">
        <w:rPr>
          <w:rFonts w:hint="eastAsia"/>
          <w:kern w:val="0"/>
          <w:sz w:val="24"/>
        </w:rPr>
        <w:t>类基金份额总额</w:t>
      </w:r>
      <w:r w:rsidR="00A7226E" w:rsidRPr="00F63F69">
        <w:rPr>
          <w:rFonts w:hint="eastAsia"/>
          <w:kern w:val="0"/>
          <w:sz w:val="24"/>
        </w:rPr>
        <w:t>23,450,734,874.15</w:t>
      </w:r>
      <w:r w:rsidR="00A7226E" w:rsidRPr="00F63F69">
        <w:rPr>
          <w:rFonts w:hint="eastAsia"/>
          <w:kern w:val="0"/>
          <w:sz w:val="24"/>
        </w:rPr>
        <w:t>份。</w:t>
      </w:r>
    </w:p>
    <w:p w:rsidR="00223DFB" w:rsidRPr="008B27D5" w:rsidRDefault="00A7226E" w:rsidP="00A7226E">
      <w:pPr>
        <w:tabs>
          <w:tab w:val="left" w:pos="426"/>
        </w:tabs>
        <w:spacing w:before="29" w:line="288" w:lineRule="auto"/>
        <w:jc w:val="left"/>
        <w:rPr>
          <w:kern w:val="0"/>
          <w:sz w:val="24"/>
        </w:rPr>
      </w:pPr>
      <w:r w:rsidRPr="005703FE">
        <w:rPr>
          <w:kern w:val="0"/>
          <w:sz w:val="24"/>
        </w:rPr>
        <w:t>2</w:t>
      </w:r>
      <w:r w:rsidRPr="005703FE">
        <w:rPr>
          <w:rFonts w:hint="eastAsia"/>
          <w:kern w:val="0"/>
          <w:sz w:val="24"/>
        </w:rPr>
        <w:t>、本财务报表的实际编制期间为</w:t>
      </w:r>
      <w:r w:rsidRPr="005703FE">
        <w:rPr>
          <w:kern w:val="0"/>
          <w:sz w:val="24"/>
        </w:rPr>
        <w:t>2017</w:t>
      </w:r>
      <w:r w:rsidRPr="005703FE">
        <w:rPr>
          <w:rFonts w:hint="eastAsia"/>
          <w:kern w:val="0"/>
          <w:sz w:val="24"/>
        </w:rPr>
        <w:t>年度和</w:t>
      </w:r>
      <w:r w:rsidRPr="005703FE">
        <w:rPr>
          <w:kern w:val="0"/>
          <w:sz w:val="24"/>
        </w:rPr>
        <w:t>2016</w:t>
      </w:r>
      <w:r w:rsidRPr="005703FE">
        <w:rPr>
          <w:rFonts w:hint="eastAsia"/>
          <w:kern w:val="0"/>
          <w:sz w:val="24"/>
        </w:rPr>
        <w:t>年</w:t>
      </w:r>
      <w:r w:rsidRPr="005703FE">
        <w:rPr>
          <w:kern w:val="0"/>
          <w:sz w:val="24"/>
        </w:rPr>
        <w:t>12</w:t>
      </w:r>
      <w:r w:rsidRPr="005703FE">
        <w:rPr>
          <w:rFonts w:hint="eastAsia"/>
          <w:kern w:val="0"/>
          <w:sz w:val="24"/>
        </w:rPr>
        <w:t>月</w:t>
      </w:r>
      <w:r w:rsidRPr="005703FE">
        <w:rPr>
          <w:kern w:val="0"/>
          <w:sz w:val="24"/>
        </w:rPr>
        <w:t>7</w:t>
      </w:r>
      <w:r w:rsidRPr="005703FE">
        <w:rPr>
          <w:rFonts w:hint="eastAsia"/>
          <w:kern w:val="0"/>
          <w:sz w:val="24"/>
        </w:rPr>
        <w:t>日</w:t>
      </w:r>
      <w:r w:rsidRPr="005703FE">
        <w:rPr>
          <w:kern w:val="0"/>
          <w:sz w:val="24"/>
        </w:rPr>
        <w:t>(</w:t>
      </w:r>
      <w:r w:rsidRPr="005703FE">
        <w:rPr>
          <w:rFonts w:hint="eastAsia"/>
          <w:kern w:val="0"/>
          <w:sz w:val="24"/>
        </w:rPr>
        <w:t>基金合同生效日</w:t>
      </w:r>
      <w:r w:rsidRPr="005703FE">
        <w:rPr>
          <w:kern w:val="0"/>
          <w:sz w:val="24"/>
        </w:rPr>
        <w:t>)</w:t>
      </w:r>
      <w:r w:rsidRPr="005703FE">
        <w:rPr>
          <w:rFonts w:hint="eastAsia"/>
          <w:kern w:val="0"/>
          <w:sz w:val="24"/>
        </w:rPr>
        <w:t>至</w:t>
      </w:r>
      <w:r w:rsidRPr="005703FE">
        <w:rPr>
          <w:kern w:val="0"/>
          <w:sz w:val="24"/>
        </w:rPr>
        <w:t>2016</w:t>
      </w:r>
      <w:r w:rsidRPr="005703FE">
        <w:rPr>
          <w:rFonts w:hint="eastAsia"/>
          <w:kern w:val="0"/>
          <w:sz w:val="24"/>
        </w:rPr>
        <w:t>年</w:t>
      </w:r>
      <w:r w:rsidRPr="005703FE">
        <w:rPr>
          <w:kern w:val="0"/>
          <w:sz w:val="24"/>
        </w:rPr>
        <w:t>12</w:t>
      </w:r>
      <w:r w:rsidRPr="005703FE">
        <w:rPr>
          <w:rFonts w:hint="eastAsia"/>
          <w:kern w:val="0"/>
          <w:sz w:val="24"/>
        </w:rPr>
        <w:t>月</w:t>
      </w:r>
      <w:r w:rsidRPr="005703FE">
        <w:rPr>
          <w:kern w:val="0"/>
          <w:sz w:val="24"/>
        </w:rPr>
        <w:t>31</w:t>
      </w:r>
      <w:r w:rsidRPr="005703FE">
        <w:rPr>
          <w:rFonts w:hint="eastAsia"/>
          <w:kern w:val="0"/>
          <w:sz w:val="24"/>
        </w:rPr>
        <w:t>日。</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34" w:name="_Toc509581495"/>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34"/>
    </w:p>
    <w:p w:rsidR="00223DFB" w:rsidRPr="00A96C0D" w:rsidRDefault="00223DFB" w:rsidP="00A96C0D">
      <w:pPr>
        <w:spacing w:before="29" w:line="288" w:lineRule="auto"/>
        <w:rPr>
          <w:sz w:val="24"/>
        </w:rPr>
      </w:pPr>
      <w:r w:rsidRPr="00A96C0D">
        <w:rPr>
          <w:rFonts w:hint="eastAsia"/>
          <w:sz w:val="24"/>
        </w:rPr>
        <w:t>会计主体：交银施罗德天鑫宝货币市场基金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2017</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2017</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lastRenderedPageBreak/>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7</w:t>
            </w:r>
            <w:r w:rsidRPr="00A96C0D">
              <w:rPr>
                <w:rFonts w:ascii="Times New Roman" w:hAnsi="Times New Roman" w:hint="eastAsia"/>
              </w:rPr>
              <w:t>日（基金合同生效日）至</w:t>
            </w: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308,430,439.91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460,641.83</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307,928,665.17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460,641.83</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139,724,466.06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306,173.22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126,363,262.78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41,840,936.33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154,468.61</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501,774.74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501,774.74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18,942,916.39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33,095.68</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10,096,968.21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19,707.28</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3,365,656.13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6,569.09</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779,498.22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1,338.56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4,388,077.49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4,388,077.49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312,716.34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5,480.75</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289,487,523.52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427,546.15</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lastRenderedPageBreak/>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289,487,523.52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427,546.15</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35" w:name="_Toc509581496"/>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35"/>
    </w:p>
    <w:p w:rsidR="00223DFB" w:rsidRPr="00C117E1" w:rsidRDefault="00223DFB" w:rsidP="00C117E1">
      <w:pPr>
        <w:spacing w:before="29" w:line="288" w:lineRule="auto"/>
        <w:rPr>
          <w:sz w:val="24"/>
        </w:rPr>
      </w:pPr>
      <w:r w:rsidRPr="00C117E1">
        <w:rPr>
          <w:rFonts w:hint="eastAsia"/>
          <w:sz w:val="24"/>
        </w:rPr>
        <w:t>会计主体：交银施罗德天鑫宝货币市场基金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2017</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2017</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200,674,421.92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200,674,421.92</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289,487,523.52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289,487,523.52</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23,344,777,378.53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23,344,777,378.53</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40,014,174,673.39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40,014,174,673.39</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-16,669,397,294.86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-16,669,397,294.86</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-289,487,523.52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-289,487,523.52</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23,545,451,800.45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23,545,451,800.45</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7</w:t>
            </w:r>
            <w:r w:rsidRPr="0007576E">
              <w:rPr>
                <w:rFonts w:ascii="Times New Roman" w:hAnsi="Times New Roman" w:hint="eastAsia"/>
              </w:rPr>
              <w:t>日（基金合同生效日）至</w:t>
            </w: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200,085,851.09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200,085,851.09</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w:t>
            </w:r>
            <w:r w:rsidRPr="003B21A5">
              <w:rPr>
                <w:rFonts w:hint="eastAsia"/>
                <w:sz w:val="24"/>
              </w:rPr>
              <w:lastRenderedPageBreak/>
              <w:t>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427,546.15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427,546.15</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588,570.83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588,570.83</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763,312.01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763,312.01</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-174,741.18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-174,741.18</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-427,546.15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-427,546.15</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200,674,421.92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200,674,421.92</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负责人：阮红，主管会计工作负责人：夏华龙，会计机构负责人：单江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36" w:name="_Toc331410100"/>
      <w:bookmarkStart w:id="37" w:name="_Toc225498271"/>
      <w:bookmarkStart w:id="38" w:name="_Toc509581497"/>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36"/>
      <w:bookmarkEnd w:id="37"/>
      <w:bookmarkEnd w:id="38"/>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2622A8" w:rsidRDefault="00DF40FE">
      <w:pPr>
        <w:spacing w:before="29" w:line="288" w:lineRule="auto"/>
        <w:ind w:firstLineChars="200" w:firstLine="480"/>
        <w:rPr>
          <w:kern w:val="0"/>
          <w:sz w:val="24"/>
        </w:rPr>
      </w:pPr>
      <w:r>
        <w:rPr>
          <w:rFonts w:hint="eastAsia"/>
          <w:kern w:val="0"/>
          <w:sz w:val="24"/>
        </w:rPr>
        <w:t xml:space="preserve">      </w:t>
      </w:r>
      <w:r>
        <w:rPr>
          <w:rFonts w:hint="eastAsia"/>
          <w:kern w:val="0"/>
          <w:sz w:val="24"/>
        </w:rPr>
        <w:t>交银施罗德天鑫宝货币市场基金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[2016]2172</w:t>
      </w:r>
      <w:r>
        <w:rPr>
          <w:rFonts w:hint="eastAsia"/>
          <w:kern w:val="0"/>
          <w:sz w:val="24"/>
        </w:rPr>
        <w:t>号《关于准予交银施罗德天鑫宝货币市场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Pr>
          <w:rFonts w:hint="eastAsia"/>
          <w:kern w:val="0"/>
          <w:sz w:val="24"/>
        </w:rPr>
        <w:t>200,058,842.96</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1597</w:t>
      </w:r>
      <w:r>
        <w:rPr>
          <w:rFonts w:hint="eastAsia"/>
          <w:kern w:val="0"/>
          <w:sz w:val="24"/>
        </w:rPr>
        <w:t>号验资报告予以验证。经向中国证监会备案，《交银施罗德天鑫宝货币市场基金基金合同》于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7</w:t>
      </w:r>
      <w:r>
        <w:rPr>
          <w:rFonts w:hint="eastAsia"/>
          <w:kern w:val="0"/>
          <w:sz w:val="24"/>
        </w:rPr>
        <w:t>日正式生效，基金合同生效日的基金份额总额为</w:t>
      </w:r>
      <w:r>
        <w:rPr>
          <w:rFonts w:hint="eastAsia"/>
          <w:kern w:val="0"/>
          <w:sz w:val="24"/>
        </w:rPr>
        <w:t>200,085,851.09</w:t>
      </w:r>
      <w:r>
        <w:rPr>
          <w:rFonts w:hint="eastAsia"/>
          <w:kern w:val="0"/>
          <w:sz w:val="24"/>
        </w:rPr>
        <w:t>份基金份额，其中认购资金利息折合</w:t>
      </w:r>
      <w:r>
        <w:rPr>
          <w:rFonts w:hint="eastAsia"/>
          <w:kern w:val="0"/>
          <w:sz w:val="24"/>
        </w:rPr>
        <w:t>27,008.13</w:t>
      </w:r>
      <w:r>
        <w:rPr>
          <w:rFonts w:hint="eastAsia"/>
          <w:kern w:val="0"/>
          <w:sz w:val="24"/>
        </w:rPr>
        <w:t>份基金份额。本基金的基金管理人为交银施罗德基金管理有限公司，基金托管人为兴业银行股份有限公司。</w:t>
      </w:r>
    </w:p>
    <w:p w:rsidR="002622A8" w:rsidRDefault="00DF40FE">
      <w:pPr>
        <w:spacing w:before="29" w:line="288" w:lineRule="auto"/>
        <w:ind w:firstLineChars="200" w:firstLine="480"/>
        <w:rPr>
          <w:kern w:val="0"/>
          <w:sz w:val="24"/>
        </w:rPr>
      </w:pPr>
      <w:r>
        <w:rPr>
          <w:rFonts w:hint="eastAsia"/>
          <w:kern w:val="0"/>
          <w:sz w:val="24"/>
        </w:rPr>
        <w:t xml:space="preserve">    </w:t>
      </w:r>
      <w:r>
        <w:rPr>
          <w:rFonts w:hint="eastAsia"/>
          <w:kern w:val="0"/>
          <w:sz w:val="24"/>
        </w:rPr>
        <w:t>根据《交银施罗德天鑫宝货币市场基金基金合同》和《交银施罗德天鑫宝货币市场基金招募说明书》的相关规定，本基金根据销售服务费收取方式的不同，将基金份额分为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622A8" w:rsidRDefault="00DF40FE">
      <w:pPr>
        <w:spacing w:before="29" w:line="288" w:lineRule="auto"/>
        <w:ind w:firstLineChars="200" w:firstLine="480"/>
        <w:rPr>
          <w:kern w:val="0"/>
          <w:sz w:val="24"/>
        </w:rPr>
      </w:pPr>
      <w:r>
        <w:rPr>
          <w:rFonts w:hint="eastAsia"/>
          <w:kern w:val="0"/>
          <w:sz w:val="24"/>
        </w:rPr>
        <w:lastRenderedPageBreak/>
        <w:t xml:space="preserve">    </w:t>
      </w:r>
      <w:r>
        <w:rPr>
          <w:rFonts w:hint="eastAsia"/>
          <w:kern w:val="0"/>
          <w:sz w:val="24"/>
        </w:rPr>
        <w:t>根据《中华人民共和国证券投资基金法》和《交银施罗德天鑫宝货币市场基金基金合同》的有关规定，本基金的投资范围为具有良好流动性的金融工具，包括现金，期限在</w:t>
      </w:r>
      <w:r>
        <w:rPr>
          <w:rFonts w:hint="eastAsia"/>
          <w:kern w:val="0"/>
          <w:sz w:val="24"/>
        </w:rPr>
        <w:t>1</w:t>
      </w:r>
      <w:r>
        <w:rPr>
          <w:rFonts w:hint="eastAsia"/>
          <w:kern w:val="0"/>
          <w:sz w:val="24"/>
        </w:rPr>
        <w:t>年以内（含</w:t>
      </w:r>
      <w:r>
        <w:rPr>
          <w:rFonts w:hint="eastAsia"/>
          <w:kern w:val="0"/>
          <w:sz w:val="24"/>
        </w:rPr>
        <w:t>1</w:t>
      </w:r>
      <w:r>
        <w:rPr>
          <w:rFonts w:hint="eastAsia"/>
          <w:kern w:val="0"/>
          <w:sz w:val="24"/>
        </w:rPr>
        <w:t>年）的银行存款、债券回购、中央银行票据、同业存单，剩余期限在</w:t>
      </w:r>
      <w:r>
        <w:rPr>
          <w:rFonts w:hint="eastAsia"/>
          <w:kern w:val="0"/>
          <w:sz w:val="24"/>
        </w:rPr>
        <w:t>397</w:t>
      </w:r>
      <w:r>
        <w:rPr>
          <w:rFonts w:hint="eastAsia"/>
          <w:kern w:val="0"/>
          <w:sz w:val="24"/>
        </w:rPr>
        <w:t>天以内（含</w:t>
      </w:r>
      <w:r>
        <w:rPr>
          <w:rFonts w:hint="eastAsia"/>
          <w:kern w:val="0"/>
          <w:sz w:val="24"/>
        </w:rPr>
        <w:t>397</w:t>
      </w:r>
      <w:r>
        <w:rPr>
          <w:rFonts w:hint="eastAsia"/>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2018</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26</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本基金的财务报表按照财政部于</w:t>
      </w:r>
      <w:r w:rsidRPr="00650D53">
        <w:rPr>
          <w:rFonts w:hint="eastAsia"/>
          <w:kern w:val="0"/>
          <w:sz w:val="24"/>
        </w:rPr>
        <w:t>2006</w:t>
      </w:r>
      <w:r w:rsidRPr="00650D53">
        <w:rPr>
          <w:rFonts w:hint="eastAsia"/>
          <w:kern w:val="0"/>
          <w:sz w:val="24"/>
        </w:rPr>
        <w:t>年</w:t>
      </w:r>
      <w:r w:rsidRPr="00650D53">
        <w:rPr>
          <w:rFonts w:hint="eastAsia"/>
          <w:kern w:val="0"/>
          <w:sz w:val="24"/>
        </w:rPr>
        <w:t>2</w:t>
      </w:r>
      <w:r w:rsidRPr="00650D53">
        <w:rPr>
          <w:rFonts w:hint="eastAsia"/>
          <w:kern w:val="0"/>
          <w:sz w:val="24"/>
        </w:rPr>
        <w:t>月</w:t>
      </w:r>
      <w:r w:rsidRPr="00650D53">
        <w:rPr>
          <w:rFonts w:hint="eastAsia"/>
          <w:kern w:val="0"/>
          <w:sz w:val="24"/>
        </w:rPr>
        <w:t>15</w:t>
      </w:r>
      <w:r w:rsidRPr="00650D53">
        <w:rPr>
          <w:rFonts w:hint="eastAsia"/>
          <w:kern w:val="0"/>
          <w:sz w:val="24"/>
        </w:rPr>
        <w:t>日及以后期间颁布的《企业会计准则－基本准则》、各项具体会计准则及相关规定</w:t>
      </w:r>
      <w:r w:rsidRPr="00650D53">
        <w:rPr>
          <w:rFonts w:hint="eastAsia"/>
          <w:kern w:val="0"/>
          <w:sz w:val="24"/>
        </w:rPr>
        <w:t>(</w:t>
      </w:r>
      <w:r w:rsidRPr="00650D53">
        <w:rPr>
          <w:rFonts w:hint="eastAsia"/>
          <w:kern w:val="0"/>
          <w:sz w:val="24"/>
        </w:rPr>
        <w:t>以下合称“企业会计准则”</w:t>
      </w:r>
      <w:r w:rsidRPr="00650D53">
        <w:rPr>
          <w:rFonts w:hint="eastAsia"/>
          <w:kern w:val="0"/>
          <w:sz w:val="24"/>
        </w:rPr>
        <w:t>)</w:t>
      </w:r>
      <w:r w:rsidRPr="00650D53">
        <w:rPr>
          <w:rFonts w:hint="eastAsia"/>
          <w:kern w:val="0"/>
          <w:sz w:val="24"/>
        </w:rPr>
        <w:t>、中国证监会颁布的《证券投资基金信息披露</w:t>
      </w:r>
      <w:r w:rsidRPr="00650D53">
        <w:rPr>
          <w:rFonts w:hint="eastAsia"/>
          <w:kern w:val="0"/>
          <w:sz w:val="24"/>
        </w:rPr>
        <w:t>XBRL</w:t>
      </w:r>
      <w:r w:rsidRPr="00650D53">
        <w:rPr>
          <w:rFonts w:hint="eastAsia"/>
          <w:kern w:val="0"/>
          <w:sz w:val="24"/>
        </w:rPr>
        <w:t>模板第</w:t>
      </w:r>
      <w:r w:rsidRPr="00650D53">
        <w:rPr>
          <w:rFonts w:hint="eastAsia"/>
          <w:kern w:val="0"/>
          <w:sz w:val="24"/>
        </w:rPr>
        <w:t>3</w:t>
      </w:r>
      <w:r w:rsidRPr="00650D53">
        <w:rPr>
          <w:rFonts w:hint="eastAsia"/>
          <w:kern w:val="0"/>
          <w:sz w:val="24"/>
        </w:rPr>
        <w:t>号</w:t>
      </w:r>
      <w:r w:rsidRPr="00650D53">
        <w:rPr>
          <w:rFonts w:hint="eastAsia"/>
          <w:kern w:val="0"/>
          <w:sz w:val="24"/>
        </w:rPr>
        <w:t>&lt;</w:t>
      </w:r>
      <w:r w:rsidRPr="00650D53">
        <w:rPr>
          <w:rFonts w:hint="eastAsia"/>
          <w:kern w:val="0"/>
          <w:sz w:val="24"/>
        </w:rPr>
        <w:t>年度报告和半年度报告</w:t>
      </w:r>
      <w:r w:rsidRPr="00650D53">
        <w:rPr>
          <w:rFonts w:hint="eastAsia"/>
          <w:kern w:val="0"/>
          <w:sz w:val="24"/>
        </w:rPr>
        <w:t>&gt;</w:t>
      </w:r>
      <w:r w:rsidRPr="00650D53">
        <w:rPr>
          <w:rFonts w:hint="eastAsia"/>
          <w:kern w:val="0"/>
          <w:sz w:val="24"/>
        </w:rPr>
        <w:t>》、中国证券投资基金业协会</w:t>
      </w:r>
      <w:r w:rsidRPr="00650D53">
        <w:rPr>
          <w:rFonts w:hint="eastAsia"/>
          <w:kern w:val="0"/>
          <w:sz w:val="24"/>
        </w:rPr>
        <w:t>(</w:t>
      </w:r>
      <w:r w:rsidRPr="00650D53">
        <w:rPr>
          <w:rFonts w:hint="eastAsia"/>
          <w:kern w:val="0"/>
          <w:sz w:val="24"/>
        </w:rPr>
        <w:t>以下简称“中国基金业协会”</w:t>
      </w:r>
      <w:r w:rsidRPr="00650D53">
        <w:rPr>
          <w:rFonts w:hint="eastAsia"/>
          <w:kern w:val="0"/>
          <w:sz w:val="24"/>
        </w:rPr>
        <w:t>)</w:t>
      </w:r>
      <w:r w:rsidRPr="00650D53">
        <w:rPr>
          <w:rFonts w:hint="eastAsia"/>
          <w:kern w:val="0"/>
          <w:sz w:val="24"/>
        </w:rPr>
        <w:t>颁布的《证券投资基金会计核算业务指引》、《交银施罗德天鑫宝货币市场基金基金合同》和在财务报表附注</w:t>
      </w:r>
      <w:r w:rsidRPr="00650D53">
        <w:rPr>
          <w:rFonts w:hint="eastAsia"/>
          <w:kern w:val="0"/>
          <w:sz w:val="24"/>
        </w:rPr>
        <w:t>7.4.4</w:t>
      </w:r>
      <w:r w:rsidRPr="00650D53">
        <w:rPr>
          <w:rFonts w:hint="eastAsia"/>
          <w:kern w:val="0"/>
          <w:sz w:val="24"/>
        </w:rPr>
        <w:t>所列示的中国证监会、中国基金业协会发布的有关规定及允许的基金行业实务操作编制。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2017</w:t>
      </w:r>
      <w:r w:rsidRPr="00650D53">
        <w:rPr>
          <w:rFonts w:hint="eastAsia"/>
          <w:kern w:val="0"/>
          <w:sz w:val="24"/>
        </w:rPr>
        <w:t>年度和</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7</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日止期间财务报表符合企业会计准则的要求，真实、完整地反映了本基金</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日及</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2017</w:t>
      </w:r>
      <w:r w:rsidRPr="00650D53">
        <w:rPr>
          <w:rFonts w:hint="eastAsia"/>
          <w:kern w:val="0"/>
          <w:sz w:val="24"/>
        </w:rPr>
        <w:t>年度和</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7</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日止期间的经营成果和基金净值变动情况等有关信息。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日止。本财务报表的实际编制期间为</w:t>
      </w:r>
      <w:r w:rsidRPr="00650D53">
        <w:rPr>
          <w:rFonts w:hint="eastAsia"/>
          <w:kern w:val="0"/>
          <w:sz w:val="24"/>
        </w:rPr>
        <w:t>2017</w:t>
      </w:r>
      <w:r w:rsidRPr="00650D53">
        <w:rPr>
          <w:rFonts w:hint="eastAsia"/>
          <w:kern w:val="0"/>
          <w:sz w:val="24"/>
        </w:rPr>
        <w:t>年度</w:t>
      </w:r>
      <w:r w:rsidRPr="00650D53">
        <w:rPr>
          <w:rFonts w:hint="eastAsia"/>
          <w:kern w:val="0"/>
          <w:sz w:val="24"/>
        </w:rPr>
        <w:t xml:space="preserve"> </w:t>
      </w:r>
      <w:r w:rsidRPr="00650D53">
        <w:rPr>
          <w:rFonts w:hint="eastAsia"/>
          <w:kern w:val="0"/>
          <w:sz w:val="24"/>
        </w:rPr>
        <w:t>和</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7</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日止期间。</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2622A8" w:rsidRDefault="00DF40FE">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2622A8" w:rsidRDefault="00DF40FE">
      <w:pPr>
        <w:spacing w:before="29" w:line="288" w:lineRule="auto"/>
        <w:ind w:firstLineChars="200" w:firstLine="480"/>
        <w:rPr>
          <w:kern w:val="0"/>
          <w:sz w:val="24"/>
        </w:rPr>
      </w:pPr>
      <w:r>
        <w:rPr>
          <w:rFonts w:hint="eastAsia"/>
          <w:kern w:val="0"/>
          <w:sz w:val="24"/>
        </w:rPr>
        <w:lastRenderedPageBreak/>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622A8" w:rsidRDefault="00DF40FE">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2622A8" w:rsidRDefault="00DF40FE">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2622A8" w:rsidRDefault="00DF40FE">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2622A8" w:rsidRDefault="00DF40FE">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起息日或上次除息日至购买日止的利息，单独确认为应收项目。应收款项和其他金融负债的相关交易费用计入初始确认金额。</w:t>
      </w:r>
    </w:p>
    <w:p w:rsidR="002622A8" w:rsidRDefault="00DF40FE">
      <w:pPr>
        <w:spacing w:before="29" w:line="288" w:lineRule="auto"/>
        <w:ind w:firstLineChars="200" w:firstLine="480"/>
        <w:rPr>
          <w:kern w:val="0"/>
          <w:sz w:val="24"/>
        </w:rPr>
      </w:pPr>
      <w:r>
        <w:rPr>
          <w:rFonts w:hint="eastAsia"/>
          <w:kern w:val="0"/>
          <w:sz w:val="24"/>
        </w:rPr>
        <w:t>债券投资和资产支持证券按票面利率或商定利率每日计提应收利息，按实际利率法在其剩余期限内摊销其买入时的溢价或折价；同时于每一计价日计算影子价格，以避免债券投资和资产支持证券的账面价值与公允价值的差异导致基金资产净值发生重大偏离。对于应收款项和其他金融负债采用实际利率法，以摊余成本进行后续计量。</w:t>
      </w:r>
    </w:p>
    <w:p w:rsidR="002622A8" w:rsidRDefault="00DF40FE">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2622A8" w:rsidRDefault="002622A8">
      <w:pPr>
        <w:spacing w:before="29" w:line="288" w:lineRule="auto"/>
        <w:ind w:firstLineChars="200" w:firstLine="480"/>
        <w:rPr>
          <w:kern w:val="0"/>
          <w:sz w:val="24"/>
        </w:rPr>
      </w:pPr>
    </w:p>
    <w:p w:rsidR="002622A8" w:rsidRDefault="00DF40FE">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2622A8" w:rsidRDefault="00DF40FE">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w:t>
      </w:r>
      <w:r>
        <w:rPr>
          <w:rFonts w:hint="eastAsia"/>
          <w:kern w:val="0"/>
          <w:sz w:val="24"/>
        </w:rPr>
        <w:lastRenderedPageBreak/>
        <w:t>从而对基金持有人的利益产生稀释或不公平的结果，基金管理人于每一计价日采用投资组合的公允价值计算影子价格。当影子价格确定的基金资产净值与摊余成本法计算的基金资产净值的负偏离度的绝对值达到或超过</w:t>
      </w:r>
      <w:r>
        <w:rPr>
          <w:rFonts w:hint="eastAsia"/>
          <w:kern w:val="0"/>
          <w:sz w:val="24"/>
        </w:rPr>
        <w:t>0.25%</w:t>
      </w:r>
      <w:r>
        <w:rPr>
          <w:rFonts w:hint="eastAsia"/>
          <w:kern w:val="0"/>
          <w:sz w:val="24"/>
        </w:rPr>
        <w:t>，或正偏离度绝对值达到或超过</w:t>
      </w:r>
      <w:r>
        <w:rPr>
          <w:rFonts w:hint="eastAsia"/>
          <w:kern w:val="0"/>
          <w:sz w:val="24"/>
        </w:rPr>
        <w:t>0.5%</w:t>
      </w:r>
      <w:r>
        <w:rPr>
          <w:rFonts w:hint="eastAsia"/>
          <w:kern w:val="0"/>
          <w:sz w:val="24"/>
        </w:rPr>
        <w:t>时，基金管理人应根据相关法律法规采取相应措施，使基金资产净值更能公允地反映基金投资组合价值。</w:t>
      </w:r>
    </w:p>
    <w:p w:rsidR="002622A8" w:rsidRDefault="00DF40FE">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2622A8" w:rsidRDefault="00DF40FE">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622A8" w:rsidRDefault="00DF40FE">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w:t>
      </w:r>
      <w:r w:rsidR="00A7226E" w:rsidRPr="00956FBF">
        <w:rPr>
          <w:rFonts w:hint="eastAsia"/>
          <w:kern w:val="0"/>
          <w:sz w:val="24"/>
        </w:rPr>
        <w:t>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2622A8" w:rsidRDefault="00DF40FE">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债券投资和资产支持证券投资在持有期间按实际利率计算确定的金额扣除在适用情况下由债券发行企业代扣代缴的个人所得税后的净额确认为利息收入。</w:t>
      </w:r>
    </w:p>
    <w:p w:rsidR="002622A8" w:rsidRDefault="00DF40FE">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w:t>
      </w:r>
      <w:r>
        <w:rPr>
          <w:rFonts w:hint="eastAsia"/>
          <w:kern w:val="0"/>
          <w:sz w:val="24"/>
        </w:rPr>
        <w:lastRenderedPageBreak/>
        <w:t>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2622A8" w:rsidRDefault="00DF40FE">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元固定份额净值交易方式，每日计算当日收益并全部分配结转至应付收益科目，且每日进行支付。</w:t>
      </w:r>
      <w:r w:rsidRPr="00650D53">
        <w:rPr>
          <w:rFonts w:hint="eastAsia"/>
          <w:kern w:val="0"/>
          <w:sz w:val="24"/>
        </w:rPr>
        <w:t xml:space="preserve"> </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2622A8" w:rsidRDefault="00DF40FE">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2622A8" w:rsidRDefault="00DF40FE">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2622A8" w:rsidRDefault="00DF40FE">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根据本基金的估值原则和中国证监会允许的基金行业估值实务操作，本基金计算影子价格过程中确定债券投资的公允价值时采用的估值方法及其关键假设如下：</w:t>
      </w:r>
    </w:p>
    <w:p w:rsidR="002622A8" w:rsidRDefault="002622A8">
      <w:pPr>
        <w:spacing w:before="29" w:line="288" w:lineRule="auto"/>
        <w:ind w:firstLineChars="200" w:firstLine="480"/>
        <w:rPr>
          <w:kern w:val="0"/>
          <w:sz w:val="24"/>
        </w:rPr>
      </w:pPr>
    </w:p>
    <w:p w:rsidR="00A7226E" w:rsidRPr="00F63F69" w:rsidRDefault="00A7226E" w:rsidP="00A7226E">
      <w:pPr>
        <w:spacing w:before="29" w:line="288" w:lineRule="auto"/>
        <w:ind w:firstLineChars="200" w:firstLine="480"/>
        <w:rPr>
          <w:kern w:val="0"/>
          <w:sz w:val="24"/>
        </w:rPr>
      </w:pPr>
      <w:r w:rsidRPr="00F63F69">
        <w:rPr>
          <w:rFonts w:hint="eastAsia"/>
          <w:kern w:val="0"/>
          <w:sz w:val="24"/>
        </w:rPr>
        <w:t>对于在证券交易所上市或挂牌转让的固定收益品种</w:t>
      </w:r>
      <w:r w:rsidRPr="00F63F69">
        <w:rPr>
          <w:rFonts w:hint="eastAsia"/>
          <w:kern w:val="0"/>
          <w:sz w:val="24"/>
        </w:rPr>
        <w:t>(</w:t>
      </w:r>
      <w:r w:rsidRPr="00F63F69">
        <w:rPr>
          <w:rFonts w:hint="eastAsia"/>
          <w:kern w:val="0"/>
          <w:sz w:val="24"/>
        </w:rPr>
        <w:t>可转换债券、资产支持证券和私募债券除外</w:t>
      </w:r>
      <w:r w:rsidRPr="00F63F69">
        <w:rPr>
          <w:rFonts w:hint="eastAsia"/>
          <w:kern w:val="0"/>
          <w:sz w:val="24"/>
        </w:rPr>
        <w:t>)</w:t>
      </w:r>
      <w:r w:rsidRPr="00F63F69">
        <w:rPr>
          <w:rFonts w:hint="eastAsia"/>
          <w:kern w:val="0"/>
          <w:sz w:val="24"/>
        </w:rPr>
        <w:t>及在银行间同业市场交易的固定收益品种，根据中国证监会公告</w:t>
      </w:r>
      <w:r w:rsidRPr="00F63F69">
        <w:rPr>
          <w:rFonts w:hint="eastAsia"/>
          <w:kern w:val="0"/>
          <w:sz w:val="24"/>
        </w:rPr>
        <w:t>[2017]13</w:t>
      </w:r>
      <w:r w:rsidRPr="00F63F69">
        <w:rPr>
          <w:rFonts w:hint="eastAsia"/>
          <w:kern w:val="0"/>
          <w:sz w:val="24"/>
        </w:rPr>
        <w:t>号《中国证监会关于证券投资基金估值业务的指导意见》及《中国证券投资基金业协会估值核算工作小组关于</w:t>
      </w:r>
      <w:r w:rsidRPr="00F63F69">
        <w:rPr>
          <w:rFonts w:hint="eastAsia"/>
          <w:kern w:val="0"/>
          <w:sz w:val="24"/>
        </w:rPr>
        <w:t>2015</w:t>
      </w:r>
      <w:r w:rsidRPr="00F63F69">
        <w:rPr>
          <w:rFonts w:hint="eastAsia"/>
          <w:kern w:val="0"/>
          <w:sz w:val="24"/>
        </w:rPr>
        <w:t>年</w:t>
      </w:r>
      <w:r w:rsidRPr="00F63F69">
        <w:rPr>
          <w:rFonts w:hint="eastAsia"/>
          <w:kern w:val="0"/>
          <w:sz w:val="24"/>
        </w:rPr>
        <w:t>1</w:t>
      </w:r>
      <w:r w:rsidRPr="00F63F69">
        <w:rPr>
          <w:rFonts w:hint="eastAsia"/>
          <w:kern w:val="0"/>
          <w:sz w:val="24"/>
        </w:rPr>
        <w:t>季度固定收益品种的估值处理标准》采用估值技术确定公允价值。本基金持有的证券交易所上市或挂牌转让的固定收益品种</w:t>
      </w:r>
      <w:r w:rsidRPr="00F63F69">
        <w:rPr>
          <w:rFonts w:hint="eastAsia"/>
          <w:kern w:val="0"/>
          <w:sz w:val="24"/>
        </w:rPr>
        <w:t>(</w:t>
      </w:r>
      <w:r w:rsidRPr="00F63F69">
        <w:rPr>
          <w:rFonts w:hint="eastAsia"/>
          <w:kern w:val="0"/>
          <w:sz w:val="24"/>
        </w:rPr>
        <w:t>可转换债券、</w:t>
      </w:r>
      <w:r w:rsidRPr="00F63F69">
        <w:rPr>
          <w:rFonts w:hint="eastAsia"/>
          <w:kern w:val="0"/>
          <w:sz w:val="24"/>
        </w:rPr>
        <w:lastRenderedPageBreak/>
        <w:t>资产支持证券和私募债券除外</w:t>
      </w:r>
      <w:r w:rsidRPr="00F63F69">
        <w:rPr>
          <w:rFonts w:hint="eastAsia"/>
          <w:kern w:val="0"/>
          <w:sz w:val="24"/>
        </w:rPr>
        <w:t>)</w:t>
      </w:r>
      <w:r w:rsidRPr="00F63F69">
        <w:rPr>
          <w:rFonts w:hint="eastAsia"/>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223DFB" w:rsidRPr="00A7226E"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A7226E" w:rsidRPr="00F63F69" w:rsidRDefault="00A7226E" w:rsidP="00A7226E">
      <w:pPr>
        <w:spacing w:before="29" w:line="288" w:lineRule="auto"/>
        <w:ind w:firstLineChars="200" w:firstLine="480"/>
        <w:rPr>
          <w:kern w:val="0"/>
          <w:sz w:val="24"/>
        </w:rPr>
      </w:pPr>
      <w:r w:rsidRPr="00F63F69">
        <w:rPr>
          <w:rFonts w:hint="eastAsia"/>
          <w:kern w:val="0"/>
          <w:sz w:val="24"/>
        </w:rPr>
        <w:t>根据财政部、国家税务总局财税</w:t>
      </w:r>
      <w:r w:rsidRPr="00F63F69">
        <w:rPr>
          <w:rFonts w:hint="eastAsia"/>
          <w:kern w:val="0"/>
          <w:sz w:val="24"/>
        </w:rPr>
        <w:t>[2008]1</w:t>
      </w:r>
      <w:r w:rsidRPr="00F63F69">
        <w:rPr>
          <w:rFonts w:hint="eastAsia"/>
          <w:kern w:val="0"/>
          <w:sz w:val="24"/>
        </w:rPr>
        <w:t>号《关于企业所得税若干优惠政策的通知》、财税</w:t>
      </w:r>
      <w:r w:rsidRPr="00F63F69">
        <w:rPr>
          <w:rFonts w:hint="eastAsia"/>
          <w:kern w:val="0"/>
          <w:sz w:val="24"/>
        </w:rPr>
        <w:t>[2016]36</w:t>
      </w:r>
      <w:r w:rsidRPr="00F63F69">
        <w:rPr>
          <w:rFonts w:hint="eastAsia"/>
          <w:kern w:val="0"/>
          <w:sz w:val="24"/>
        </w:rPr>
        <w:t>号《关于全面推开营业税改征增值税试点的通知》、财税</w:t>
      </w:r>
      <w:r w:rsidRPr="00F63F69">
        <w:rPr>
          <w:rFonts w:hint="eastAsia"/>
          <w:kern w:val="0"/>
          <w:sz w:val="24"/>
        </w:rPr>
        <w:t>[2016]46</w:t>
      </w:r>
      <w:r w:rsidRPr="00F63F69">
        <w:rPr>
          <w:rFonts w:hint="eastAsia"/>
          <w:kern w:val="0"/>
          <w:sz w:val="24"/>
        </w:rPr>
        <w:t>号《关于进一步明确全面推开营改增试点金融业有关政策的通知》、财税</w:t>
      </w:r>
      <w:r w:rsidRPr="00F63F69">
        <w:rPr>
          <w:rFonts w:hint="eastAsia"/>
          <w:kern w:val="0"/>
          <w:sz w:val="24"/>
        </w:rPr>
        <w:t>[2016]70</w:t>
      </w:r>
      <w:r w:rsidRPr="00F63F69">
        <w:rPr>
          <w:rFonts w:hint="eastAsia"/>
          <w:kern w:val="0"/>
          <w:sz w:val="24"/>
        </w:rPr>
        <w:t>号《关于金融机构同业往来等增值税政策的补充通知》及其他相关财税法规和实务操作，主要税项列示如下：</w:t>
      </w:r>
    </w:p>
    <w:p w:rsidR="00A7226E" w:rsidRPr="00F63F69" w:rsidRDefault="00A7226E" w:rsidP="00A7226E">
      <w:pPr>
        <w:spacing w:before="29" w:line="288" w:lineRule="auto"/>
        <w:ind w:firstLineChars="200" w:firstLine="480"/>
        <w:rPr>
          <w:kern w:val="0"/>
          <w:sz w:val="24"/>
        </w:rPr>
      </w:pPr>
      <w:r w:rsidRPr="00F63F69">
        <w:rPr>
          <w:rFonts w:hint="eastAsia"/>
          <w:kern w:val="0"/>
          <w:sz w:val="24"/>
        </w:rPr>
        <w:t>(1)</w:t>
      </w:r>
      <w:r w:rsidRPr="00F63F69">
        <w:rPr>
          <w:rFonts w:hint="eastAsia"/>
          <w:kern w:val="0"/>
          <w:sz w:val="24"/>
        </w:rPr>
        <w:t>对证券投资基金管理人运用基金买卖债券的转让收入免征增值税，对国债、地方政府债以及金融同业往来利息收入亦免征增值税</w:t>
      </w:r>
      <w:r w:rsidRPr="00F63F69">
        <w:rPr>
          <w:rFonts w:hint="eastAsia"/>
          <w:kern w:val="0"/>
          <w:sz w:val="24"/>
        </w:rPr>
        <w:t xml:space="preserve"> </w:t>
      </w:r>
      <w:r w:rsidRPr="00F63F69">
        <w:rPr>
          <w:rFonts w:hint="eastAsia"/>
          <w:kern w:val="0"/>
          <w:sz w:val="24"/>
        </w:rPr>
        <w:t>。</w:t>
      </w:r>
    </w:p>
    <w:p w:rsidR="00A7226E" w:rsidRPr="00F63F69" w:rsidRDefault="00A7226E" w:rsidP="00A7226E">
      <w:pPr>
        <w:spacing w:before="29" w:line="288" w:lineRule="auto"/>
        <w:ind w:firstLineChars="200" w:firstLine="480"/>
        <w:rPr>
          <w:kern w:val="0"/>
          <w:sz w:val="24"/>
        </w:rPr>
      </w:pPr>
      <w:r w:rsidRPr="00F63F69">
        <w:rPr>
          <w:rFonts w:hint="eastAsia"/>
          <w:kern w:val="0"/>
          <w:sz w:val="24"/>
        </w:rPr>
        <w:t xml:space="preserve">(2) </w:t>
      </w:r>
      <w:r w:rsidRPr="00F63F69">
        <w:rPr>
          <w:rFonts w:hint="eastAsia"/>
          <w:kern w:val="0"/>
          <w:sz w:val="24"/>
        </w:rPr>
        <w:t>对基金从证券市场中取得的收入，包括买卖债券的差价收入，债券的利息收入及其他收入，暂不征收企业所得税。</w:t>
      </w:r>
    </w:p>
    <w:p w:rsidR="00A7226E" w:rsidRPr="00F63F69" w:rsidRDefault="00A7226E" w:rsidP="00A7226E">
      <w:pPr>
        <w:spacing w:before="29" w:line="288" w:lineRule="auto"/>
        <w:ind w:firstLineChars="200" w:firstLine="480"/>
        <w:rPr>
          <w:kern w:val="0"/>
          <w:sz w:val="24"/>
        </w:rPr>
      </w:pPr>
      <w:r w:rsidRPr="00F63F69">
        <w:rPr>
          <w:rFonts w:hint="eastAsia"/>
          <w:kern w:val="0"/>
          <w:sz w:val="24"/>
        </w:rPr>
        <w:t xml:space="preserve">(3) </w:t>
      </w:r>
      <w:r w:rsidRPr="00F63F69">
        <w:rPr>
          <w:rFonts w:hint="eastAsia"/>
          <w:kern w:val="0"/>
          <w:sz w:val="24"/>
        </w:rPr>
        <w:t>对基金取得的企业债券利息收入，应由发行债券的企业在向基金支付利息时代扣代缴</w:t>
      </w:r>
      <w:r w:rsidRPr="00F63F69">
        <w:rPr>
          <w:rFonts w:hint="eastAsia"/>
          <w:kern w:val="0"/>
          <w:sz w:val="24"/>
        </w:rPr>
        <w:t>20%</w:t>
      </w:r>
      <w:r w:rsidRPr="00F63F69">
        <w:rPr>
          <w:rFonts w:hint="eastAsia"/>
          <w:kern w:val="0"/>
          <w:sz w:val="24"/>
        </w:rPr>
        <w:t>的个人所得税。</w:t>
      </w:r>
    </w:p>
    <w:p w:rsidR="00223DFB" w:rsidRPr="00A7226E" w:rsidRDefault="00223DFB" w:rsidP="00A7226E">
      <w:pPr>
        <w:spacing w:line="360" w:lineRule="auto"/>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本期末</w:t>
            </w:r>
          </w:p>
          <w:p w:rsidR="00FD02F6" w:rsidRPr="006E174E" w:rsidRDefault="00FD02F6" w:rsidP="006E174E">
            <w:pPr>
              <w:spacing w:before="29" w:line="288" w:lineRule="auto"/>
              <w:jc w:val="center"/>
              <w:rPr>
                <w:kern w:val="0"/>
                <w:sz w:val="24"/>
              </w:rPr>
            </w:pPr>
            <w:r w:rsidRPr="006E174E">
              <w:rPr>
                <w:rFonts w:hint="eastAsia"/>
                <w:kern w:val="0"/>
                <w:sz w:val="24"/>
              </w:rPr>
              <w:t>2017</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上年度末</w:t>
            </w:r>
          </w:p>
          <w:p w:rsidR="00FD02F6" w:rsidRPr="006E174E" w:rsidRDefault="00FD02F6" w:rsidP="006E174E">
            <w:pPr>
              <w:spacing w:before="29" w:line="288" w:lineRule="auto"/>
              <w:jc w:val="center"/>
              <w:rPr>
                <w:kern w:val="0"/>
                <w:sz w:val="24"/>
              </w:rPr>
            </w:pPr>
            <w:r w:rsidRPr="006E174E">
              <w:rPr>
                <w:kern w:val="0"/>
                <w:sz w:val="24"/>
              </w:rPr>
              <w:t>2016</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626,483.40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12,625,821.79</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lastRenderedPageBreak/>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5,955,000,000.00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40,000,000.00</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5,955,626,483.40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52,625,821.79</w:t>
            </w:r>
          </w:p>
        </w:tc>
      </w:tr>
    </w:tbl>
    <w:p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rsidR="00E560DF" w:rsidRPr="00DC78F4"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C7A" w:rsidRDefault="00E560DF" w:rsidP="00E57D8A">
            <w:pPr>
              <w:widowControl/>
              <w:spacing w:before="29" w:line="288" w:lineRule="auto"/>
              <w:jc w:val="center"/>
              <w:rPr>
                <w:kern w:val="0"/>
                <w:sz w:val="24"/>
              </w:rPr>
            </w:pPr>
            <w:r w:rsidRPr="00E57D8A">
              <w:rPr>
                <w:rFonts w:hint="eastAsia"/>
                <w:kern w:val="0"/>
                <w:sz w:val="24"/>
              </w:rPr>
              <w:t>项目</w:t>
            </w:r>
          </w:p>
          <w:p w:rsidR="00E560DF"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本期末</w:t>
            </w:r>
          </w:p>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2017</w:t>
            </w:r>
            <w:r w:rsidRPr="00E57D8A">
              <w:rPr>
                <w:rFonts w:hint="eastAsia"/>
                <w:kern w:val="0"/>
                <w:sz w:val="24"/>
              </w:rPr>
              <w:t>年</w:t>
            </w:r>
            <w:r w:rsidRPr="00E57D8A">
              <w:rPr>
                <w:rFonts w:hint="eastAsia"/>
                <w:kern w:val="0"/>
                <w:sz w:val="24"/>
              </w:rPr>
              <w:t>12</w:t>
            </w:r>
            <w:r w:rsidRPr="00E57D8A">
              <w:rPr>
                <w:rFonts w:hint="eastAsia"/>
                <w:kern w:val="0"/>
                <w:sz w:val="24"/>
              </w:rPr>
              <w:t>月</w:t>
            </w:r>
            <w:r w:rsidRPr="00E57D8A">
              <w:rPr>
                <w:rFonts w:hint="eastAsia"/>
                <w:kern w:val="0"/>
                <w:sz w:val="24"/>
              </w:rPr>
              <w:t>31</w:t>
            </w:r>
            <w:r w:rsidRPr="00E57D8A">
              <w:rPr>
                <w:rFonts w:hint="eastAsia"/>
                <w:kern w:val="0"/>
                <w:sz w:val="24"/>
              </w:rPr>
              <w:t>日</w:t>
            </w:r>
          </w:p>
        </w:tc>
      </w:tr>
      <w:tr w:rsidR="00A809AF"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before="29" w:line="288" w:lineRule="auto"/>
              <w:jc w:val="center"/>
              <w:rPr>
                <w:kern w:val="0"/>
                <w:sz w:val="24"/>
              </w:rPr>
            </w:pPr>
            <w:r w:rsidRPr="00E57D8A">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偏离度（</w:t>
            </w:r>
            <w:r w:rsidRPr="00E57D8A">
              <w:rPr>
                <w:rFonts w:hint="eastAsia"/>
                <w:kern w:val="0"/>
                <w:sz w:val="24"/>
              </w:rPr>
              <w:t>%</w:t>
            </w:r>
            <w:r w:rsidRPr="00E57D8A">
              <w:rPr>
                <w:rFonts w:hint="eastAsia"/>
                <w:kern w:val="0"/>
                <w:sz w:val="24"/>
              </w:rPr>
              <w:t>）</w:t>
            </w:r>
          </w:p>
        </w:tc>
      </w:tr>
      <w:tr w:rsidR="00A809AF"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3AF0" w:rsidRPr="00B76C7A" w:rsidRDefault="00E560DF" w:rsidP="00DC3AF0">
            <w:pPr>
              <w:spacing w:before="29" w:line="288" w:lineRule="auto"/>
              <w:jc w:val="right"/>
              <w:rPr>
                <w:bCs/>
                <w:sz w:val="24"/>
              </w:rPr>
            </w:pPr>
            <w:r w:rsidRPr="00B76C7A">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r>
      <w:tr w:rsidR="00A809AF"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7,756,263,607.37</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7,750,602,000.00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-5,661,607.37</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-0.0240</w:t>
            </w:r>
          </w:p>
        </w:tc>
      </w:tr>
      <w:tr w:rsidR="00E560DF"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7,756,263,607.37</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7,750,602,000.00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-5,661,607.37</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-0.0240</w:t>
            </w:r>
          </w:p>
        </w:tc>
      </w:tr>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311866">
            <w:pPr>
              <w:widowControl/>
              <w:spacing w:before="29" w:line="288" w:lineRule="auto"/>
              <w:jc w:val="center"/>
              <w:rPr>
                <w:rFonts w:asciiTheme="minorEastAsia" w:eastAsiaTheme="minorEastAsia" w:hAnsiTheme="minorEastAsia"/>
                <w:kern w:val="0"/>
                <w:szCs w:val="21"/>
              </w:rPr>
            </w:pPr>
            <w:r w:rsidRPr="00311866">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center"/>
              <w:rPr>
                <w:kern w:val="0"/>
                <w:sz w:val="24"/>
              </w:rPr>
            </w:pPr>
            <w:r w:rsidRPr="00311866">
              <w:rPr>
                <w:rFonts w:hint="eastAsia"/>
                <w:kern w:val="0"/>
                <w:sz w:val="24"/>
              </w:rPr>
              <w:t>上年度末</w:t>
            </w:r>
          </w:p>
          <w:p w:rsidR="00E560DF" w:rsidRDefault="00E560DF" w:rsidP="00311866">
            <w:pPr>
              <w:spacing w:before="29" w:line="288" w:lineRule="auto"/>
              <w:jc w:val="center"/>
              <w:rPr>
                <w:rFonts w:asciiTheme="minorEastAsia" w:eastAsiaTheme="minorEastAsia" w:hAnsiTheme="minorEastAsia"/>
                <w:kern w:val="0"/>
                <w:szCs w:val="21"/>
              </w:rPr>
            </w:pPr>
            <w:r w:rsidRPr="00311866">
              <w:rPr>
                <w:rFonts w:hint="eastAsia"/>
                <w:kern w:val="0"/>
                <w:sz w:val="24"/>
              </w:rPr>
              <w:t>2016</w:t>
            </w:r>
            <w:r w:rsidRPr="00311866">
              <w:rPr>
                <w:rFonts w:hint="eastAsia"/>
                <w:kern w:val="0"/>
                <w:sz w:val="24"/>
              </w:rPr>
              <w:t>年</w:t>
            </w:r>
            <w:r w:rsidRPr="00311866">
              <w:rPr>
                <w:rFonts w:hint="eastAsia"/>
                <w:kern w:val="0"/>
                <w:sz w:val="24"/>
              </w:rPr>
              <w:t>12</w:t>
            </w:r>
            <w:r w:rsidRPr="00311866">
              <w:rPr>
                <w:rFonts w:hint="eastAsia"/>
                <w:kern w:val="0"/>
                <w:sz w:val="24"/>
              </w:rPr>
              <w:t>月</w:t>
            </w:r>
            <w:r w:rsidRPr="00311866">
              <w:rPr>
                <w:rFonts w:hint="eastAsia"/>
                <w:kern w:val="0"/>
                <w:sz w:val="24"/>
              </w:rPr>
              <w:t>31</w:t>
            </w:r>
            <w:r w:rsidRPr="00311866">
              <w:rPr>
                <w:rFonts w:hint="eastAsia"/>
                <w:kern w:val="0"/>
                <w:sz w:val="24"/>
              </w:rPr>
              <w:t>日</w:t>
            </w:r>
          </w:p>
        </w:tc>
      </w:tr>
      <w:tr w:rsidR="00E560DF"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before="29" w:line="288" w:lineRule="auto"/>
              <w:jc w:val="center"/>
              <w:rPr>
                <w:kern w:val="0"/>
                <w:sz w:val="24"/>
              </w:rPr>
            </w:pPr>
            <w:r w:rsidRPr="00311866">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偏离度（</w:t>
            </w:r>
            <w:r w:rsidRPr="00311866">
              <w:rPr>
                <w:rFonts w:hint="eastAsia"/>
                <w:kern w:val="0"/>
                <w:sz w:val="24"/>
              </w:rPr>
              <w:t>%</w:t>
            </w:r>
            <w:r w:rsidRPr="00311866">
              <w:rPr>
                <w:rFonts w:hint="eastAsia"/>
                <w:kern w:val="0"/>
                <w:sz w:val="24"/>
              </w:rPr>
              <w:t>）</w:t>
            </w:r>
          </w:p>
        </w:tc>
      </w:tr>
      <w:tr w:rsidR="00E560DF"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Pr="00DE07EF" w:rsidRDefault="00E560DF" w:rsidP="00DE07EF">
            <w:pPr>
              <w:widowControl/>
              <w:spacing w:before="29" w:line="288" w:lineRule="auto"/>
              <w:jc w:val="center"/>
              <w:rPr>
                <w:kern w:val="0"/>
                <w:sz w:val="24"/>
              </w:rPr>
            </w:pPr>
            <w:r w:rsidRPr="00DE07EF">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r>
      <w:tr w:rsidR="00E560DF"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r>
      <w:tr w:rsidR="00E560DF"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B40979" w:rsidRDefault="00E560DF" w:rsidP="007B6C1E">
            <w:pPr>
              <w:widowControl/>
              <w:spacing w:before="29" w:line="288" w:lineRule="auto"/>
              <w:jc w:val="center"/>
              <w:rPr>
                <w:kern w:val="0"/>
                <w:sz w:val="24"/>
              </w:rPr>
            </w:pPr>
            <w:r w:rsidRPr="00B4097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rsidP="00951A13">
            <w:pPr>
              <w:spacing w:before="29" w:line="288" w:lineRule="auto"/>
              <w:jc w:val="right"/>
              <w:rPr>
                <w:bCs/>
                <w:sz w:val="24"/>
              </w:rPr>
            </w:pPr>
            <w:r w:rsidRPr="00951A13">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w:t>
            </w:r>
          </w:p>
        </w:tc>
      </w:tr>
    </w:tbl>
    <w:p w:rsidR="002622A8" w:rsidRDefault="00DF40FE">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、偏离金额＝影子定价－摊余成本；</w:t>
      </w:r>
    </w:p>
    <w:p w:rsidR="00E560DF"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254B34">
        <w:rPr>
          <w:rFonts w:hint="eastAsia"/>
          <w:kern w:val="0"/>
          <w:sz w:val="24"/>
        </w:rPr>
        <w:t>2</w:t>
      </w:r>
      <w:r w:rsidRPr="00254B34">
        <w:rPr>
          <w:rFonts w:hint="eastAsia"/>
          <w:kern w:val="0"/>
          <w:sz w:val="24"/>
        </w:rPr>
        <w:t>、偏离度＝偏离金额</w:t>
      </w:r>
      <w:r w:rsidRPr="00254B34">
        <w:rPr>
          <w:rFonts w:hint="eastAsia"/>
          <w:kern w:val="0"/>
          <w:sz w:val="24"/>
        </w:rPr>
        <w:t>/</w:t>
      </w:r>
      <w:r w:rsidRPr="00254B34">
        <w:rPr>
          <w:rFonts w:hint="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rsidR="0076544B" w:rsidRPr="009F4F8F" w:rsidRDefault="0076544B" w:rsidP="009F4F8F">
      <w:pPr>
        <w:spacing w:before="29" w:line="288" w:lineRule="auto"/>
        <w:rPr>
          <w:b/>
          <w:bCs/>
          <w:kern w:val="0"/>
          <w:sz w:val="24"/>
        </w:rPr>
      </w:pPr>
      <w:r w:rsidRPr="009F4F8F">
        <w:rPr>
          <w:rFonts w:hint="eastAsia"/>
          <w:b/>
          <w:bCs/>
          <w:kern w:val="0"/>
          <w:sz w:val="24"/>
        </w:rPr>
        <w:t>7.4.7.4.</w:t>
      </w:r>
      <w:r w:rsidR="008A28D4" w:rsidRPr="009F4F8F">
        <w:rPr>
          <w:rFonts w:hint="eastAsia"/>
          <w:b/>
          <w:bCs/>
          <w:kern w:val="0"/>
          <w:sz w:val="24"/>
        </w:rPr>
        <w:t>1</w:t>
      </w:r>
      <w:r w:rsidRPr="009F4F8F">
        <w:rPr>
          <w:rFonts w:hint="eastAsia"/>
          <w:b/>
          <w:bCs/>
          <w:kern w:val="0"/>
          <w:sz w:val="24"/>
        </w:rPr>
        <w:t>各项买入返售金融资产期末余额</w:t>
      </w:r>
    </w:p>
    <w:p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rsidTr="004563BB">
        <w:trPr>
          <w:trHeight w:val="330"/>
          <w:jc w:val="center"/>
        </w:trPr>
        <w:tc>
          <w:tcPr>
            <w:tcW w:w="2381" w:type="dxa"/>
            <w:vMerge w:val="restart"/>
            <w:vAlign w:val="center"/>
          </w:tcPr>
          <w:p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rsidR="001074A3" w:rsidRPr="0034412C" w:rsidRDefault="001074A3" w:rsidP="0034412C">
            <w:pPr>
              <w:spacing w:before="29" w:line="288" w:lineRule="auto"/>
              <w:jc w:val="center"/>
              <w:rPr>
                <w:sz w:val="24"/>
              </w:rPr>
            </w:pPr>
            <w:r w:rsidRPr="0034412C">
              <w:rPr>
                <w:rFonts w:hint="eastAsia"/>
                <w:sz w:val="24"/>
              </w:rPr>
              <w:t>本期末</w:t>
            </w:r>
          </w:p>
          <w:p w:rsidR="001074A3" w:rsidRPr="0034412C" w:rsidRDefault="001074A3" w:rsidP="0034412C">
            <w:pPr>
              <w:spacing w:before="29" w:line="288" w:lineRule="auto"/>
              <w:jc w:val="center"/>
              <w:rPr>
                <w:sz w:val="24"/>
              </w:rPr>
            </w:pPr>
            <w:r w:rsidRPr="0034412C">
              <w:rPr>
                <w:sz w:val="24"/>
              </w:rPr>
              <w:t>2017</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rsidTr="004563BB">
        <w:trPr>
          <w:trHeight w:val="330"/>
          <w:jc w:val="center"/>
        </w:trPr>
        <w:tc>
          <w:tcPr>
            <w:tcW w:w="2381" w:type="dxa"/>
            <w:vMerge/>
            <w:vAlign w:val="center"/>
          </w:tcPr>
          <w:p w:rsidR="001074A3" w:rsidRPr="0034412C" w:rsidRDefault="001074A3" w:rsidP="0034412C">
            <w:pPr>
              <w:spacing w:before="29" w:line="288" w:lineRule="auto"/>
              <w:jc w:val="center"/>
              <w:rPr>
                <w:sz w:val="24"/>
              </w:rPr>
            </w:pPr>
          </w:p>
        </w:tc>
        <w:tc>
          <w:tcPr>
            <w:tcW w:w="3260" w:type="dxa"/>
          </w:tcPr>
          <w:p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rsidR="001074A3" w:rsidRPr="0034412C" w:rsidRDefault="001074A3" w:rsidP="0034412C">
            <w:pPr>
              <w:spacing w:before="29" w:line="288" w:lineRule="auto"/>
              <w:jc w:val="center"/>
              <w:rPr>
                <w:sz w:val="24"/>
              </w:rPr>
            </w:pPr>
            <w:r w:rsidRPr="0034412C">
              <w:rPr>
                <w:rFonts w:hint="eastAsia"/>
                <w:sz w:val="24"/>
              </w:rPr>
              <w:t>其中：买断式逆回购</w:t>
            </w:r>
          </w:p>
        </w:tc>
      </w:tr>
      <w:tr w:rsidR="002622A8">
        <w:trPr>
          <w:jc w:val="center"/>
        </w:trPr>
        <w:tc>
          <w:tcPr>
            <w:tcW w:w="2381" w:type="dxa"/>
            <w:vAlign w:val="center"/>
          </w:tcPr>
          <w:p w:rsidR="002622A8" w:rsidRDefault="00DF40FE">
            <w:pPr>
              <w:jc w:val="left"/>
            </w:pPr>
            <w:r>
              <w:rPr>
                <w:sz w:val="24"/>
              </w:rPr>
              <w:lastRenderedPageBreak/>
              <w:t>银行间买入返售金融资产</w:t>
            </w:r>
          </w:p>
        </w:tc>
        <w:tc>
          <w:tcPr>
            <w:tcW w:w="3260" w:type="dxa"/>
            <w:vAlign w:val="center"/>
          </w:tcPr>
          <w:p w:rsidR="002622A8" w:rsidRDefault="00DF40FE">
            <w:pPr>
              <w:jc w:val="right"/>
            </w:pPr>
            <w:r>
              <w:rPr>
                <w:sz w:val="24"/>
              </w:rPr>
              <w:t>7,993,355,236.71</w:t>
            </w:r>
          </w:p>
        </w:tc>
        <w:tc>
          <w:tcPr>
            <w:tcW w:w="3371" w:type="dxa"/>
            <w:vAlign w:val="center"/>
          </w:tcPr>
          <w:p w:rsidR="002622A8" w:rsidRDefault="00DF40FE">
            <w:pPr>
              <w:jc w:val="right"/>
            </w:pPr>
            <w:r>
              <w:rPr>
                <w:sz w:val="24"/>
              </w:rPr>
              <w:t>214,790,103.89</w:t>
            </w:r>
          </w:p>
        </w:tc>
      </w:tr>
      <w:tr w:rsidR="002622A8">
        <w:trPr>
          <w:jc w:val="center"/>
        </w:trPr>
        <w:tc>
          <w:tcPr>
            <w:tcW w:w="2381" w:type="dxa"/>
            <w:vAlign w:val="center"/>
          </w:tcPr>
          <w:p w:rsidR="002622A8" w:rsidRDefault="00DF40FE">
            <w:pPr>
              <w:jc w:val="left"/>
            </w:pPr>
            <w:r>
              <w:rPr>
                <w:sz w:val="24"/>
              </w:rPr>
              <w:t>交易所买入返售金融资产</w:t>
            </w:r>
          </w:p>
        </w:tc>
        <w:tc>
          <w:tcPr>
            <w:tcW w:w="3260" w:type="dxa"/>
            <w:vAlign w:val="center"/>
          </w:tcPr>
          <w:p w:rsidR="002622A8" w:rsidRDefault="00DF40FE">
            <w:pPr>
              <w:jc w:val="right"/>
            </w:pPr>
            <w:r>
              <w:rPr>
                <w:sz w:val="24"/>
              </w:rPr>
              <w:t>1,759,307,600.00</w:t>
            </w:r>
          </w:p>
        </w:tc>
        <w:tc>
          <w:tcPr>
            <w:tcW w:w="3371" w:type="dxa"/>
            <w:vAlign w:val="center"/>
          </w:tcPr>
          <w:p w:rsidR="002622A8" w:rsidRDefault="00DF40FE">
            <w:pPr>
              <w:jc w:val="right"/>
            </w:pPr>
            <w:r>
              <w:rPr>
                <w:sz w:val="24"/>
              </w:rPr>
              <w:t>-</w:t>
            </w:r>
          </w:p>
        </w:tc>
      </w:tr>
      <w:tr w:rsidR="001074A3" w:rsidRPr="0091212A" w:rsidTr="00701DDC">
        <w:trPr>
          <w:trHeight w:val="257"/>
          <w:jc w:val="center"/>
        </w:trPr>
        <w:tc>
          <w:tcPr>
            <w:tcW w:w="2381" w:type="dxa"/>
            <w:vAlign w:val="center"/>
          </w:tcPr>
          <w:p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t>合计</w:t>
            </w:r>
          </w:p>
        </w:tc>
        <w:tc>
          <w:tcPr>
            <w:tcW w:w="3260" w:type="dxa"/>
            <w:vAlign w:val="center"/>
          </w:tcPr>
          <w:p w:rsidR="001074A3" w:rsidRPr="006C0C41" w:rsidRDefault="001074A3" w:rsidP="00701DDC">
            <w:pPr>
              <w:spacing w:before="29" w:line="288" w:lineRule="auto"/>
              <w:jc w:val="right"/>
              <w:rPr>
                <w:sz w:val="24"/>
              </w:rPr>
            </w:pPr>
            <w:r w:rsidRPr="006C0C41">
              <w:rPr>
                <w:sz w:val="24"/>
              </w:rPr>
              <w:t>9,752,662,836.71</w:t>
            </w:r>
          </w:p>
        </w:tc>
        <w:tc>
          <w:tcPr>
            <w:tcW w:w="3371" w:type="dxa"/>
            <w:vAlign w:val="center"/>
          </w:tcPr>
          <w:p w:rsidR="001074A3" w:rsidRPr="006C0C41" w:rsidRDefault="001074A3" w:rsidP="00701DDC">
            <w:pPr>
              <w:spacing w:before="29" w:line="288" w:lineRule="auto"/>
              <w:jc w:val="right"/>
              <w:rPr>
                <w:sz w:val="24"/>
              </w:rPr>
            </w:pPr>
            <w:r w:rsidRPr="006C0C41">
              <w:rPr>
                <w:sz w:val="24"/>
              </w:rPr>
              <w:t>214,790,103.89</w:t>
            </w:r>
          </w:p>
        </w:tc>
      </w:tr>
      <w:tr w:rsidR="001074A3" w:rsidRPr="0091212A" w:rsidTr="004563BB">
        <w:trPr>
          <w:trHeight w:val="330"/>
          <w:jc w:val="center"/>
        </w:trPr>
        <w:tc>
          <w:tcPr>
            <w:tcW w:w="2381" w:type="dxa"/>
            <w:vMerge w:val="restart"/>
            <w:vAlign w:val="center"/>
          </w:tcPr>
          <w:p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rsidR="001074A3" w:rsidRPr="00A50E53" w:rsidRDefault="001074A3" w:rsidP="00A50E53">
            <w:pPr>
              <w:spacing w:before="29" w:line="288" w:lineRule="auto"/>
              <w:jc w:val="center"/>
              <w:rPr>
                <w:sz w:val="24"/>
              </w:rPr>
            </w:pPr>
            <w:r w:rsidRPr="00A50E53">
              <w:rPr>
                <w:rFonts w:hint="eastAsia"/>
                <w:sz w:val="24"/>
              </w:rPr>
              <w:t>上年度末</w:t>
            </w:r>
          </w:p>
          <w:p w:rsidR="001074A3" w:rsidRPr="00A50E53" w:rsidRDefault="001074A3" w:rsidP="00A50E53">
            <w:pPr>
              <w:spacing w:before="29" w:line="288" w:lineRule="auto"/>
              <w:jc w:val="center"/>
              <w:rPr>
                <w:sz w:val="24"/>
              </w:rPr>
            </w:pPr>
            <w:r w:rsidRPr="00A50E53">
              <w:rPr>
                <w:sz w:val="24"/>
              </w:rPr>
              <w:t>2016</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rsidTr="004563BB">
        <w:trPr>
          <w:trHeight w:val="330"/>
          <w:jc w:val="center"/>
        </w:trPr>
        <w:tc>
          <w:tcPr>
            <w:tcW w:w="2381" w:type="dxa"/>
            <w:vMerge/>
            <w:vAlign w:val="center"/>
          </w:tcPr>
          <w:p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rsidR="001074A3" w:rsidRPr="00A50E53" w:rsidRDefault="001074A3" w:rsidP="00A50E53">
            <w:pPr>
              <w:spacing w:before="29" w:line="288" w:lineRule="auto"/>
              <w:jc w:val="center"/>
              <w:rPr>
                <w:sz w:val="24"/>
              </w:rPr>
            </w:pPr>
            <w:r w:rsidRPr="00A50E53">
              <w:rPr>
                <w:rFonts w:hint="eastAsia"/>
                <w:sz w:val="24"/>
              </w:rPr>
              <w:t>其中：买断式逆回购</w:t>
            </w:r>
          </w:p>
        </w:tc>
      </w:tr>
      <w:tr w:rsidR="002622A8">
        <w:trPr>
          <w:jc w:val="center"/>
        </w:trPr>
        <w:tc>
          <w:tcPr>
            <w:tcW w:w="2381" w:type="dxa"/>
            <w:vAlign w:val="center"/>
          </w:tcPr>
          <w:p w:rsidR="002622A8" w:rsidRDefault="00DF40FE">
            <w:pPr>
              <w:jc w:val="left"/>
            </w:pPr>
            <w:r>
              <w:rPr>
                <w:sz w:val="24"/>
              </w:rPr>
              <w:t>交易所买入返售金融资产</w:t>
            </w:r>
          </w:p>
        </w:tc>
        <w:tc>
          <w:tcPr>
            <w:tcW w:w="3260" w:type="dxa"/>
            <w:vAlign w:val="center"/>
          </w:tcPr>
          <w:p w:rsidR="002622A8" w:rsidRDefault="00DF40FE">
            <w:pPr>
              <w:jc w:val="right"/>
            </w:pPr>
            <w:r>
              <w:rPr>
                <w:sz w:val="24"/>
              </w:rPr>
              <w:t>148,000,000.00</w:t>
            </w:r>
          </w:p>
        </w:tc>
        <w:tc>
          <w:tcPr>
            <w:tcW w:w="3371" w:type="dxa"/>
            <w:vAlign w:val="center"/>
          </w:tcPr>
          <w:p w:rsidR="002622A8" w:rsidRDefault="00DF40FE">
            <w:pPr>
              <w:jc w:val="right"/>
            </w:pPr>
            <w:r>
              <w:rPr>
                <w:sz w:val="24"/>
              </w:rPr>
              <w:t>-</w:t>
            </w:r>
          </w:p>
        </w:tc>
      </w:tr>
      <w:tr w:rsidR="001074A3" w:rsidRPr="0091212A" w:rsidTr="00000090">
        <w:trPr>
          <w:trHeight w:val="257"/>
          <w:jc w:val="center"/>
        </w:trPr>
        <w:tc>
          <w:tcPr>
            <w:tcW w:w="2381" w:type="dxa"/>
            <w:vAlign w:val="center"/>
          </w:tcPr>
          <w:p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rsidR="001074A3" w:rsidRPr="00D078AE" w:rsidRDefault="001074A3" w:rsidP="00000090">
            <w:pPr>
              <w:spacing w:before="29" w:line="288" w:lineRule="auto"/>
              <w:jc w:val="right"/>
              <w:rPr>
                <w:sz w:val="24"/>
              </w:rPr>
            </w:pPr>
            <w:r w:rsidRPr="00D078AE">
              <w:rPr>
                <w:sz w:val="24"/>
              </w:rPr>
              <w:t>148,000,000.00</w:t>
            </w:r>
          </w:p>
        </w:tc>
        <w:tc>
          <w:tcPr>
            <w:tcW w:w="3371" w:type="dxa"/>
            <w:vAlign w:val="center"/>
          </w:tcPr>
          <w:p w:rsidR="001074A3" w:rsidRPr="00D078AE" w:rsidRDefault="001074A3" w:rsidP="00000090">
            <w:pPr>
              <w:spacing w:before="29" w:line="288" w:lineRule="auto"/>
              <w:jc w:val="right"/>
              <w:rPr>
                <w:sz w:val="24"/>
              </w:rPr>
            </w:pPr>
            <w:r w:rsidRPr="00D078AE">
              <w:rPr>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1F74B5" w:rsidRDefault="00070473" w:rsidP="00070473">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070473" w:rsidRPr="0091212A" w:rsidTr="00D32085">
        <w:tc>
          <w:tcPr>
            <w:tcW w:w="842" w:type="dxa"/>
            <w:vMerge w:val="restart"/>
            <w:vAlign w:val="center"/>
          </w:tcPr>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本期末</w:t>
            </w:r>
          </w:p>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2017</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D32085">
        <w:tc>
          <w:tcPr>
            <w:tcW w:w="842" w:type="dxa"/>
            <w:vMerge/>
          </w:tcPr>
          <w:p w:rsidR="00070473" w:rsidRPr="005822DE" w:rsidRDefault="00070473" w:rsidP="00D32085">
            <w:pPr>
              <w:spacing w:before="29" w:line="288" w:lineRule="auto"/>
              <w:jc w:val="center"/>
              <w:rPr>
                <w:color w:val="000000"/>
                <w:kern w:val="0"/>
                <w:sz w:val="24"/>
              </w:rPr>
            </w:pPr>
          </w:p>
        </w:tc>
        <w:tc>
          <w:tcPr>
            <w:tcW w:w="952"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返售日</w:t>
            </w:r>
          </w:p>
        </w:tc>
        <w:tc>
          <w:tcPr>
            <w:tcW w:w="1559"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其中：已出售或再质押总额</w:t>
            </w:r>
          </w:p>
        </w:tc>
      </w:tr>
      <w:tr w:rsidR="002622A8">
        <w:tc>
          <w:tcPr>
            <w:tcW w:w="842" w:type="dxa"/>
            <w:vAlign w:val="center"/>
          </w:tcPr>
          <w:p w:rsidR="002622A8" w:rsidRDefault="00DF40FE">
            <w:pPr>
              <w:jc w:val="center"/>
            </w:pPr>
            <w:r>
              <w:rPr>
                <w:rFonts w:hint="eastAsia"/>
                <w:kern w:val="0"/>
                <w:sz w:val="24"/>
              </w:rPr>
              <w:t>1</w:t>
            </w:r>
          </w:p>
        </w:tc>
        <w:tc>
          <w:tcPr>
            <w:tcW w:w="952" w:type="dxa"/>
            <w:vAlign w:val="center"/>
          </w:tcPr>
          <w:p w:rsidR="002622A8" w:rsidRDefault="00DF40FE">
            <w:pPr>
              <w:jc w:val="center"/>
            </w:pPr>
            <w:r>
              <w:rPr>
                <w:rFonts w:hint="eastAsia"/>
                <w:kern w:val="0"/>
                <w:sz w:val="24"/>
              </w:rPr>
              <w:t>111787856</w:t>
            </w:r>
          </w:p>
        </w:tc>
        <w:tc>
          <w:tcPr>
            <w:tcW w:w="993" w:type="dxa"/>
            <w:vAlign w:val="center"/>
          </w:tcPr>
          <w:p w:rsidR="002622A8" w:rsidRDefault="00DF40FE">
            <w:pPr>
              <w:jc w:val="center"/>
            </w:pPr>
            <w:r>
              <w:rPr>
                <w:rFonts w:hint="eastAsia"/>
                <w:kern w:val="0"/>
                <w:sz w:val="24"/>
              </w:rPr>
              <w:t>17</w:t>
            </w:r>
            <w:r>
              <w:rPr>
                <w:rFonts w:hint="eastAsia"/>
                <w:kern w:val="0"/>
                <w:sz w:val="24"/>
              </w:rPr>
              <w:t>长沙银行</w:t>
            </w:r>
            <w:r>
              <w:rPr>
                <w:rFonts w:hint="eastAsia"/>
                <w:kern w:val="0"/>
                <w:sz w:val="24"/>
              </w:rPr>
              <w:t>CD116</w:t>
            </w:r>
          </w:p>
        </w:tc>
        <w:tc>
          <w:tcPr>
            <w:tcW w:w="1134" w:type="dxa"/>
            <w:vAlign w:val="center"/>
          </w:tcPr>
          <w:p w:rsidR="002622A8" w:rsidRDefault="00DF40FE">
            <w:pPr>
              <w:jc w:val="center"/>
            </w:pPr>
            <w:r>
              <w:rPr>
                <w:rFonts w:hint="eastAsia"/>
                <w:kern w:val="0"/>
                <w:sz w:val="24"/>
              </w:rPr>
              <w:t>2018-01-03</w:t>
            </w:r>
          </w:p>
        </w:tc>
        <w:tc>
          <w:tcPr>
            <w:tcW w:w="1559" w:type="dxa"/>
            <w:vAlign w:val="center"/>
          </w:tcPr>
          <w:p w:rsidR="002622A8" w:rsidRDefault="00DF40FE">
            <w:pPr>
              <w:jc w:val="center"/>
            </w:pPr>
            <w:r>
              <w:rPr>
                <w:rFonts w:hint="eastAsia"/>
                <w:kern w:val="0"/>
                <w:sz w:val="24"/>
              </w:rPr>
              <w:t>98.25</w:t>
            </w:r>
          </w:p>
        </w:tc>
        <w:tc>
          <w:tcPr>
            <w:tcW w:w="1417" w:type="dxa"/>
            <w:vAlign w:val="center"/>
          </w:tcPr>
          <w:p w:rsidR="002622A8" w:rsidRDefault="00DF40FE">
            <w:pPr>
              <w:jc w:val="center"/>
            </w:pPr>
            <w:r>
              <w:rPr>
                <w:rFonts w:hint="eastAsia"/>
                <w:kern w:val="0"/>
                <w:sz w:val="24"/>
              </w:rPr>
              <w:t>1,000,000.00</w:t>
            </w:r>
          </w:p>
        </w:tc>
        <w:tc>
          <w:tcPr>
            <w:tcW w:w="1134" w:type="dxa"/>
            <w:vAlign w:val="center"/>
          </w:tcPr>
          <w:p w:rsidR="002622A8" w:rsidRDefault="00DF40FE">
            <w:pPr>
              <w:jc w:val="center"/>
            </w:pPr>
            <w:r>
              <w:rPr>
                <w:rFonts w:hint="eastAsia"/>
                <w:kern w:val="0"/>
                <w:sz w:val="24"/>
              </w:rPr>
              <w:t>98,250,000.00</w:t>
            </w:r>
          </w:p>
        </w:tc>
        <w:tc>
          <w:tcPr>
            <w:tcW w:w="1240" w:type="dxa"/>
            <w:vAlign w:val="center"/>
          </w:tcPr>
          <w:p w:rsidR="002622A8" w:rsidRDefault="00DF40FE">
            <w:pPr>
              <w:jc w:val="center"/>
            </w:pPr>
            <w:r>
              <w:rPr>
                <w:rFonts w:hint="eastAsia"/>
                <w:kern w:val="0"/>
                <w:sz w:val="24"/>
              </w:rPr>
              <w:t>-</w:t>
            </w:r>
          </w:p>
        </w:tc>
      </w:tr>
      <w:tr w:rsidR="002622A8">
        <w:tc>
          <w:tcPr>
            <w:tcW w:w="842" w:type="dxa"/>
            <w:vAlign w:val="center"/>
          </w:tcPr>
          <w:p w:rsidR="002622A8" w:rsidRDefault="00DF40FE">
            <w:pPr>
              <w:jc w:val="center"/>
            </w:pPr>
            <w:r>
              <w:rPr>
                <w:rFonts w:hint="eastAsia"/>
                <w:kern w:val="0"/>
                <w:sz w:val="24"/>
              </w:rPr>
              <w:t>2</w:t>
            </w:r>
          </w:p>
        </w:tc>
        <w:tc>
          <w:tcPr>
            <w:tcW w:w="952" w:type="dxa"/>
            <w:vAlign w:val="center"/>
          </w:tcPr>
          <w:p w:rsidR="002622A8" w:rsidRDefault="00DF40FE">
            <w:pPr>
              <w:jc w:val="center"/>
            </w:pPr>
            <w:r>
              <w:rPr>
                <w:rFonts w:hint="eastAsia"/>
                <w:kern w:val="0"/>
                <w:sz w:val="24"/>
              </w:rPr>
              <w:t>111799836</w:t>
            </w:r>
          </w:p>
        </w:tc>
        <w:tc>
          <w:tcPr>
            <w:tcW w:w="993" w:type="dxa"/>
            <w:vAlign w:val="center"/>
          </w:tcPr>
          <w:p w:rsidR="002622A8" w:rsidRDefault="00DF40FE">
            <w:pPr>
              <w:jc w:val="center"/>
            </w:pPr>
            <w:r>
              <w:rPr>
                <w:rFonts w:hint="eastAsia"/>
                <w:kern w:val="0"/>
                <w:sz w:val="24"/>
              </w:rPr>
              <w:t>17</w:t>
            </w:r>
            <w:r>
              <w:rPr>
                <w:rFonts w:hint="eastAsia"/>
                <w:kern w:val="0"/>
                <w:sz w:val="24"/>
              </w:rPr>
              <w:t>成都农商银行</w:t>
            </w:r>
            <w:r>
              <w:rPr>
                <w:rFonts w:hint="eastAsia"/>
                <w:kern w:val="0"/>
                <w:sz w:val="24"/>
              </w:rPr>
              <w:t>CD015</w:t>
            </w:r>
          </w:p>
        </w:tc>
        <w:tc>
          <w:tcPr>
            <w:tcW w:w="1134" w:type="dxa"/>
            <w:vAlign w:val="center"/>
          </w:tcPr>
          <w:p w:rsidR="002622A8" w:rsidRDefault="00DF40FE">
            <w:pPr>
              <w:jc w:val="center"/>
            </w:pPr>
            <w:r>
              <w:rPr>
                <w:rFonts w:hint="eastAsia"/>
                <w:kern w:val="0"/>
                <w:sz w:val="24"/>
              </w:rPr>
              <w:t>2018-01-03</w:t>
            </w:r>
          </w:p>
        </w:tc>
        <w:tc>
          <w:tcPr>
            <w:tcW w:w="1559" w:type="dxa"/>
            <w:vAlign w:val="center"/>
          </w:tcPr>
          <w:p w:rsidR="002622A8" w:rsidRDefault="00DF40FE">
            <w:pPr>
              <w:jc w:val="center"/>
            </w:pPr>
            <w:r>
              <w:rPr>
                <w:rFonts w:hint="eastAsia"/>
                <w:kern w:val="0"/>
                <w:sz w:val="24"/>
              </w:rPr>
              <w:t>97.63</w:t>
            </w:r>
          </w:p>
        </w:tc>
        <w:tc>
          <w:tcPr>
            <w:tcW w:w="1417" w:type="dxa"/>
            <w:vAlign w:val="center"/>
          </w:tcPr>
          <w:p w:rsidR="002622A8" w:rsidRDefault="00DF40FE">
            <w:pPr>
              <w:jc w:val="center"/>
            </w:pPr>
            <w:r>
              <w:rPr>
                <w:rFonts w:hint="eastAsia"/>
                <w:kern w:val="0"/>
                <w:sz w:val="24"/>
              </w:rPr>
              <w:t>700,000.00</w:t>
            </w:r>
          </w:p>
        </w:tc>
        <w:tc>
          <w:tcPr>
            <w:tcW w:w="1134" w:type="dxa"/>
            <w:vAlign w:val="center"/>
          </w:tcPr>
          <w:p w:rsidR="002622A8" w:rsidRDefault="00DF40FE">
            <w:pPr>
              <w:jc w:val="center"/>
            </w:pPr>
            <w:r>
              <w:rPr>
                <w:rFonts w:hint="eastAsia"/>
                <w:kern w:val="0"/>
                <w:sz w:val="24"/>
              </w:rPr>
              <w:t>68,341,000.00</w:t>
            </w:r>
          </w:p>
        </w:tc>
        <w:tc>
          <w:tcPr>
            <w:tcW w:w="1240" w:type="dxa"/>
            <w:vAlign w:val="center"/>
          </w:tcPr>
          <w:p w:rsidR="002622A8" w:rsidRDefault="00DF40FE">
            <w:pPr>
              <w:jc w:val="center"/>
            </w:pPr>
            <w:r>
              <w:rPr>
                <w:rFonts w:hint="eastAsia"/>
                <w:kern w:val="0"/>
                <w:sz w:val="24"/>
              </w:rPr>
              <w:t>-</w:t>
            </w:r>
          </w:p>
        </w:tc>
      </w:tr>
      <w:tr w:rsidR="002622A8">
        <w:tc>
          <w:tcPr>
            <w:tcW w:w="842" w:type="dxa"/>
            <w:vAlign w:val="center"/>
          </w:tcPr>
          <w:p w:rsidR="002622A8" w:rsidRDefault="00DF40FE">
            <w:pPr>
              <w:jc w:val="center"/>
            </w:pPr>
            <w:r>
              <w:rPr>
                <w:rFonts w:hint="eastAsia"/>
                <w:kern w:val="0"/>
                <w:sz w:val="24"/>
              </w:rPr>
              <w:t>3</w:t>
            </w:r>
          </w:p>
        </w:tc>
        <w:tc>
          <w:tcPr>
            <w:tcW w:w="952" w:type="dxa"/>
            <w:vAlign w:val="center"/>
          </w:tcPr>
          <w:p w:rsidR="002622A8" w:rsidRDefault="00DF40FE">
            <w:pPr>
              <w:jc w:val="center"/>
            </w:pPr>
            <w:r>
              <w:rPr>
                <w:rFonts w:hint="eastAsia"/>
                <w:kern w:val="0"/>
                <w:sz w:val="24"/>
              </w:rPr>
              <w:t>111799840</w:t>
            </w:r>
          </w:p>
        </w:tc>
        <w:tc>
          <w:tcPr>
            <w:tcW w:w="993" w:type="dxa"/>
            <w:vAlign w:val="center"/>
          </w:tcPr>
          <w:p w:rsidR="002622A8" w:rsidRDefault="00DF40FE">
            <w:pPr>
              <w:jc w:val="center"/>
            </w:pPr>
            <w:r>
              <w:rPr>
                <w:rFonts w:hint="eastAsia"/>
                <w:kern w:val="0"/>
                <w:sz w:val="24"/>
              </w:rPr>
              <w:t>17</w:t>
            </w:r>
            <w:r>
              <w:rPr>
                <w:rFonts w:hint="eastAsia"/>
                <w:kern w:val="0"/>
                <w:sz w:val="24"/>
              </w:rPr>
              <w:t>重庆银行</w:t>
            </w:r>
            <w:r>
              <w:rPr>
                <w:rFonts w:hint="eastAsia"/>
                <w:kern w:val="0"/>
                <w:sz w:val="24"/>
              </w:rPr>
              <w:t>CD105</w:t>
            </w:r>
          </w:p>
        </w:tc>
        <w:tc>
          <w:tcPr>
            <w:tcW w:w="1134" w:type="dxa"/>
            <w:vAlign w:val="center"/>
          </w:tcPr>
          <w:p w:rsidR="002622A8" w:rsidRDefault="00DF40FE">
            <w:pPr>
              <w:jc w:val="center"/>
            </w:pPr>
            <w:r>
              <w:rPr>
                <w:rFonts w:hint="eastAsia"/>
                <w:kern w:val="0"/>
                <w:sz w:val="24"/>
              </w:rPr>
              <w:t>2018-01-03</w:t>
            </w:r>
          </w:p>
        </w:tc>
        <w:tc>
          <w:tcPr>
            <w:tcW w:w="1559" w:type="dxa"/>
            <w:vAlign w:val="center"/>
          </w:tcPr>
          <w:p w:rsidR="002622A8" w:rsidRDefault="00DF40FE">
            <w:pPr>
              <w:jc w:val="center"/>
            </w:pPr>
            <w:r>
              <w:rPr>
                <w:rFonts w:hint="eastAsia"/>
                <w:kern w:val="0"/>
                <w:sz w:val="24"/>
              </w:rPr>
              <w:t>97.63</w:t>
            </w:r>
          </w:p>
        </w:tc>
        <w:tc>
          <w:tcPr>
            <w:tcW w:w="1417" w:type="dxa"/>
            <w:vAlign w:val="center"/>
          </w:tcPr>
          <w:p w:rsidR="002622A8" w:rsidRDefault="00DF40FE">
            <w:pPr>
              <w:jc w:val="center"/>
            </w:pPr>
            <w:r>
              <w:rPr>
                <w:rFonts w:hint="eastAsia"/>
                <w:kern w:val="0"/>
                <w:sz w:val="24"/>
              </w:rPr>
              <w:t>500,000.00</w:t>
            </w:r>
          </w:p>
        </w:tc>
        <w:tc>
          <w:tcPr>
            <w:tcW w:w="1134" w:type="dxa"/>
            <w:vAlign w:val="center"/>
          </w:tcPr>
          <w:p w:rsidR="002622A8" w:rsidRDefault="00DF40FE">
            <w:pPr>
              <w:jc w:val="center"/>
            </w:pPr>
            <w:r>
              <w:rPr>
                <w:rFonts w:hint="eastAsia"/>
                <w:kern w:val="0"/>
                <w:sz w:val="24"/>
              </w:rPr>
              <w:t>48,815,000.00</w:t>
            </w:r>
          </w:p>
        </w:tc>
        <w:tc>
          <w:tcPr>
            <w:tcW w:w="1240" w:type="dxa"/>
            <w:vAlign w:val="center"/>
          </w:tcPr>
          <w:p w:rsidR="002622A8" w:rsidRDefault="00DF40FE">
            <w:pPr>
              <w:jc w:val="center"/>
            </w:pPr>
            <w:r>
              <w:rPr>
                <w:rFonts w:hint="eastAsia"/>
                <w:kern w:val="0"/>
                <w:sz w:val="24"/>
              </w:rPr>
              <w:t>-</w:t>
            </w:r>
          </w:p>
        </w:tc>
      </w:tr>
      <w:tr w:rsidR="0019205F" w:rsidRPr="0091212A" w:rsidTr="00117EF4">
        <w:tc>
          <w:tcPr>
            <w:tcW w:w="842" w:type="dxa"/>
            <w:vAlign w:val="center"/>
          </w:tcPr>
          <w:p w:rsidR="0019205F" w:rsidRPr="0091212A" w:rsidRDefault="0019205F" w:rsidP="00D32085">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19205F" w:rsidRPr="00404E31" w:rsidRDefault="0019205F" w:rsidP="00117EF4">
            <w:pPr>
              <w:jc w:val="center"/>
              <w:rPr>
                <w:kern w:val="0"/>
                <w:sz w:val="24"/>
              </w:rPr>
            </w:pPr>
            <w:r w:rsidRPr="00925564">
              <w:rPr>
                <w:rFonts w:hint="eastAsia"/>
                <w:kern w:val="0"/>
                <w:sz w:val="24"/>
              </w:rPr>
              <w:t>-</w:t>
            </w:r>
          </w:p>
        </w:tc>
        <w:tc>
          <w:tcPr>
            <w:tcW w:w="993" w:type="dxa"/>
            <w:vAlign w:val="center"/>
          </w:tcPr>
          <w:p w:rsidR="0019205F" w:rsidRDefault="0019205F" w:rsidP="00117EF4">
            <w:pPr>
              <w:jc w:val="center"/>
            </w:pPr>
            <w:r w:rsidRPr="00925564">
              <w:rPr>
                <w:rFonts w:hint="eastAsia"/>
                <w:kern w:val="0"/>
                <w:sz w:val="24"/>
              </w:rPr>
              <w:t>-</w:t>
            </w:r>
          </w:p>
        </w:tc>
        <w:tc>
          <w:tcPr>
            <w:tcW w:w="1134" w:type="dxa"/>
            <w:vAlign w:val="center"/>
          </w:tcPr>
          <w:p w:rsidR="0019205F" w:rsidRPr="00404E31" w:rsidRDefault="0019205F" w:rsidP="00117EF4">
            <w:pPr>
              <w:jc w:val="center"/>
              <w:rPr>
                <w:kern w:val="0"/>
                <w:sz w:val="24"/>
              </w:rPr>
            </w:pPr>
            <w:r w:rsidRPr="00925564">
              <w:rPr>
                <w:rFonts w:hint="eastAsia"/>
                <w:kern w:val="0"/>
                <w:sz w:val="24"/>
              </w:rPr>
              <w:t>-</w:t>
            </w:r>
          </w:p>
        </w:tc>
        <w:tc>
          <w:tcPr>
            <w:tcW w:w="1559" w:type="dxa"/>
            <w:vAlign w:val="center"/>
          </w:tcPr>
          <w:p w:rsidR="0019205F" w:rsidRDefault="0019205F" w:rsidP="00117EF4">
            <w:pPr>
              <w:jc w:val="center"/>
            </w:pPr>
            <w:r w:rsidRPr="00925564">
              <w:rPr>
                <w:rFonts w:hint="eastAsia"/>
                <w:kern w:val="0"/>
                <w:sz w:val="24"/>
              </w:rPr>
              <w:t>-</w:t>
            </w:r>
          </w:p>
        </w:tc>
        <w:tc>
          <w:tcPr>
            <w:tcW w:w="1417"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2,200,000.00</w:t>
            </w:r>
          </w:p>
        </w:tc>
        <w:tc>
          <w:tcPr>
            <w:tcW w:w="1134"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215,406,000.00</w:t>
            </w:r>
          </w:p>
        </w:tc>
        <w:tc>
          <w:tcPr>
            <w:tcW w:w="1240"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w:t>
            </w:r>
          </w:p>
        </w:tc>
      </w:tr>
      <w:tr w:rsidR="00070473" w:rsidRPr="0091212A" w:rsidTr="00D32085">
        <w:tc>
          <w:tcPr>
            <w:tcW w:w="842" w:type="dxa"/>
            <w:vMerge w:val="restart"/>
            <w:vAlign w:val="center"/>
          </w:tcPr>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上年度末</w:t>
            </w:r>
          </w:p>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2016</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D32085">
        <w:tc>
          <w:tcPr>
            <w:tcW w:w="842" w:type="dxa"/>
            <w:vMerge/>
          </w:tcPr>
          <w:p w:rsidR="00070473" w:rsidRPr="005822DE" w:rsidRDefault="00070473" w:rsidP="00D32085">
            <w:pPr>
              <w:spacing w:before="29" w:line="288" w:lineRule="auto"/>
              <w:jc w:val="center"/>
              <w:rPr>
                <w:color w:val="000000"/>
                <w:kern w:val="0"/>
                <w:sz w:val="24"/>
              </w:rPr>
            </w:pPr>
          </w:p>
        </w:tc>
        <w:tc>
          <w:tcPr>
            <w:tcW w:w="952"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返售日</w:t>
            </w:r>
          </w:p>
        </w:tc>
        <w:tc>
          <w:tcPr>
            <w:tcW w:w="1559"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其中：已出售或再质押总额</w:t>
            </w:r>
          </w:p>
        </w:tc>
      </w:tr>
      <w:tr w:rsidR="00070473" w:rsidRPr="0091212A" w:rsidTr="00EF6B45">
        <w:tc>
          <w:tcPr>
            <w:tcW w:w="842" w:type="dxa"/>
            <w:vAlign w:val="center"/>
          </w:tcPr>
          <w:p w:rsidR="00070473" w:rsidRPr="0091212A" w:rsidRDefault="00070473" w:rsidP="00D32085">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993"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134"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559"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417"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c>
          <w:tcPr>
            <w:tcW w:w="1134"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c>
          <w:tcPr>
            <w:tcW w:w="1240"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r>
    </w:tbl>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lastRenderedPageBreak/>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2016</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5,195.71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12,809.82</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22,532,634.27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57,777.60</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1,079.20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31,561,268.51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6,773,852.73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4,886.59</w:t>
            </w:r>
          </w:p>
        </w:tc>
      </w:tr>
      <w:tr w:rsidR="002C233F"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737895" w:rsidRPr="00AA2DE8" w:rsidRDefault="00737895"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682D97">
            <w:pPr>
              <w:spacing w:before="29" w:line="288" w:lineRule="auto"/>
              <w:jc w:val="right"/>
              <w:rPr>
                <w:sz w:val="24"/>
              </w:rPr>
            </w:pPr>
            <w:r w:rsidRPr="007A06D4">
              <w:rPr>
                <w:rFonts w:hint="eastAsia"/>
                <w:sz w:val="24"/>
              </w:rPr>
              <w:t>60,874,030.42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682D97">
            <w:pPr>
              <w:spacing w:before="29" w:line="288" w:lineRule="auto"/>
              <w:jc w:val="right"/>
              <w:rPr>
                <w:sz w:val="24"/>
              </w:rPr>
            </w:pPr>
            <w:r w:rsidRPr="007A06D4">
              <w:rPr>
                <w:rFonts w:hint="eastAsia"/>
                <w:sz w:val="24"/>
              </w:rPr>
              <w:t>75,474.01</w:t>
            </w:r>
          </w:p>
        </w:tc>
      </w:tr>
    </w:tbl>
    <w:p w:rsidR="006D141C" w:rsidRPr="00D0515B" w:rsidRDefault="006D141C" w:rsidP="004B36C2">
      <w:pPr>
        <w:spacing w:line="360" w:lineRule="auto"/>
        <w:rPr>
          <w:rFonts w:asciiTheme="minorEastAsia" w:eastAsiaTheme="minorEastAsia" w:hAnsiTheme="minorEastAsia"/>
          <w:szCs w:val="21"/>
        </w:rPr>
      </w:pPr>
    </w:p>
    <w:p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rsidR="00C92AA0" w:rsidRPr="00D754A9" w:rsidRDefault="00C92AA0" w:rsidP="00C92AA0">
      <w:pPr>
        <w:tabs>
          <w:tab w:val="left" w:pos="426"/>
        </w:tabs>
        <w:spacing w:before="29" w:line="288" w:lineRule="auto"/>
        <w:jc w:val="left"/>
        <w:rPr>
          <w:kern w:val="0"/>
          <w:sz w:val="24"/>
        </w:rPr>
      </w:pPr>
      <w:r w:rsidRPr="00D754A9">
        <w:rPr>
          <w:kern w:val="0"/>
          <w:sz w:val="24"/>
        </w:rPr>
        <w:t>本基金本报告期末及上年度末未持有其他资产。</w:t>
      </w:r>
    </w:p>
    <w:p w:rsidR="006D141C" w:rsidRPr="00C92AA0" w:rsidRDefault="006D141C" w:rsidP="004B36C2">
      <w:pPr>
        <w:spacing w:line="360" w:lineRule="auto"/>
        <w:rPr>
          <w:rFonts w:asciiTheme="minorEastAsia" w:eastAsiaTheme="minorEastAsia" w:hAnsiTheme="minorEastAsia"/>
          <w:szCs w:val="21"/>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2016</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79,034.00</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79,034.00</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2016</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2622A8">
        <w:tc>
          <w:tcPr>
            <w:tcW w:w="2715" w:type="dxa"/>
            <w:vAlign w:val="center"/>
          </w:tcPr>
          <w:p w:rsidR="002622A8" w:rsidRDefault="00DF40FE">
            <w:pPr>
              <w:jc w:val="left"/>
            </w:pPr>
            <w:r>
              <w:rPr>
                <w:sz w:val="24"/>
              </w:rPr>
              <w:t>预提信息披露费</w:t>
            </w:r>
          </w:p>
        </w:tc>
        <w:tc>
          <w:tcPr>
            <w:tcW w:w="3150" w:type="dxa"/>
            <w:vAlign w:val="center"/>
          </w:tcPr>
          <w:p w:rsidR="002622A8" w:rsidRDefault="00DF40FE">
            <w:pPr>
              <w:jc w:val="right"/>
            </w:pPr>
            <w:r>
              <w:rPr>
                <w:sz w:val="24"/>
              </w:rPr>
              <w:t>120,000.00</w:t>
            </w:r>
          </w:p>
        </w:tc>
        <w:tc>
          <w:tcPr>
            <w:tcW w:w="3150" w:type="dxa"/>
            <w:vAlign w:val="center"/>
          </w:tcPr>
          <w:p w:rsidR="002622A8" w:rsidRDefault="00DF40FE">
            <w:pPr>
              <w:jc w:val="right"/>
            </w:pPr>
            <w:r>
              <w:rPr>
                <w:sz w:val="24"/>
              </w:rPr>
              <w:t>-</w:t>
            </w:r>
          </w:p>
        </w:tc>
      </w:tr>
      <w:tr w:rsidR="002622A8">
        <w:tc>
          <w:tcPr>
            <w:tcW w:w="2715" w:type="dxa"/>
            <w:vAlign w:val="center"/>
          </w:tcPr>
          <w:p w:rsidR="002622A8" w:rsidRDefault="00DF40FE">
            <w:pPr>
              <w:jc w:val="left"/>
            </w:pPr>
            <w:r>
              <w:rPr>
                <w:sz w:val="24"/>
              </w:rPr>
              <w:t>预提审计费</w:t>
            </w:r>
          </w:p>
        </w:tc>
        <w:tc>
          <w:tcPr>
            <w:tcW w:w="3150" w:type="dxa"/>
            <w:vAlign w:val="center"/>
          </w:tcPr>
          <w:p w:rsidR="002622A8" w:rsidRDefault="00DF40FE">
            <w:pPr>
              <w:jc w:val="right"/>
            </w:pPr>
            <w:r>
              <w:rPr>
                <w:sz w:val="24"/>
              </w:rPr>
              <w:t>100,000.00</w:t>
            </w:r>
          </w:p>
        </w:tc>
        <w:tc>
          <w:tcPr>
            <w:tcW w:w="3150" w:type="dxa"/>
            <w:vAlign w:val="center"/>
          </w:tcPr>
          <w:p w:rsidR="002622A8" w:rsidRDefault="00DF40FE">
            <w:pPr>
              <w:jc w:val="right"/>
            </w:pPr>
            <w:r>
              <w:rPr>
                <w:sz w:val="24"/>
              </w:rPr>
              <w:t>4,230.75</w:t>
            </w:r>
          </w:p>
        </w:tc>
      </w:tr>
      <w:tr w:rsidR="002622A8">
        <w:tc>
          <w:tcPr>
            <w:tcW w:w="2715" w:type="dxa"/>
            <w:vAlign w:val="center"/>
          </w:tcPr>
          <w:p w:rsidR="002622A8" w:rsidRDefault="00DF40FE">
            <w:pPr>
              <w:jc w:val="left"/>
            </w:pPr>
            <w:r>
              <w:rPr>
                <w:sz w:val="24"/>
              </w:rPr>
              <w:lastRenderedPageBreak/>
              <w:t>银行手续费</w:t>
            </w:r>
          </w:p>
        </w:tc>
        <w:tc>
          <w:tcPr>
            <w:tcW w:w="3150" w:type="dxa"/>
            <w:vAlign w:val="center"/>
          </w:tcPr>
          <w:p w:rsidR="002622A8" w:rsidRDefault="00DF40FE">
            <w:pPr>
              <w:jc w:val="right"/>
            </w:pPr>
            <w:r>
              <w:rPr>
                <w:sz w:val="24"/>
              </w:rPr>
              <w:t>12,113.97</w:t>
            </w:r>
          </w:p>
        </w:tc>
        <w:tc>
          <w:tcPr>
            <w:tcW w:w="3150" w:type="dxa"/>
            <w:vAlign w:val="center"/>
          </w:tcPr>
          <w:p w:rsidR="002622A8" w:rsidRDefault="00DF40FE">
            <w:pPr>
              <w:jc w:val="right"/>
            </w:pPr>
            <w:r>
              <w:rPr>
                <w:sz w:val="24"/>
              </w:rPr>
              <w:t>850.00</w:t>
            </w:r>
          </w:p>
        </w:tc>
      </w:tr>
      <w:tr w:rsidR="002622A8">
        <w:tc>
          <w:tcPr>
            <w:tcW w:w="2715" w:type="dxa"/>
            <w:vAlign w:val="center"/>
          </w:tcPr>
          <w:p w:rsidR="002622A8" w:rsidRDefault="00DF40FE">
            <w:pPr>
              <w:jc w:val="left"/>
            </w:pPr>
            <w:r>
              <w:rPr>
                <w:sz w:val="24"/>
              </w:rPr>
              <w:t>预提账户维护费</w:t>
            </w:r>
          </w:p>
        </w:tc>
        <w:tc>
          <w:tcPr>
            <w:tcW w:w="3150" w:type="dxa"/>
            <w:vAlign w:val="center"/>
          </w:tcPr>
          <w:p w:rsidR="002622A8" w:rsidRDefault="00DF40FE">
            <w:pPr>
              <w:jc w:val="right"/>
            </w:pPr>
            <w:r>
              <w:rPr>
                <w:sz w:val="24"/>
              </w:rPr>
              <w:t>9,300.00</w:t>
            </w:r>
          </w:p>
        </w:tc>
        <w:tc>
          <w:tcPr>
            <w:tcW w:w="3150" w:type="dxa"/>
            <w:vAlign w:val="center"/>
          </w:tcPr>
          <w:p w:rsidR="002622A8" w:rsidRDefault="00DF40FE">
            <w:pPr>
              <w:jc w:val="right"/>
            </w:pPr>
            <w:r>
              <w:rPr>
                <w:sz w:val="24"/>
              </w:rPr>
              <w:t>-</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241,413.97</w:t>
            </w:r>
          </w:p>
        </w:tc>
        <w:tc>
          <w:tcPr>
            <w:tcW w:w="3150" w:type="dxa"/>
            <w:vAlign w:val="bottom"/>
          </w:tcPr>
          <w:p w:rsidR="00611467" w:rsidRPr="00934E74" w:rsidRDefault="00611467" w:rsidP="00934E74">
            <w:pPr>
              <w:spacing w:before="29" w:line="288" w:lineRule="auto"/>
              <w:jc w:val="right"/>
              <w:rPr>
                <w:sz w:val="24"/>
              </w:rPr>
            </w:pPr>
            <w:r w:rsidRPr="00934E74">
              <w:rPr>
                <w:sz w:val="24"/>
              </w:rPr>
              <w:t>5,080.75</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80B3F" w:rsidRPr="00F63F69" w:rsidTr="009344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widowControl/>
              <w:wordWrap w:val="0"/>
              <w:autoSpaceDE w:val="0"/>
              <w:autoSpaceDN w:val="0"/>
              <w:ind w:right="-15"/>
              <w:jc w:val="center"/>
              <w:textAlignment w:val="bottom"/>
              <w:rPr>
                <w:sz w:val="24"/>
              </w:rPr>
            </w:pPr>
            <w:r w:rsidRPr="00F63F69">
              <w:rPr>
                <w:rFonts w:hint="eastAsia"/>
                <w:sz w:val="24"/>
              </w:rPr>
              <w:t>项目</w:t>
            </w:r>
            <w:r w:rsidRPr="004F13DF">
              <w:rPr>
                <w:rFonts w:hint="eastAsia"/>
                <w:sz w:val="24"/>
              </w:rPr>
              <w:t>(A</w:t>
            </w:r>
            <w:r w:rsidRPr="004F13DF">
              <w:rPr>
                <w:rFonts w:hint="eastAsia"/>
                <w:sz w:val="24"/>
              </w:rPr>
              <w:t>类</w:t>
            </w:r>
            <w:r w:rsidRPr="004F13DF">
              <w:rPr>
                <w:rFonts w:hint="eastAsia"/>
                <w:sz w:val="24"/>
              </w:rPr>
              <w:t>)</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wordWrap w:val="0"/>
              <w:jc w:val="center"/>
              <w:rPr>
                <w:sz w:val="24"/>
              </w:rPr>
            </w:pPr>
            <w:r w:rsidRPr="00F63F69">
              <w:rPr>
                <w:rFonts w:hint="eastAsia"/>
                <w:sz w:val="24"/>
              </w:rPr>
              <w:t>本期</w:t>
            </w:r>
          </w:p>
          <w:p w:rsidR="00280B3F" w:rsidRPr="00F63F69" w:rsidRDefault="00280B3F" w:rsidP="00934457">
            <w:pPr>
              <w:widowControl/>
              <w:wordWrap w:val="0"/>
              <w:autoSpaceDE w:val="0"/>
              <w:autoSpaceDN w:val="0"/>
              <w:ind w:right="-15"/>
              <w:jc w:val="center"/>
              <w:textAlignment w:val="bottom"/>
              <w:rPr>
                <w:sz w:val="24"/>
              </w:rPr>
            </w:pPr>
            <w:r w:rsidRPr="00F63F69">
              <w:rPr>
                <w:rFonts w:hint="eastAsia"/>
                <w:sz w:val="24"/>
              </w:rPr>
              <w:t>2017</w:t>
            </w:r>
            <w:r w:rsidRPr="00F63F69">
              <w:rPr>
                <w:rFonts w:hint="eastAsia"/>
                <w:sz w:val="24"/>
              </w:rPr>
              <w:t>年</w:t>
            </w:r>
            <w:r w:rsidRPr="00F63F69">
              <w:rPr>
                <w:rFonts w:hint="eastAsia"/>
                <w:sz w:val="24"/>
              </w:rPr>
              <w:t>1</w:t>
            </w:r>
            <w:r w:rsidRPr="00F63F69">
              <w:rPr>
                <w:rFonts w:hint="eastAsia"/>
                <w:sz w:val="24"/>
              </w:rPr>
              <w:t>月</w:t>
            </w:r>
            <w:r w:rsidRPr="00F63F69">
              <w:rPr>
                <w:rFonts w:hint="eastAsia"/>
                <w:sz w:val="24"/>
              </w:rPr>
              <w:t>1</w:t>
            </w:r>
            <w:r w:rsidRPr="00F63F69">
              <w:rPr>
                <w:rFonts w:hint="eastAsia"/>
                <w:sz w:val="24"/>
              </w:rPr>
              <w:t>日至</w:t>
            </w:r>
            <w:r w:rsidRPr="00F63F69">
              <w:rPr>
                <w:rFonts w:hint="eastAsia"/>
                <w:sz w:val="24"/>
              </w:rPr>
              <w:t>2017</w:t>
            </w:r>
            <w:r w:rsidRPr="00F63F69">
              <w:rPr>
                <w:rFonts w:hint="eastAsia"/>
                <w:sz w:val="24"/>
              </w:rPr>
              <w:t>年</w:t>
            </w:r>
            <w:r w:rsidRPr="00F63F69">
              <w:rPr>
                <w:rFonts w:hint="eastAsia"/>
                <w:sz w:val="24"/>
              </w:rPr>
              <w:t>12</w:t>
            </w:r>
            <w:r w:rsidRPr="00F63F69">
              <w:rPr>
                <w:rFonts w:hint="eastAsia"/>
                <w:sz w:val="24"/>
              </w:rPr>
              <w:t>月</w:t>
            </w:r>
            <w:r w:rsidRPr="00F63F69">
              <w:rPr>
                <w:rFonts w:hint="eastAsia"/>
                <w:sz w:val="24"/>
              </w:rPr>
              <w:t>31</w:t>
            </w:r>
            <w:r w:rsidRPr="00F63F69">
              <w:rPr>
                <w:rFonts w:hint="eastAsia"/>
                <w:sz w:val="24"/>
              </w:rPr>
              <w:t>日</w:t>
            </w:r>
          </w:p>
        </w:tc>
      </w:tr>
      <w:tr w:rsidR="00280B3F" w:rsidRPr="00F63F69" w:rsidTr="009344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widowControl/>
              <w:wordWrap w:val="0"/>
              <w:autoSpaceDE w:val="0"/>
              <w:autoSpaceDN w:val="0"/>
              <w:ind w:right="-15"/>
              <w:jc w:val="center"/>
              <w:textAlignment w:val="bottom"/>
              <w:rPr>
                <w:sz w:val="24"/>
              </w:rPr>
            </w:pPr>
            <w:r w:rsidRPr="00F63F6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widowControl/>
              <w:wordWrap w:val="0"/>
              <w:autoSpaceDE w:val="0"/>
              <w:autoSpaceDN w:val="0"/>
              <w:ind w:right="-15"/>
              <w:jc w:val="center"/>
              <w:textAlignment w:val="bottom"/>
              <w:rPr>
                <w:sz w:val="24"/>
              </w:rPr>
            </w:pPr>
            <w:r w:rsidRPr="00F63F69">
              <w:rPr>
                <w:rFonts w:hint="eastAsia"/>
                <w:sz w:val="24"/>
              </w:rPr>
              <w:t>账面金额</w:t>
            </w:r>
          </w:p>
        </w:tc>
      </w:tr>
      <w:tr w:rsidR="00280B3F" w:rsidRPr="00F63F69" w:rsidTr="00934457">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rPr>
                <w:rFonts w:eastAsiaTheme="minorEastAsia"/>
                <w:kern w:val="0"/>
                <w:sz w:val="24"/>
              </w:rPr>
            </w:pPr>
            <w:r w:rsidRPr="00F63F6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230,120.24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230,120.24</w:t>
            </w:r>
          </w:p>
        </w:tc>
      </w:tr>
      <w:tr w:rsidR="00280B3F" w:rsidRPr="00F63F69" w:rsidTr="00934457">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rPr>
                <w:rFonts w:eastAsiaTheme="minorEastAsia"/>
                <w:kern w:val="0"/>
                <w:sz w:val="24"/>
              </w:rPr>
            </w:pPr>
            <w:r w:rsidRPr="00F63F6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717,662,536.30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717,662,536.30</w:t>
            </w:r>
          </w:p>
        </w:tc>
      </w:tr>
      <w:tr w:rsidR="00280B3F" w:rsidRPr="00F63F69" w:rsidTr="00934457">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rPr>
                <w:rFonts w:eastAsiaTheme="minorEastAsia"/>
                <w:kern w:val="0"/>
                <w:sz w:val="24"/>
              </w:rPr>
            </w:pPr>
            <w:r w:rsidRPr="00F63F69">
              <w:rPr>
                <w:rFonts w:eastAsiaTheme="minorEastAsia" w:hint="eastAsia"/>
                <w:kern w:val="0"/>
                <w:sz w:val="24"/>
              </w:rPr>
              <w:t>本期赎回（以</w:t>
            </w:r>
            <w:r w:rsidRPr="00F63F69">
              <w:rPr>
                <w:sz w:val="24"/>
              </w:rPr>
              <w:t>“-”</w:t>
            </w:r>
            <w:r w:rsidRPr="00F63F6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-623,175,730.24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-623,175,730.24</w:t>
            </w:r>
          </w:p>
        </w:tc>
      </w:tr>
      <w:tr w:rsidR="00280B3F" w:rsidRPr="00F63F69" w:rsidTr="00934457">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rPr>
                <w:rFonts w:eastAsiaTheme="minorEastAsia"/>
                <w:kern w:val="0"/>
                <w:sz w:val="24"/>
              </w:rPr>
            </w:pPr>
            <w:r w:rsidRPr="00F63F6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94,716,926.30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94,716,926.30</w:t>
            </w:r>
          </w:p>
        </w:tc>
      </w:tr>
      <w:tr w:rsidR="00280B3F" w:rsidRPr="00F63F69" w:rsidTr="009344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widowControl/>
              <w:wordWrap w:val="0"/>
              <w:autoSpaceDE w:val="0"/>
              <w:autoSpaceDN w:val="0"/>
              <w:ind w:right="-15"/>
              <w:jc w:val="center"/>
              <w:textAlignment w:val="bottom"/>
              <w:rPr>
                <w:rFonts w:eastAsiaTheme="minorEastAsia"/>
                <w:sz w:val="24"/>
              </w:rPr>
            </w:pPr>
            <w:r w:rsidRPr="00F63F69">
              <w:rPr>
                <w:rFonts w:eastAsiaTheme="minorEastAsia" w:hint="eastAsia"/>
                <w:sz w:val="24"/>
              </w:rPr>
              <w:t>项目</w:t>
            </w:r>
            <w:r w:rsidRPr="004F13DF">
              <w:rPr>
                <w:rFonts w:eastAsiaTheme="minorEastAsia" w:hint="eastAsia"/>
                <w:sz w:val="24"/>
              </w:rPr>
              <w:t>(E</w:t>
            </w:r>
            <w:r w:rsidRPr="004F13DF">
              <w:rPr>
                <w:rFonts w:eastAsiaTheme="minorEastAsia" w:hint="eastAsia"/>
                <w:sz w:val="24"/>
              </w:rPr>
              <w:t>类</w:t>
            </w:r>
            <w:r w:rsidRPr="004F13DF">
              <w:rPr>
                <w:rFonts w:eastAsiaTheme="minorEastAsia" w:hint="eastAsia"/>
                <w:sz w:val="24"/>
              </w:rPr>
              <w:t>)</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widowControl/>
              <w:wordWrap w:val="0"/>
              <w:autoSpaceDE w:val="0"/>
              <w:autoSpaceDN w:val="0"/>
              <w:ind w:right="-15"/>
              <w:jc w:val="center"/>
              <w:textAlignment w:val="bottom"/>
              <w:rPr>
                <w:rFonts w:eastAsiaTheme="minorEastAsia"/>
                <w:sz w:val="24"/>
              </w:rPr>
            </w:pPr>
            <w:r w:rsidRPr="00F63F69">
              <w:rPr>
                <w:rFonts w:eastAsiaTheme="minorEastAsia" w:hint="eastAsia"/>
                <w:sz w:val="24"/>
              </w:rPr>
              <w:t>本期</w:t>
            </w:r>
          </w:p>
          <w:p w:rsidR="00280B3F" w:rsidRPr="00F63F69" w:rsidRDefault="00280B3F" w:rsidP="00934457">
            <w:pPr>
              <w:widowControl/>
              <w:wordWrap w:val="0"/>
              <w:autoSpaceDE w:val="0"/>
              <w:autoSpaceDN w:val="0"/>
              <w:ind w:right="-15"/>
              <w:jc w:val="center"/>
              <w:textAlignment w:val="bottom"/>
              <w:rPr>
                <w:rFonts w:eastAsiaTheme="minorEastAsia"/>
                <w:sz w:val="24"/>
              </w:rPr>
            </w:pPr>
            <w:r w:rsidRPr="00F63F69">
              <w:rPr>
                <w:rFonts w:eastAsiaTheme="minorEastAsia" w:hint="eastAsia"/>
                <w:sz w:val="24"/>
              </w:rPr>
              <w:t>2017</w:t>
            </w:r>
            <w:r w:rsidRPr="00F63F69">
              <w:rPr>
                <w:rFonts w:eastAsiaTheme="minorEastAsia" w:hint="eastAsia"/>
                <w:sz w:val="24"/>
              </w:rPr>
              <w:t>年</w:t>
            </w:r>
            <w:r w:rsidRPr="00F63F69">
              <w:rPr>
                <w:rFonts w:eastAsiaTheme="minorEastAsia" w:hint="eastAsia"/>
                <w:sz w:val="24"/>
              </w:rPr>
              <w:t>1</w:t>
            </w:r>
            <w:r w:rsidRPr="00F63F69">
              <w:rPr>
                <w:rFonts w:eastAsiaTheme="minorEastAsia" w:hint="eastAsia"/>
                <w:sz w:val="24"/>
              </w:rPr>
              <w:t>月</w:t>
            </w:r>
            <w:r w:rsidRPr="00F63F69">
              <w:rPr>
                <w:rFonts w:eastAsiaTheme="minorEastAsia" w:hint="eastAsia"/>
                <w:sz w:val="24"/>
              </w:rPr>
              <w:t>1</w:t>
            </w:r>
            <w:r w:rsidRPr="00F63F69">
              <w:rPr>
                <w:rFonts w:eastAsiaTheme="minorEastAsia" w:hint="eastAsia"/>
                <w:sz w:val="24"/>
              </w:rPr>
              <w:t>日至</w:t>
            </w:r>
            <w:r w:rsidRPr="00F63F69">
              <w:rPr>
                <w:rFonts w:eastAsiaTheme="minorEastAsia" w:hint="eastAsia"/>
                <w:sz w:val="24"/>
              </w:rPr>
              <w:t>2017</w:t>
            </w:r>
            <w:r w:rsidRPr="00F63F69">
              <w:rPr>
                <w:rFonts w:eastAsiaTheme="minorEastAsia" w:hint="eastAsia"/>
                <w:sz w:val="24"/>
              </w:rPr>
              <w:t>年</w:t>
            </w:r>
            <w:r w:rsidRPr="00F63F69">
              <w:rPr>
                <w:rFonts w:eastAsiaTheme="minorEastAsia" w:hint="eastAsia"/>
                <w:sz w:val="24"/>
              </w:rPr>
              <w:t>12</w:t>
            </w:r>
            <w:r w:rsidRPr="00F63F69">
              <w:rPr>
                <w:rFonts w:eastAsiaTheme="minorEastAsia" w:hint="eastAsia"/>
                <w:sz w:val="24"/>
              </w:rPr>
              <w:t>月</w:t>
            </w:r>
            <w:r w:rsidRPr="00F63F69">
              <w:rPr>
                <w:rFonts w:eastAsiaTheme="minorEastAsia" w:hint="eastAsia"/>
                <w:sz w:val="24"/>
              </w:rPr>
              <w:t>31</w:t>
            </w:r>
            <w:r w:rsidRPr="00F63F69">
              <w:rPr>
                <w:rFonts w:eastAsiaTheme="minorEastAsia" w:hint="eastAsia"/>
                <w:sz w:val="24"/>
              </w:rPr>
              <w:t>日</w:t>
            </w:r>
          </w:p>
        </w:tc>
      </w:tr>
      <w:tr w:rsidR="00280B3F" w:rsidRPr="00F63F69" w:rsidTr="009344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widowControl/>
              <w:wordWrap w:val="0"/>
              <w:autoSpaceDE w:val="0"/>
              <w:autoSpaceDN w:val="0"/>
              <w:ind w:right="-15"/>
              <w:jc w:val="center"/>
              <w:textAlignment w:val="bottom"/>
              <w:rPr>
                <w:rFonts w:eastAsiaTheme="minorEastAsia"/>
                <w:sz w:val="24"/>
              </w:rPr>
            </w:pPr>
            <w:r w:rsidRPr="00F63F69">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widowControl/>
              <w:wordWrap w:val="0"/>
              <w:autoSpaceDE w:val="0"/>
              <w:autoSpaceDN w:val="0"/>
              <w:ind w:right="-15"/>
              <w:jc w:val="center"/>
              <w:textAlignment w:val="bottom"/>
              <w:rPr>
                <w:rFonts w:eastAsiaTheme="minorEastAsia"/>
                <w:sz w:val="24"/>
              </w:rPr>
            </w:pPr>
            <w:r w:rsidRPr="00F63F69">
              <w:rPr>
                <w:rFonts w:eastAsiaTheme="minorEastAsia" w:hint="eastAsia"/>
                <w:sz w:val="24"/>
              </w:rPr>
              <w:t>账面金额</w:t>
            </w:r>
          </w:p>
        </w:tc>
      </w:tr>
      <w:tr w:rsidR="00280B3F" w:rsidRPr="00F63F69" w:rsidTr="00934457">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rPr>
                <w:rFonts w:eastAsiaTheme="minorEastAsia"/>
                <w:kern w:val="0"/>
                <w:sz w:val="24"/>
              </w:rPr>
            </w:pPr>
            <w:r w:rsidRPr="00F63F6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200,444,301.68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200,444,301.68</w:t>
            </w:r>
          </w:p>
        </w:tc>
      </w:tr>
      <w:tr w:rsidR="00280B3F" w:rsidRPr="00F63F69" w:rsidTr="00934457">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rPr>
                <w:rFonts w:eastAsiaTheme="minorEastAsia"/>
                <w:kern w:val="0"/>
                <w:sz w:val="24"/>
              </w:rPr>
            </w:pPr>
            <w:r w:rsidRPr="00F63F6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39,296,512,137.09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39,296,512,137.09</w:t>
            </w:r>
          </w:p>
        </w:tc>
      </w:tr>
      <w:tr w:rsidR="00280B3F" w:rsidRPr="00F63F69" w:rsidTr="00934457">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rPr>
                <w:rFonts w:eastAsiaTheme="minorEastAsia"/>
                <w:kern w:val="0"/>
                <w:sz w:val="24"/>
              </w:rPr>
            </w:pPr>
            <w:r w:rsidRPr="00F63F69">
              <w:rPr>
                <w:rFonts w:eastAsiaTheme="minorEastAsia" w:hint="eastAsia"/>
                <w:kern w:val="0"/>
                <w:sz w:val="24"/>
              </w:rPr>
              <w:t>本期赎回（以</w:t>
            </w:r>
            <w:r w:rsidRPr="00F63F69">
              <w:rPr>
                <w:sz w:val="24"/>
              </w:rPr>
              <w:t>“-”</w:t>
            </w:r>
            <w:r w:rsidRPr="00F63F6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-16,046,221,564.62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-16,046,221,564.62</w:t>
            </w:r>
          </w:p>
        </w:tc>
      </w:tr>
      <w:tr w:rsidR="00280B3F" w:rsidRPr="00F63F69" w:rsidTr="00934457">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rPr>
                <w:rFonts w:eastAsiaTheme="minorEastAsia"/>
                <w:kern w:val="0"/>
                <w:sz w:val="24"/>
              </w:rPr>
            </w:pPr>
            <w:r w:rsidRPr="00F63F6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23,450,734,874.15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23,450,734,874.15</w:t>
            </w:r>
          </w:p>
        </w:tc>
      </w:tr>
    </w:tbl>
    <w:tbl>
      <w:tblPr>
        <w:tblStyle w:val="af7"/>
        <w:tblW w:w="5038" w:type="pct"/>
        <w:tblInd w:w="-34" w:type="dxa"/>
        <w:tblLayout w:type="fixed"/>
        <w:tblLook w:val="04A0" w:firstRow="1" w:lastRow="0" w:firstColumn="1" w:lastColumn="0" w:noHBand="0" w:noVBand="1"/>
      </w:tblPr>
      <w:tblGrid>
        <w:gridCol w:w="3124"/>
        <w:gridCol w:w="2762"/>
        <w:gridCol w:w="3471"/>
      </w:tblGrid>
      <w:tr w:rsidR="00280B3F" w:rsidTr="00280B3F">
        <w:trPr>
          <w:trHeight w:val="312"/>
        </w:trPr>
        <w:tc>
          <w:tcPr>
            <w:tcW w:w="3124" w:type="dxa"/>
            <w:vMerge w:val="restart"/>
            <w:tcBorders>
              <w:top w:val="single" w:sz="4" w:space="0" w:color="000000"/>
              <w:left w:val="single" w:sz="4" w:space="0" w:color="000000"/>
              <w:bottom w:val="single" w:sz="4" w:space="0" w:color="000000"/>
              <w:right w:val="single" w:sz="4" w:space="0" w:color="000000"/>
            </w:tcBorders>
            <w:vAlign w:val="center"/>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项目</w:t>
            </w:r>
            <w:r w:rsidRPr="00934457">
              <w:rPr>
                <w:rFonts w:eastAsiaTheme="minorEastAsia"/>
                <w:sz w:val="24"/>
              </w:rPr>
              <w:t>(A</w:t>
            </w:r>
            <w:r w:rsidRPr="00934457">
              <w:rPr>
                <w:rFonts w:eastAsiaTheme="minorEastAsia" w:hint="eastAsia"/>
                <w:sz w:val="24"/>
              </w:rPr>
              <w:t>类</w:t>
            </w:r>
            <w:r w:rsidRPr="00934457">
              <w:rPr>
                <w:rFonts w:eastAsiaTheme="minorEastAsia"/>
                <w:sz w:val="24"/>
              </w:rPr>
              <w:t>)</w:t>
            </w:r>
          </w:p>
        </w:tc>
        <w:tc>
          <w:tcPr>
            <w:tcW w:w="6233"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widowControl/>
              <w:wordWrap w:val="0"/>
              <w:autoSpaceDE w:val="0"/>
              <w:autoSpaceDN w:val="0"/>
              <w:spacing w:line="300" w:lineRule="atLeast"/>
              <w:ind w:right="-15"/>
              <w:jc w:val="center"/>
              <w:textAlignment w:val="bottom"/>
              <w:rPr>
                <w:rFonts w:eastAsiaTheme="minorEastAsia"/>
                <w:sz w:val="24"/>
              </w:rPr>
            </w:pPr>
            <w:r w:rsidRPr="00934457">
              <w:rPr>
                <w:rFonts w:eastAsiaTheme="minorEastAsia" w:hint="eastAsia"/>
                <w:sz w:val="24"/>
              </w:rPr>
              <w:t>上年度可比期间</w:t>
            </w:r>
          </w:p>
          <w:p w:rsidR="00280B3F" w:rsidRPr="00934457" w:rsidRDefault="00280B3F" w:rsidP="00934457">
            <w:pPr>
              <w:widowControl/>
              <w:wordWrap w:val="0"/>
              <w:autoSpaceDE w:val="0"/>
              <w:autoSpaceDN w:val="0"/>
              <w:spacing w:line="300" w:lineRule="atLeast"/>
              <w:ind w:right="-15"/>
              <w:jc w:val="center"/>
              <w:textAlignment w:val="bottom"/>
              <w:rPr>
                <w:rFonts w:eastAsiaTheme="minorEastAsia"/>
                <w:sz w:val="24"/>
              </w:rPr>
            </w:pPr>
            <w:r w:rsidRPr="00934457">
              <w:rPr>
                <w:rFonts w:eastAsiaTheme="minorEastAsia"/>
                <w:sz w:val="24"/>
              </w:rPr>
              <w:t>2016</w:t>
            </w:r>
            <w:r w:rsidRPr="00934457">
              <w:rPr>
                <w:rFonts w:eastAsiaTheme="minorEastAsia" w:hint="eastAsia"/>
                <w:sz w:val="24"/>
              </w:rPr>
              <w:t>年</w:t>
            </w:r>
            <w:r w:rsidRPr="00934457">
              <w:rPr>
                <w:rFonts w:eastAsiaTheme="minorEastAsia"/>
                <w:sz w:val="24"/>
              </w:rPr>
              <w:t>12</w:t>
            </w:r>
            <w:r w:rsidRPr="00934457">
              <w:rPr>
                <w:rFonts w:eastAsiaTheme="minorEastAsia" w:hint="eastAsia"/>
                <w:sz w:val="24"/>
              </w:rPr>
              <w:t>月</w:t>
            </w:r>
            <w:r w:rsidRPr="00934457">
              <w:rPr>
                <w:rFonts w:eastAsiaTheme="minorEastAsia"/>
                <w:sz w:val="24"/>
              </w:rPr>
              <w:t>7</w:t>
            </w:r>
            <w:r w:rsidRPr="00934457">
              <w:rPr>
                <w:rFonts w:eastAsiaTheme="minorEastAsia" w:hint="eastAsia"/>
                <w:sz w:val="24"/>
              </w:rPr>
              <w:t>日</w:t>
            </w:r>
            <w:r w:rsidRPr="00934457">
              <w:rPr>
                <w:rFonts w:eastAsiaTheme="minorEastAsia"/>
                <w:sz w:val="24"/>
              </w:rPr>
              <w:t>(</w:t>
            </w:r>
            <w:r w:rsidRPr="00934457">
              <w:rPr>
                <w:rFonts w:eastAsiaTheme="minorEastAsia" w:hint="eastAsia"/>
                <w:sz w:val="24"/>
              </w:rPr>
              <w:t>基金合同生效日</w:t>
            </w:r>
            <w:r w:rsidRPr="00934457">
              <w:rPr>
                <w:rFonts w:eastAsiaTheme="minorEastAsia"/>
                <w:sz w:val="24"/>
              </w:rPr>
              <w:t>)</w:t>
            </w:r>
          </w:p>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至</w:t>
            </w:r>
            <w:r w:rsidRPr="00934457">
              <w:rPr>
                <w:rFonts w:eastAsiaTheme="minorEastAsia"/>
                <w:sz w:val="24"/>
              </w:rPr>
              <w:t>2016</w:t>
            </w:r>
            <w:r w:rsidRPr="00934457">
              <w:rPr>
                <w:rFonts w:eastAsiaTheme="minorEastAsia" w:hint="eastAsia"/>
                <w:sz w:val="24"/>
              </w:rPr>
              <w:t>年</w:t>
            </w:r>
            <w:r w:rsidRPr="00934457">
              <w:rPr>
                <w:rFonts w:eastAsiaTheme="minorEastAsia"/>
                <w:sz w:val="24"/>
              </w:rPr>
              <w:t>12</w:t>
            </w:r>
            <w:r w:rsidRPr="00934457">
              <w:rPr>
                <w:rFonts w:eastAsiaTheme="minorEastAsia" w:hint="eastAsia"/>
                <w:sz w:val="24"/>
              </w:rPr>
              <w:t>月</w:t>
            </w:r>
            <w:r w:rsidRPr="00934457">
              <w:rPr>
                <w:rFonts w:eastAsiaTheme="minorEastAsia"/>
                <w:sz w:val="24"/>
              </w:rPr>
              <w:t>31</w:t>
            </w:r>
            <w:r w:rsidRPr="00934457">
              <w:rPr>
                <w:rFonts w:eastAsiaTheme="minorEastAsia" w:hint="eastAsia"/>
                <w:sz w:val="24"/>
              </w:rPr>
              <w:t>日</w:t>
            </w:r>
          </w:p>
        </w:tc>
      </w:tr>
      <w:tr w:rsidR="00280B3F" w:rsidTr="00280B3F">
        <w:trPr>
          <w:trHeight w:val="312"/>
        </w:trPr>
        <w:tc>
          <w:tcPr>
            <w:tcW w:w="3124" w:type="dxa"/>
            <w:vMerge/>
            <w:tcBorders>
              <w:top w:val="single" w:sz="4" w:space="0" w:color="000000"/>
              <w:left w:val="single" w:sz="4" w:space="0" w:color="000000"/>
              <w:bottom w:val="single" w:sz="4" w:space="0" w:color="000000"/>
              <w:right w:val="single" w:sz="4" w:space="0" w:color="000000"/>
            </w:tcBorders>
            <w:vAlign w:val="center"/>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p>
        </w:tc>
        <w:tc>
          <w:tcPr>
            <w:tcW w:w="6233" w:type="dxa"/>
            <w:gridSpan w:val="2"/>
            <w:vMerge/>
            <w:tcBorders>
              <w:top w:val="single" w:sz="4" w:space="0" w:color="000000"/>
              <w:left w:val="single" w:sz="4" w:space="0" w:color="000000"/>
              <w:bottom w:val="single" w:sz="4" w:space="0" w:color="000000"/>
              <w:right w:val="single" w:sz="4" w:space="0" w:color="000000"/>
            </w:tcBorders>
            <w:vAlign w:val="center"/>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p>
        </w:tc>
      </w:tr>
      <w:tr w:rsidR="00280B3F" w:rsidTr="00280B3F">
        <w:tc>
          <w:tcPr>
            <w:tcW w:w="3124" w:type="dxa"/>
            <w:vMerge/>
            <w:tcBorders>
              <w:top w:val="single" w:sz="4" w:space="0" w:color="000000"/>
              <w:left w:val="single" w:sz="4" w:space="0" w:color="000000"/>
              <w:bottom w:val="single" w:sz="4" w:space="0" w:color="000000"/>
              <w:right w:val="single" w:sz="4" w:space="0" w:color="000000"/>
            </w:tcBorders>
            <w:vAlign w:val="center"/>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p>
        </w:tc>
        <w:tc>
          <w:tcPr>
            <w:tcW w:w="2762"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keepNext/>
              <w:widowControl/>
              <w:wordWrap w:val="0"/>
              <w:autoSpaceDE w:val="0"/>
              <w:autoSpaceDN w:val="0"/>
              <w:ind w:right="-15"/>
              <w:jc w:val="center"/>
              <w:textAlignment w:val="bottom"/>
              <w:rPr>
                <w:rFonts w:eastAsiaTheme="minorEastAsia"/>
                <w:sz w:val="24"/>
              </w:rPr>
            </w:pPr>
            <w:r w:rsidRPr="00934457">
              <w:rPr>
                <w:rFonts w:eastAsiaTheme="minorEastAsia" w:hint="eastAsia"/>
                <w:sz w:val="24"/>
              </w:rPr>
              <w:t>基金份额</w:t>
            </w:r>
            <w:r w:rsidRPr="00934457">
              <w:rPr>
                <w:rFonts w:eastAsiaTheme="minorEastAsia"/>
                <w:sz w:val="24"/>
              </w:rPr>
              <w:t>(</w:t>
            </w:r>
            <w:r w:rsidRPr="00934457">
              <w:rPr>
                <w:rFonts w:eastAsiaTheme="minorEastAsia" w:hint="eastAsia"/>
                <w:sz w:val="24"/>
              </w:rPr>
              <w:t>份</w:t>
            </w:r>
            <w:r w:rsidRPr="00934457">
              <w:rPr>
                <w:rFonts w:eastAsiaTheme="minorEastAsia"/>
                <w:sz w:val="24"/>
              </w:rPr>
              <w:t>)</w:t>
            </w:r>
          </w:p>
        </w:tc>
        <w:tc>
          <w:tcPr>
            <w:tcW w:w="3471"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keepNext/>
              <w:widowControl/>
              <w:wordWrap w:val="0"/>
              <w:autoSpaceDE w:val="0"/>
              <w:autoSpaceDN w:val="0"/>
              <w:ind w:right="-15"/>
              <w:jc w:val="center"/>
              <w:textAlignment w:val="bottom"/>
              <w:rPr>
                <w:rFonts w:eastAsiaTheme="minorEastAsia"/>
                <w:sz w:val="24"/>
              </w:rPr>
            </w:pPr>
            <w:r w:rsidRPr="00934457">
              <w:rPr>
                <w:rFonts w:eastAsiaTheme="minorEastAsia" w:hint="eastAsia"/>
                <w:sz w:val="24"/>
              </w:rPr>
              <w:t>账面金额</w:t>
            </w:r>
          </w:p>
        </w:tc>
      </w:tr>
      <w:tr w:rsidR="00280B3F" w:rsidTr="00280B3F">
        <w:tc>
          <w:tcPr>
            <w:tcW w:w="3124"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基金合同生效日</w:t>
            </w:r>
          </w:p>
        </w:tc>
        <w:tc>
          <w:tcPr>
            <w:tcW w:w="2762"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58,851.09 </w:t>
            </w:r>
          </w:p>
        </w:tc>
        <w:tc>
          <w:tcPr>
            <w:tcW w:w="3471"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58,851.09 </w:t>
            </w:r>
          </w:p>
        </w:tc>
      </w:tr>
      <w:tr w:rsidR="00280B3F" w:rsidTr="00280B3F">
        <w:tc>
          <w:tcPr>
            <w:tcW w:w="3124"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本期申购</w:t>
            </w:r>
          </w:p>
        </w:tc>
        <w:tc>
          <w:tcPr>
            <w:tcW w:w="2762"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346,010.33 </w:t>
            </w:r>
          </w:p>
        </w:tc>
        <w:tc>
          <w:tcPr>
            <w:tcW w:w="3471"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346,010.33 </w:t>
            </w:r>
          </w:p>
        </w:tc>
      </w:tr>
      <w:tr w:rsidR="00280B3F" w:rsidTr="00280B3F">
        <w:tc>
          <w:tcPr>
            <w:tcW w:w="3124"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本期赎回</w:t>
            </w:r>
            <w:r w:rsidRPr="00934457">
              <w:rPr>
                <w:rFonts w:eastAsiaTheme="minorEastAsia"/>
                <w:sz w:val="24"/>
              </w:rPr>
              <w:t>(</w:t>
            </w:r>
            <w:r w:rsidRPr="00934457">
              <w:rPr>
                <w:rFonts w:eastAsiaTheme="minorEastAsia" w:hint="eastAsia"/>
                <w:sz w:val="24"/>
              </w:rPr>
              <w:t>以</w:t>
            </w:r>
            <w:r w:rsidRPr="00934457">
              <w:rPr>
                <w:rFonts w:eastAsiaTheme="minorEastAsia"/>
                <w:sz w:val="24"/>
              </w:rPr>
              <w:t>“-”</w:t>
            </w:r>
            <w:r w:rsidRPr="00934457">
              <w:rPr>
                <w:rFonts w:eastAsiaTheme="minorEastAsia" w:hint="eastAsia"/>
                <w:sz w:val="24"/>
              </w:rPr>
              <w:t>号填列</w:t>
            </w:r>
            <w:r w:rsidRPr="00934457">
              <w:rPr>
                <w:rFonts w:eastAsiaTheme="minorEastAsia"/>
                <w:sz w:val="24"/>
              </w:rPr>
              <w:t>)</w:t>
            </w:r>
          </w:p>
        </w:tc>
        <w:tc>
          <w:tcPr>
            <w:tcW w:w="2762"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-174,741.18</w:t>
            </w:r>
          </w:p>
        </w:tc>
        <w:tc>
          <w:tcPr>
            <w:tcW w:w="3471"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-174,741.18</w:t>
            </w:r>
          </w:p>
        </w:tc>
      </w:tr>
      <w:tr w:rsidR="00280B3F" w:rsidTr="00280B3F">
        <w:tc>
          <w:tcPr>
            <w:tcW w:w="3124"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本期末</w:t>
            </w:r>
          </w:p>
        </w:tc>
        <w:tc>
          <w:tcPr>
            <w:tcW w:w="2762"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230,120.24 </w:t>
            </w:r>
          </w:p>
        </w:tc>
        <w:tc>
          <w:tcPr>
            <w:tcW w:w="3471"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230,120.24 </w:t>
            </w:r>
          </w:p>
        </w:tc>
      </w:tr>
      <w:tr w:rsidR="00280B3F" w:rsidTr="00280B3F">
        <w:trPr>
          <w:trHeight w:val="312"/>
        </w:trPr>
        <w:tc>
          <w:tcPr>
            <w:tcW w:w="3124" w:type="dxa"/>
            <w:vMerge w:val="restart"/>
            <w:tcBorders>
              <w:top w:val="single" w:sz="4" w:space="0" w:color="000000"/>
              <w:left w:val="single" w:sz="4" w:space="0" w:color="000000"/>
              <w:bottom w:val="single" w:sz="4" w:space="0" w:color="000000"/>
              <w:right w:val="single" w:sz="4" w:space="0" w:color="000000"/>
            </w:tcBorders>
            <w:vAlign w:val="center"/>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项目</w:t>
            </w:r>
            <w:r w:rsidRPr="00934457">
              <w:rPr>
                <w:rFonts w:eastAsiaTheme="minorEastAsia"/>
                <w:sz w:val="24"/>
              </w:rPr>
              <w:t>(E</w:t>
            </w:r>
            <w:r w:rsidRPr="00934457">
              <w:rPr>
                <w:rFonts w:eastAsiaTheme="minorEastAsia" w:hint="eastAsia"/>
                <w:sz w:val="24"/>
              </w:rPr>
              <w:t>类</w:t>
            </w:r>
            <w:r w:rsidRPr="00934457">
              <w:rPr>
                <w:rFonts w:eastAsiaTheme="minorEastAsia"/>
                <w:sz w:val="24"/>
              </w:rPr>
              <w:t>)</w:t>
            </w:r>
          </w:p>
        </w:tc>
        <w:tc>
          <w:tcPr>
            <w:tcW w:w="6233"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widowControl/>
              <w:wordWrap w:val="0"/>
              <w:autoSpaceDE w:val="0"/>
              <w:autoSpaceDN w:val="0"/>
              <w:spacing w:line="300" w:lineRule="atLeast"/>
              <w:ind w:right="-15"/>
              <w:jc w:val="center"/>
              <w:textAlignment w:val="bottom"/>
              <w:rPr>
                <w:rFonts w:eastAsiaTheme="minorEastAsia"/>
                <w:sz w:val="24"/>
              </w:rPr>
            </w:pPr>
            <w:r w:rsidRPr="00934457">
              <w:rPr>
                <w:rFonts w:eastAsiaTheme="minorEastAsia" w:hint="eastAsia"/>
                <w:sz w:val="24"/>
              </w:rPr>
              <w:t>上年度可比期间</w:t>
            </w:r>
          </w:p>
          <w:p w:rsidR="00280B3F" w:rsidRPr="00934457" w:rsidRDefault="00280B3F" w:rsidP="00934457">
            <w:pPr>
              <w:widowControl/>
              <w:wordWrap w:val="0"/>
              <w:autoSpaceDE w:val="0"/>
              <w:autoSpaceDN w:val="0"/>
              <w:spacing w:line="300" w:lineRule="atLeast"/>
              <w:ind w:right="-15"/>
              <w:jc w:val="center"/>
              <w:textAlignment w:val="bottom"/>
              <w:rPr>
                <w:rFonts w:eastAsiaTheme="minorEastAsia"/>
                <w:sz w:val="24"/>
              </w:rPr>
            </w:pPr>
            <w:r w:rsidRPr="00934457">
              <w:rPr>
                <w:rFonts w:eastAsiaTheme="minorEastAsia"/>
                <w:sz w:val="24"/>
              </w:rPr>
              <w:t>2016</w:t>
            </w:r>
            <w:r w:rsidRPr="00934457">
              <w:rPr>
                <w:rFonts w:eastAsiaTheme="minorEastAsia" w:hint="eastAsia"/>
                <w:sz w:val="24"/>
              </w:rPr>
              <w:t>年</w:t>
            </w:r>
            <w:r w:rsidRPr="00934457">
              <w:rPr>
                <w:rFonts w:eastAsiaTheme="minorEastAsia"/>
                <w:sz w:val="24"/>
              </w:rPr>
              <w:t>12</w:t>
            </w:r>
            <w:r w:rsidRPr="00934457">
              <w:rPr>
                <w:rFonts w:eastAsiaTheme="minorEastAsia" w:hint="eastAsia"/>
                <w:sz w:val="24"/>
              </w:rPr>
              <w:t>月</w:t>
            </w:r>
            <w:r w:rsidRPr="00934457">
              <w:rPr>
                <w:rFonts w:eastAsiaTheme="minorEastAsia"/>
                <w:sz w:val="24"/>
              </w:rPr>
              <w:t>7</w:t>
            </w:r>
            <w:r w:rsidRPr="00934457">
              <w:rPr>
                <w:rFonts w:eastAsiaTheme="minorEastAsia" w:hint="eastAsia"/>
                <w:sz w:val="24"/>
              </w:rPr>
              <w:t>日</w:t>
            </w:r>
            <w:r w:rsidRPr="00934457">
              <w:rPr>
                <w:rFonts w:eastAsiaTheme="minorEastAsia"/>
                <w:sz w:val="24"/>
              </w:rPr>
              <w:t>(</w:t>
            </w:r>
            <w:r w:rsidRPr="00934457">
              <w:rPr>
                <w:rFonts w:eastAsiaTheme="minorEastAsia" w:hint="eastAsia"/>
                <w:sz w:val="24"/>
              </w:rPr>
              <w:t>基金合同生效日</w:t>
            </w:r>
            <w:r w:rsidRPr="00934457">
              <w:rPr>
                <w:rFonts w:eastAsiaTheme="minorEastAsia"/>
                <w:sz w:val="24"/>
              </w:rPr>
              <w:t>)</w:t>
            </w:r>
          </w:p>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至</w:t>
            </w:r>
            <w:r w:rsidRPr="00934457">
              <w:rPr>
                <w:rFonts w:eastAsiaTheme="minorEastAsia"/>
                <w:sz w:val="24"/>
              </w:rPr>
              <w:t>2016</w:t>
            </w:r>
            <w:r w:rsidRPr="00934457">
              <w:rPr>
                <w:rFonts w:eastAsiaTheme="minorEastAsia" w:hint="eastAsia"/>
                <w:sz w:val="24"/>
              </w:rPr>
              <w:t>年</w:t>
            </w:r>
            <w:r w:rsidRPr="00934457">
              <w:rPr>
                <w:rFonts w:eastAsiaTheme="minorEastAsia"/>
                <w:sz w:val="24"/>
              </w:rPr>
              <w:t>12</w:t>
            </w:r>
            <w:r w:rsidRPr="00934457">
              <w:rPr>
                <w:rFonts w:eastAsiaTheme="minorEastAsia" w:hint="eastAsia"/>
                <w:sz w:val="24"/>
              </w:rPr>
              <w:t>月</w:t>
            </w:r>
            <w:r w:rsidRPr="00934457">
              <w:rPr>
                <w:rFonts w:eastAsiaTheme="minorEastAsia"/>
                <w:sz w:val="24"/>
              </w:rPr>
              <w:t>31</w:t>
            </w:r>
            <w:r w:rsidRPr="00934457">
              <w:rPr>
                <w:rFonts w:eastAsiaTheme="minorEastAsia" w:hint="eastAsia"/>
                <w:sz w:val="24"/>
              </w:rPr>
              <w:t>日</w:t>
            </w:r>
          </w:p>
        </w:tc>
      </w:tr>
      <w:tr w:rsidR="00280B3F" w:rsidTr="00280B3F">
        <w:trPr>
          <w:trHeight w:val="312"/>
        </w:trPr>
        <w:tc>
          <w:tcPr>
            <w:tcW w:w="3124" w:type="dxa"/>
            <w:vMerge/>
            <w:tcBorders>
              <w:top w:val="single" w:sz="4" w:space="0" w:color="000000"/>
              <w:left w:val="single" w:sz="4" w:space="0" w:color="000000"/>
              <w:bottom w:val="single" w:sz="4" w:space="0" w:color="000000"/>
              <w:right w:val="single" w:sz="4" w:space="0" w:color="000000"/>
            </w:tcBorders>
            <w:vAlign w:val="center"/>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p>
        </w:tc>
        <w:tc>
          <w:tcPr>
            <w:tcW w:w="6233" w:type="dxa"/>
            <w:gridSpan w:val="2"/>
            <w:vMerge/>
            <w:tcBorders>
              <w:top w:val="single" w:sz="4" w:space="0" w:color="000000"/>
              <w:left w:val="single" w:sz="4" w:space="0" w:color="000000"/>
              <w:bottom w:val="single" w:sz="4" w:space="0" w:color="000000"/>
              <w:right w:val="single" w:sz="4" w:space="0" w:color="000000"/>
            </w:tcBorders>
            <w:vAlign w:val="center"/>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p>
        </w:tc>
      </w:tr>
      <w:tr w:rsidR="00280B3F" w:rsidTr="00280B3F">
        <w:tc>
          <w:tcPr>
            <w:tcW w:w="3124" w:type="dxa"/>
            <w:vMerge/>
            <w:tcBorders>
              <w:top w:val="single" w:sz="4" w:space="0" w:color="000000"/>
              <w:left w:val="single" w:sz="4" w:space="0" w:color="000000"/>
              <w:bottom w:val="single" w:sz="4" w:space="0" w:color="000000"/>
              <w:right w:val="single" w:sz="4" w:space="0" w:color="000000"/>
            </w:tcBorders>
            <w:vAlign w:val="center"/>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p>
        </w:tc>
        <w:tc>
          <w:tcPr>
            <w:tcW w:w="2762"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keepNext/>
              <w:widowControl/>
              <w:wordWrap w:val="0"/>
              <w:autoSpaceDE w:val="0"/>
              <w:autoSpaceDN w:val="0"/>
              <w:ind w:right="-15"/>
              <w:jc w:val="center"/>
              <w:textAlignment w:val="bottom"/>
              <w:rPr>
                <w:rFonts w:eastAsiaTheme="minorEastAsia"/>
                <w:sz w:val="24"/>
              </w:rPr>
            </w:pPr>
            <w:r w:rsidRPr="00934457">
              <w:rPr>
                <w:rFonts w:eastAsiaTheme="minorEastAsia" w:hint="eastAsia"/>
                <w:sz w:val="24"/>
              </w:rPr>
              <w:t>基金份额</w:t>
            </w:r>
            <w:r w:rsidRPr="00934457">
              <w:rPr>
                <w:rFonts w:eastAsiaTheme="minorEastAsia"/>
                <w:sz w:val="24"/>
              </w:rPr>
              <w:t>(</w:t>
            </w:r>
            <w:r w:rsidRPr="00934457">
              <w:rPr>
                <w:rFonts w:eastAsiaTheme="minorEastAsia" w:hint="eastAsia"/>
                <w:sz w:val="24"/>
              </w:rPr>
              <w:t>份</w:t>
            </w:r>
            <w:r w:rsidRPr="00934457">
              <w:rPr>
                <w:rFonts w:eastAsiaTheme="minorEastAsia"/>
                <w:sz w:val="24"/>
              </w:rPr>
              <w:t>)</w:t>
            </w:r>
          </w:p>
        </w:tc>
        <w:tc>
          <w:tcPr>
            <w:tcW w:w="3471"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keepNext/>
              <w:widowControl/>
              <w:wordWrap w:val="0"/>
              <w:autoSpaceDE w:val="0"/>
              <w:autoSpaceDN w:val="0"/>
              <w:ind w:right="-15"/>
              <w:jc w:val="center"/>
              <w:textAlignment w:val="bottom"/>
              <w:rPr>
                <w:rFonts w:eastAsiaTheme="minorEastAsia"/>
                <w:sz w:val="24"/>
              </w:rPr>
            </w:pPr>
            <w:r w:rsidRPr="00934457">
              <w:rPr>
                <w:rFonts w:eastAsiaTheme="minorEastAsia" w:hint="eastAsia"/>
                <w:sz w:val="24"/>
              </w:rPr>
              <w:t>账面金额</w:t>
            </w:r>
          </w:p>
        </w:tc>
      </w:tr>
      <w:tr w:rsidR="00280B3F" w:rsidTr="00280B3F">
        <w:tc>
          <w:tcPr>
            <w:tcW w:w="3124"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基金合同生效日</w:t>
            </w:r>
          </w:p>
        </w:tc>
        <w:tc>
          <w:tcPr>
            <w:tcW w:w="2762"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200,027,000.00 </w:t>
            </w:r>
          </w:p>
        </w:tc>
        <w:tc>
          <w:tcPr>
            <w:tcW w:w="3471"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200,027,000.00 </w:t>
            </w:r>
          </w:p>
        </w:tc>
      </w:tr>
      <w:tr w:rsidR="00280B3F" w:rsidTr="00280B3F">
        <w:tc>
          <w:tcPr>
            <w:tcW w:w="3124"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本期申购</w:t>
            </w:r>
          </w:p>
        </w:tc>
        <w:tc>
          <w:tcPr>
            <w:tcW w:w="2762"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417,301.68 </w:t>
            </w:r>
          </w:p>
        </w:tc>
        <w:tc>
          <w:tcPr>
            <w:tcW w:w="3471"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417,301.68 </w:t>
            </w:r>
          </w:p>
        </w:tc>
      </w:tr>
      <w:tr w:rsidR="00280B3F" w:rsidTr="00280B3F">
        <w:tc>
          <w:tcPr>
            <w:tcW w:w="3124"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本期赎回</w:t>
            </w:r>
            <w:r w:rsidRPr="00934457">
              <w:rPr>
                <w:rFonts w:eastAsiaTheme="minorEastAsia"/>
                <w:sz w:val="24"/>
              </w:rPr>
              <w:t>(</w:t>
            </w:r>
            <w:r w:rsidRPr="00934457">
              <w:rPr>
                <w:rFonts w:eastAsiaTheme="minorEastAsia" w:hint="eastAsia"/>
                <w:sz w:val="24"/>
              </w:rPr>
              <w:t>以</w:t>
            </w:r>
            <w:r w:rsidRPr="00934457">
              <w:rPr>
                <w:rFonts w:eastAsiaTheme="minorEastAsia"/>
                <w:sz w:val="24"/>
              </w:rPr>
              <w:t>“-”</w:t>
            </w:r>
            <w:r w:rsidRPr="00934457">
              <w:rPr>
                <w:rFonts w:eastAsiaTheme="minorEastAsia" w:hint="eastAsia"/>
                <w:sz w:val="24"/>
              </w:rPr>
              <w:t>号填列</w:t>
            </w:r>
            <w:r w:rsidRPr="00934457">
              <w:rPr>
                <w:rFonts w:eastAsiaTheme="minorEastAsia"/>
                <w:sz w:val="24"/>
              </w:rPr>
              <w:t>)</w:t>
            </w:r>
          </w:p>
        </w:tc>
        <w:tc>
          <w:tcPr>
            <w:tcW w:w="2762"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   </w:t>
            </w:r>
          </w:p>
        </w:tc>
        <w:tc>
          <w:tcPr>
            <w:tcW w:w="3471"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   </w:t>
            </w:r>
          </w:p>
        </w:tc>
      </w:tr>
      <w:tr w:rsidR="00280B3F" w:rsidTr="00280B3F">
        <w:tc>
          <w:tcPr>
            <w:tcW w:w="3124" w:type="dxa"/>
            <w:tcBorders>
              <w:top w:val="single" w:sz="4" w:space="0" w:color="000000"/>
              <w:left w:val="single" w:sz="4" w:space="0" w:color="000000"/>
              <w:bottom w:val="single" w:sz="4" w:space="0" w:color="000000"/>
              <w:right w:val="single" w:sz="4" w:space="0" w:color="000000"/>
            </w:tcBorders>
            <w:vAlign w:val="bottom"/>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hint="eastAsia"/>
                <w:sz w:val="24"/>
              </w:rPr>
              <w:t>本期末</w:t>
            </w:r>
          </w:p>
        </w:tc>
        <w:tc>
          <w:tcPr>
            <w:tcW w:w="2762"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200,444,301.68 </w:t>
            </w:r>
          </w:p>
        </w:tc>
        <w:tc>
          <w:tcPr>
            <w:tcW w:w="3471" w:type="dxa"/>
            <w:tcBorders>
              <w:top w:val="single" w:sz="4" w:space="0" w:color="000000"/>
              <w:left w:val="single" w:sz="4" w:space="0" w:color="000000"/>
              <w:bottom w:val="single" w:sz="4" w:space="0" w:color="000000"/>
              <w:right w:val="single" w:sz="4" w:space="0" w:color="000000"/>
            </w:tcBorders>
            <w:hideMark/>
          </w:tcPr>
          <w:p w:rsidR="00280B3F" w:rsidRPr="00934457" w:rsidRDefault="00280B3F" w:rsidP="00934457">
            <w:pPr>
              <w:widowControl/>
              <w:wordWrap w:val="0"/>
              <w:autoSpaceDE w:val="0"/>
              <w:autoSpaceDN w:val="0"/>
              <w:ind w:right="-15"/>
              <w:jc w:val="center"/>
              <w:textAlignment w:val="bottom"/>
              <w:rPr>
                <w:rFonts w:eastAsiaTheme="minorEastAsia"/>
                <w:sz w:val="24"/>
              </w:rPr>
            </w:pPr>
            <w:r w:rsidRPr="00934457">
              <w:rPr>
                <w:rFonts w:eastAsiaTheme="minorEastAsia"/>
                <w:sz w:val="24"/>
              </w:rPr>
              <w:t xml:space="preserve"> 200,444,301.68 </w:t>
            </w:r>
          </w:p>
        </w:tc>
      </w:tr>
    </w:tbl>
    <w:p w:rsidR="002622A8" w:rsidRDefault="00DF40FE">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w:t>
      </w:r>
      <w:r w:rsidR="002C04B4" w:rsidRPr="002C04B4">
        <w:rPr>
          <w:rFonts w:hint="eastAsia"/>
          <w:kern w:val="0"/>
          <w:sz w:val="24"/>
        </w:rPr>
        <w:t>如果本报告期间发生转换入、红利再投，则总申购份额中包含该业务；如果本报告期间发生转换出业务，则总赎回份额中包含该业务。</w:t>
      </w:r>
    </w:p>
    <w:p w:rsidR="002622A8" w:rsidRDefault="00DF40FE">
      <w:pPr>
        <w:tabs>
          <w:tab w:val="left" w:pos="426"/>
        </w:tabs>
        <w:spacing w:before="29" w:line="288" w:lineRule="auto"/>
        <w:jc w:val="left"/>
        <w:rPr>
          <w:rFonts w:asciiTheme="minorEastAsia" w:eastAsiaTheme="minorEastAsia" w:hAnsiTheme="minorEastAsia"/>
          <w:bCs/>
          <w:szCs w:val="21"/>
        </w:rPr>
      </w:pPr>
      <w:r>
        <w:rPr>
          <w:rFonts w:hint="eastAsia"/>
          <w:kern w:val="0"/>
          <w:sz w:val="24"/>
        </w:rPr>
        <w:t>2</w:t>
      </w:r>
      <w:r>
        <w:rPr>
          <w:rFonts w:hint="eastAsia"/>
          <w:kern w:val="0"/>
          <w:sz w:val="24"/>
        </w:rPr>
        <w:t>、本基金于</w:t>
      </w:r>
      <w:r>
        <w:rPr>
          <w:rFonts w:hint="eastAsia"/>
          <w:kern w:val="0"/>
          <w:sz w:val="24"/>
        </w:rPr>
        <w:t>2016</w:t>
      </w:r>
      <w:r>
        <w:rPr>
          <w:rFonts w:hint="eastAsia"/>
          <w:kern w:val="0"/>
          <w:sz w:val="24"/>
        </w:rPr>
        <w:t>年</w:t>
      </w:r>
      <w:r>
        <w:rPr>
          <w:rFonts w:hint="eastAsia"/>
          <w:kern w:val="0"/>
          <w:sz w:val="24"/>
        </w:rPr>
        <w:t>11</w:t>
      </w:r>
      <w:r>
        <w:rPr>
          <w:rFonts w:hint="eastAsia"/>
          <w:kern w:val="0"/>
          <w:sz w:val="24"/>
        </w:rPr>
        <w:t>月</w:t>
      </w:r>
      <w:r>
        <w:rPr>
          <w:rFonts w:hint="eastAsia"/>
          <w:kern w:val="0"/>
          <w:sz w:val="24"/>
        </w:rPr>
        <w:t>29</w:t>
      </w:r>
      <w:r>
        <w:rPr>
          <w:rFonts w:hint="eastAsia"/>
          <w:kern w:val="0"/>
          <w:sz w:val="24"/>
        </w:rPr>
        <w:t>日至</w:t>
      </w:r>
      <w:r>
        <w:rPr>
          <w:rFonts w:hint="eastAsia"/>
          <w:kern w:val="0"/>
          <w:sz w:val="24"/>
        </w:rPr>
        <w:t>2016</w:t>
      </w:r>
      <w:r>
        <w:rPr>
          <w:rFonts w:hint="eastAsia"/>
          <w:kern w:val="0"/>
          <w:sz w:val="24"/>
        </w:rPr>
        <w:t>年</w:t>
      </w:r>
      <w:r>
        <w:rPr>
          <w:rFonts w:hint="eastAsia"/>
          <w:kern w:val="0"/>
          <w:sz w:val="24"/>
        </w:rPr>
        <w:t>11</w:t>
      </w:r>
      <w:r>
        <w:rPr>
          <w:rFonts w:hint="eastAsia"/>
          <w:kern w:val="0"/>
          <w:sz w:val="24"/>
        </w:rPr>
        <w:t>月</w:t>
      </w:r>
      <w:r>
        <w:rPr>
          <w:rFonts w:hint="eastAsia"/>
          <w:kern w:val="0"/>
          <w:sz w:val="24"/>
        </w:rPr>
        <w:t>30</w:t>
      </w:r>
      <w:r>
        <w:rPr>
          <w:rFonts w:hint="eastAsia"/>
          <w:kern w:val="0"/>
          <w:sz w:val="24"/>
        </w:rPr>
        <w:t>日止期间公开发售，共募集有效净认购资金</w:t>
      </w:r>
      <w:r>
        <w:rPr>
          <w:rFonts w:hint="eastAsia"/>
          <w:kern w:val="0"/>
          <w:sz w:val="24"/>
        </w:rPr>
        <w:t>200,058,842.96</w:t>
      </w:r>
      <w:r>
        <w:rPr>
          <w:rFonts w:hint="eastAsia"/>
          <w:kern w:val="0"/>
          <w:sz w:val="24"/>
        </w:rPr>
        <w:t>元。根据《交银施罗德天鑫宝货币市场基金招募说明书》的规</w:t>
      </w:r>
      <w:r>
        <w:rPr>
          <w:rFonts w:hint="eastAsia"/>
          <w:kern w:val="0"/>
          <w:sz w:val="24"/>
        </w:rPr>
        <w:lastRenderedPageBreak/>
        <w:t>定，本基金设立募集期内认购资金产生的利息收入</w:t>
      </w:r>
      <w:r>
        <w:rPr>
          <w:rFonts w:hint="eastAsia"/>
          <w:kern w:val="0"/>
          <w:sz w:val="24"/>
        </w:rPr>
        <w:t>27,008.13</w:t>
      </w:r>
      <w:r>
        <w:rPr>
          <w:rFonts w:hint="eastAsia"/>
          <w:kern w:val="0"/>
          <w:sz w:val="24"/>
        </w:rPr>
        <w:t>元在本基金成立后，折算为</w:t>
      </w:r>
      <w:r>
        <w:rPr>
          <w:rFonts w:hint="eastAsia"/>
          <w:kern w:val="0"/>
          <w:sz w:val="24"/>
        </w:rPr>
        <w:t>27,008.13</w:t>
      </w:r>
      <w:r>
        <w:rPr>
          <w:rFonts w:hint="eastAsia"/>
          <w:kern w:val="0"/>
          <w:sz w:val="24"/>
        </w:rPr>
        <w:t>份基金份额，划入基金份额持有人账户。</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3</w:t>
      </w:r>
      <w:r w:rsidRPr="00987B39">
        <w:rPr>
          <w:rFonts w:hint="eastAsia"/>
          <w:kern w:val="0"/>
          <w:sz w:val="24"/>
        </w:rPr>
        <w:t>、根据《交银施罗德天鑫宝货币市场基金基金合同》及《交银施罗德天鑫宝货币市场基金招募说明书》的相关规定，本基金于</w:t>
      </w:r>
      <w:r w:rsidRPr="00987B39">
        <w:rPr>
          <w:rFonts w:hint="eastAsia"/>
          <w:kern w:val="0"/>
          <w:sz w:val="24"/>
        </w:rPr>
        <w:t>2016</w:t>
      </w:r>
      <w:r w:rsidRPr="00987B39">
        <w:rPr>
          <w:rFonts w:hint="eastAsia"/>
          <w:kern w:val="0"/>
          <w:sz w:val="24"/>
        </w:rPr>
        <w:t>年</w:t>
      </w:r>
      <w:r w:rsidRPr="00987B39">
        <w:rPr>
          <w:rFonts w:hint="eastAsia"/>
          <w:kern w:val="0"/>
          <w:sz w:val="24"/>
        </w:rPr>
        <w:t>12</w:t>
      </w:r>
      <w:r w:rsidRPr="00987B39">
        <w:rPr>
          <w:rFonts w:hint="eastAsia"/>
          <w:kern w:val="0"/>
          <w:sz w:val="24"/>
        </w:rPr>
        <w:t>月</w:t>
      </w:r>
      <w:r w:rsidRPr="00987B39">
        <w:rPr>
          <w:rFonts w:hint="eastAsia"/>
          <w:kern w:val="0"/>
          <w:sz w:val="24"/>
        </w:rPr>
        <w:t>7</w:t>
      </w:r>
      <w:r w:rsidRPr="00987B39">
        <w:rPr>
          <w:rFonts w:hint="eastAsia"/>
          <w:kern w:val="0"/>
          <w:sz w:val="24"/>
        </w:rPr>
        <w:t>日</w:t>
      </w:r>
      <w:r w:rsidRPr="00987B39">
        <w:rPr>
          <w:rFonts w:hint="eastAsia"/>
          <w:kern w:val="0"/>
          <w:sz w:val="24"/>
        </w:rPr>
        <w:t>(</w:t>
      </w:r>
      <w:r w:rsidRPr="00987B39">
        <w:rPr>
          <w:rFonts w:hint="eastAsia"/>
          <w:kern w:val="0"/>
          <w:sz w:val="24"/>
        </w:rPr>
        <w:t>基金合同生效日</w:t>
      </w:r>
      <w:r w:rsidRPr="00987B39">
        <w:rPr>
          <w:rFonts w:hint="eastAsia"/>
          <w:kern w:val="0"/>
          <w:sz w:val="24"/>
        </w:rPr>
        <w:t>)</w:t>
      </w:r>
      <w:r w:rsidRPr="00987B39">
        <w:rPr>
          <w:rFonts w:hint="eastAsia"/>
          <w:kern w:val="0"/>
          <w:sz w:val="24"/>
        </w:rPr>
        <w:t>至</w:t>
      </w:r>
      <w:r w:rsidRPr="00987B39">
        <w:rPr>
          <w:rFonts w:hint="eastAsia"/>
          <w:kern w:val="0"/>
          <w:sz w:val="24"/>
        </w:rPr>
        <w:t>2016</w:t>
      </w:r>
      <w:r w:rsidRPr="00987B39">
        <w:rPr>
          <w:rFonts w:hint="eastAsia"/>
          <w:kern w:val="0"/>
          <w:sz w:val="24"/>
        </w:rPr>
        <w:t>年</w:t>
      </w:r>
      <w:r w:rsidRPr="00987B39">
        <w:rPr>
          <w:rFonts w:hint="eastAsia"/>
          <w:kern w:val="0"/>
          <w:sz w:val="24"/>
        </w:rPr>
        <w:t>12</w:t>
      </w:r>
      <w:r w:rsidRPr="00987B39">
        <w:rPr>
          <w:rFonts w:hint="eastAsia"/>
          <w:kern w:val="0"/>
          <w:sz w:val="24"/>
        </w:rPr>
        <w:t>月</w:t>
      </w:r>
      <w:r w:rsidRPr="00987B39">
        <w:rPr>
          <w:rFonts w:hint="eastAsia"/>
          <w:kern w:val="0"/>
          <w:sz w:val="24"/>
        </w:rPr>
        <w:t>15</w:t>
      </w:r>
      <w:r w:rsidRPr="00987B39">
        <w:rPr>
          <w:rFonts w:hint="eastAsia"/>
          <w:kern w:val="0"/>
          <w:sz w:val="24"/>
        </w:rPr>
        <w:t>日止期间暂不向投资人开放基金交易。日常申购业务和赎回业务自</w:t>
      </w:r>
      <w:r w:rsidRPr="00987B39">
        <w:rPr>
          <w:rFonts w:hint="eastAsia"/>
          <w:kern w:val="0"/>
          <w:sz w:val="24"/>
        </w:rPr>
        <w:t>2016</w:t>
      </w:r>
      <w:r w:rsidRPr="00987B39">
        <w:rPr>
          <w:rFonts w:hint="eastAsia"/>
          <w:kern w:val="0"/>
          <w:sz w:val="24"/>
        </w:rPr>
        <w:t>年</w:t>
      </w:r>
      <w:r w:rsidRPr="00987B39">
        <w:rPr>
          <w:rFonts w:hint="eastAsia"/>
          <w:kern w:val="0"/>
          <w:sz w:val="24"/>
        </w:rPr>
        <w:t>12</w:t>
      </w:r>
      <w:r w:rsidRPr="00987B39">
        <w:rPr>
          <w:rFonts w:hint="eastAsia"/>
          <w:kern w:val="0"/>
          <w:sz w:val="24"/>
        </w:rPr>
        <w:t>月</w:t>
      </w:r>
      <w:r w:rsidRPr="00987B39">
        <w:rPr>
          <w:rFonts w:hint="eastAsia"/>
          <w:kern w:val="0"/>
          <w:sz w:val="24"/>
        </w:rPr>
        <w:t>16</w:t>
      </w:r>
      <w:r w:rsidRPr="00987B39">
        <w:rPr>
          <w:rFonts w:hint="eastAsia"/>
          <w:kern w:val="0"/>
          <w:sz w:val="24"/>
        </w:rPr>
        <w:t>日起开始办理。</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hideMark/>
          </w:tcPr>
          <w:p w:rsidR="00280B3F" w:rsidRPr="00F63F69" w:rsidRDefault="00280B3F" w:rsidP="00934457">
            <w:pPr>
              <w:spacing w:before="29" w:line="288" w:lineRule="auto"/>
              <w:jc w:val="center"/>
              <w:rPr>
                <w:color w:val="000000"/>
                <w:sz w:val="24"/>
              </w:rPr>
            </w:pPr>
            <w:r w:rsidRPr="00F63F69">
              <w:rPr>
                <w:rFonts w:hint="eastAsia"/>
                <w:color w:val="000000"/>
                <w:sz w:val="24"/>
              </w:rPr>
              <w:t>项目</w:t>
            </w:r>
            <w:r w:rsidRPr="008E77A0">
              <w:rPr>
                <w:rFonts w:hint="eastAsia"/>
                <w:color w:val="000000"/>
                <w:sz w:val="24"/>
              </w:rPr>
              <w:t>(</w:t>
            </w:r>
            <w:r w:rsidRPr="008E77A0">
              <w:rPr>
                <w:rFonts w:hint="eastAsia"/>
                <w:color w:val="000000"/>
                <w:sz w:val="24"/>
              </w:rPr>
              <w:t>本期</w:t>
            </w:r>
            <w:r w:rsidRPr="008E77A0">
              <w:rPr>
                <w:rFonts w:hint="eastAsia"/>
                <w:color w:val="000000"/>
                <w:sz w:val="24"/>
              </w:rPr>
              <w:t>)(A</w:t>
            </w:r>
            <w:r w:rsidRPr="008E77A0">
              <w:rPr>
                <w:rFonts w:hint="eastAsia"/>
                <w:color w:val="000000"/>
                <w:sz w:val="24"/>
              </w:rPr>
              <w:t>类</w:t>
            </w:r>
            <w:r w:rsidRPr="008E77A0">
              <w:rPr>
                <w:rFonts w:hint="eastAsia"/>
                <w:color w:val="000000"/>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jc w:val="center"/>
              <w:rPr>
                <w:color w:val="000000"/>
                <w:sz w:val="24"/>
              </w:rPr>
            </w:pPr>
            <w:r w:rsidRPr="00F63F69">
              <w:rPr>
                <w:rFonts w:hint="eastAsia"/>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jc w:val="center"/>
              <w:rPr>
                <w:color w:val="000000"/>
                <w:sz w:val="24"/>
              </w:rPr>
            </w:pPr>
            <w:r w:rsidRPr="00F63F69">
              <w:rPr>
                <w:rFonts w:hint="eastAsia"/>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jc w:val="center"/>
              <w:rPr>
                <w:color w:val="000000"/>
                <w:sz w:val="24"/>
              </w:rPr>
            </w:pPr>
            <w:r w:rsidRPr="00F63F69">
              <w:rPr>
                <w:rFonts w:hint="eastAsia"/>
                <w:color w:val="000000"/>
                <w:sz w:val="24"/>
              </w:rPr>
              <w:t>未分配利润合计</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1,793,801.73</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1,793,801.73</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-1,793,801.73</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-1,793,801.73</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项目</w:t>
            </w:r>
            <w:r w:rsidRPr="008E77A0">
              <w:rPr>
                <w:rFonts w:hint="eastAsia"/>
                <w:sz w:val="24"/>
              </w:rPr>
              <w:t>(</w:t>
            </w:r>
            <w:r w:rsidRPr="008E77A0">
              <w:rPr>
                <w:rFonts w:hint="eastAsia"/>
                <w:sz w:val="24"/>
              </w:rPr>
              <w:t>本期</w:t>
            </w:r>
            <w:r w:rsidRPr="008E77A0">
              <w:rPr>
                <w:rFonts w:hint="eastAsia"/>
                <w:sz w:val="24"/>
              </w:rPr>
              <w:t>)(E</w:t>
            </w:r>
            <w:r w:rsidRPr="008E77A0">
              <w:rPr>
                <w:rFonts w:hint="eastAsia"/>
                <w:sz w:val="24"/>
              </w:rPr>
              <w:t>类</w:t>
            </w:r>
            <w:r w:rsidRPr="008E77A0">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8E77A0" w:rsidRDefault="00280B3F" w:rsidP="00934457">
            <w:pPr>
              <w:spacing w:before="29" w:line="288" w:lineRule="auto"/>
              <w:jc w:val="right"/>
              <w:rPr>
                <w:sz w:val="24"/>
              </w:rPr>
            </w:pPr>
            <w:r w:rsidRPr="008E77A0">
              <w:rPr>
                <w:rFonts w:hint="eastAsia"/>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8E77A0" w:rsidRDefault="00280B3F" w:rsidP="00934457">
            <w:pPr>
              <w:spacing w:before="29" w:line="288" w:lineRule="auto"/>
              <w:jc w:val="right"/>
              <w:rPr>
                <w:sz w:val="24"/>
              </w:rPr>
            </w:pPr>
            <w:r w:rsidRPr="008E77A0">
              <w:rPr>
                <w:rFonts w:hint="eastAsia"/>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8E77A0" w:rsidRDefault="00280B3F" w:rsidP="00934457">
            <w:pPr>
              <w:spacing w:before="29" w:line="288" w:lineRule="auto"/>
              <w:jc w:val="right"/>
              <w:rPr>
                <w:sz w:val="24"/>
              </w:rPr>
            </w:pPr>
            <w:r w:rsidRPr="008E77A0">
              <w:rPr>
                <w:rFonts w:hint="eastAsia"/>
                <w:sz w:val="24"/>
              </w:rPr>
              <w:t>未分配利润合计</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287,693,721.79</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287,693,721.79</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-287,693,721.79</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-287,693,721.79</w:t>
            </w:r>
          </w:p>
        </w:tc>
      </w:tr>
      <w:tr w:rsidR="00280B3F" w:rsidRPr="00F63F69"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F63F69" w:rsidRDefault="00280B3F" w:rsidP="00934457">
            <w:pPr>
              <w:spacing w:before="29" w:line="288" w:lineRule="auto"/>
              <w:rPr>
                <w:sz w:val="24"/>
              </w:rPr>
            </w:pPr>
            <w:r w:rsidRPr="00F63F69">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F63F69" w:rsidRDefault="00280B3F" w:rsidP="00934457">
            <w:pPr>
              <w:spacing w:before="29" w:line="288" w:lineRule="auto"/>
              <w:jc w:val="right"/>
              <w:rPr>
                <w:sz w:val="24"/>
              </w:rPr>
            </w:pPr>
            <w:r w:rsidRPr="00F63F69">
              <w:rPr>
                <w:rFonts w:hint="eastAsia"/>
                <w:sz w:val="24"/>
              </w:rPr>
              <w:t>-</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项目</w:t>
            </w:r>
            <w:r w:rsidRPr="008E77A0">
              <w:rPr>
                <w:sz w:val="24"/>
              </w:rPr>
              <w:t>(</w:t>
            </w:r>
            <w:r w:rsidRPr="008E77A0">
              <w:rPr>
                <w:rFonts w:hint="eastAsia"/>
                <w:sz w:val="24"/>
              </w:rPr>
              <w:t>上年度可比期间</w:t>
            </w:r>
            <w:r w:rsidRPr="008E77A0">
              <w:rPr>
                <w:sz w:val="24"/>
              </w:rPr>
              <w:t>)(A</w:t>
            </w:r>
            <w:r w:rsidRPr="008E77A0">
              <w:rPr>
                <w:rFonts w:hint="eastAsia"/>
                <w:sz w:val="24"/>
              </w:rPr>
              <w:t>类</w:t>
            </w:r>
            <w:r w:rsidRPr="008E77A0">
              <w:rPr>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8E77A0" w:rsidRDefault="00280B3F" w:rsidP="00934457">
            <w:pPr>
              <w:spacing w:before="29" w:line="288" w:lineRule="auto"/>
              <w:jc w:val="right"/>
              <w:rPr>
                <w:sz w:val="24"/>
              </w:rPr>
            </w:pPr>
            <w:r w:rsidRPr="008E77A0">
              <w:rPr>
                <w:rFonts w:hint="eastAsia"/>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8E77A0" w:rsidRDefault="00280B3F" w:rsidP="00934457">
            <w:pPr>
              <w:spacing w:before="29" w:line="288" w:lineRule="auto"/>
              <w:jc w:val="right"/>
              <w:rPr>
                <w:sz w:val="24"/>
              </w:rPr>
            </w:pPr>
            <w:r w:rsidRPr="008E77A0">
              <w:rPr>
                <w:rFonts w:hint="eastAsia"/>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8E77A0" w:rsidRDefault="00280B3F" w:rsidP="00934457">
            <w:pPr>
              <w:spacing w:before="29" w:line="288" w:lineRule="auto"/>
              <w:jc w:val="right"/>
              <w:rPr>
                <w:sz w:val="24"/>
              </w:rPr>
            </w:pPr>
            <w:r w:rsidRPr="008E77A0">
              <w:rPr>
                <w:rFonts w:hint="eastAsia"/>
                <w:sz w:val="24"/>
              </w:rPr>
              <w:t>未分配利润合计</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基金合同生效日</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343.85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343.85 </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lastRenderedPageBreak/>
              <w:t>本期已分配利润</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-343.85</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-343.85</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项目</w:t>
            </w:r>
            <w:r w:rsidRPr="008E77A0">
              <w:rPr>
                <w:sz w:val="24"/>
              </w:rPr>
              <w:t>(</w:t>
            </w:r>
            <w:r w:rsidRPr="008E77A0">
              <w:rPr>
                <w:rFonts w:hint="eastAsia"/>
                <w:sz w:val="24"/>
              </w:rPr>
              <w:t>上年度可比期间</w:t>
            </w:r>
            <w:r w:rsidRPr="008E77A0">
              <w:rPr>
                <w:sz w:val="24"/>
              </w:rPr>
              <w:t>)(E</w:t>
            </w:r>
            <w:r w:rsidRPr="008E77A0">
              <w:rPr>
                <w:rFonts w:hint="eastAsia"/>
                <w:sz w:val="24"/>
              </w:rPr>
              <w:t>类</w:t>
            </w:r>
            <w:r w:rsidRPr="008E77A0">
              <w:rPr>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8E77A0" w:rsidRDefault="00280B3F" w:rsidP="00934457">
            <w:pPr>
              <w:spacing w:before="29" w:line="288" w:lineRule="auto"/>
              <w:jc w:val="right"/>
              <w:rPr>
                <w:sz w:val="24"/>
              </w:rPr>
            </w:pPr>
            <w:r w:rsidRPr="008E77A0">
              <w:rPr>
                <w:rFonts w:hint="eastAsia"/>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8E77A0" w:rsidRDefault="00280B3F" w:rsidP="00934457">
            <w:pPr>
              <w:spacing w:before="29" w:line="288" w:lineRule="auto"/>
              <w:jc w:val="right"/>
              <w:rPr>
                <w:sz w:val="24"/>
              </w:rPr>
            </w:pPr>
            <w:r w:rsidRPr="008E77A0">
              <w:rPr>
                <w:rFonts w:hint="eastAsia"/>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280B3F" w:rsidRPr="008E77A0" w:rsidRDefault="00280B3F" w:rsidP="00934457">
            <w:pPr>
              <w:spacing w:before="29" w:line="288" w:lineRule="auto"/>
              <w:jc w:val="right"/>
              <w:rPr>
                <w:sz w:val="24"/>
              </w:rPr>
            </w:pPr>
            <w:r w:rsidRPr="008E77A0">
              <w:rPr>
                <w:rFonts w:hint="eastAsia"/>
                <w:sz w:val="24"/>
              </w:rPr>
              <w:t>未分配利润合计</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基金合同生效日</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427,202.30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427,202.30 </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-427,202.30</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-427,202.30</w:t>
            </w:r>
          </w:p>
        </w:tc>
      </w:tr>
      <w:tr w:rsidR="00280B3F" w:rsidTr="00934457">
        <w:tc>
          <w:tcPr>
            <w:tcW w:w="2584" w:type="dxa"/>
            <w:tcBorders>
              <w:top w:val="single" w:sz="4" w:space="0" w:color="000000"/>
              <w:left w:val="single" w:sz="4" w:space="0" w:color="000000"/>
              <w:bottom w:val="single" w:sz="4" w:space="0" w:color="000000"/>
              <w:right w:val="single" w:sz="4" w:space="0" w:color="000000"/>
            </w:tcBorders>
            <w:vAlign w:val="center"/>
            <w:hideMark/>
          </w:tcPr>
          <w:p w:rsidR="00280B3F" w:rsidRPr="008E77A0" w:rsidRDefault="00280B3F" w:rsidP="00934457">
            <w:pPr>
              <w:spacing w:before="29" w:line="288" w:lineRule="auto"/>
              <w:rPr>
                <w:sz w:val="24"/>
              </w:rPr>
            </w:pPr>
            <w:r w:rsidRPr="008E77A0">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rsidR="00280B3F" w:rsidRPr="008E77A0" w:rsidRDefault="00280B3F" w:rsidP="00934457">
            <w:pPr>
              <w:spacing w:before="29" w:line="288" w:lineRule="auto"/>
              <w:jc w:val="right"/>
              <w:rPr>
                <w:sz w:val="24"/>
              </w:rPr>
            </w:pPr>
            <w:r w:rsidRPr="008E77A0">
              <w:rPr>
                <w:sz w:val="24"/>
              </w:rPr>
              <w:t xml:space="preserve"> -   </w:t>
            </w:r>
          </w:p>
        </w:tc>
      </w:tr>
    </w:tbl>
    <w:p w:rsidR="00280B3F" w:rsidRPr="005C0CEC" w:rsidRDefault="00280B3F" w:rsidP="005C0CEC">
      <w:pPr>
        <w:adjustRightInd w:val="0"/>
        <w:snapToGrid w:val="0"/>
        <w:spacing w:before="29" w:line="288" w:lineRule="auto"/>
        <w:jc w:val="right"/>
        <w:rPr>
          <w:sz w:val="24"/>
        </w:rPr>
      </w:pP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7</w:t>
            </w:r>
            <w:r w:rsidRPr="006A5E35">
              <w:rPr>
                <w:rFonts w:hint="eastAsia"/>
                <w:sz w:val="24"/>
              </w:rPr>
              <w:t>日（基金合同生效日）至</w:t>
            </w: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337,305.91</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46,873.39</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139,326,939.98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259,299.83</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60,220.17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139,724,466.06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306,173.22</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A7226E">
        <w:trPr>
          <w:trHeight w:val="315"/>
        </w:trPr>
        <w:tc>
          <w:tcPr>
            <w:tcW w:w="3968"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515"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7</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A7226E" w:rsidRPr="005A6E6C" w:rsidTr="00A7226E">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A7226E" w:rsidRPr="00B47916" w:rsidRDefault="00A7226E" w:rsidP="00A7226E">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bottom"/>
          </w:tcPr>
          <w:p w:rsidR="00A7226E" w:rsidRPr="00F63F69" w:rsidRDefault="00A7226E" w:rsidP="00A7226E">
            <w:pPr>
              <w:spacing w:before="29" w:line="288" w:lineRule="auto"/>
              <w:jc w:val="right"/>
              <w:rPr>
                <w:color w:val="000000"/>
                <w:kern w:val="0"/>
                <w:sz w:val="24"/>
              </w:rPr>
            </w:pPr>
            <w:r w:rsidRPr="005703FE">
              <w:rPr>
                <w:color w:val="000000"/>
                <w:kern w:val="0"/>
                <w:sz w:val="24"/>
              </w:rPr>
              <w:t>7,179,813,879.53</w:t>
            </w:r>
          </w:p>
        </w:tc>
        <w:tc>
          <w:tcPr>
            <w:tcW w:w="2515" w:type="dxa"/>
            <w:tcBorders>
              <w:top w:val="single" w:sz="4" w:space="0" w:color="auto"/>
              <w:left w:val="single" w:sz="4" w:space="0" w:color="auto"/>
              <w:bottom w:val="single" w:sz="4" w:space="0" w:color="auto"/>
              <w:right w:val="single" w:sz="4" w:space="0" w:color="auto"/>
            </w:tcBorders>
            <w:vAlign w:val="center"/>
          </w:tcPr>
          <w:p w:rsidR="00A7226E" w:rsidRPr="00F47AFC" w:rsidRDefault="00A7226E" w:rsidP="00A7226E">
            <w:pPr>
              <w:spacing w:before="29" w:line="288" w:lineRule="auto"/>
              <w:jc w:val="right"/>
              <w:rPr>
                <w:color w:val="000000"/>
                <w:kern w:val="0"/>
                <w:sz w:val="24"/>
              </w:rPr>
            </w:pPr>
            <w:r w:rsidRPr="00F47AFC">
              <w:rPr>
                <w:rFonts w:hint="eastAsia"/>
                <w:color w:val="000000"/>
                <w:kern w:val="0"/>
                <w:sz w:val="24"/>
              </w:rPr>
              <w:t>-</w:t>
            </w:r>
          </w:p>
        </w:tc>
      </w:tr>
      <w:tr w:rsidR="00A7226E" w:rsidRPr="005A6E6C" w:rsidTr="00A7226E">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A7226E" w:rsidRPr="00B47916" w:rsidRDefault="00A7226E" w:rsidP="00A7226E">
            <w:pPr>
              <w:spacing w:before="29" w:line="288" w:lineRule="auto"/>
              <w:rPr>
                <w:color w:val="000000"/>
                <w:sz w:val="24"/>
              </w:rPr>
            </w:pPr>
            <w:r>
              <w:rPr>
                <w:color w:val="000000"/>
                <w:sz w:val="24"/>
              </w:rPr>
              <w:t>减：卖出债券（</w:t>
            </w:r>
            <w:r w:rsidRPr="00B47916">
              <w:rPr>
                <w:color w:val="000000"/>
                <w:sz w:val="24"/>
              </w:rPr>
              <w:t>债转股及债券到期兑</w:t>
            </w:r>
            <w:r w:rsidRPr="00B47916">
              <w:rPr>
                <w:color w:val="000000"/>
                <w:sz w:val="24"/>
              </w:rPr>
              <w:lastRenderedPageBreak/>
              <w:t>付）成本总额</w:t>
            </w:r>
          </w:p>
        </w:tc>
        <w:tc>
          <w:tcPr>
            <w:tcW w:w="2515" w:type="dxa"/>
            <w:tcBorders>
              <w:top w:val="single" w:sz="4" w:space="0" w:color="auto"/>
              <w:left w:val="single" w:sz="4" w:space="0" w:color="auto"/>
              <w:bottom w:val="single" w:sz="4" w:space="0" w:color="auto"/>
              <w:right w:val="single" w:sz="4" w:space="0" w:color="auto"/>
            </w:tcBorders>
            <w:vAlign w:val="bottom"/>
          </w:tcPr>
          <w:p w:rsidR="00A7226E" w:rsidRPr="00F63F69" w:rsidRDefault="00A7226E" w:rsidP="00A7226E">
            <w:pPr>
              <w:spacing w:before="29" w:line="288" w:lineRule="auto"/>
              <w:jc w:val="right"/>
              <w:rPr>
                <w:color w:val="000000"/>
                <w:kern w:val="0"/>
                <w:sz w:val="24"/>
              </w:rPr>
            </w:pPr>
            <w:r w:rsidRPr="005703FE">
              <w:rPr>
                <w:color w:val="000000"/>
                <w:kern w:val="0"/>
                <w:sz w:val="24"/>
              </w:rPr>
              <w:lastRenderedPageBreak/>
              <w:t>7,160,700,810.28</w:t>
            </w:r>
          </w:p>
        </w:tc>
        <w:tc>
          <w:tcPr>
            <w:tcW w:w="2515" w:type="dxa"/>
            <w:tcBorders>
              <w:top w:val="single" w:sz="4" w:space="0" w:color="auto"/>
              <w:left w:val="single" w:sz="4" w:space="0" w:color="auto"/>
              <w:bottom w:val="single" w:sz="4" w:space="0" w:color="auto"/>
              <w:right w:val="single" w:sz="4" w:space="0" w:color="auto"/>
            </w:tcBorders>
            <w:vAlign w:val="center"/>
          </w:tcPr>
          <w:p w:rsidR="00A7226E" w:rsidRPr="00F47AFC" w:rsidRDefault="00A7226E" w:rsidP="00A7226E">
            <w:pPr>
              <w:spacing w:before="29" w:line="288" w:lineRule="auto"/>
              <w:jc w:val="right"/>
              <w:rPr>
                <w:color w:val="000000"/>
                <w:kern w:val="0"/>
                <w:sz w:val="24"/>
              </w:rPr>
            </w:pPr>
            <w:r w:rsidRPr="00F47AFC">
              <w:rPr>
                <w:rFonts w:hint="eastAsia"/>
                <w:color w:val="000000"/>
                <w:kern w:val="0"/>
                <w:sz w:val="24"/>
              </w:rPr>
              <w:t>-</w:t>
            </w:r>
          </w:p>
        </w:tc>
      </w:tr>
      <w:tr w:rsidR="008C6E0B" w:rsidRPr="005A6E6C" w:rsidTr="00A7226E">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18,611,294.51</w:t>
            </w:r>
          </w:p>
        </w:tc>
        <w:tc>
          <w:tcPr>
            <w:tcW w:w="2515"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w:t>
            </w:r>
          </w:p>
        </w:tc>
      </w:tr>
      <w:tr w:rsidR="008C6E0B" w:rsidRPr="005A6E6C" w:rsidTr="00A7226E">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501,774.74</w:t>
            </w:r>
          </w:p>
        </w:tc>
        <w:tc>
          <w:tcPr>
            <w:tcW w:w="2515"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7</w:t>
            </w:r>
            <w:r w:rsidRPr="008B7FD3">
              <w:rPr>
                <w:rFonts w:hint="eastAsia"/>
                <w:sz w:val="24"/>
              </w:rPr>
              <w:t>日（基金合同生效日）至</w:t>
            </w: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95,769.25</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4,230.75</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622A8">
        <w:trPr>
          <w:jc w:val="center"/>
        </w:trPr>
        <w:tc>
          <w:tcPr>
            <w:tcW w:w="2855" w:type="dxa"/>
            <w:vAlign w:val="center"/>
          </w:tcPr>
          <w:p w:rsidR="002622A8" w:rsidRDefault="00DF40FE">
            <w:pPr>
              <w:jc w:val="left"/>
            </w:pPr>
            <w:r>
              <w:rPr>
                <w:rFonts w:hint="eastAsia"/>
                <w:sz w:val="24"/>
              </w:rPr>
              <w:t xml:space="preserve"> </w:t>
            </w:r>
            <w:r>
              <w:rPr>
                <w:rFonts w:hint="eastAsia"/>
                <w:sz w:val="24"/>
              </w:rPr>
              <w:t>银行汇划费</w:t>
            </w:r>
            <w:r>
              <w:rPr>
                <w:rFonts w:hint="eastAsia"/>
                <w:sz w:val="24"/>
              </w:rPr>
              <w:t xml:space="preserve"> </w:t>
            </w:r>
          </w:p>
        </w:tc>
        <w:tc>
          <w:tcPr>
            <w:tcW w:w="2893" w:type="dxa"/>
            <w:vAlign w:val="center"/>
          </w:tcPr>
          <w:p w:rsidR="002622A8" w:rsidRDefault="00DF40FE">
            <w:pPr>
              <w:jc w:val="right"/>
            </w:pPr>
            <w:r>
              <w:rPr>
                <w:rFonts w:hint="eastAsia"/>
                <w:sz w:val="24"/>
              </w:rPr>
              <w:t>57,447.09</w:t>
            </w:r>
          </w:p>
        </w:tc>
        <w:tc>
          <w:tcPr>
            <w:tcW w:w="3367" w:type="dxa"/>
            <w:vAlign w:val="center"/>
          </w:tcPr>
          <w:p w:rsidR="002622A8" w:rsidRDefault="00DF40FE">
            <w:pPr>
              <w:jc w:val="right"/>
            </w:pPr>
            <w:r>
              <w:rPr>
                <w:rFonts w:hint="eastAsia"/>
                <w:sz w:val="24"/>
              </w:rPr>
              <w:t>850.00</w:t>
            </w:r>
          </w:p>
        </w:tc>
      </w:tr>
      <w:tr w:rsidR="002622A8">
        <w:trPr>
          <w:jc w:val="center"/>
        </w:trPr>
        <w:tc>
          <w:tcPr>
            <w:tcW w:w="2855" w:type="dxa"/>
            <w:vAlign w:val="center"/>
          </w:tcPr>
          <w:p w:rsidR="002622A8" w:rsidRDefault="00DF40FE">
            <w:pPr>
              <w:jc w:val="left"/>
            </w:pPr>
            <w:r>
              <w:rPr>
                <w:rFonts w:hint="eastAsia"/>
                <w:sz w:val="24"/>
              </w:rPr>
              <w:t xml:space="preserve"> </w:t>
            </w:r>
            <w:r>
              <w:rPr>
                <w:rFonts w:hint="eastAsia"/>
                <w:sz w:val="24"/>
              </w:rPr>
              <w:t>债券帐户维护费</w:t>
            </w:r>
            <w:r>
              <w:rPr>
                <w:rFonts w:hint="eastAsia"/>
                <w:sz w:val="24"/>
              </w:rPr>
              <w:t xml:space="preserve"> </w:t>
            </w:r>
          </w:p>
        </w:tc>
        <w:tc>
          <w:tcPr>
            <w:tcW w:w="2893" w:type="dxa"/>
            <w:vAlign w:val="center"/>
          </w:tcPr>
          <w:p w:rsidR="002622A8" w:rsidRDefault="00DF40FE">
            <w:pPr>
              <w:jc w:val="right"/>
            </w:pPr>
            <w:r>
              <w:rPr>
                <w:rFonts w:hint="eastAsia"/>
                <w:sz w:val="24"/>
              </w:rPr>
              <w:t>34,000.00</w:t>
            </w:r>
          </w:p>
        </w:tc>
        <w:tc>
          <w:tcPr>
            <w:tcW w:w="3367" w:type="dxa"/>
            <w:vAlign w:val="center"/>
          </w:tcPr>
          <w:p w:rsidR="002622A8" w:rsidRDefault="00DF40FE">
            <w:pPr>
              <w:jc w:val="right"/>
            </w:pPr>
            <w:r>
              <w:rPr>
                <w:rFonts w:hint="eastAsia"/>
                <w:sz w:val="24"/>
              </w:rPr>
              <w:t>-</w:t>
            </w:r>
          </w:p>
        </w:tc>
      </w:tr>
      <w:tr w:rsidR="002622A8">
        <w:trPr>
          <w:jc w:val="center"/>
        </w:trPr>
        <w:tc>
          <w:tcPr>
            <w:tcW w:w="2855" w:type="dxa"/>
            <w:vAlign w:val="center"/>
          </w:tcPr>
          <w:p w:rsidR="002622A8" w:rsidRDefault="00DF40FE">
            <w:pPr>
              <w:jc w:val="left"/>
            </w:pPr>
            <w:r>
              <w:rPr>
                <w:rFonts w:hint="eastAsia"/>
                <w:sz w:val="24"/>
              </w:rPr>
              <w:t xml:space="preserve"> </w:t>
            </w:r>
            <w:r>
              <w:rPr>
                <w:rFonts w:hint="eastAsia"/>
                <w:sz w:val="24"/>
              </w:rPr>
              <w:t>其他</w:t>
            </w:r>
            <w:r>
              <w:rPr>
                <w:rFonts w:hint="eastAsia"/>
                <w:sz w:val="24"/>
              </w:rPr>
              <w:t xml:space="preserve"> </w:t>
            </w:r>
          </w:p>
        </w:tc>
        <w:tc>
          <w:tcPr>
            <w:tcW w:w="2893" w:type="dxa"/>
            <w:vAlign w:val="center"/>
          </w:tcPr>
          <w:p w:rsidR="002622A8" w:rsidRDefault="00DF40FE">
            <w:pPr>
              <w:jc w:val="right"/>
            </w:pPr>
            <w:r>
              <w:rPr>
                <w:rFonts w:hint="eastAsia"/>
                <w:sz w:val="24"/>
              </w:rPr>
              <w:t>5,500.00</w:t>
            </w:r>
          </w:p>
        </w:tc>
        <w:tc>
          <w:tcPr>
            <w:tcW w:w="3367" w:type="dxa"/>
            <w:vAlign w:val="center"/>
          </w:tcPr>
          <w:p w:rsidR="002622A8" w:rsidRDefault="00DF40FE">
            <w:pPr>
              <w:jc w:val="right"/>
            </w:pPr>
            <w:r>
              <w:rPr>
                <w:rFonts w:hint="eastAsia"/>
                <w:sz w:val="24"/>
              </w:rPr>
              <w:t>400.00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312,716.34</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5,480.75</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3B5692" w:rsidRPr="00335306" w:rsidRDefault="003B5692" w:rsidP="003B5692">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与本基金的关系</w:t>
            </w:r>
          </w:p>
        </w:tc>
      </w:tr>
      <w:tr w:rsidR="002622A8">
        <w:tc>
          <w:tcPr>
            <w:tcW w:w="5220" w:type="dxa"/>
            <w:vAlign w:val="center"/>
          </w:tcPr>
          <w:p w:rsidR="002622A8" w:rsidRDefault="00DF40FE">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rsidR="002622A8" w:rsidRDefault="00DF40FE">
            <w:pPr>
              <w:jc w:val="left"/>
            </w:pPr>
            <w:r>
              <w:rPr>
                <w:rFonts w:hint="eastAsia"/>
                <w:sz w:val="24"/>
              </w:rPr>
              <w:t>基金管理人、基金注册登记机构、基金销售机构</w:t>
            </w:r>
          </w:p>
        </w:tc>
      </w:tr>
      <w:tr w:rsidR="002622A8">
        <w:tc>
          <w:tcPr>
            <w:tcW w:w="5220" w:type="dxa"/>
            <w:vAlign w:val="center"/>
          </w:tcPr>
          <w:p w:rsidR="002622A8" w:rsidRDefault="00DF40FE">
            <w:pPr>
              <w:jc w:val="left"/>
            </w:pPr>
            <w:r>
              <w:rPr>
                <w:rFonts w:hint="eastAsia"/>
                <w:sz w:val="24"/>
              </w:rPr>
              <w:t>兴业银行股份有限公司</w:t>
            </w:r>
            <w:r>
              <w:rPr>
                <w:rFonts w:hint="eastAsia"/>
                <w:sz w:val="24"/>
              </w:rPr>
              <w:t>(</w:t>
            </w:r>
            <w:r>
              <w:rPr>
                <w:rFonts w:hint="eastAsia"/>
                <w:sz w:val="24"/>
              </w:rPr>
              <w:t>“兴业银行”</w:t>
            </w:r>
            <w:r>
              <w:rPr>
                <w:rFonts w:hint="eastAsia"/>
                <w:sz w:val="24"/>
              </w:rPr>
              <w:t>)</w:t>
            </w:r>
          </w:p>
        </w:tc>
        <w:tc>
          <w:tcPr>
            <w:tcW w:w="3780" w:type="dxa"/>
            <w:vAlign w:val="center"/>
          </w:tcPr>
          <w:p w:rsidR="002622A8" w:rsidRDefault="00DF40FE">
            <w:pPr>
              <w:jc w:val="left"/>
            </w:pPr>
            <w:r>
              <w:rPr>
                <w:rFonts w:hint="eastAsia"/>
                <w:sz w:val="24"/>
              </w:rPr>
              <w:t>基金托管人</w:t>
            </w:r>
          </w:p>
        </w:tc>
      </w:tr>
      <w:tr w:rsidR="002622A8">
        <w:tc>
          <w:tcPr>
            <w:tcW w:w="5220" w:type="dxa"/>
            <w:vAlign w:val="center"/>
          </w:tcPr>
          <w:p w:rsidR="002622A8" w:rsidRDefault="00DF40FE">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rsidR="002622A8" w:rsidRDefault="00DF40FE">
            <w:pPr>
              <w:jc w:val="left"/>
            </w:pPr>
            <w:r>
              <w:rPr>
                <w:rFonts w:hint="eastAsia"/>
                <w:sz w:val="24"/>
              </w:rPr>
              <w:t>基金管理人的股东、基金销售机构</w:t>
            </w:r>
          </w:p>
        </w:tc>
      </w:tr>
      <w:tr w:rsidR="002622A8">
        <w:tc>
          <w:tcPr>
            <w:tcW w:w="5220" w:type="dxa"/>
            <w:vAlign w:val="center"/>
          </w:tcPr>
          <w:p w:rsidR="002622A8" w:rsidRDefault="00DF40FE">
            <w:pPr>
              <w:jc w:val="left"/>
            </w:pPr>
            <w:r>
              <w:rPr>
                <w:rFonts w:hint="eastAsia"/>
                <w:sz w:val="24"/>
              </w:rPr>
              <w:t>施罗德投资管理有限公司</w:t>
            </w:r>
          </w:p>
        </w:tc>
        <w:tc>
          <w:tcPr>
            <w:tcW w:w="3780" w:type="dxa"/>
            <w:vAlign w:val="center"/>
          </w:tcPr>
          <w:p w:rsidR="002622A8" w:rsidRDefault="00DF40FE">
            <w:pPr>
              <w:jc w:val="left"/>
            </w:pPr>
            <w:r>
              <w:rPr>
                <w:rFonts w:hint="eastAsia"/>
                <w:sz w:val="24"/>
              </w:rPr>
              <w:t>基金管理人的股东</w:t>
            </w:r>
          </w:p>
        </w:tc>
      </w:tr>
      <w:tr w:rsidR="002622A8">
        <w:tc>
          <w:tcPr>
            <w:tcW w:w="5220" w:type="dxa"/>
            <w:vAlign w:val="center"/>
          </w:tcPr>
          <w:p w:rsidR="002622A8" w:rsidRDefault="00DF40FE">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rsidR="002622A8" w:rsidRDefault="00DF40FE">
            <w:pPr>
              <w:jc w:val="left"/>
            </w:pPr>
            <w:r>
              <w:rPr>
                <w:rFonts w:hint="eastAsia"/>
                <w:sz w:val="24"/>
              </w:rPr>
              <w:t>基金管理人的股东</w:t>
            </w:r>
          </w:p>
        </w:tc>
      </w:tr>
      <w:tr w:rsidR="002622A8">
        <w:tc>
          <w:tcPr>
            <w:tcW w:w="5220" w:type="dxa"/>
            <w:vAlign w:val="center"/>
          </w:tcPr>
          <w:p w:rsidR="002622A8" w:rsidRDefault="00DF40FE">
            <w:pPr>
              <w:jc w:val="left"/>
            </w:pPr>
            <w:r>
              <w:rPr>
                <w:rFonts w:hint="eastAsia"/>
                <w:sz w:val="24"/>
              </w:rPr>
              <w:lastRenderedPageBreak/>
              <w:t>交银施罗德资产管理有限公司</w:t>
            </w:r>
          </w:p>
        </w:tc>
        <w:tc>
          <w:tcPr>
            <w:tcW w:w="3780" w:type="dxa"/>
            <w:vAlign w:val="center"/>
          </w:tcPr>
          <w:p w:rsidR="002622A8" w:rsidRDefault="00DF40FE">
            <w:pPr>
              <w:jc w:val="left"/>
            </w:pPr>
            <w:r>
              <w:rPr>
                <w:rFonts w:hint="eastAsia"/>
                <w:sz w:val="24"/>
              </w:rPr>
              <w:t>基金管理人的子公司</w:t>
            </w:r>
          </w:p>
        </w:tc>
      </w:tr>
      <w:tr w:rsidR="002622A8">
        <w:tc>
          <w:tcPr>
            <w:tcW w:w="5220" w:type="dxa"/>
            <w:vAlign w:val="center"/>
          </w:tcPr>
          <w:p w:rsidR="002622A8" w:rsidRDefault="00DF40FE">
            <w:pPr>
              <w:jc w:val="left"/>
            </w:pPr>
            <w:r>
              <w:rPr>
                <w:rFonts w:hint="eastAsia"/>
                <w:sz w:val="24"/>
              </w:rPr>
              <w:t>上海直源投资管理有限公司</w:t>
            </w:r>
          </w:p>
        </w:tc>
        <w:tc>
          <w:tcPr>
            <w:tcW w:w="3780" w:type="dxa"/>
            <w:vAlign w:val="center"/>
          </w:tcPr>
          <w:p w:rsidR="002622A8" w:rsidRDefault="00DF40FE">
            <w:pPr>
              <w:jc w:val="left"/>
            </w:pPr>
            <w:r>
              <w:rPr>
                <w:rFonts w:hint="eastAsia"/>
                <w:sz w:val="24"/>
              </w:rPr>
              <w:t>受基金管理人控制的公司</w:t>
            </w:r>
          </w:p>
        </w:tc>
      </w:tr>
      <w:tr w:rsidR="002622A8">
        <w:tc>
          <w:tcPr>
            <w:tcW w:w="5220" w:type="dxa"/>
            <w:vAlign w:val="center"/>
          </w:tcPr>
          <w:p w:rsidR="002622A8" w:rsidRDefault="00DF40FE">
            <w:pPr>
              <w:jc w:val="left"/>
            </w:pPr>
            <w:r>
              <w:rPr>
                <w:rFonts w:hint="eastAsia"/>
                <w:sz w:val="24"/>
              </w:rPr>
              <w:t>交烨投资管理</w:t>
            </w:r>
            <w:r>
              <w:rPr>
                <w:rFonts w:hint="eastAsia"/>
                <w:sz w:val="24"/>
              </w:rPr>
              <w:t>(</w:t>
            </w:r>
            <w:r>
              <w:rPr>
                <w:rFonts w:hint="eastAsia"/>
                <w:sz w:val="24"/>
              </w:rPr>
              <w:t>上海</w:t>
            </w:r>
            <w:r>
              <w:rPr>
                <w:rFonts w:hint="eastAsia"/>
                <w:sz w:val="24"/>
              </w:rPr>
              <w:t>)</w:t>
            </w:r>
            <w:r>
              <w:rPr>
                <w:rFonts w:hint="eastAsia"/>
                <w:sz w:val="24"/>
              </w:rPr>
              <w:t>有限公司</w:t>
            </w:r>
          </w:p>
        </w:tc>
        <w:tc>
          <w:tcPr>
            <w:tcW w:w="3780" w:type="dxa"/>
            <w:vAlign w:val="center"/>
          </w:tcPr>
          <w:p w:rsidR="002622A8" w:rsidRDefault="00DF40FE">
            <w:pPr>
              <w:jc w:val="left"/>
            </w:pPr>
            <w:r>
              <w:rPr>
                <w:rFonts w:hint="eastAsia"/>
                <w:sz w:val="24"/>
              </w:rPr>
              <w:t>受基金管理人控制的公司</w:t>
            </w:r>
          </w:p>
        </w:tc>
      </w:tr>
    </w:tbl>
    <w:p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7</w:t>
            </w:r>
            <w:r w:rsidRPr="00615AEA">
              <w:rPr>
                <w:rFonts w:hint="eastAsia"/>
                <w:sz w:val="24"/>
              </w:rPr>
              <w:t>日（基金合同生效日）至</w:t>
            </w: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10,096,968.21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19,707.28</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26,295.60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2.16</w:t>
            </w:r>
          </w:p>
        </w:tc>
      </w:tr>
    </w:tbl>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注：支付基金管理人的基金管理人报酬按前一日基金资产净值</w:t>
      </w:r>
      <w:r w:rsidRPr="00EA38EC">
        <w:rPr>
          <w:rFonts w:hint="eastAsia"/>
          <w:kern w:val="0"/>
          <w:sz w:val="24"/>
        </w:rPr>
        <w:t>0.15%</w:t>
      </w:r>
      <w:r w:rsidRPr="00EA38EC">
        <w:rPr>
          <w:rFonts w:hint="eastAsia"/>
          <w:kern w:val="0"/>
          <w:sz w:val="24"/>
        </w:rPr>
        <w:t>的年费率计提，逐日累计至每月月底，按月支付。其计算公式为：日基金管理人报酬</w:t>
      </w:r>
      <w:r w:rsidRPr="00EA38EC">
        <w:rPr>
          <w:rFonts w:hint="eastAsia"/>
          <w:kern w:val="0"/>
          <w:sz w:val="24"/>
        </w:rPr>
        <w:t>=</w:t>
      </w:r>
      <w:r w:rsidRPr="00EA38EC">
        <w:rPr>
          <w:rFonts w:hint="eastAsia"/>
          <w:kern w:val="0"/>
          <w:sz w:val="24"/>
        </w:rPr>
        <w:t>前一日基金资产净值×</w:t>
      </w:r>
      <w:r w:rsidRPr="00EA38EC">
        <w:rPr>
          <w:rFonts w:hint="eastAsia"/>
          <w:kern w:val="0"/>
          <w:sz w:val="24"/>
        </w:rPr>
        <w:t>0.15%</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7</w:t>
            </w:r>
            <w:r w:rsidRPr="006853D5">
              <w:rPr>
                <w:rFonts w:hint="eastAsia"/>
                <w:sz w:val="24"/>
              </w:rPr>
              <w:t>日（基金合同生效日）至</w:t>
            </w: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3,365,656.13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6,569.09</w:t>
            </w:r>
          </w:p>
        </w:tc>
      </w:tr>
    </w:tbl>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注：支付基金托管人的基金托管费按前一日基金资产净值</w:t>
      </w:r>
      <w:r w:rsidRPr="005A797D">
        <w:rPr>
          <w:rFonts w:hint="eastAsia"/>
          <w:kern w:val="0"/>
          <w:sz w:val="24"/>
        </w:rPr>
        <w:t>0.05%</w:t>
      </w:r>
      <w:r w:rsidRPr="005A797D">
        <w:rPr>
          <w:rFonts w:hint="eastAsia"/>
          <w:kern w:val="0"/>
          <w:sz w:val="24"/>
        </w:rPr>
        <w:t>的年费率计提，逐日累计至每月月底，按月支付。其计算公式为：日基金托管费</w:t>
      </w:r>
      <w:r w:rsidRPr="005A797D">
        <w:rPr>
          <w:rFonts w:hint="eastAsia"/>
          <w:kern w:val="0"/>
          <w:sz w:val="24"/>
        </w:rPr>
        <w:t>=</w:t>
      </w:r>
      <w:r w:rsidRPr="005A797D">
        <w:rPr>
          <w:rFonts w:hint="eastAsia"/>
          <w:kern w:val="0"/>
          <w:sz w:val="24"/>
        </w:rPr>
        <w:t>前一日基金资产净值×</w:t>
      </w:r>
      <w:r w:rsidRPr="005A797D">
        <w:rPr>
          <w:rFonts w:hint="eastAsia"/>
          <w:kern w:val="0"/>
          <w:sz w:val="24"/>
        </w:rPr>
        <w:t>0.05%</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BF009C">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BF009C">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BF009C">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交银天鑫宝货币</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交银天鑫宝货币</w:t>
            </w:r>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BF009C">
        <w:tc>
          <w:tcPr>
            <w:tcW w:w="2000" w:type="dxa"/>
            <w:vAlign w:val="center"/>
          </w:tcPr>
          <w:p w:rsidR="00BF009C" w:rsidRDefault="00BF009C" w:rsidP="00BF009C">
            <w:pPr>
              <w:jc w:val="left"/>
            </w:pPr>
            <w:r>
              <w:rPr>
                <w:sz w:val="24"/>
              </w:rPr>
              <w:t>交银施罗德基金公司</w:t>
            </w:r>
          </w:p>
        </w:tc>
        <w:tc>
          <w:tcPr>
            <w:tcW w:w="1766" w:type="dxa"/>
            <w:vAlign w:val="center"/>
          </w:tcPr>
          <w:p w:rsidR="00BF009C" w:rsidRDefault="00BF009C" w:rsidP="00BF009C">
            <w:pPr>
              <w:jc w:val="right"/>
            </w:pPr>
            <w:r>
              <w:rPr>
                <w:sz w:val="24"/>
              </w:rPr>
              <w:t>1,234.52</w:t>
            </w:r>
          </w:p>
        </w:tc>
        <w:tc>
          <w:tcPr>
            <w:tcW w:w="2162" w:type="dxa"/>
            <w:vAlign w:val="center"/>
          </w:tcPr>
          <w:p w:rsidR="00BF009C" w:rsidRPr="00F63F69" w:rsidRDefault="00BF009C" w:rsidP="00BF009C">
            <w:pPr>
              <w:spacing w:before="29" w:line="288" w:lineRule="auto"/>
              <w:jc w:val="right"/>
              <w:rPr>
                <w:sz w:val="24"/>
              </w:rPr>
            </w:pPr>
            <w:r w:rsidRPr="004903F3">
              <w:rPr>
                <w:sz w:val="24"/>
              </w:rPr>
              <w:t>668,645.46</w:t>
            </w:r>
          </w:p>
        </w:tc>
        <w:tc>
          <w:tcPr>
            <w:tcW w:w="3070" w:type="dxa"/>
            <w:vAlign w:val="center"/>
          </w:tcPr>
          <w:p w:rsidR="00BF009C" w:rsidRDefault="00BF009C" w:rsidP="002F7138">
            <w:pPr>
              <w:jc w:val="right"/>
            </w:pPr>
            <w:r>
              <w:rPr>
                <w:sz w:val="24"/>
              </w:rPr>
              <w:t>669,</w:t>
            </w:r>
            <w:r w:rsidR="002F7138">
              <w:rPr>
                <w:sz w:val="24"/>
              </w:rPr>
              <w:t>879.98</w:t>
            </w:r>
          </w:p>
        </w:tc>
      </w:tr>
      <w:tr w:rsidR="002622A8">
        <w:tc>
          <w:tcPr>
            <w:tcW w:w="2000" w:type="dxa"/>
            <w:vAlign w:val="center"/>
          </w:tcPr>
          <w:p w:rsidR="002622A8" w:rsidRDefault="00DF40FE">
            <w:pPr>
              <w:jc w:val="left"/>
            </w:pPr>
            <w:r>
              <w:rPr>
                <w:sz w:val="24"/>
              </w:rPr>
              <w:t>交通银行</w:t>
            </w:r>
          </w:p>
        </w:tc>
        <w:tc>
          <w:tcPr>
            <w:tcW w:w="1766" w:type="dxa"/>
            <w:vAlign w:val="center"/>
          </w:tcPr>
          <w:p w:rsidR="002622A8" w:rsidRDefault="00DF40FE">
            <w:pPr>
              <w:jc w:val="right"/>
            </w:pPr>
            <w:r>
              <w:rPr>
                <w:sz w:val="24"/>
              </w:rPr>
              <w:t>109,564.49</w:t>
            </w:r>
          </w:p>
        </w:tc>
        <w:tc>
          <w:tcPr>
            <w:tcW w:w="2162" w:type="dxa"/>
            <w:vAlign w:val="center"/>
          </w:tcPr>
          <w:p w:rsidR="002622A8" w:rsidRDefault="00DF40FE">
            <w:pPr>
              <w:jc w:val="right"/>
            </w:pPr>
            <w:r>
              <w:rPr>
                <w:sz w:val="24"/>
              </w:rPr>
              <w:t>-</w:t>
            </w:r>
          </w:p>
        </w:tc>
        <w:tc>
          <w:tcPr>
            <w:tcW w:w="3070" w:type="dxa"/>
            <w:vAlign w:val="center"/>
          </w:tcPr>
          <w:p w:rsidR="002622A8" w:rsidRDefault="00DF40FE">
            <w:pPr>
              <w:jc w:val="right"/>
            </w:pPr>
            <w:r>
              <w:rPr>
                <w:sz w:val="24"/>
              </w:rPr>
              <w:t>109,564.49</w:t>
            </w:r>
          </w:p>
        </w:tc>
      </w:tr>
      <w:tr w:rsidR="00BF009C" w:rsidRPr="00634FF6" w:rsidTr="00BF009C">
        <w:tc>
          <w:tcPr>
            <w:tcW w:w="2000" w:type="dxa"/>
            <w:tcBorders>
              <w:top w:val="single" w:sz="4" w:space="0" w:color="000000"/>
              <w:left w:val="single" w:sz="4" w:space="0" w:color="000000"/>
              <w:bottom w:val="single" w:sz="4" w:space="0" w:color="000000"/>
              <w:right w:val="single" w:sz="4" w:space="0" w:color="000000"/>
            </w:tcBorders>
            <w:vAlign w:val="center"/>
          </w:tcPr>
          <w:p w:rsidR="00BF009C" w:rsidRPr="001F38DC" w:rsidRDefault="00BF009C" w:rsidP="00BF009C">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BF009C" w:rsidRPr="001F38DC" w:rsidRDefault="00BF009C" w:rsidP="00BF009C">
            <w:pPr>
              <w:spacing w:before="29" w:line="288" w:lineRule="auto"/>
              <w:jc w:val="center"/>
              <w:rPr>
                <w:sz w:val="24"/>
              </w:rPr>
            </w:pPr>
            <w:r w:rsidRPr="001F38DC">
              <w:rPr>
                <w:sz w:val="24"/>
              </w:rPr>
              <w:t>110,799.01</w:t>
            </w:r>
          </w:p>
        </w:tc>
        <w:tc>
          <w:tcPr>
            <w:tcW w:w="2162" w:type="dxa"/>
            <w:tcBorders>
              <w:top w:val="single" w:sz="4" w:space="0" w:color="000000"/>
              <w:left w:val="single" w:sz="4" w:space="0" w:color="000000"/>
              <w:bottom w:val="single" w:sz="4" w:space="0" w:color="000000"/>
              <w:right w:val="single" w:sz="4" w:space="0" w:color="000000"/>
            </w:tcBorders>
            <w:vAlign w:val="center"/>
          </w:tcPr>
          <w:p w:rsidR="00BF009C" w:rsidRPr="00F63F69" w:rsidRDefault="00BF009C" w:rsidP="00BF009C">
            <w:pPr>
              <w:spacing w:before="29" w:line="288" w:lineRule="auto"/>
              <w:jc w:val="right"/>
              <w:rPr>
                <w:sz w:val="24"/>
              </w:rPr>
            </w:pPr>
            <w:r w:rsidRPr="004903F3">
              <w:rPr>
                <w:sz w:val="24"/>
              </w:rPr>
              <w:t>668,645.46</w:t>
            </w:r>
          </w:p>
        </w:tc>
        <w:tc>
          <w:tcPr>
            <w:tcW w:w="3070" w:type="dxa"/>
            <w:tcBorders>
              <w:top w:val="single" w:sz="4" w:space="0" w:color="000000"/>
              <w:left w:val="single" w:sz="4" w:space="0" w:color="000000"/>
              <w:bottom w:val="single" w:sz="4" w:space="0" w:color="000000"/>
              <w:right w:val="single" w:sz="4" w:space="0" w:color="000000"/>
            </w:tcBorders>
            <w:vAlign w:val="center"/>
          </w:tcPr>
          <w:p w:rsidR="00BF009C" w:rsidRPr="001F38DC" w:rsidRDefault="00BF009C" w:rsidP="002F7138">
            <w:pPr>
              <w:spacing w:before="29" w:line="288" w:lineRule="auto"/>
              <w:jc w:val="center"/>
              <w:rPr>
                <w:sz w:val="24"/>
              </w:rPr>
            </w:pPr>
            <w:r w:rsidRPr="001F38DC">
              <w:rPr>
                <w:sz w:val="24"/>
              </w:rPr>
              <w:t>779,</w:t>
            </w:r>
            <w:r w:rsidR="002F7138">
              <w:rPr>
                <w:sz w:val="24"/>
              </w:rPr>
              <w:t>444.47</w:t>
            </w:r>
          </w:p>
        </w:tc>
      </w:tr>
      <w:tr w:rsidR="00841386" w:rsidRPr="00634FF6" w:rsidTr="00BF009C">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12</w:t>
            </w:r>
            <w:r w:rsidRPr="008D3C85">
              <w:rPr>
                <w:sz w:val="24"/>
              </w:rPr>
              <w:t>月</w:t>
            </w:r>
            <w:r w:rsidRPr="008D3C85">
              <w:rPr>
                <w:sz w:val="24"/>
              </w:rPr>
              <w:t>7</w:t>
            </w:r>
            <w:r w:rsidRPr="008D3C85">
              <w:rPr>
                <w:sz w:val="24"/>
              </w:rPr>
              <w:t>日（基金合同生效日）至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BF009C">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BF009C">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交银天鑫宝货币</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交银天鑫宝货币</w:t>
            </w:r>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2622A8">
        <w:tc>
          <w:tcPr>
            <w:tcW w:w="2000" w:type="dxa"/>
            <w:vAlign w:val="center"/>
          </w:tcPr>
          <w:p w:rsidR="002622A8" w:rsidRDefault="00DF40FE">
            <w:pPr>
              <w:jc w:val="left"/>
            </w:pPr>
            <w:r>
              <w:rPr>
                <w:sz w:val="24"/>
              </w:rPr>
              <w:t>交银施罗德基金公司</w:t>
            </w:r>
          </w:p>
        </w:tc>
        <w:tc>
          <w:tcPr>
            <w:tcW w:w="1766" w:type="dxa"/>
            <w:vAlign w:val="center"/>
          </w:tcPr>
          <w:p w:rsidR="002622A8" w:rsidRDefault="00DF40FE">
            <w:pPr>
              <w:jc w:val="right"/>
            </w:pPr>
            <w:r>
              <w:rPr>
                <w:sz w:val="24"/>
              </w:rPr>
              <w:t>16.71</w:t>
            </w:r>
          </w:p>
        </w:tc>
        <w:tc>
          <w:tcPr>
            <w:tcW w:w="2162" w:type="dxa"/>
            <w:vAlign w:val="center"/>
          </w:tcPr>
          <w:p w:rsidR="002622A8" w:rsidRDefault="00DF40FE">
            <w:pPr>
              <w:jc w:val="right"/>
            </w:pPr>
            <w:r>
              <w:rPr>
                <w:sz w:val="24"/>
              </w:rPr>
              <w:t>1,312.79</w:t>
            </w:r>
          </w:p>
        </w:tc>
        <w:tc>
          <w:tcPr>
            <w:tcW w:w="3070" w:type="dxa"/>
            <w:vAlign w:val="center"/>
          </w:tcPr>
          <w:p w:rsidR="002622A8" w:rsidRDefault="00DF40FE">
            <w:pPr>
              <w:jc w:val="right"/>
            </w:pPr>
            <w:r>
              <w:rPr>
                <w:sz w:val="24"/>
              </w:rPr>
              <w:t>1,329.50</w:t>
            </w:r>
          </w:p>
        </w:tc>
      </w:tr>
      <w:tr w:rsidR="002622A8">
        <w:tc>
          <w:tcPr>
            <w:tcW w:w="2000" w:type="dxa"/>
            <w:vAlign w:val="center"/>
          </w:tcPr>
          <w:p w:rsidR="002622A8" w:rsidRDefault="00DF40FE">
            <w:pPr>
              <w:jc w:val="left"/>
            </w:pPr>
            <w:r>
              <w:rPr>
                <w:sz w:val="24"/>
              </w:rPr>
              <w:t>交通银行</w:t>
            </w:r>
          </w:p>
        </w:tc>
        <w:tc>
          <w:tcPr>
            <w:tcW w:w="1766" w:type="dxa"/>
            <w:vAlign w:val="center"/>
          </w:tcPr>
          <w:p w:rsidR="002622A8" w:rsidRDefault="00DF40FE">
            <w:pPr>
              <w:jc w:val="right"/>
            </w:pPr>
            <w:r>
              <w:rPr>
                <w:sz w:val="24"/>
              </w:rPr>
              <w:t>9.06</w:t>
            </w:r>
          </w:p>
        </w:tc>
        <w:tc>
          <w:tcPr>
            <w:tcW w:w="2162" w:type="dxa"/>
            <w:vAlign w:val="center"/>
          </w:tcPr>
          <w:p w:rsidR="002622A8" w:rsidRDefault="00DF40FE">
            <w:pPr>
              <w:jc w:val="right"/>
            </w:pPr>
            <w:r>
              <w:rPr>
                <w:sz w:val="24"/>
              </w:rPr>
              <w:t>-</w:t>
            </w:r>
          </w:p>
        </w:tc>
        <w:tc>
          <w:tcPr>
            <w:tcW w:w="3070" w:type="dxa"/>
            <w:vAlign w:val="center"/>
          </w:tcPr>
          <w:p w:rsidR="002622A8" w:rsidRDefault="00DF40FE">
            <w:pPr>
              <w:jc w:val="right"/>
            </w:pPr>
            <w:r>
              <w:rPr>
                <w:sz w:val="24"/>
              </w:rPr>
              <w:t>9.06</w:t>
            </w:r>
          </w:p>
        </w:tc>
      </w:tr>
      <w:tr w:rsidR="00841386" w:rsidRPr="00634FF6" w:rsidTr="00BF009C">
        <w:tc>
          <w:tcPr>
            <w:tcW w:w="200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25.77</w:t>
            </w:r>
          </w:p>
        </w:tc>
        <w:tc>
          <w:tcPr>
            <w:tcW w:w="21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1,312.79</w:t>
            </w:r>
          </w:p>
        </w:tc>
        <w:tc>
          <w:tcPr>
            <w:tcW w:w="307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1,338.56</w:t>
            </w:r>
          </w:p>
        </w:tc>
      </w:tr>
    </w:tbl>
    <w:p w:rsidR="002622A8" w:rsidRDefault="00DF40FE">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2017</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2017</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2A61BC">
        <w:tc>
          <w:tcPr>
            <w:tcW w:w="1422" w:type="dxa"/>
            <w:vAlign w:val="center"/>
          </w:tcPr>
          <w:p w:rsidR="002A61BC" w:rsidRDefault="002A61BC" w:rsidP="002A61BC">
            <w:pPr>
              <w:jc w:val="left"/>
            </w:pPr>
            <w:r>
              <w:rPr>
                <w:bCs/>
                <w:sz w:val="24"/>
              </w:rPr>
              <w:t>兴业银行</w:t>
            </w:r>
          </w:p>
        </w:tc>
        <w:tc>
          <w:tcPr>
            <w:tcW w:w="1818" w:type="dxa"/>
            <w:vAlign w:val="center"/>
          </w:tcPr>
          <w:p w:rsidR="002A61BC" w:rsidRDefault="002A61BC" w:rsidP="002A61BC">
            <w:pPr>
              <w:jc w:val="right"/>
            </w:pPr>
            <w:r>
              <w:rPr>
                <w:bCs/>
                <w:sz w:val="24"/>
              </w:rPr>
              <w:t>129,179,634.95</w:t>
            </w:r>
          </w:p>
        </w:tc>
        <w:tc>
          <w:tcPr>
            <w:tcW w:w="1260" w:type="dxa"/>
            <w:vAlign w:val="center"/>
          </w:tcPr>
          <w:p w:rsidR="002A61BC" w:rsidRDefault="002A61BC" w:rsidP="002A61BC">
            <w:pPr>
              <w:jc w:val="right"/>
            </w:pPr>
            <w:r>
              <w:rPr>
                <w:bCs/>
                <w:sz w:val="24"/>
              </w:rPr>
              <w:t>-</w:t>
            </w:r>
          </w:p>
        </w:tc>
        <w:tc>
          <w:tcPr>
            <w:tcW w:w="1260" w:type="dxa"/>
            <w:vAlign w:val="center"/>
          </w:tcPr>
          <w:p w:rsidR="002A61BC" w:rsidRDefault="002A61BC" w:rsidP="002A61BC">
            <w:pPr>
              <w:jc w:val="right"/>
            </w:pPr>
            <w:r>
              <w:rPr>
                <w:bCs/>
                <w:sz w:val="24"/>
              </w:rPr>
              <w:t>-</w:t>
            </w:r>
          </w:p>
        </w:tc>
        <w:tc>
          <w:tcPr>
            <w:tcW w:w="1080" w:type="dxa"/>
            <w:vAlign w:val="center"/>
          </w:tcPr>
          <w:p w:rsidR="002A61BC" w:rsidRDefault="002A61BC" w:rsidP="002A61BC">
            <w:pPr>
              <w:jc w:val="right"/>
            </w:pPr>
            <w:r>
              <w:rPr>
                <w:bCs/>
                <w:sz w:val="24"/>
              </w:rPr>
              <w:t>-</w:t>
            </w:r>
          </w:p>
        </w:tc>
        <w:tc>
          <w:tcPr>
            <w:tcW w:w="1512" w:type="dxa"/>
            <w:vAlign w:val="center"/>
          </w:tcPr>
          <w:p w:rsidR="002A61BC" w:rsidRDefault="002A61BC" w:rsidP="002A61BC">
            <w:pPr>
              <w:jc w:val="right"/>
            </w:pPr>
            <w:r>
              <w:rPr>
                <w:bCs/>
                <w:sz w:val="24"/>
              </w:rPr>
              <w:t>595,800,000.00</w:t>
            </w:r>
          </w:p>
        </w:tc>
        <w:tc>
          <w:tcPr>
            <w:tcW w:w="1083" w:type="dxa"/>
            <w:vAlign w:val="center"/>
          </w:tcPr>
          <w:p w:rsidR="002A61BC" w:rsidRPr="00F63F69" w:rsidRDefault="002A61BC" w:rsidP="002A61BC">
            <w:pPr>
              <w:jc w:val="right"/>
            </w:pPr>
            <w:r w:rsidRPr="0041228C">
              <w:rPr>
                <w:bCs/>
                <w:sz w:val="24"/>
              </w:rPr>
              <w:t>49,096.06</w:t>
            </w:r>
          </w:p>
        </w:tc>
      </w:tr>
      <w:tr w:rsidR="002622A8">
        <w:tc>
          <w:tcPr>
            <w:tcW w:w="1422" w:type="dxa"/>
            <w:vAlign w:val="center"/>
          </w:tcPr>
          <w:p w:rsidR="002622A8" w:rsidRDefault="00DF40FE">
            <w:pPr>
              <w:jc w:val="left"/>
            </w:pPr>
            <w:r>
              <w:rPr>
                <w:bCs/>
                <w:sz w:val="24"/>
              </w:rPr>
              <w:t>交通银行</w:t>
            </w:r>
          </w:p>
        </w:tc>
        <w:tc>
          <w:tcPr>
            <w:tcW w:w="1818" w:type="dxa"/>
            <w:vAlign w:val="center"/>
          </w:tcPr>
          <w:p w:rsidR="002622A8" w:rsidRDefault="00DF40FE">
            <w:pPr>
              <w:jc w:val="right"/>
            </w:pPr>
            <w:r>
              <w:rPr>
                <w:bCs/>
                <w:sz w:val="24"/>
              </w:rPr>
              <w:t>-</w:t>
            </w:r>
          </w:p>
        </w:tc>
        <w:tc>
          <w:tcPr>
            <w:tcW w:w="1260" w:type="dxa"/>
            <w:vAlign w:val="center"/>
          </w:tcPr>
          <w:p w:rsidR="002622A8" w:rsidRDefault="00DF40FE">
            <w:pPr>
              <w:jc w:val="right"/>
            </w:pPr>
            <w:r>
              <w:rPr>
                <w:bCs/>
                <w:sz w:val="24"/>
              </w:rPr>
              <w:t>-</w:t>
            </w:r>
          </w:p>
        </w:tc>
        <w:tc>
          <w:tcPr>
            <w:tcW w:w="1260" w:type="dxa"/>
            <w:vAlign w:val="center"/>
          </w:tcPr>
          <w:p w:rsidR="002622A8" w:rsidRDefault="00DF40FE">
            <w:pPr>
              <w:jc w:val="right"/>
            </w:pPr>
            <w:r>
              <w:rPr>
                <w:bCs/>
                <w:sz w:val="24"/>
              </w:rPr>
              <w:t>-</w:t>
            </w:r>
          </w:p>
        </w:tc>
        <w:tc>
          <w:tcPr>
            <w:tcW w:w="1080" w:type="dxa"/>
            <w:vAlign w:val="center"/>
          </w:tcPr>
          <w:p w:rsidR="002622A8" w:rsidRDefault="00DF40FE">
            <w:pPr>
              <w:jc w:val="right"/>
            </w:pPr>
            <w:r>
              <w:rPr>
                <w:bCs/>
                <w:sz w:val="24"/>
              </w:rPr>
              <w:t>-</w:t>
            </w:r>
          </w:p>
        </w:tc>
        <w:tc>
          <w:tcPr>
            <w:tcW w:w="1512" w:type="dxa"/>
            <w:vAlign w:val="center"/>
          </w:tcPr>
          <w:p w:rsidR="002622A8" w:rsidRDefault="00DF40FE">
            <w:pPr>
              <w:jc w:val="right"/>
            </w:pPr>
            <w:r>
              <w:rPr>
                <w:bCs/>
                <w:sz w:val="24"/>
              </w:rPr>
              <w:t>-</w:t>
            </w:r>
          </w:p>
        </w:tc>
        <w:tc>
          <w:tcPr>
            <w:tcW w:w="1083" w:type="dxa"/>
            <w:vAlign w:val="center"/>
          </w:tcPr>
          <w:p w:rsidR="002622A8" w:rsidRDefault="00DF40FE">
            <w:pPr>
              <w:jc w:val="right"/>
            </w:pPr>
            <w:r>
              <w:rPr>
                <w:bCs/>
                <w:sz w:val="24"/>
              </w:rPr>
              <w:t>-</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lastRenderedPageBreak/>
              <w:t>2016</w:t>
            </w:r>
            <w:r w:rsidRPr="00FB41B1">
              <w:rPr>
                <w:bCs/>
                <w:sz w:val="24"/>
              </w:rPr>
              <w:t>年</w:t>
            </w:r>
            <w:r w:rsidRPr="00FB41B1">
              <w:rPr>
                <w:bCs/>
                <w:sz w:val="24"/>
              </w:rPr>
              <w:t>12</w:t>
            </w:r>
            <w:r w:rsidRPr="00FB41B1">
              <w:rPr>
                <w:bCs/>
                <w:sz w:val="24"/>
              </w:rPr>
              <w:t>月</w:t>
            </w:r>
            <w:r w:rsidRPr="00FB41B1">
              <w:rPr>
                <w:bCs/>
                <w:sz w:val="24"/>
              </w:rPr>
              <w:t>7</w:t>
            </w:r>
            <w:r w:rsidRPr="00FB41B1">
              <w:rPr>
                <w:bCs/>
                <w:sz w:val="24"/>
              </w:rPr>
              <w:t>日（基金合同生效日）至</w:t>
            </w:r>
            <w:r w:rsidRPr="00FB41B1">
              <w:rPr>
                <w:bCs/>
                <w:sz w:val="24"/>
              </w:rPr>
              <w:t>2016</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lastRenderedPageBreak/>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2622A8">
        <w:tc>
          <w:tcPr>
            <w:tcW w:w="1422" w:type="dxa"/>
            <w:vAlign w:val="center"/>
          </w:tcPr>
          <w:p w:rsidR="002622A8" w:rsidRDefault="00DF40FE">
            <w:pPr>
              <w:jc w:val="left"/>
            </w:pPr>
            <w:r>
              <w:rPr>
                <w:bCs/>
                <w:sz w:val="24"/>
              </w:rPr>
              <w:t>兴业银行</w:t>
            </w:r>
          </w:p>
        </w:tc>
        <w:tc>
          <w:tcPr>
            <w:tcW w:w="1818" w:type="dxa"/>
            <w:vAlign w:val="center"/>
          </w:tcPr>
          <w:p w:rsidR="002622A8" w:rsidRDefault="00DF40FE">
            <w:pPr>
              <w:jc w:val="right"/>
            </w:pPr>
            <w:r>
              <w:rPr>
                <w:bCs/>
                <w:sz w:val="24"/>
              </w:rPr>
              <w:t>-</w:t>
            </w:r>
          </w:p>
        </w:tc>
        <w:tc>
          <w:tcPr>
            <w:tcW w:w="1260" w:type="dxa"/>
            <w:vAlign w:val="center"/>
          </w:tcPr>
          <w:p w:rsidR="002622A8" w:rsidRDefault="00DF40FE">
            <w:pPr>
              <w:jc w:val="right"/>
            </w:pPr>
            <w:r>
              <w:rPr>
                <w:bCs/>
                <w:sz w:val="24"/>
              </w:rPr>
              <w:t>-</w:t>
            </w:r>
          </w:p>
        </w:tc>
        <w:tc>
          <w:tcPr>
            <w:tcW w:w="1260" w:type="dxa"/>
            <w:vAlign w:val="center"/>
          </w:tcPr>
          <w:p w:rsidR="002622A8" w:rsidRDefault="00DF40FE">
            <w:pPr>
              <w:jc w:val="right"/>
            </w:pPr>
            <w:r>
              <w:rPr>
                <w:bCs/>
                <w:sz w:val="24"/>
              </w:rPr>
              <w:t>-</w:t>
            </w:r>
          </w:p>
        </w:tc>
        <w:tc>
          <w:tcPr>
            <w:tcW w:w="1080" w:type="dxa"/>
            <w:vAlign w:val="center"/>
          </w:tcPr>
          <w:p w:rsidR="002622A8" w:rsidRDefault="00DF40FE">
            <w:pPr>
              <w:jc w:val="right"/>
            </w:pPr>
            <w:r>
              <w:rPr>
                <w:bCs/>
                <w:sz w:val="24"/>
              </w:rPr>
              <w:t>-</w:t>
            </w:r>
          </w:p>
        </w:tc>
        <w:tc>
          <w:tcPr>
            <w:tcW w:w="1512" w:type="dxa"/>
            <w:vAlign w:val="center"/>
          </w:tcPr>
          <w:p w:rsidR="002622A8" w:rsidRDefault="00DF40FE">
            <w:pPr>
              <w:jc w:val="right"/>
            </w:pPr>
            <w:r>
              <w:rPr>
                <w:bCs/>
                <w:sz w:val="24"/>
              </w:rPr>
              <w:t>-</w:t>
            </w:r>
          </w:p>
        </w:tc>
        <w:tc>
          <w:tcPr>
            <w:tcW w:w="1083" w:type="dxa"/>
            <w:vAlign w:val="center"/>
          </w:tcPr>
          <w:p w:rsidR="002622A8" w:rsidRDefault="00DF40FE">
            <w:pPr>
              <w:jc w:val="right"/>
            </w:pPr>
            <w:r>
              <w:rPr>
                <w:bCs/>
                <w:sz w:val="24"/>
              </w:rPr>
              <w:t>-</w:t>
            </w:r>
          </w:p>
        </w:tc>
      </w:tr>
      <w:tr w:rsidR="002622A8">
        <w:tc>
          <w:tcPr>
            <w:tcW w:w="1422" w:type="dxa"/>
            <w:vAlign w:val="center"/>
          </w:tcPr>
          <w:p w:rsidR="002622A8" w:rsidRDefault="00DF40FE">
            <w:pPr>
              <w:jc w:val="left"/>
            </w:pPr>
            <w:r>
              <w:rPr>
                <w:bCs/>
                <w:sz w:val="24"/>
              </w:rPr>
              <w:t>交通银行</w:t>
            </w:r>
          </w:p>
        </w:tc>
        <w:tc>
          <w:tcPr>
            <w:tcW w:w="1818" w:type="dxa"/>
            <w:vAlign w:val="center"/>
          </w:tcPr>
          <w:p w:rsidR="002622A8" w:rsidRDefault="00DF40FE">
            <w:pPr>
              <w:jc w:val="right"/>
            </w:pPr>
            <w:r>
              <w:rPr>
                <w:bCs/>
                <w:sz w:val="24"/>
              </w:rPr>
              <w:t>-</w:t>
            </w:r>
          </w:p>
        </w:tc>
        <w:tc>
          <w:tcPr>
            <w:tcW w:w="1260" w:type="dxa"/>
            <w:vAlign w:val="center"/>
          </w:tcPr>
          <w:p w:rsidR="002622A8" w:rsidRDefault="00DF40FE">
            <w:pPr>
              <w:jc w:val="right"/>
            </w:pPr>
            <w:r>
              <w:rPr>
                <w:bCs/>
                <w:sz w:val="24"/>
              </w:rPr>
              <w:t>-</w:t>
            </w:r>
          </w:p>
        </w:tc>
        <w:tc>
          <w:tcPr>
            <w:tcW w:w="1260" w:type="dxa"/>
            <w:vAlign w:val="center"/>
          </w:tcPr>
          <w:p w:rsidR="002622A8" w:rsidRDefault="00DF40FE">
            <w:pPr>
              <w:jc w:val="right"/>
            </w:pPr>
            <w:r>
              <w:rPr>
                <w:bCs/>
                <w:sz w:val="24"/>
              </w:rPr>
              <w:t>-</w:t>
            </w:r>
          </w:p>
        </w:tc>
        <w:tc>
          <w:tcPr>
            <w:tcW w:w="1080" w:type="dxa"/>
            <w:vAlign w:val="center"/>
          </w:tcPr>
          <w:p w:rsidR="002622A8" w:rsidRDefault="00DF40FE">
            <w:pPr>
              <w:jc w:val="right"/>
            </w:pPr>
            <w:r>
              <w:rPr>
                <w:bCs/>
                <w:sz w:val="24"/>
              </w:rPr>
              <w:t>-</w:t>
            </w:r>
          </w:p>
        </w:tc>
        <w:tc>
          <w:tcPr>
            <w:tcW w:w="1512" w:type="dxa"/>
            <w:vAlign w:val="center"/>
          </w:tcPr>
          <w:p w:rsidR="002622A8" w:rsidRDefault="00DF40FE">
            <w:pPr>
              <w:jc w:val="right"/>
            </w:pPr>
            <w:r>
              <w:rPr>
                <w:bCs/>
                <w:sz w:val="24"/>
              </w:rPr>
              <w:t>-</w:t>
            </w:r>
          </w:p>
        </w:tc>
        <w:tc>
          <w:tcPr>
            <w:tcW w:w="1083" w:type="dxa"/>
            <w:vAlign w:val="center"/>
          </w:tcPr>
          <w:p w:rsidR="002622A8" w:rsidRDefault="00DF40FE">
            <w:pPr>
              <w:jc w:val="right"/>
            </w:pPr>
            <w:r>
              <w:rPr>
                <w:bCs/>
                <w:sz w:val="24"/>
              </w:rPr>
              <w:t>-</w:t>
            </w:r>
          </w:p>
        </w:tc>
      </w:tr>
    </w:tbl>
    <w:p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D5CCC" w:rsidRPr="008B4BDC" w:rsidRDefault="00D32085" w:rsidP="008B4BDC">
      <w:pPr>
        <w:widowControl/>
        <w:spacing w:before="29" w:line="288" w:lineRule="auto"/>
        <w:rPr>
          <w:sz w:val="24"/>
        </w:rPr>
      </w:pPr>
      <w:r>
        <w:rPr>
          <w:rFonts w:hint="eastAsia"/>
          <w:sz w:val="24"/>
        </w:rPr>
        <w:t>交银天鑫宝货币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交银天鑫宝货币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2017</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交银天鑫宝货币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2016</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2622A8">
        <w:tc>
          <w:tcPr>
            <w:tcW w:w="2024" w:type="dxa"/>
            <w:vAlign w:val="center"/>
          </w:tcPr>
          <w:p w:rsidR="002622A8" w:rsidRDefault="00DF40FE">
            <w:pPr>
              <w:jc w:val="center"/>
            </w:pPr>
            <w:r>
              <w:rPr>
                <w:rFonts w:hint="eastAsia"/>
                <w:sz w:val="24"/>
              </w:rPr>
              <w:t>交通银行股份有限公司</w:t>
            </w:r>
          </w:p>
        </w:tc>
        <w:tc>
          <w:tcPr>
            <w:tcW w:w="2095" w:type="dxa"/>
            <w:vAlign w:val="center"/>
          </w:tcPr>
          <w:p w:rsidR="002622A8" w:rsidRDefault="00DF40FE">
            <w:pPr>
              <w:jc w:val="center"/>
            </w:pPr>
            <w:r>
              <w:rPr>
                <w:rFonts w:hint="eastAsia"/>
                <w:sz w:val="24"/>
              </w:rPr>
              <w:t>7,008,112,585.21</w:t>
            </w:r>
          </w:p>
        </w:tc>
        <w:tc>
          <w:tcPr>
            <w:tcW w:w="1627" w:type="dxa"/>
            <w:vAlign w:val="center"/>
          </w:tcPr>
          <w:p w:rsidR="002622A8" w:rsidRDefault="00DF40FE">
            <w:pPr>
              <w:jc w:val="center"/>
            </w:pPr>
            <w:r>
              <w:rPr>
                <w:rFonts w:hint="eastAsia"/>
                <w:sz w:val="24"/>
              </w:rPr>
              <w:t>29.76%</w:t>
            </w:r>
          </w:p>
        </w:tc>
        <w:tc>
          <w:tcPr>
            <w:tcW w:w="1921" w:type="dxa"/>
            <w:vAlign w:val="center"/>
          </w:tcPr>
          <w:p w:rsidR="002622A8" w:rsidRDefault="00DF40FE">
            <w:pPr>
              <w:jc w:val="center"/>
            </w:pPr>
            <w:r>
              <w:rPr>
                <w:rFonts w:hint="eastAsia"/>
                <w:sz w:val="24"/>
              </w:rPr>
              <w:t>-</w:t>
            </w:r>
          </w:p>
        </w:tc>
        <w:tc>
          <w:tcPr>
            <w:tcW w:w="1693" w:type="dxa"/>
            <w:vAlign w:val="center"/>
          </w:tcPr>
          <w:p w:rsidR="002622A8" w:rsidRDefault="00DF40FE">
            <w:pPr>
              <w:jc w:val="center"/>
            </w:pPr>
            <w:r>
              <w:rPr>
                <w:rFonts w:hint="eastAsia"/>
                <w:sz w:val="24"/>
              </w:rPr>
              <w:t>-</w:t>
            </w:r>
          </w:p>
        </w:tc>
      </w:tr>
      <w:tr w:rsidR="002622A8">
        <w:tc>
          <w:tcPr>
            <w:tcW w:w="2024" w:type="dxa"/>
            <w:vAlign w:val="center"/>
          </w:tcPr>
          <w:p w:rsidR="002622A8" w:rsidRDefault="00DF40FE">
            <w:pPr>
              <w:jc w:val="center"/>
            </w:pPr>
            <w:r>
              <w:rPr>
                <w:rFonts w:hint="eastAsia"/>
                <w:sz w:val="24"/>
              </w:rPr>
              <w:t>交银施罗德资产管理有限公司</w:t>
            </w:r>
          </w:p>
        </w:tc>
        <w:tc>
          <w:tcPr>
            <w:tcW w:w="2095" w:type="dxa"/>
            <w:vAlign w:val="center"/>
          </w:tcPr>
          <w:p w:rsidR="002622A8" w:rsidRDefault="00DF40FE">
            <w:pPr>
              <w:jc w:val="center"/>
            </w:pPr>
            <w:r>
              <w:rPr>
                <w:rFonts w:hint="eastAsia"/>
                <w:sz w:val="24"/>
              </w:rPr>
              <w:t>200,027,432.89</w:t>
            </w:r>
          </w:p>
        </w:tc>
        <w:tc>
          <w:tcPr>
            <w:tcW w:w="1627" w:type="dxa"/>
            <w:vAlign w:val="center"/>
          </w:tcPr>
          <w:p w:rsidR="002622A8" w:rsidRDefault="00DF40FE">
            <w:pPr>
              <w:jc w:val="center"/>
            </w:pPr>
            <w:r>
              <w:rPr>
                <w:rFonts w:hint="eastAsia"/>
                <w:sz w:val="24"/>
              </w:rPr>
              <w:t>0.85%</w:t>
            </w:r>
          </w:p>
        </w:tc>
        <w:tc>
          <w:tcPr>
            <w:tcW w:w="1921" w:type="dxa"/>
            <w:vAlign w:val="center"/>
          </w:tcPr>
          <w:p w:rsidR="002622A8" w:rsidRDefault="00DF40FE">
            <w:pPr>
              <w:jc w:val="center"/>
            </w:pPr>
            <w:r>
              <w:rPr>
                <w:rFonts w:hint="eastAsia"/>
                <w:sz w:val="24"/>
              </w:rPr>
              <w:t>-</w:t>
            </w:r>
          </w:p>
        </w:tc>
        <w:tc>
          <w:tcPr>
            <w:tcW w:w="1693" w:type="dxa"/>
            <w:vAlign w:val="center"/>
          </w:tcPr>
          <w:p w:rsidR="002622A8" w:rsidRDefault="00DF40FE">
            <w:pPr>
              <w:jc w:val="center"/>
            </w:pPr>
            <w:r>
              <w:rPr>
                <w:rFonts w:hint="eastAsia"/>
                <w:sz w:val="24"/>
              </w:rPr>
              <w:t>-</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2016</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7</w:t>
            </w:r>
            <w:r w:rsidRPr="004F00B6">
              <w:rPr>
                <w:rFonts w:hint="eastAsia"/>
                <w:szCs w:val="21"/>
              </w:rPr>
              <w:t>日（基金合同生效日）至</w:t>
            </w:r>
            <w:r w:rsidRPr="004F00B6">
              <w:rPr>
                <w:rFonts w:hint="eastAsia"/>
                <w:szCs w:val="21"/>
              </w:rPr>
              <w:t>2016</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ED39F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ED39FC" w:rsidTr="009C51CE">
        <w:tc>
          <w:tcPr>
            <w:tcW w:w="1800" w:type="dxa"/>
            <w:vAlign w:val="center"/>
          </w:tcPr>
          <w:p w:rsidR="00ED39FC" w:rsidRDefault="00ED39FC" w:rsidP="00ED39FC">
            <w:pPr>
              <w:jc w:val="center"/>
            </w:pPr>
            <w:r>
              <w:rPr>
                <w:rFonts w:hint="eastAsia"/>
                <w:szCs w:val="21"/>
              </w:rPr>
              <w:t>兴业银行</w:t>
            </w:r>
            <w:r>
              <w:rPr>
                <w:rFonts w:hint="eastAsia"/>
                <w:szCs w:val="21"/>
              </w:rPr>
              <w:t>-</w:t>
            </w:r>
            <w:r>
              <w:rPr>
                <w:szCs w:val="21"/>
              </w:rPr>
              <w:t>活期存款</w:t>
            </w:r>
          </w:p>
        </w:tc>
        <w:tc>
          <w:tcPr>
            <w:tcW w:w="1800" w:type="dxa"/>
          </w:tcPr>
          <w:p w:rsidR="00ED39FC" w:rsidRPr="00F63F69" w:rsidRDefault="00ED39FC" w:rsidP="00ED39FC">
            <w:pPr>
              <w:jc w:val="center"/>
            </w:pPr>
            <w:r w:rsidRPr="00021CDE">
              <w:rPr>
                <w:rFonts w:hint="eastAsia"/>
              </w:rPr>
              <w:t>626,483.40</w:t>
            </w:r>
          </w:p>
        </w:tc>
        <w:tc>
          <w:tcPr>
            <w:tcW w:w="1800" w:type="dxa"/>
          </w:tcPr>
          <w:p w:rsidR="00ED39FC" w:rsidRPr="00F63F69" w:rsidRDefault="00ED39FC" w:rsidP="00ED39FC">
            <w:pPr>
              <w:jc w:val="center"/>
            </w:pPr>
            <w:r w:rsidRPr="00021CDE">
              <w:rPr>
                <w:rFonts w:hint="eastAsia"/>
              </w:rPr>
              <w:t>337,305.91</w:t>
            </w:r>
          </w:p>
        </w:tc>
        <w:tc>
          <w:tcPr>
            <w:tcW w:w="1800" w:type="dxa"/>
          </w:tcPr>
          <w:p w:rsidR="00ED39FC" w:rsidRPr="00F63F69" w:rsidRDefault="00ED39FC" w:rsidP="00ED39FC">
            <w:pPr>
              <w:jc w:val="center"/>
            </w:pPr>
            <w:r w:rsidRPr="00021CDE">
              <w:rPr>
                <w:rFonts w:hint="eastAsia"/>
              </w:rPr>
              <w:t>12,625,821.79</w:t>
            </w:r>
          </w:p>
        </w:tc>
        <w:tc>
          <w:tcPr>
            <w:tcW w:w="1800" w:type="dxa"/>
          </w:tcPr>
          <w:p w:rsidR="00ED39FC" w:rsidRPr="00F63F69" w:rsidRDefault="00ED39FC" w:rsidP="00ED39FC">
            <w:pPr>
              <w:jc w:val="center"/>
            </w:pPr>
            <w:r w:rsidRPr="00021CDE">
              <w:rPr>
                <w:rFonts w:hint="eastAsia"/>
              </w:rPr>
              <w:t>46,873.39</w:t>
            </w:r>
          </w:p>
        </w:tc>
      </w:tr>
      <w:tr w:rsidR="00ED39FC" w:rsidTr="009C51CE">
        <w:tc>
          <w:tcPr>
            <w:tcW w:w="1800" w:type="dxa"/>
            <w:vAlign w:val="center"/>
          </w:tcPr>
          <w:p w:rsidR="00ED39FC" w:rsidRDefault="00ED39FC" w:rsidP="00ED39FC">
            <w:pPr>
              <w:jc w:val="center"/>
            </w:pPr>
            <w:r>
              <w:rPr>
                <w:rFonts w:hint="eastAsia"/>
                <w:szCs w:val="21"/>
              </w:rPr>
              <w:t>兴业银行</w:t>
            </w:r>
            <w:r>
              <w:rPr>
                <w:rFonts w:hint="eastAsia"/>
                <w:szCs w:val="21"/>
              </w:rPr>
              <w:t>-</w:t>
            </w:r>
            <w:r>
              <w:rPr>
                <w:rFonts w:hint="eastAsia"/>
                <w:szCs w:val="21"/>
              </w:rPr>
              <w:t>协议</w:t>
            </w:r>
            <w:r>
              <w:rPr>
                <w:szCs w:val="21"/>
              </w:rPr>
              <w:t>存款</w:t>
            </w:r>
          </w:p>
        </w:tc>
        <w:tc>
          <w:tcPr>
            <w:tcW w:w="1800" w:type="dxa"/>
          </w:tcPr>
          <w:p w:rsidR="00ED39FC" w:rsidRPr="00F63F69" w:rsidRDefault="00ED39FC" w:rsidP="00ED39FC">
            <w:pPr>
              <w:jc w:val="center"/>
              <w:rPr>
                <w:szCs w:val="21"/>
              </w:rPr>
            </w:pPr>
            <w:r w:rsidRPr="00021CDE">
              <w:rPr>
                <w:rFonts w:hint="eastAsia"/>
              </w:rPr>
              <w:t>500,000,000.00</w:t>
            </w:r>
          </w:p>
        </w:tc>
        <w:tc>
          <w:tcPr>
            <w:tcW w:w="1800" w:type="dxa"/>
          </w:tcPr>
          <w:p w:rsidR="00ED39FC" w:rsidRPr="00F63F69" w:rsidRDefault="00ED39FC" w:rsidP="00ED39FC">
            <w:pPr>
              <w:jc w:val="center"/>
              <w:rPr>
                <w:szCs w:val="21"/>
              </w:rPr>
            </w:pPr>
            <w:r w:rsidRPr="00021CDE">
              <w:rPr>
                <w:rFonts w:hint="eastAsia"/>
              </w:rPr>
              <w:t xml:space="preserve"> 33,223,333.65 </w:t>
            </w:r>
          </w:p>
        </w:tc>
        <w:tc>
          <w:tcPr>
            <w:tcW w:w="1800" w:type="dxa"/>
          </w:tcPr>
          <w:p w:rsidR="00ED39FC" w:rsidRPr="00F63F69" w:rsidRDefault="00ED39FC" w:rsidP="00ED39FC">
            <w:pPr>
              <w:jc w:val="center"/>
              <w:rPr>
                <w:szCs w:val="21"/>
              </w:rPr>
            </w:pPr>
            <w:r w:rsidRPr="00021CDE">
              <w:rPr>
                <w:rFonts w:hint="eastAsia"/>
              </w:rPr>
              <w:t>40,000,000.00</w:t>
            </w:r>
          </w:p>
        </w:tc>
        <w:tc>
          <w:tcPr>
            <w:tcW w:w="1800" w:type="dxa"/>
          </w:tcPr>
          <w:p w:rsidR="00ED39FC" w:rsidRPr="00F63F69" w:rsidRDefault="00ED39FC" w:rsidP="00ED39FC">
            <w:pPr>
              <w:jc w:val="center"/>
              <w:rPr>
                <w:szCs w:val="21"/>
              </w:rPr>
            </w:pPr>
            <w:r w:rsidRPr="00021CDE">
              <w:rPr>
                <w:rFonts w:hint="eastAsia"/>
              </w:rPr>
              <w:t xml:space="preserve"> 99,777.60 </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w:t>
      </w:r>
      <w:r w:rsidR="00ED39FC" w:rsidRPr="0041228C">
        <w:rPr>
          <w:rFonts w:hint="eastAsia"/>
          <w:kern w:val="0"/>
          <w:sz w:val="24"/>
        </w:rPr>
        <w:t>本基金的银行存款和表格中列示的银行协议存款均由基金托管人保管，按银行同业利率或约定利率计息。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lastRenderedPageBreak/>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8A28D4" w:rsidRPr="00EC0806">
        <w:rPr>
          <w:rFonts w:hint="eastAsia"/>
          <w:b/>
          <w:bCs/>
          <w:kern w:val="0"/>
          <w:sz w:val="24"/>
        </w:rPr>
        <w:t>7</w:t>
      </w:r>
      <w:r w:rsidRPr="00EC0806">
        <w:rPr>
          <w:rFonts w:hint="eastAsia"/>
          <w:b/>
          <w:bCs/>
          <w:kern w:val="0"/>
          <w:sz w:val="24"/>
        </w:rPr>
        <w:t>其他关联交易事项的说明</w:t>
      </w:r>
    </w:p>
    <w:p w:rsidR="006D141C" w:rsidRPr="00EC0806" w:rsidRDefault="006D141C" w:rsidP="00EC0806">
      <w:pPr>
        <w:tabs>
          <w:tab w:val="left" w:pos="426"/>
        </w:tabs>
        <w:spacing w:before="29" w:line="288" w:lineRule="auto"/>
        <w:ind w:firstLineChars="200" w:firstLine="480"/>
        <w:rPr>
          <w:kern w:val="0"/>
          <w:sz w:val="24"/>
        </w:rPr>
      </w:pPr>
      <w:r w:rsidRPr="00EC0806">
        <w:rPr>
          <w:rFonts w:hint="eastAsia"/>
          <w:kern w:val="0"/>
          <w:sz w:val="24"/>
        </w:rPr>
        <w:t>本基金本报告期内及上年度可比期间无其他关联交易事项。</w:t>
      </w:r>
    </w:p>
    <w:p w:rsidR="006D141C" w:rsidRPr="00D0515B" w:rsidRDefault="006D141C" w:rsidP="00CA3CD8">
      <w:pPr>
        <w:spacing w:line="360" w:lineRule="auto"/>
        <w:rPr>
          <w:rFonts w:asciiTheme="minorEastAsia" w:eastAsiaTheme="minorEastAsia" w:hAnsiTheme="minorEastAsia"/>
          <w:szCs w:val="21"/>
        </w:rPr>
      </w:pP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、交银天鑫宝货币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1,781,543.98</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12,257.75</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1,793,801.73</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824C85" w:rsidRDefault="00B02F9C" w:rsidP="00824C85">
      <w:pPr>
        <w:spacing w:before="29" w:line="288" w:lineRule="auto"/>
        <w:jc w:val="left"/>
        <w:rPr>
          <w:kern w:val="0"/>
          <w:sz w:val="24"/>
        </w:rPr>
      </w:pPr>
      <w:r w:rsidRPr="00824C85">
        <w:rPr>
          <w:kern w:val="0"/>
          <w:sz w:val="24"/>
        </w:rPr>
        <w:t>注：本基金</w:t>
      </w:r>
      <w:r w:rsidRPr="00824C85">
        <w:rPr>
          <w:kern w:val="0"/>
          <w:sz w:val="24"/>
        </w:rPr>
        <w:t>A</w:t>
      </w:r>
      <w:r w:rsidRPr="00824C85">
        <w:rPr>
          <w:kern w:val="0"/>
          <w:sz w:val="24"/>
        </w:rPr>
        <w:t>类份额在本年度累计分配收益</w:t>
      </w:r>
      <w:r w:rsidRPr="00824C85">
        <w:rPr>
          <w:kern w:val="0"/>
          <w:sz w:val="24"/>
        </w:rPr>
        <w:t>1,781,543.98</w:t>
      </w:r>
      <w:r w:rsidRPr="00824C85">
        <w:rPr>
          <w:kern w:val="0"/>
          <w:sz w:val="24"/>
        </w:rPr>
        <w:t>元，其中以红利再投资方式结转入实收基金</w:t>
      </w:r>
      <w:r w:rsidRPr="00824C85">
        <w:rPr>
          <w:kern w:val="0"/>
          <w:sz w:val="24"/>
        </w:rPr>
        <w:t>1,781,534.12</w:t>
      </w:r>
      <w:r w:rsidRPr="00824C85">
        <w:rPr>
          <w:kern w:val="0"/>
          <w:sz w:val="24"/>
        </w:rPr>
        <w:t>元，计入应付收益科目</w:t>
      </w:r>
      <w:r w:rsidRPr="00824C85">
        <w:rPr>
          <w:kern w:val="0"/>
          <w:sz w:val="24"/>
        </w:rPr>
        <w:t>9.86</w:t>
      </w:r>
      <w:r w:rsidRPr="00824C85">
        <w:rPr>
          <w:kern w:val="0"/>
          <w:sz w:val="24"/>
        </w:rPr>
        <w:t>元。</w:t>
      </w:r>
    </w:p>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交银天鑫宝货币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284,512,137.09</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3,181,584.70</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287,693,721.79</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0A1B30" w:rsidRPr="00EF2280" w:rsidRDefault="00D32085" w:rsidP="00EF2280">
      <w:pPr>
        <w:spacing w:before="29" w:line="288" w:lineRule="auto"/>
        <w:jc w:val="left"/>
        <w:rPr>
          <w:kern w:val="0"/>
          <w:sz w:val="24"/>
        </w:rPr>
      </w:pPr>
      <w:r>
        <w:rPr>
          <w:rFonts w:hint="eastAsia"/>
          <w:kern w:val="0"/>
          <w:sz w:val="24"/>
        </w:rPr>
        <w:t>注：本基金</w:t>
      </w:r>
      <w:r>
        <w:rPr>
          <w:rFonts w:hint="eastAsia"/>
          <w:kern w:val="0"/>
          <w:sz w:val="24"/>
        </w:rPr>
        <w:t>E</w:t>
      </w:r>
      <w:r>
        <w:rPr>
          <w:rFonts w:hint="eastAsia"/>
          <w:kern w:val="0"/>
          <w:sz w:val="24"/>
        </w:rPr>
        <w:t>类份额在本年度累计分配收益</w:t>
      </w:r>
      <w:r>
        <w:rPr>
          <w:rFonts w:hint="eastAsia"/>
          <w:kern w:val="0"/>
          <w:sz w:val="24"/>
        </w:rPr>
        <w:t>284,512,137.09</w:t>
      </w:r>
      <w:r>
        <w:rPr>
          <w:rFonts w:hint="eastAsia"/>
          <w:kern w:val="0"/>
          <w:sz w:val="24"/>
        </w:rPr>
        <w:t>元，其中以红利再投资方式结转入实收基金</w:t>
      </w:r>
      <w:r>
        <w:rPr>
          <w:rFonts w:hint="eastAsia"/>
          <w:kern w:val="0"/>
          <w:sz w:val="24"/>
        </w:rPr>
        <w:t>284,502,236.47</w:t>
      </w:r>
      <w:r>
        <w:rPr>
          <w:rFonts w:hint="eastAsia"/>
          <w:kern w:val="0"/>
          <w:sz w:val="24"/>
        </w:rPr>
        <w:t>元，计入应付收益科目</w:t>
      </w:r>
      <w:r>
        <w:rPr>
          <w:rFonts w:hint="eastAsia"/>
          <w:kern w:val="0"/>
          <w:sz w:val="24"/>
        </w:rPr>
        <w:t>9,900.62</w:t>
      </w:r>
      <w:r>
        <w:rPr>
          <w:rFonts w:hint="eastAsia"/>
          <w:kern w:val="0"/>
          <w:sz w:val="24"/>
        </w:rPr>
        <w:t>元。</w:t>
      </w:r>
    </w:p>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2017</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tabs>
          <w:tab w:val="left" w:pos="426"/>
        </w:tabs>
        <w:spacing w:before="29" w:line="288" w:lineRule="auto"/>
        <w:rPr>
          <w:kern w:val="0"/>
          <w:sz w:val="24"/>
        </w:rPr>
      </w:pPr>
      <w:r w:rsidRPr="003B397B">
        <w:rPr>
          <w:rFonts w:hint="eastAsia"/>
          <w:kern w:val="0"/>
          <w:sz w:val="24"/>
        </w:rPr>
        <w:t>本基金本报告期末无从事债券正回购交易形成的卖出回购证券款余额。</w:t>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2622A8" w:rsidRDefault="00DF40FE">
      <w:pPr>
        <w:spacing w:before="29" w:line="288" w:lineRule="auto"/>
        <w:ind w:firstLine="420"/>
        <w:rPr>
          <w:kern w:val="0"/>
          <w:sz w:val="24"/>
        </w:rPr>
      </w:pPr>
      <w:r>
        <w:rPr>
          <w:rFonts w:hint="eastAsia"/>
          <w:kern w:val="0"/>
          <w:sz w:val="24"/>
        </w:rPr>
        <w:lastRenderedPageBreak/>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2622A8" w:rsidRDefault="00DF40FE">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622A8" w:rsidRDefault="00DF40FE">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2622A8" w:rsidRDefault="00DF40FE">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2622A8" w:rsidRDefault="00DF40FE">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兴业银行，协议存款存放在浙商银行股份有限公司、广发银行股份有限公司、民生银行股份有限公司、兴业银行股份有限公司、上海浦东发展银行股份有限公司、光大银行股份有限公司、华夏银行股份有限公司和大连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622A8" w:rsidRDefault="00DF40FE">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w:t>
      </w:r>
      <w:r>
        <w:rPr>
          <w:rFonts w:hint="eastAsia"/>
          <w:kern w:val="0"/>
          <w:sz w:val="24"/>
        </w:rPr>
        <w:lastRenderedPageBreak/>
        <w:t>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7.4.13.2.</w:t>
      </w:r>
      <w:r w:rsidR="008A28D4" w:rsidRPr="00450864">
        <w:rPr>
          <w:rFonts w:hint="eastAsia"/>
          <w:b/>
          <w:sz w:val="24"/>
        </w:rPr>
        <w:t>1</w:t>
      </w:r>
      <w:r w:rsidRPr="00450864">
        <w:rPr>
          <w:rFonts w:hint="eastAsia"/>
          <w:b/>
          <w:sz w:val="24"/>
        </w:rPr>
        <w:t>按短期信用评级列示的债券投资</w:t>
      </w:r>
    </w:p>
    <w:p w:rsidR="006D141C" w:rsidRPr="00450864" w:rsidRDefault="005B4215" w:rsidP="00450864">
      <w:pPr>
        <w:tabs>
          <w:tab w:val="left" w:pos="7200"/>
          <w:tab w:val="left" w:pos="8280"/>
        </w:tabs>
        <w:spacing w:before="29" w:line="288" w:lineRule="auto"/>
        <w:ind w:rightChars="268" w:right="563"/>
        <w:jc w:val="right"/>
        <w:rPr>
          <w:sz w:val="24"/>
        </w:rPr>
      </w:pPr>
      <w:r w:rsidRPr="00450864">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rsidTr="00450864">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450864" w:rsidRDefault="006D141C" w:rsidP="00450864">
            <w:pPr>
              <w:spacing w:before="29" w:line="288" w:lineRule="auto"/>
              <w:jc w:val="center"/>
              <w:rPr>
                <w:sz w:val="24"/>
              </w:rPr>
            </w:pPr>
            <w:r w:rsidRPr="00450864">
              <w:rPr>
                <w:rFonts w:hint="eastAsia"/>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本期末</w:t>
            </w:r>
          </w:p>
          <w:p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2017</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6D141C" w:rsidRPr="00450864" w:rsidRDefault="006D64C2" w:rsidP="00450864">
            <w:pPr>
              <w:widowControl/>
              <w:autoSpaceDE w:val="0"/>
              <w:autoSpaceDN w:val="0"/>
              <w:spacing w:before="29" w:line="288" w:lineRule="auto"/>
              <w:ind w:right="-15"/>
              <w:jc w:val="center"/>
              <w:textAlignment w:val="bottom"/>
              <w:rPr>
                <w:sz w:val="24"/>
              </w:rPr>
            </w:pPr>
            <w:r w:rsidRPr="00450864">
              <w:rPr>
                <w:rFonts w:hint="eastAsia"/>
                <w:sz w:val="24"/>
              </w:rPr>
              <w:t>2016</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r>
      <w:tr w:rsidR="002C233F" w:rsidRPr="00D0515B"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45,180,378.64</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r>
      <w:tr w:rsidR="002C233F" w:rsidRPr="00D0515B"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r w:rsidRPr="001F3198">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r w:rsidR="001939E6" w:rsidRPr="001F3198">
              <w:rPr>
                <w:rFonts w:hint="eastAsia"/>
                <w:sz w:val="24"/>
              </w:rPr>
              <w:t>-</w:t>
            </w:r>
          </w:p>
        </w:tc>
      </w:tr>
      <w:tr w:rsidR="002C233F" w:rsidRPr="00D0515B"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272D71">
            <w:pPr>
              <w:spacing w:before="29" w:line="288" w:lineRule="auto"/>
              <w:rPr>
                <w:sz w:val="24"/>
              </w:rPr>
            </w:pPr>
            <w:r w:rsidRPr="001F3198">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7,261,475,719.34</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r>
      <w:tr w:rsidR="002C233F" w:rsidRPr="00D0515B"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272D71">
            <w:pPr>
              <w:spacing w:before="29" w:line="288" w:lineRule="auto"/>
              <w:rPr>
                <w:sz w:val="24"/>
              </w:rPr>
            </w:pPr>
            <w:r w:rsidRPr="001F3198">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7,306,656,097.98</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r>
    </w:tbl>
    <w:p w:rsidR="006D141C" w:rsidRPr="001F3198" w:rsidRDefault="006D141C" w:rsidP="001F3198">
      <w:pPr>
        <w:tabs>
          <w:tab w:val="left" w:pos="426"/>
        </w:tabs>
        <w:spacing w:before="29" w:line="288" w:lineRule="auto"/>
        <w:jc w:val="left"/>
        <w:rPr>
          <w:kern w:val="0"/>
          <w:sz w:val="24"/>
        </w:rPr>
      </w:pPr>
      <w:r w:rsidRPr="001F3198">
        <w:rPr>
          <w:rFonts w:hint="eastAsia"/>
          <w:kern w:val="0"/>
          <w:sz w:val="24"/>
        </w:rPr>
        <w:t>注：未评级部分为国债、政策性金融债和同业存单。</w:t>
      </w:r>
    </w:p>
    <w:p w:rsidR="001F3198" w:rsidRPr="00D0515B" w:rsidRDefault="001F3198" w:rsidP="00E70068">
      <w:pPr>
        <w:tabs>
          <w:tab w:val="left" w:pos="426"/>
        </w:tabs>
        <w:spacing w:line="360" w:lineRule="auto"/>
        <w:jc w:val="left"/>
        <w:rPr>
          <w:rFonts w:asciiTheme="minorEastAsia" w:eastAsiaTheme="minorEastAsia" w:hAnsiTheme="minorEastAsia" w:cs="宋体"/>
          <w:kern w:val="0"/>
          <w:szCs w:val="21"/>
        </w:rPr>
      </w:pPr>
    </w:p>
    <w:p w:rsidR="006D141C" w:rsidRPr="00D94AC7" w:rsidRDefault="006D141C" w:rsidP="00D94AC7">
      <w:pPr>
        <w:spacing w:before="29" w:line="288" w:lineRule="auto"/>
        <w:rPr>
          <w:b/>
          <w:sz w:val="24"/>
        </w:rPr>
      </w:pPr>
      <w:r w:rsidRPr="00D94AC7">
        <w:rPr>
          <w:rFonts w:hint="eastAsia"/>
          <w:b/>
          <w:sz w:val="24"/>
        </w:rPr>
        <w:t>7.4.13.2.</w:t>
      </w:r>
      <w:r w:rsidR="008A28D4" w:rsidRPr="00D94AC7">
        <w:rPr>
          <w:rFonts w:hint="eastAsia"/>
          <w:b/>
          <w:sz w:val="24"/>
        </w:rPr>
        <w:t>2</w:t>
      </w:r>
      <w:r w:rsidRPr="00D94AC7">
        <w:rPr>
          <w:rFonts w:hint="eastAsia"/>
          <w:b/>
          <w:sz w:val="24"/>
        </w:rPr>
        <w:t>按长期信用评级列示的债券投资</w:t>
      </w:r>
    </w:p>
    <w:p w:rsidR="006D141C" w:rsidRPr="00D94AC7" w:rsidRDefault="005B4215" w:rsidP="004B36C2">
      <w:pPr>
        <w:tabs>
          <w:tab w:val="left" w:pos="7200"/>
          <w:tab w:val="left" w:pos="8280"/>
        </w:tabs>
        <w:spacing w:line="360" w:lineRule="auto"/>
        <w:ind w:rightChars="268" w:right="563"/>
        <w:jc w:val="right"/>
        <w:rPr>
          <w:sz w:val="24"/>
        </w:rPr>
      </w:pPr>
      <w:r w:rsidRPr="00D94AC7">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rsidTr="0062755F">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62755F" w:rsidRDefault="006D141C" w:rsidP="0062755F">
            <w:pPr>
              <w:spacing w:before="29" w:line="288" w:lineRule="auto"/>
              <w:jc w:val="center"/>
              <w:rPr>
                <w:sz w:val="24"/>
              </w:rPr>
            </w:pPr>
            <w:r w:rsidRPr="0062755F">
              <w:rPr>
                <w:rFonts w:hint="eastAsia"/>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本期末</w:t>
            </w:r>
          </w:p>
          <w:p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2017</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6D141C" w:rsidRPr="0062755F" w:rsidRDefault="006D64C2" w:rsidP="0062755F">
            <w:pPr>
              <w:widowControl/>
              <w:autoSpaceDE w:val="0"/>
              <w:autoSpaceDN w:val="0"/>
              <w:spacing w:before="29" w:line="288" w:lineRule="auto"/>
              <w:ind w:right="-15"/>
              <w:jc w:val="center"/>
              <w:textAlignment w:val="bottom"/>
              <w:rPr>
                <w:sz w:val="24"/>
              </w:rPr>
            </w:pPr>
            <w:r w:rsidRPr="0062755F">
              <w:rPr>
                <w:rFonts w:hint="eastAsia"/>
                <w:sz w:val="24"/>
              </w:rPr>
              <w:t>2016</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r>
      <w:tr w:rsidR="002C233F" w:rsidRPr="00D0515B"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AAA</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r>
      <w:tr w:rsidR="002C233F" w:rsidRPr="00D0515B"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AAA</w:t>
            </w:r>
            <w:r w:rsidRPr="008E3905">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r>
      <w:tr w:rsidR="002C233F" w:rsidRPr="00D0515B"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449,607,509.39</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r>
      <w:tr w:rsidR="002C233F" w:rsidRPr="00D0515B"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0D3CC4" w:rsidRDefault="006D141C" w:rsidP="000D3CC4">
            <w:pPr>
              <w:spacing w:before="29" w:line="288" w:lineRule="auto"/>
              <w:jc w:val="right"/>
              <w:rPr>
                <w:sz w:val="24"/>
              </w:rPr>
            </w:pPr>
            <w:r w:rsidRPr="000D3CC4">
              <w:rPr>
                <w:rFonts w:hint="eastAsia"/>
                <w:sz w:val="24"/>
              </w:rPr>
              <w:t>449,607,509.39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0D3CC4" w:rsidRDefault="006D141C" w:rsidP="000D3CC4">
            <w:pPr>
              <w:spacing w:before="29" w:line="288" w:lineRule="auto"/>
              <w:jc w:val="right"/>
              <w:rPr>
                <w:sz w:val="24"/>
              </w:rPr>
            </w:pPr>
            <w:r w:rsidRPr="000D3CC4">
              <w:rPr>
                <w:rFonts w:hint="eastAsia"/>
                <w:sz w:val="24"/>
              </w:rPr>
              <w:t>-</w:t>
            </w:r>
          </w:p>
        </w:tc>
      </w:tr>
    </w:tbl>
    <w:p w:rsidR="006D141C" w:rsidRPr="001A7A67" w:rsidRDefault="006D141C" w:rsidP="001A7A67">
      <w:pPr>
        <w:tabs>
          <w:tab w:val="left" w:pos="426"/>
        </w:tabs>
        <w:spacing w:before="29" w:line="288" w:lineRule="auto"/>
        <w:jc w:val="left"/>
        <w:rPr>
          <w:kern w:val="0"/>
          <w:sz w:val="24"/>
        </w:rPr>
      </w:pPr>
      <w:r w:rsidRPr="00031BFA">
        <w:rPr>
          <w:rFonts w:hint="eastAsia"/>
          <w:kern w:val="0"/>
          <w:sz w:val="24"/>
        </w:rPr>
        <w:t>注：未评级部分为国债和政策性金融债。</w:t>
      </w:r>
      <w:r w:rsidR="001A7A67">
        <w:rPr>
          <w:rFonts w:hint="eastAsia"/>
          <w:kern w:val="0"/>
          <w:sz w:val="24"/>
        </w:rPr>
        <w:br/>
      </w: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6E428D" w:rsidRDefault="006E428D" w:rsidP="006E428D">
      <w:pPr>
        <w:spacing w:before="29" w:line="288" w:lineRule="auto"/>
        <w:ind w:firstLine="420"/>
        <w:rPr>
          <w:kern w:val="0"/>
          <w:sz w:val="24"/>
        </w:rPr>
      </w:pPr>
      <w:r>
        <w:rPr>
          <w:rFonts w:hint="eastAsia"/>
          <w:kern w:val="0"/>
          <w:sz w:val="24"/>
        </w:rPr>
        <w:t>流动性风险是指基金在履行与金融负债有关的义务时遇到资金短缺的风险。</w:t>
      </w:r>
      <w:r w:rsidR="00CF714D">
        <w:rPr>
          <w:rFonts w:hint="eastAsia"/>
          <w:sz w:val="24"/>
        </w:rPr>
        <w:t>本基金的流动性风险一方面来自于</w:t>
      </w:r>
      <w:r w:rsidR="00CF714D" w:rsidRPr="00057467">
        <w:rPr>
          <w:rFonts w:hint="eastAsia"/>
          <w:sz w:val="24"/>
        </w:rPr>
        <w:t>基金份额持有人可随时要求赎回其持有的基金份额</w:t>
      </w:r>
      <w:r>
        <w:rPr>
          <w:rFonts w:hint="eastAsia"/>
          <w:kern w:val="0"/>
          <w:sz w:val="24"/>
        </w:rPr>
        <w:t>，另一方面来自于投资品种所处的交易市场不活跃而带来的变现困难或因投资集中而无法在市场出现剧烈波动的情况下以合理的价格变现。</w:t>
      </w:r>
    </w:p>
    <w:p w:rsidR="006E428D" w:rsidRDefault="006E428D" w:rsidP="006E428D">
      <w:pPr>
        <w:spacing w:before="29" w:line="288" w:lineRule="auto"/>
        <w:ind w:firstLine="420"/>
        <w:rPr>
          <w:kern w:val="0"/>
          <w:sz w:val="24"/>
        </w:rPr>
      </w:pPr>
      <w:r w:rsidRPr="00057467">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w:t>
      </w:r>
      <w:r w:rsidRPr="00057467">
        <w:rPr>
          <w:rFonts w:hint="eastAsia"/>
          <w:kern w:val="0"/>
          <w:sz w:val="24"/>
        </w:rPr>
        <w:lastRenderedPageBreak/>
        <w:t>赎回、连续</w:t>
      </w:r>
      <w:r w:rsidRPr="00057467">
        <w:rPr>
          <w:rFonts w:hint="eastAsia"/>
          <w:kern w:val="0"/>
          <w:sz w:val="24"/>
        </w:rPr>
        <w:t>3</w:t>
      </w:r>
      <w:r w:rsidRPr="00057467">
        <w:rPr>
          <w:rFonts w:hint="eastAsia"/>
          <w:kern w:val="0"/>
          <w:sz w:val="24"/>
        </w:rPr>
        <w:t>个交易日累计赎回</w:t>
      </w:r>
      <w:r w:rsidRPr="00057467">
        <w:rPr>
          <w:rFonts w:hint="eastAsia"/>
          <w:kern w:val="0"/>
          <w:sz w:val="24"/>
        </w:rPr>
        <w:t>20%</w:t>
      </w:r>
      <w:r w:rsidRPr="00057467">
        <w:rPr>
          <w:rFonts w:hint="eastAsia"/>
          <w:kern w:val="0"/>
          <w:sz w:val="24"/>
        </w:rPr>
        <w:t>以上或者连续</w:t>
      </w:r>
      <w:r w:rsidRPr="00057467">
        <w:rPr>
          <w:rFonts w:hint="eastAsia"/>
          <w:kern w:val="0"/>
          <w:sz w:val="24"/>
        </w:rPr>
        <w:t>5</w:t>
      </w:r>
      <w:r w:rsidRPr="00057467">
        <w:rPr>
          <w:rFonts w:hint="eastAsia"/>
          <w:kern w:val="0"/>
          <w:sz w:val="24"/>
        </w:rPr>
        <w:t>个交易日累计赎回</w:t>
      </w:r>
      <w:r w:rsidRPr="00057467">
        <w:rPr>
          <w:rFonts w:hint="eastAsia"/>
          <w:kern w:val="0"/>
          <w:sz w:val="24"/>
        </w:rPr>
        <w:t>30%</w:t>
      </w:r>
      <w:r w:rsidRPr="00057467">
        <w:rPr>
          <w:rFonts w:hint="eastAsia"/>
          <w:kern w:val="0"/>
          <w:sz w:val="24"/>
        </w:rPr>
        <w:t>以上的情形外，债券正回购的资金余额在每个交易日均不得超过基金资产净值的</w:t>
      </w:r>
      <w:r w:rsidRPr="00057467">
        <w:rPr>
          <w:rFonts w:hint="eastAsia"/>
          <w:kern w:val="0"/>
          <w:sz w:val="24"/>
        </w:rPr>
        <w:t>20%</w:t>
      </w:r>
      <w:r w:rsidRPr="00057467">
        <w:rPr>
          <w:rFonts w:hint="eastAsia"/>
          <w:kern w:val="0"/>
          <w:sz w:val="24"/>
        </w:rPr>
        <w:t>。</w:t>
      </w:r>
    </w:p>
    <w:p w:rsidR="006E428D" w:rsidRPr="00761C3B" w:rsidRDefault="006E428D" w:rsidP="006E428D">
      <w:pPr>
        <w:spacing w:before="29" w:line="288" w:lineRule="auto"/>
        <w:ind w:firstLine="420"/>
        <w:rPr>
          <w:kern w:val="0"/>
          <w:sz w:val="24"/>
        </w:rPr>
      </w:pPr>
      <w:r w:rsidRPr="00761C3B">
        <w:rPr>
          <w:rFonts w:hint="eastAsia"/>
          <w:kern w:val="0"/>
          <w:sz w:val="24"/>
        </w:rPr>
        <w:t>于</w:t>
      </w:r>
      <w:r w:rsidRPr="00761C3B">
        <w:rPr>
          <w:rFonts w:hint="eastAsia"/>
          <w:kern w:val="0"/>
          <w:sz w:val="24"/>
        </w:rPr>
        <w:t>2017</w:t>
      </w:r>
      <w:r w:rsidRPr="00761C3B">
        <w:rPr>
          <w:rFonts w:hint="eastAsia"/>
          <w:kern w:val="0"/>
          <w:sz w:val="24"/>
        </w:rPr>
        <w:t>年</w:t>
      </w:r>
      <w:r w:rsidRPr="00761C3B">
        <w:rPr>
          <w:rFonts w:hint="eastAsia"/>
          <w:kern w:val="0"/>
          <w:sz w:val="24"/>
        </w:rPr>
        <w:t>12</w:t>
      </w:r>
      <w:r w:rsidRPr="00761C3B">
        <w:rPr>
          <w:rFonts w:hint="eastAsia"/>
          <w:kern w:val="0"/>
          <w:sz w:val="24"/>
        </w:rPr>
        <w:t>月</w:t>
      </w:r>
      <w:r w:rsidRPr="00761C3B">
        <w:rPr>
          <w:rFonts w:hint="eastAsia"/>
          <w:kern w:val="0"/>
          <w:sz w:val="24"/>
        </w:rPr>
        <w:t>31</w:t>
      </w:r>
      <w:r w:rsidRPr="00761C3B">
        <w:rPr>
          <w:rFonts w:hint="eastAsia"/>
          <w:kern w:val="0"/>
          <w:sz w:val="24"/>
        </w:rPr>
        <w:t>日，本基金所承担的全部金融负债的合约约定到期日均为一个月以内且不计息，可赎回基金份额净值</w:t>
      </w:r>
      <w:r w:rsidRPr="00761C3B">
        <w:rPr>
          <w:rFonts w:hint="eastAsia"/>
          <w:kern w:val="0"/>
          <w:sz w:val="24"/>
        </w:rPr>
        <w:t>(</w:t>
      </w:r>
      <w:r w:rsidRPr="00761C3B">
        <w:rPr>
          <w:rFonts w:hint="eastAsia"/>
          <w:kern w:val="0"/>
          <w:sz w:val="24"/>
        </w:rPr>
        <w:t>所有者权益</w:t>
      </w:r>
      <w:r w:rsidRPr="00761C3B">
        <w:rPr>
          <w:rFonts w:hint="eastAsia"/>
          <w:kern w:val="0"/>
          <w:sz w:val="24"/>
        </w:rPr>
        <w:t>)</w:t>
      </w:r>
      <w:r w:rsidRPr="00761C3B">
        <w:rPr>
          <w:rFonts w:hint="eastAsia"/>
          <w:kern w:val="0"/>
          <w:sz w:val="24"/>
        </w:rPr>
        <w:t>无固定到期日且不计息，因此账面余额即为未折现的合约到期现金流量。</w:t>
      </w:r>
    </w:p>
    <w:p w:rsidR="00761C3B" w:rsidRPr="006E428D" w:rsidRDefault="00761C3B" w:rsidP="00E70068">
      <w:pPr>
        <w:spacing w:line="360" w:lineRule="auto"/>
        <w:ind w:firstLineChars="200" w:firstLine="420"/>
        <w:rPr>
          <w:rFonts w:asciiTheme="minorEastAsia" w:eastAsiaTheme="minorEastAsia" w:hAnsiTheme="minorEastAsia"/>
          <w:szCs w:val="21"/>
        </w:rPr>
      </w:pPr>
    </w:p>
    <w:p w:rsidR="006E428D" w:rsidRPr="00057467" w:rsidRDefault="006E428D" w:rsidP="006E428D">
      <w:pPr>
        <w:spacing w:before="29" w:line="288" w:lineRule="auto"/>
        <w:rPr>
          <w:b/>
          <w:bCs/>
          <w:kern w:val="0"/>
          <w:sz w:val="24"/>
        </w:rPr>
      </w:pPr>
      <w:r w:rsidRPr="00057467">
        <w:rPr>
          <w:rFonts w:hint="eastAsia"/>
          <w:b/>
          <w:bCs/>
          <w:kern w:val="0"/>
          <w:sz w:val="24"/>
        </w:rPr>
        <w:t>7.4.13.3.</w:t>
      </w:r>
      <w:r w:rsidRPr="00057467">
        <w:rPr>
          <w:b/>
          <w:bCs/>
          <w:kern w:val="0"/>
          <w:sz w:val="24"/>
        </w:rPr>
        <w:t xml:space="preserve">1 </w:t>
      </w:r>
      <w:r w:rsidRPr="00057467">
        <w:rPr>
          <w:rFonts w:hint="eastAsia"/>
          <w:b/>
          <w:bCs/>
          <w:kern w:val="0"/>
          <w:sz w:val="24"/>
        </w:rPr>
        <w:t>报告期内本基金组合资产的流动性风险分析</w:t>
      </w:r>
    </w:p>
    <w:p w:rsidR="006E428D" w:rsidRPr="00057467" w:rsidRDefault="006E428D" w:rsidP="006E428D">
      <w:pPr>
        <w:spacing w:before="29" w:line="288" w:lineRule="auto"/>
        <w:ind w:firstLineChars="200" w:firstLine="480"/>
        <w:rPr>
          <w:kern w:val="0"/>
          <w:sz w:val="24"/>
        </w:rPr>
      </w:pPr>
      <w:r w:rsidRPr="00057467">
        <w:rPr>
          <w:rFonts w:hint="eastAsia"/>
          <w:kern w:val="0"/>
          <w:sz w:val="24"/>
        </w:rPr>
        <w:t>本基金的基金管理人在基金运作过程中严格按照《公开募集证券投资基金运作管理办法》、《货币市场基金监督管理办法》及《公开募集开放式证券投资基金流动性风险管理规定》</w:t>
      </w:r>
      <w:r w:rsidRPr="00057467">
        <w:rPr>
          <w:rFonts w:hint="eastAsia"/>
          <w:kern w:val="0"/>
          <w:sz w:val="24"/>
        </w:rPr>
        <w:t>(</w:t>
      </w:r>
      <w:r w:rsidRPr="00057467">
        <w:rPr>
          <w:rFonts w:hint="eastAsia"/>
          <w:kern w:val="0"/>
          <w:sz w:val="24"/>
        </w:rPr>
        <w:t>自</w:t>
      </w:r>
      <w:r w:rsidRPr="00057467">
        <w:rPr>
          <w:rFonts w:hint="eastAsia"/>
          <w:kern w:val="0"/>
          <w:sz w:val="24"/>
        </w:rPr>
        <w:t>2017</w:t>
      </w:r>
      <w:r w:rsidRPr="00057467">
        <w:rPr>
          <w:rFonts w:hint="eastAsia"/>
          <w:kern w:val="0"/>
          <w:sz w:val="24"/>
        </w:rPr>
        <w:t>年</w:t>
      </w:r>
      <w:r w:rsidRPr="00057467">
        <w:rPr>
          <w:rFonts w:hint="eastAsia"/>
          <w:kern w:val="0"/>
          <w:sz w:val="24"/>
        </w:rPr>
        <w:t>10</w:t>
      </w:r>
      <w:r w:rsidRPr="00057467">
        <w:rPr>
          <w:rFonts w:hint="eastAsia"/>
          <w:kern w:val="0"/>
          <w:sz w:val="24"/>
        </w:rPr>
        <w:t>月</w:t>
      </w:r>
      <w:r w:rsidRPr="00057467">
        <w:rPr>
          <w:rFonts w:hint="eastAsia"/>
          <w:kern w:val="0"/>
          <w:sz w:val="24"/>
        </w:rPr>
        <w:t>1</w:t>
      </w:r>
      <w:r w:rsidRPr="00057467">
        <w:rPr>
          <w:rFonts w:hint="eastAsia"/>
          <w:kern w:val="0"/>
          <w:sz w:val="24"/>
        </w:rPr>
        <w:t>日起施行</w:t>
      </w:r>
      <w:r w:rsidRPr="00057467">
        <w:rPr>
          <w:rFonts w:hint="eastAsia"/>
          <w:kern w:val="0"/>
          <w:sz w:val="24"/>
        </w:rPr>
        <w:t>)</w:t>
      </w:r>
      <w:r w:rsidRPr="00057467">
        <w:rPr>
          <w:rFonts w:hint="eastAsia"/>
          <w:kern w:val="0"/>
          <w:sz w:val="24"/>
        </w:rPr>
        <w:t>等法规的要求对本基金组合资产的流动性风险进行管理，通过监控基金平均剩余期限、平均剩余存续期限、高流动资产占比、持仓集中度、投资交易的不活跃品种</w:t>
      </w:r>
      <w:r w:rsidRPr="00057467">
        <w:rPr>
          <w:rFonts w:hint="eastAsia"/>
          <w:kern w:val="0"/>
          <w:sz w:val="24"/>
        </w:rPr>
        <w:t>(</w:t>
      </w:r>
      <w:r w:rsidRPr="00057467">
        <w:rPr>
          <w:rFonts w:hint="eastAsia"/>
          <w:kern w:val="0"/>
          <w:sz w:val="24"/>
        </w:rPr>
        <w:t>企业债或短期融资券</w:t>
      </w:r>
      <w:r w:rsidRPr="00057467">
        <w:rPr>
          <w:rFonts w:hint="eastAsia"/>
          <w:kern w:val="0"/>
          <w:sz w:val="24"/>
        </w:rPr>
        <w:t>)</w:t>
      </w:r>
      <w:r w:rsidRPr="00057467">
        <w:rPr>
          <w:rFonts w:hint="eastAsia"/>
          <w:kern w:val="0"/>
          <w:sz w:val="24"/>
        </w:rPr>
        <w:t>，并结合份额持有人集中度变化予以实现。</w:t>
      </w:r>
    </w:p>
    <w:p w:rsidR="006E428D" w:rsidRPr="007E42F2" w:rsidRDefault="006E428D" w:rsidP="007E42F2">
      <w:pPr>
        <w:spacing w:before="29" w:line="288" w:lineRule="auto"/>
        <w:ind w:firstLineChars="200" w:firstLine="480"/>
        <w:rPr>
          <w:kern w:val="0"/>
          <w:sz w:val="24"/>
        </w:rPr>
      </w:pPr>
      <w:r w:rsidRPr="00057467">
        <w:rPr>
          <w:rFonts w:hint="eastAsia"/>
          <w:kern w:val="0"/>
          <w:sz w:val="24"/>
        </w:rPr>
        <w:t>一般情况下，本基金投资组合的平均剩余期限在每个交易日均不得超过</w:t>
      </w:r>
      <w:r w:rsidRPr="00057467">
        <w:rPr>
          <w:rFonts w:hint="eastAsia"/>
          <w:kern w:val="0"/>
          <w:sz w:val="24"/>
        </w:rPr>
        <w:t>120</w:t>
      </w:r>
      <w:r w:rsidRPr="00057467">
        <w:rPr>
          <w:rFonts w:hint="eastAsia"/>
          <w:kern w:val="0"/>
          <w:sz w:val="24"/>
        </w:rPr>
        <w:t>天，平均剩余存续期限在每个交易日均不得超过</w:t>
      </w:r>
      <w:r w:rsidRPr="00057467">
        <w:rPr>
          <w:rFonts w:hint="eastAsia"/>
          <w:kern w:val="0"/>
          <w:sz w:val="24"/>
        </w:rPr>
        <w:t>240</w:t>
      </w:r>
      <w:r w:rsidRPr="00057467">
        <w:rPr>
          <w:rFonts w:hint="eastAsia"/>
          <w:kern w:val="0"/>
          <w:sz w:val="24"/>
        </w:rPr>
        <w:t>天，且能够通过出售所持有的银行间同业市场交易债券应对流动性需求；当本基金前</w:t>
      </w:r>
      <w:r w:rsidRPr="00057467">
        <w:rPr>
          <w:rFonts w:hint="eastAsia"/>
          <w:kern w:val="0"/>
          <w:sz w:val="24"/>
        </w:rPr>
        <w:t>10</w:t>
      </w:r>
      <w:r w:rsidRPr="00057467">
        <w:rPr>
          <w:rFonts w:hint="eastAsia"/>
          <w:kern w:val="0"/>
          <w:sz w:val="24"/>
        </w:rPr>
        <w:t>名份额持有人的持有份额合计超过基金总份额的</w:t>
      </w:r>
      <w:r w:rsidRPr="00057467">
        <w:rPr>
          <w:rFonts w:hint="eastAsia"/>
          <w:kern w:val="0"/>
          <w:sz w:val="24"/>
        </w:rPr>
        <w:t>20%</w:t>
      </w:r>
      <w:r w:rsidRPr="00057467">
        <w:rPr>
          <w:rFonts w:hint="eastAsia"/>
          <w:kern w:val="0"/>
          <w:sz w:val="24"/>
        </w:rPr>
        <w:t>时，本基金投资组合的平均剩余期限在每个交易日不得超过</w:t>
      </w:r>
      <w:r w:rsidRPr="00057467">
        <w:rPr>
          <w:rFonts w:hint="eastAsia"/>
          <w:kern w:val="0"/>
          <w:sz w:val="24"/>
        </w:rPr>
        <w:t>90</w:t>
      </w:r>
      <w:r w:rsidRPr="00057467">
        <w:rPr>
          <w:rFonts w:hint="eastAsia"/>
          <w:kern w:val="0"/>
          <w:sz w:val="24"/>
        </w:rPr>
        <w:t>天，平均剩余存续期不得超过</w:t>
      </w:r>
      <w:r w:rsidRPr="00057467">
        <w:rPr>
          <w:rFonts w:hint="eastAsia"/>
          <w:kern w:val="0"/>
          <w:sz w:val="24"/>
        </w:rPr>
        <w:t>180</w:t>
      </w:r>
      <w:r w:rsidRPr="00057467">
        <w:rPr>
          <w:rFonts w:hint="eastAsia"/>
          <w:kern w:val="0"/>
          <w:sz w:val="24"/>
        </w:rPr>
        <w:t>天；投资组合中现金、国债、中央银行票据、政策性金融债券以及</w:t>
      </w:r>
      <w:r w:rsidRPr="00057467">
        <w:rPr>
          <w:rFonts w:hint="eastAsia"/>
          <w:kern w:val="0"/>
          <w:sz w:val="24"/>
        </w:rPr>
        <w:t>5</w:t>
      </w:r>
      <w:r w:rsidRPr="00057467">
        <w:rPr>
          <w:rFonts w:hint="eastAsia"/>
          <w:kern w:val="0"/>
          <w:sz w:val="24"/>
        </w:rPr>
        <w:t>个交易日内到期的其他金融工具占基金资产净值的比例合计不得低于</w:t>
      </w:r>
      <w:r w:rsidRPr="00057467">
        <w:rPr>
          <w:rFonts w:hint="eastAsia"/>
          <w:kern w:val="0"/>
          <w:sz w:val="24"/>
        </w:rPr>
        <w:t>20%</w:t>
      </w:r>
      <w:r w:rsidRPr="00057467">
        <w:rPr>
          <w:rFonts w:hint="eastAsia"/>
          <w:kern w:val="0"/>
          <w:sz w:val="24"/>
        </w:rPr>
        <w:t>；当本基金前</w:t>
      </w:r>
      <w:r w:rsidRPr="00057467">
        <w:rPr>
          <w:rFonts w:hint="eastAsia"/>
          <w:kern w:val="0"/>
          <w:sz w:val="24"/>
        </w:rPr>
        <w:t>10</w:t>
      </w:r>
      <w:r w:rsidRPr="00057467">
        <w:rPr>
          <w:rFonts w:hint="eastAsia"/>
          <w:kern w:val="0"/>
          <w:sz w:val="24"/>
        </w:rPr>
        <w:t>名份额持有人的持有份额合计超过基金总份额的</w:t>
      </w:r>
      <w:r w:rsidRPr="00057467">
        <w:rPr>
          <w:rFonts w:hint="eastAsia"/>
          <w:kern w:val="0"/>
          <w:sz w:val="24"/>
        </w:rPr>
        <w:t>50%</w:t>
      </w:r>
      <w:r w:rsidRPr="00057467">
        <w:rPr>
          <w:rFonts w:hint="eastAsia"/>
          <w:kern w:val="0"/>
          <w:sz w:val="24"/>
        </w:rPr>
        <w:t>时，本基金投资组合的平均剩余期限在每个交易日均不得超过</w:t>
      </w:r>
      <w:r w:rsidRPr="00057467">
        <w:rPr>
          <w:rFonts w:hint="eastAsia"/>
          <w:kern w:val="0"/>
          <w:sz w:val="24"/>
        </w:rPr>
        <w:t>60</w:t>
      </w:r>
      <w:r w:rsidRPr="00057467">
        <w:rPr>
          <w:rFonts w:hint="eastAsia"/>
          <w:kern w:val="0"/>
          <w:sz w:val="24"/>
        </w:rPr>
        <w:t>天，平均剩余存续期在每个交易日均不得超过</w:t>
      </w:r>
      <w:r w:rsidRPr="00057467">
        <w:rPr>
          <w:rFonts w:hint="eastAsia"/>
          <w:kern w:val="0"/>
          <w:sz w:val="24"/>
        </w:rPr>
        <w:t>120</w:t>
      </w:r>
      <w:r w:rsidRPr="00057467">
        <w:rPr>
          <w:rFonts w:hint="eastAsia"/>
          <w:kern w:val="0"/>
          <w:sz w:val="24"/>
        </w:rPr>
        <w:t>天；投资组合中现金、国债、中央银行票据、政策性金融债券以及</w:t>
      </w:r>
      <w:r w:rsidRPr="00057467">
        <w:rPr>
          <w:rFonts w:hint="eastAsia"/>
          <w:kern w:val="0"/>
          <w:sz w:val="24"/>
        </w:rPr>
        <w:t>5</w:t>
      </w:r>
      <w:r w:rsidRPr="00057467">
        <w:rPr>
          <w:rFonts w:hint="eastAsia"/>
          <w:kern w:val="0"/>
          <w:sz w:val="24"/>
        </w:rPr>
        <w:t>个交易日内到期的其他金融工具占基金资产净值的比例合计不得低于</w:t>
      </w:r>
      <w:r w:rsidRPr="00057467">
        <w:rPr>
          <w:rFonts w:hint="eastAsia"/>
          <w:kern w:val="0"/>
          <w:sz w:val="24"/>
        </w:rPr>
        <w:t>30%</w:t>
      </w:r>
      <w:r w:rsidRPr="00057467">
        <w:rPr>
          <w:rFonts w:hint="eastAsia"/>
          <w:kern w:val="0"/>
          <w:sz w:val="24"/>
        </w:rPr>
        <w:t>。</w:t>
      </w:r>
      <w:r w:rsidR="007E42F2" w:rsidRPr="00283947">
        <w:rPr>
          <w:rFonts w:hint="eastAsia"/>
          <w:kern w:val="0"/>
          <w:sz w:val="24"/>
        </w:rPr>
        <w:t>于</w:t>
      </w:r>
      <w:r w:rsidR="007E42F2" w:rsidRPr="00283947">
        <w:rPr>
          <w:rFonts w:hint="eastAsia"/>
          <w:kern w:val="0"/>
          <w:sz w:val="24"/>
        </w:rPr>
        <w:t>2017</w:t>
      </w:r>
      <w:r w:rsidR="007E42F2" w:rsidRPr="00283947">
        <w:rPr>
          <w:rFonts w:hint="eastAsia"/>
          <w:kern w:val="0"/>
          <w:sz w:val="24"/>
        </w:rPr>
        <w:t>年</w:t>
      </w:r>
      <w:r w:rsidR="007E42F2" w:rsidRPr="00283947">
        <w:rPr>
          <w:rFonts w:hint="eastAsia"/>
          <w:kern w:val="0"/>
          <w:sz w:val="24"/>
        </w:rPr>
        <w:t>12</w:t>
      </w:r>
      <w:r w:rsidR="007E42F2" w:rsidRPr="00283947">
        <w:rPr>
          <w:rFonts w:hint="eastAsia"/>
          <w:kern w:val="0"/>
          <w:sz w:val="24"/>
        </w:rPr>
        <w:t>月</w:t>
      </w:r>
      <w:r w:rsidR="007E42F2" w:rsidRPr="00283947">
        <w:rPr>
          <w:rFonts w:hint="eastAsia"/>
          <w:kern w:val="0"/>
          <w:sz w:val="24"/>
        </w:rPr>
        <w:t>31</w:t>
      </w:r>
      <w:r w:rsidR="007E42F2" w:rsidRPr="00283947">
        <w:rPr>
          <w:rFonts w:hint="eastAsia"/>
          <w:kern w:val="0"/>
          <w:sz w:val="24"/>
        </w:rPr>
        <w:t>日，本基金前</w:t>
      </w:r>
      <w:r w:rsidR="007E42F2" w:rsidRPr="00283947">
        <w:rPr>
          <w:rFonts w:hint="eastAsia"/>
          <w:kern w:val="0"/>
          <w:sz w:val="24"/>
        </w:rPr>
        <w:t>10</w:t>
      </w:r>
      <w:r w:rsidR="007E42F2" w:rsidRPr="00283947">
        <w:rPr>
          <w:rFonts w:hint="eastAsia"/>
          <w:kern w:val="0"/>
          <w:sz w:val="24"/>
        </w:rPr>
        <w:t>名份额持有人的持有份额合计占基金总份额的比例为</w:t>
      </w:r>
      <w:r w:rsidR="007E42F2">
        <w:rPr>
          <w:rFonts w:hint="eastAsia"/>
          <w:kern w:val="0"/>
          <w:sz w:val="24"/>
        </w:rPr>
        <w:t>82.80</w:t>
      </w:r>
      <w:r w:rsidR="007E42F2" w:rsidRPr="00283947">
        <w:rPr>
          <w:rFonts w:hint="eastAsia"/>
          <w:kern w:val="0"/>
          <w:sz w:val="24"/>
        </w:rPr>
        <w:t>%</w:t>
      </w:r>
      <w:r w:rsidR="007E42F2" w:rsidRPr="00283947">
        <w:rPr>
          <w:rFonts w:hint="eastAsia"/>
          <w:kern w:val="0"/>
          <w:sz w:val="24"/>
        </w:rPr>
        <w:t>，本基金投资组合的平均剩余期限为</w:t>
      </w:r>
      <w:r w:rsidR="007E42F2">
        <w:rPr>
          <w:rFonts w:hint="eastAsia"/>
          <w:kern w:val="0"/>
          <w:sz w:val="24"/>
        </w:rPr>
        <w:t>40</w:t>
      </w:r>
      <w:r w:rsidR="007E42F2" w:rsidRPr="00283947">
        <w:rPr>
          <w:rFonts w:hint="eastAsia"/>
          <w:kern w:val="0"/>
          <w:sz w:val="24"/>
        </w:rPr>
        <w:t>天，平均剩余存续期为</w:t>
      </w:r>
      <w:r w:rsidR="007E42F2">
        <w:rPr>
          <w:rFonts w:hint="eastAsia"/>
          <w:kern w:val="0"/>
          <w:sz w:val="24"/>
        </w:rPr>
        <w:t>40</w:t>
      </w:r>
      <w:r w:rsidR="007E42F2" w:rsidRPr="00283947">
        <w:rPr>
          <w:rFonts w:hint="eastAsia"/>
          <w:kern w:val="0"/>
          <w:sz w:val="24"/>
        </w:rPr>
        <w:t>天</w:t>
      </w:r>
      <w:r w:rsidR="007E42F2">
        <w:rPr>
          <w:rFonts w:hint="eastAsia"/>
          <w:kern w:val="0"/>
          <w:sz w:val="24"/>
        </w:rPr>
        <w:t>。</w:t>
      </w:r>
    </w:p>
    <w:p w:rsidR="006E428D" w:rsidRPr="00057467" w:rsidRDefault="006E428D" w:rsidP="006E428D">
      <w:pPr>
        <w:spacing w:before="29" w:line="288" w:lineRule="auto"/>
        <w:ind w:firstLineChars="200" w:firstLine="480"/>
        <w:rPr>
          <w:kern w:val="0"/>
          <w:sz w:val="24"/>
        </w:rPr>
      </w:pPr>
      <w:r w:rsidRPr="00057467">
        <w:rPr>
          <w:rFonts w:hint="eastAsia"/>
          <w:kern w:val="0"/>
          <w:sz w:val="24"/>
        </w:rPr>
        <w:t>本基金投资于一家公司发行的证券市值不超过基金资产净值的</w:t>
      </w:r>
      <w:r w:rsidRPr="00057467">
        <w:rPr>
          <w:rFonts w:hint="eastAsia"/>
          <w:kern w:val="0"/>
          <w:sz w:val="24"/>
        </w:rPr>
        <w:t>10%</w:t>
      </w:r>
      <w:r w:rsidRPr="00057467">
        <w:rPr>
          <w:rFonts w:hint="eastAsia"/>
          <w:kern w:val="0"/>
          <w:sz w:val="24"/>
        </w:rPr>
        <w:t>，且本基金与由本基金的基金管理人管理的其他基金共同持有一家公司发行的证券不得超过该证券的</w:t>
      </w:r>
      <w:r w:rsidRPr="00057467">
        <w:rPr>
          <w:rFonts w:hint="eastAsia"/>
          <w:kern w:val="0"/>
          <w:sz w:val="24"/>
        </w:rPr>
        <w:t>10%</w:t>
      </w:r>
      <w:r w:rsidRPr="00057467">
        <w:rPr>
          <w:rFonts w:hint="eastAsia"/>
          <w:kern w:val="0"/>
          <w:sz w:val="24"/>
        </w:rPr>
        <w:t>。本基金与由本基金的基金管理人管理的其他货币市场基金投资同一商业银行的银行存款及其发行的同业存单与债券不得超过该商业银行最近一个季度末净资产的</w:t>
      </w:r>
      <w:r w:rsidRPr="00057467">
        <w:rPr>
          <w:rFonts w:hint="eastAsia"/>
          <w:kern w:val="0"/>
          <w:sz w:val="24"/>
        </w:rPr>
        <w:t>10%</w:t>
      </w:r>
      <w:r w:rsidRPr="00057467">
        <w:rPr>
          <w:rFonts w:hint="eastAsia"/>
          <w:kern w:val="0"/>
          <w:sz w:val="24"/>
        </w:rPr>
        <w:t>。本基金主动投资于流动性受限资产的市值合计不得超过基金资产净值的</w:t>
      </w:r>
      <w:r w:rsidRPr="00057467">
        <w:rPr>
          <w:rFonts w:hint="eastAsia"/>
          <w:kern w:val="0"/>
          <w:sz w:val="24"/>
        </w:rPr>
        <w:t>10%</w:t>
      </w:r>
      <w:r w:rsidRPr="00057467">
        <w:rPr>
          <w:rFonts w:hint="eastAsia"/>
          <w:kern w:val="0"/>
          <w:sz w:val="24"/>
        </w:rPr>
        <w:t>。</w:t>
      </w:r>
    </w:p>
    <w:p w:rsidR="006E428D" w:rsidRPr="00057467" w:rsidRDefault="006E428D" w:rsidP="006E428D">
      <w:pPr>
        <w:spacing w:before="29" w:line="288" w:lineRule="auto"/>
        <w:ind w:firstLineChars="200" w:firstLine="480"/>
        <w:rPr>
          <w:kern w:val="0"/>
          <w:sz w:val="24"/>
        </w:rPr>
      </w:pPr>
      <w:r w:rsidRPr="00057467">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w:t>
      </w:r>
      <w:r w:rsidRPr="00057467">
        <w:rPr>
          <w:rFonts w:hint="eastAsia"/>
          <w:kern w:val="0"/>
          <w:sz w:val="24"/>
        </w:rPr>
        <w:lastRenderedPageBreak/>
        <w:t>与基金合同约定的投资范围保持一致。</w:t>
      </w:r>
    </w:p>
    <w:p w:rsidR="006E428D" w:rsidRPr="00057467" w:rsidRDefault="006E428D" w:rsidP="006E428D">
      <w:pPr>
        <w:spacing w:before="29" w:line="288" w:lineRule="auto"/>
        <w:ind w:firstLineChars="200" w:firstLine="480"/>
        <w:rPr>
          <w:kern w:val="0"/>
          <w:sz w:val="24"/>
        </w:rPr>
      </w:pPr>
      <w:r w:rsidRPr="00057467">
        <w:rPr>
          <w:rFonts w:hint="eastAsia"/>
          <w:kern w:val="0"/>
          <w:sz w:val="24"/>
        </w:rPr>
        <w:t>综合上述各项流动性指标的监测结果及流动性风险管理措施的实施，本基金在本报告期内流动性情况良好。</w:t>
      </w:r>
    </w:p>
    <w:p w:rsidR="006D141C" w:rsidRPr="006E428D"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2622A8" w:rsidRDefault="00DF40FE">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7594A" w:rsidRDefault="00F7594A" w:rsidP="00F7594A">
      <w:pPr>
        <w:spacing w:before="29" w:line="288" w:lineRule="auto"/>
        <w:ind w:firstLineChars="200" w:firstLine="480"/>
        <w:rPr>
          <w:kern w:val="0"/>
          <w:sz w:val="24"/>
        </w:rPr>
      </w:pPr>
      <w:r w:rsidRPr="00C172AA">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555"/>
        <w:gridCol w:w="1276"/>
        <w:gridCol w:w="1134"/>
        <w:gridCol w:w="708"/>
        <w:gridCol w:w="711"/>
        <w:gridCol w:w="981"/>
        <w:gridCol w:w="10"/>
        <w:gridCol w:w="1025"/>
      </w:tblGrid>
      <w:tr w:rsidR="00126D14" w:rsidRPr="005E1AD8" w:rsidTr="00B86093">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2017</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561"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276"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34"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708"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711"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1"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B86093">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561" w:type="dxa"/>
            <w:gridSpan w:val="2"/>
            <w:vAlign w:val="center"/>
          </w:tcPr>
          <w:p w:rsidR="00126D14" w:rsidRPr="005E1AD8" w:rsidRDefault="00126D14" w:rsidP="00BF370B">
            <w:pPr>
              <w:spacing w:before="29" w:line="288" w:lineRule="auto"/>
              <w:rPr>
                <w:sz w:val="18"/>
                <w:szCs w:val="18"/>
              </w:rPr>
            </w:pPr>
          </w:p>
        </w:tc>
        <w:tc>
          <w:tcPr>
            <w:tcW w:w="1276" w:type="dxa"/>
            <w:vAlign w:val="center"/>
          </w:tcPr>
          <w:p w:rsidR="00126D14" w:rsidRPr="005E1AD8" w:rsidRDefault="00126D14" w:rsidP="00BF370B">
            <w:pPr>
              <w:spacing w:before="29" w:line="288" w:lineRule="auto"/>
              <w:rPr>
                <w:sz w:val="18"/>
                <w:szCs w:val="18"/>
              </w:rPr>
            </w:pPr>
          </w:p>
        </w:tc>
        <w:tc>
          <w:tcPr>
            <w:tcW w:w="1134" w:type="dxa"/>
            <w:vAlign w:val="center"/>
          </w:tcPr>
          <w:p w:rsidR="00126D14" w:rsidRPr="005E1AD8" w:rsidRDefault="00126D14" w:rsidP="00BF370B">
            <w:pPr>
              <w:spacing w:before="29" w:line="288" w:lineRule="auto"/>
              <w:rPr>
                <w:sz w:val="18"/>
                <w:szCs w:val="18"/>
              </w:rPr>
            </w:pPr>
          </w:p>
        </w:tc>
        <w:tc>
          <w:tcPr>
            <w:tcW w:w="708" w:type="dxa"/>
            <w:vAlign w:val="center"/>
          </w:tcPr>
          <w:p w:rsidR="00126D14" w:rsidRPr="005E1AD8" w:rsidRDefault="00126D14" w:rsidP="00BF370B">
            <w:pPr>
              <w:spacing w:before="29" w:line="288" w:lineRule="auto"/>
              <w:rPr>
                <w:sz w:val="18"/>
                <w:szCs w:val="18"/>
              </w:rPr>
            </w:pPr>
          </w:p>
        </w:tc>
        <w:tc>
          <w:tcPr>
            <w:tcW w:w="711" w:type="dxa"/>
            <w:vAlign w:val="center"/>
          </w:tcPr>
          <w:p w:rsidR="00126D14" w:rsidRPr="005E1AD8" w:rsidRDefault="00126D14" w:rsidP="00BF370B">
            <w:pPr>
              <w:spacing w:before="29" w:line="288" w:lineRule="auto"/>
              <w:rPr>
                <w:sz w:val="18"/>
                <w:szCs w:val="18"/>
              </w:rPr>
            </w:pPr>
          </w:p>
        </w:tc>
        <w:tc>
          <w:tcPr>
            <w:tcW w:w="981" w:type="dxa"/>
            <w:vAlign w:val="center"/>
          </w:tcPr>
          <w:p w:rsidR="00126D14" w:rsidRPr="005E1AD8" w:rsidRDefault="00126D14" w:rsidP="00BF370B">
            <w:pPr>
              <w:spacing w:before="29" w:line="288" w:lineRule="auto"/>
              <w:rPr>
                <w:sz w:val="18"/>
                <w:szCs w:val="18"/>
              </w:rPr>
            </w:pPr>
          </w:p>
        </w:tc>
        <w:tc>
          <w:tcPr>
            <w:tcW w:w="1035" w:type="dxa"/>
            <w:gridSpan w:val="2"/>
            <w:vAlign w:val="center"/>
          </w:tcPr>
          <w:p w:rsidR="00126D14" w:rsidRPr="005E1AD8" w:rsidRDefault="00126D14" w:rsidP="00BF370B">
            <w:pPr>
              <w:spacing w:before="29" w:line="288" w:lineRule="auto"/>
              <w:rPr>
                <w:sz w:val="18"/>
                <w:szCs w:val="18"/>
              </w:rPr>
            </w:pPr>
          </w:p>
        </w:tc>
      </w:tr>
      <w:tr w:rsidR="00B86093" w:rsidTr="00B86093">
        <w:tc>
          <w:tcPr>
            <w:tcW w:w="1666" w:type="dxa"/>
            <w:gridSpan w:val="2"/>
            <w:vAlign w:val="center"/>
          </w:tcPr>
          <w:p w:rsidR="00B86093" w:rsidRDefault="00B86093" w:rsidP="00B86093">
            <w:pPr>
              <w:jc w:val="left"/>
            </w:pPr>
            <w:r>
              <w:rPr>
                <w:color w:val="000000"/>
                <w:sz w:val="18"/>
                <w:szCs w:val="18"/>
              </w:rPr>
              <w:t>银行存款</w:t>
            </w:r>
          </w:p>
        </w:tc>
        <w:tc>
          <w:tcPr>
            <w:tcW w:w="1561" w:type="dxa"/>
            <w:gridSpan w:val="2"/>
            <w:vAlign w:val="center"/>
          </w:tcPr>
          <w:p w:rsidR="00B86093" w:rsidRPr="00B86093" w:rsidRDefault="00B86093" w:rsidP="00B86093">
            <w:pPr>
              <w:jc w:val="center"/>
              <w:rPr>
                <w:sz w:val="18"/>
                <w:szCs w:val="18"/>
              </w:rPr>
            </w:pPr>
            <w:r w:rsidRPr="00B86093">
              <w:rPr>
                <w:sz w:val="18"/>
                <w:szCs w:val="18"/>
              </w:rPr>
              <w:t>2,011,626,483.40</w:t>
            </w:r>
          </w:p>
        </w:tc>
        <w:tc>
          <w:tcPr>
            <w:tcW w:w="1276" w:type="dxa"/>
          </w:tcPr>
          <w:p w:rsidR="00B86093" w:rsidRPr="00B86093" w:rsidRDefault="00B86093" w:rsidP="00B86093">
            <w:pPr>
              <w:rPr>
                <w:sz w:val="18"/>
                <w:szCs w:val="18"/>
              </w:rPr>
            </w:pPr>
            <w:r w:rsidRPr="00B86093">
              <w:rPr>
                <w:sz w:val="18"/>
                <w:szCs w:val="18"/>
              </w:rPr>
              <w:t xml:space="preserve"> 2,910,000,000.00 </w:t>
            </w:r>
          </w:p>
        </w:tc>
        <w:tc>
          <w:tcPr>
            <w:tcW w:w="1134" w:type="dxa"/>
          </w:tcPr>
          <w:p w:rsidR="00B86093" w:rsidRPr="00B86093" w:rsidRDefault="00B86093" w:rsidP="00B86093">
            <w:pPr>
              <w:rPr>
                <w:sz w:val="18"/>
                <w:szCs w:val="18"/>
              </w:rPr>
            </w:pPr>
            <w:r w:rsidRPr="00B86093">
              <w:rPr>
                <w:sz w:val="18"/>
                <w:szCs w:val="18"/>
              </w:rPr>
              <w:t xml:space="preserve"> 1,034,000,000.00 </w:t>
            </w: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p>
        </w:tc>
        <w:tc>
          <w:tcPr>
            <w:tcW w:w="1035" w:type="dxa"/>
            <w:gridSpan w:val="2"/>
          </w:tcPr>
          <w:p w:rsidR="00B86093" w:rsidRPr="00B86093" w:rsidRDefault="00B86093" w:rsidP="00B86093">
            <w:pPr>
              <w:rPr>
                <w:sz w:val="18"/>
                <w:szCs w:val="18"/>
              </w:rPr>
            </w:pPr>
            <w:r w:rsidRPr="00B86093">
              <w:rPr>
                <w:sz w:val="18"/>
                <w:szCs w:val="18"/>
              </w:rPr>
              <w:t xml:space="preserve"> 5,955,626,483.40 </w:t>
            </w:r>
          </w:p>
        </w:tc>
      </w:tr>
      <w:tr w:rsidR="00B86093" w:rsidTr="00B86093">
        <w:tc>
          <w:tcPr>
            <w:tcW w:w="1666" w:type="dxa"/>
            <w:gridSpan w:val="2"/>
            <w:vAlign w:val="center"/>
          </w:tcPr>
          <w:p w:rsidR="00B86093" w:rsidRDefault="00B86093" w:rsidP="00B86093">
            <w:pPr>
              <w:jc w:val="left"/>
            </w:pPr>
            <w:r>
              <w:rPr>
                <w:color w:val="000000"/>
                <w:sz w:val="18"/>
                <w:szCs w:val="18"/>
              </w:rPr>
              <w:t>交易性金融资产</w:t>
            </w:r>
          </w:p>
        </w:tc>
        <w:tc>
          <w:tcPr>
            <w:tcW w:w="1561" w:type="dxa"/>
            <w:gridSpan w:val="2"/>
          </w:tcPr>
          <w:p w:rsidR="00B86093" w:rsidRPr="00B86093" w:rsidRDefault="00B86093" w:rsidP="00B86093">
            <w:pPr>
              <w:rPr>
                <w:sz w:val="18"/>
                <w:szCs w:val="18"/>
              </w:rPr>
            </w:pPr>
            <w:r w:rsidRPr="00B86093">
              <w:rPr>
                <w:sz w:val="18"/>
                <w:szCs w:val="18"/>
              </w:rPr>
              <w:t xml:space="preserve"> 2,853,850,289.09 </w:t>
            </w:r>
          </w:p>
        </w:tc>
        <w:tc>
          <w:tcPr>
            <w:tcW w:w="1276" w:type="dxa"/>
          </w:tcPr>
          <w:p w:rsidR="00B86093" w:rsidRPr="00B86093" w:rsidRDefault="00B86093" w:rsidP="00B86093">
            <w:pPr>
              <w:rPr>
                <w:sz w:val="18"/>
                <w:szCs w:val="18"/>
              </w:rPr>
            </w:pPr>
            <w:r w:rsidRPr="00B86093">
              <w:rPr>
                <w:sz w:val="18"/>
                <w:szCs w:val="18"/>
              </w:rPr>
              <w:t xml:space="preserve"> 3,925,929,341.93 </w:t>
            </w:r>
          </w:p>
        </w:tc>
        <w:tc>
          <w:tcPr>
            <w:tcW w:w="1134" w:type="dxa"/>
          </w:tcPr>
          <w:p w:rsidR="00B86093" w:rsidRPr="00B86093" w:rsidRDefault="00B86093" w:rsidP="00B86093">
            <w:pPr>
              <w:rPr>
                <w:sz w:val="18"/>
                <w:szCs w:val="18"/>
              </w:rPr>
            </w:pPr>
            <w:r w:rsidRPr="00B86093">
              <w:rPr>
                <w:sz w:val="18"/>
                <w:szCs w:val="18"/>
              </w:rPr>
              <w:t xml:space="preserve"> 976,483,976.35 </w:t>
            </w:r>
          </w:p>
        </w:tc>
        <w:tc>
          <w:tcPr>
            <w:tcW w:w="708" w:type="dxa"/>
          </w:tcPr>
          <w:p w:rsidR="00B86093" w:rsidRPr="00B86093" w:rsidRDefault="00B86093" w:rsidP="00B86093">
            <w:pPr>
              <w:rPr>
                <w:sz w:val="18"/>
                <w:szCs w:val="18"/>
              </w:rPr>
            </w:pPr>
            <w:r w:rsidRPr="00B86093">
              <w:rPr>
                <w:sz w:val="18"/>
                <w:szCs w:val="18"/>
              </w:rPr>
              <w:t xml:space="preserve"> -   </w:t>
            </w:r>
          </w:p>
        </w:tc>
        <w:tc>
          <w:tcPr>
            <w:tcW w:w="711" w:type="dxa"/>
          </w:tcPr>
          <w:p w:rsidR="00B86093" w:rsidRPr="00B86093" w:rsidRDefault="00B86093" w:rsidP="00B86093">
            <w:pPr>
              <w:rPr>
                <w:sz w:val="18"/>
                <w:szCs w:val="18"/>
              </w:rPr>
            </w:pPr>
            <w:r w:rsidRPr="00B86093">
              <w:rPr>
                <w:sz w:val="18"/>
                <w:szCs w:val="18"/>
              </w:rPr>
              <w:t xml:space="preserve"> -   </w:t>
            </w:r>
          </w:p>
        </w:tc>
        <w:tc>
          <w:tcPr>
            <w:tcW w:w="981" w:type="dxa"/>
          </w:tcPr>
          <w:p w:rsidR="00B86093" w:rsidRPr="00B86093" w:rsidRDefault="00B86093" w:rsidP="00B86093">
            <w:pPr>
              <w:rPr>
                <w:sz w:val="18"/>
                <w:szCs w:val="18"/>
              </w:rPr>
            </w:pPr>
            <w:r w:rsidRPr="00B86093">
              <w:rPr>
                <w:sz w:val="18"/>
                <w:szCs w:val="18"/>
              </w:rPr>
              <w:t xml:space="preserve"> -   </w:t>
            </w:r>
          </w:p>
        </w:tc>
        <w:tc>
          <w:tcPr>
            <w:tcW w:w="1035" w:type="dxa"/>
            <w:gridSpan w:val="2"/>
          </w:tcPr>
          <w:p w:rsidR="00B86093" w:rsidRPr="00B86093" w:rsidRDefault="00B86093" w:rsidP="00B86093">
            <w:pPr>
              <w:rPr>
                <w:sz w:val="18"/>
                <w:szCs w:val="18"/>
              </w:rPr>
            </w:pPr>
            <w:r w:rsidRPr="00B86093">
              <w:rPr>
                <w:sz w:val="18"/>
                <w:szCs w:val="18"/>
              </w:rPr>
              <w:t xml:space="preserve"> 7,756,263,607.37 </w:t>
            </w:r>
          </w:p>
        </w:tc>
      </w:tr>
      <w:tr w:rsidR="00B86093" w:rsidTr="00B86093">
        <w:tc>
          <w:tcPr>
            <w:tcW w:w="1666" w:type="dxa"/>
            <w:gridSpan w:val="2"/>
            <w:vAlign w:val="center"/>
          </w:tcPr>
          <w:p w:rsidR="00B86093" w:rsidRDefault="00B86093" w:rsidP="00B86093">
            <w:pPr>
              <w:jc w:val="left"/>
            </w:pPr>
            <w:r>
              <w:rPr>
                <w:color w:val="000000"/>
                <w:sz w:val="18"/>
                <w:szCs w:val="18"/>
              </w:rPr>
              <w:t>买入返售金融资产</w:t>
            </w:r>
          </w:p>
        </w:tc>
        <w:tc>
          <w:tcPr>
            <w:tcW w:w="1561" w:type="dxa"/>
            <w:gridSpan w:val="2"/>
          </w:tcPr>
          <w:p w:rsidR="00B86093" w:rsidRPr="00B86093" w:rsidRDefault="00B86093" w:rsidP="00B86093">
            <w:pPr>
              <w:rPr>
                <w:sz w:val="18"/>
                <w:szCs w:val="18"/>
              </w:rPr>
            </w:pPr>
            <w:r w:rsidRPr="00B86093">
              <w:rPr>
                <w:sz w:val="18"/>
                <w:szCs w:val="18"/>
              </w:rPr>
              <w:t xml:space="preserve"> 9,752,662,836.71 </w:t>
            </w:r>
          </w:p>
        </w:tc>
        <w:tc>
          <w:tcPr>
            <w:tcW w:w="1276" w:type="dxa"/>
          </w:tcPr>
          <w:p w:rsidR="00B86093" w:rsidRPr="00B86093" w:rsidRDefault="00B86093" w:rsidP="00B86093">
            <w:pPr>
              <w:rPr>
                <w:sz w:val="18"/>
                <w:szCs w:val="18"/>
              </w:rPr>
            </w:pPr>
          </w:p>
        </w:tc>
        <w:tc>
          <w:tcPr>
            <w:tcW w:w="1134" w:type="dxa"/>
          </w:tcPr>
          <w:p w:rsidR="00B86093" w:rsidRPr="00B86093" w:rsidRDefault="00B86093" w:rsidP="00B86093">
            <w:pPr>
              <w:rPr>
                <w:sz w:val="18"/>
                <w:szCs w:val="18"/>
              </w:rPr>
            </w:pP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p>
        </w:tc>
        <w:tc>
          <w:tcPr>
            <w:tcW w:w="1035" w:type="dxa"/>
            <w:gridSpan w:val="2"/>
          </w:tcPr>
          <w:p w:rsidR="00B86093" w:rsidRPr="00B86093" w:rsidRDefault="00B86093" w:rsidP="00B86093">
            <w:pPr>
              <w:rPr>
                <w:sz w:val="18"/>
                <w:szCs w:val="18"/>
              </w:rPr>
            </w:pPr>
            <w:r w:rsidRPr="00B86093">
              <w:rPr>
                <w:sz w:val="18"/>
                <w:szCs w:val="18"/>
              </w:rPr>
              <w:t xml:space="preserve"> 9,752,662,836.71 </w:t>
            </w:r>
          </w:p>
        </w:tc>
      </w:tr>
      <w:tr w:rsidR="00B86093" w:rsidTr="00B86093">
        <w:tc>
          <w:tcPr>
            <w:tcW w:w="1666" w:type="dxa"/>
            <w:gridSpan w:val="2"/>
            <w:vAlign w:val="center"/>
          </w:tcPr>
          <w:p w:rsidR="00B86093" w:rsidRDefault="00B86093" w:rsidP="00B86093">
            <w:pPr>
              <w:jc w:val="left"/>
            </w:pPr>
            <w:r>
              <w:rPr>
                <w:color w:val="000000"/>
                <w:sz w:val="18"/>
                <w:szCs w:val="18"/>
              </w:rPr>
              <w:t>应收利息</w:t>
            </w:r>
          </w:p>
        </w:tc>
        <w:tc>
          <w:tcPr>
            <w:tcW w:w="1561" w:type="dxa"/>
            <w:gridSpan w:val="2"/>
          </w:tcPr>
          <w:p w:rsidR="00B86093" w:rsidRPr="00B86093" w:rsidRDefault="00B86093" w:rsidP="00B86093">
            <w:pPr>
              <w:rPr>
                <w:sz w:val="18"/>
                <w:szCs w:val="18"/>
              </w:rPr>
            </w:pPr>
          </w:p>
        </w:tc>
        <w:tc>
          <w:tcPr>
            <w:tcW w:w="1276" w:type="dxa"/>
          </w:tcPr>
          <w:p w:rsidR="00B86093" w:rsidRPr="00B86093" w:rsidRDefault="00B86093" w:rsidP="00B86093">
            <w:pPr>
              <w:rPr>
                <w:sz w:val="18"/>
                <w:szCs w:val="18"/>
              </w:rPr>
            </w:pPr>
          </w:p>
        </w:tc>
        <w:tc>
          <w:tcPr>
            <w:tcW w:w="1134" w:type="dxa"/>
          </w:tcPr>
          <w:p w:rsidR="00B86093" w:rsidRPr="00B86093" w:rsidRDefault="00B86093" w:rsidP="00B86093">
            <w:pPr>
              <w:rPr>
                <w:sz w:val="18"/>
                <w:szCs w:val="18"/>
              </w:rPr>
            </w:pP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r w:rsidRPr="00B86093">
              <w:rPr>
                <w:sz w:val="18"/>
                <w:szCs w:val="18"/>
              </w:rPr>
              <w:t xml:space="preserve"> 60,874,030.42 </w:t>
            </w:r>
          </w:p>
        </w:tc>
        <w:tc>
          <w:tcPr>
            <w:tcW w:w="1035" w:type="dxa"/>
            <w:gridSpan w:val="2"/>
          </w:tcPr>
          <w:p w:rsidR="00B86093" w:rsidRPr="00B86093" w:rsidRDefault="00B86093" w:rsidP="00B86093">
            <w:pPr>
              <w:rPr>
                <w:sz w:val="18"/>
                <w:szCs w:val="18"/>
              </w:rPr>
            </w:pPr>
            <w:r w:rsidRPr="00B86093">
              <w:rPr>
                <w:sz w:val="18"/>
                <w:szCs w:val="18"/>
              </w:rPr>
              <w:t xml:space="preserve"> 60,874,030.42 </w:t>
            </w:r>
          </w:p>
        </w:tc>
      </w:tr>
      <w:tr w:rsidR="00B86093" w:rsidTr="00B86093">
        <w:tc>
          <w:tcPr>
            <w:tcW w:w="1666" w:type="dxa"/>
            <w:gridSpan w:val="2"/>
            <w:vAlign w:val="center"/>
          </w:tcPr>
          <w:p w:rsidR="00B86093" w:rsidRDefault="00B86093" w:rsidP="00B86093">
            <w:pPr>
              <w:jc w:val="left"/>
            </w:pPr>
            <w:r>
              <w:rPr>
                <w:color w:val="000000"/>
                <w:sz w:val="18"/>
                <w:szCs w:val="18"/>
              </w:rPr>
              <w:t>应收申购款</w:t>
            </w:r>
          </w:p>
        </w:tc>
        <w:tc>
          <w:tcPr>
            <w:tcW w:w="1561" w:type="dxa"/>
            <w:gridSpan w:val="2"/>
          </w:tcPr>
          <w:p w:rsidR="00B86093" w:rsidRPr="00B86093" w:rsidRDefault="00B86093" w:rsidP="00B86093">
            <w:pPr>
              <w:rPr>
                <w:sz w:val="18"/>
                <w:szCs w:val="18"/>
              </w:rPr>
            </w:pPr>
          </w:p>
        </w:tc>
        <w:tc>
          <w:tcPr>
            <w:tcW w:w="1276" w:type="dxa"/>
          </w:tcPr>
          <w:p w:rsidR="00B86093" w:rsidRPr="00B86093" w:rsidRDefault="00B86093" w:rsidP="00B86093">
            <w:pPr>
              <w:rPr>
                <w:sz w:val="18"/>
                <w:szCs w:val="18"/>
              </w:rPr>
            </w:pPr>
          </w:p>
        </w:tc>
        <w:tc>
          <w:tcPr>
            <w:tcW w:w="1134" w:type="dxa"/>
          </w:tcPr>
          <w:p w:rsidR="00B86093" w:rsidRPr="00B86093" w:rsidRDefault="00B86093" w:rsidP="00B86093">
            <w:pPr>
              <w:rPr>
                <w:sz w:val="18"/>
                <w:szCs w:val="18"/>
              </w:rPr>
            </w:pP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r w:rsidRPr="00B86093">
              <w:rPr>
                <w:sz w:val="18"/>
                <w:szCs w:val="18"/>
              </w:rPr>
              <w:t xml:space="preserve"> 26,265,454.76 </w:t>
            </w:r>
          </w:p>
        </w:tc>
        <w:tc>
          <w:tcPr>
            <w:tcW w:w="1035" w:type="dxa"/>
            <w:gridSpan w:val="2"/>
          </w:tcPr>
          <w:p w:rsidR="00B86093" w:rsidRPr="00B86093" w:rsidRDefault="00B86093" w:rsidP="00B86093">
            <w:pPr>
              <w:rPr>
                <w:sz w:val="18"/>
                <w:szCs w:val="18"/>
              </w:rPr>
            </w:pPr>
            <w:r w:rsidRPr="00B86093">
              <w:rPr>
                <w:sz w:val="18"/>
                <w:szCs w:val="18"/>
              </w:rPr>
              <w:t xml:space="preserve"> 26,265,454.76 </w:t>
            </w:r>
          </w:p>
        </w:tc>
      </w:tr>
      <w:tr w:rsidR="00B86093" w:rsidRPr="005E1AD8" w:rsidTr="00B86093">
        <w:tc>
          <w:tcPr>
            <w:tcW w:w="1666" w:type="dxa"/>
            <w:gridSpan w:val="2"/>
            <w:vAlign w:val="center"/>
          </w:tcPr>
          <w:p w:rsidR="00B86093" w:rsidRPr="0077393F" w:rsidRDefault="00B86093" w:rsidP="00B86093">
            <w:pPr>
              <w:spacing w:before="29" w:line="288" w:lineRule="auto"/>
              <w:rPr>
                <w:sz w:val="18"/>
                <w:szCs w:val="18"/>
              </w:rPr>
            </w:pPr>
            <w:r w:rsidRPr="0077393F">
              <w:rPr>
                <w:color w:val="000000"/>
                <w:sz w:val="18"/>
                <w:szCs w:val="18"/>
              </w:rPr>
              <w:lastRenderedPageBreak/>
              <w:t>资产总计</w:t>
            </w:r>
          </w:p>
        </w:tc>
        <w:tc>
          <w:tcPr>
            <w:tcW w:w="1561" w:type="dxa"/>
            <w:gridSpan w:val="2"/>
          </w:tcPr>
          <w:p w:rsidR="00B86093" w:rsidRPr="00B86093" w:rsidRDefault="00B86093" w:rsidP="00B86093">
            <w:pPr>
              <w:rPr>
                <w:sz w:val="18"/>
                <w:szCs w:val="18"/>
              </w:rPr>
            </w:pPr>
            <w:r w:rsidRPr="00B86093">
              <w:rPr>
                <w:sz w:val="18"/>
                <w:szCs w:val="18"/>
              </w:rPr>
              <w:t xml:space="preserve"> 14,618,139,609.20 </w:t>
            </w:r>
          </w:p>
        </w:tc>
        <w:tc>
          <w:tcPr>
            <w:tcW w:w="1276" w:type="dxa"/>
          </w:tcPr>
          <w:p w:rsidR="00B86093" w:rsidRPr="00B86093" w:rsidRDefault="00B86093" w:rsidP="00B86093">
            <w:pPr>
              <w:rPr>
                <w:sz w:val="18"/>
                <w:szCs w:val="18"/>
              </w:rPr>
            </w:pPr>
            <w:r w:rsidRPr="00B86093">
              <w:rPr>
                <w:sz w:val="18"/>
                <w:szCs w:val="18"/>
              </w:rPr>
              <w:t xml:space="preserve"> 6,835,929,341.93 </w:t>
            </w:r>
          </w:p>
        </w:tc>
        <w:tc>
          <w:tcPr>
            <w:tcW w:w="1134" w:type="dxa"/>
          </w:tcPr>
          <w:p w:rsidR="00B86093" w:rsidRPr="00B86093" w:rsidRDefault="00B86093" w:rsidP="00B86093">
            <w:pPr>
              <w:rPr>
                <w:sz w:val="18"/>
                <w:szCs w:val="18"/>
              </w:rPr>
            </w:pPr>
            <w:r w:rsidRPr="00B86093">
              <w:rPr>
                <w:sz w:val="18"/>
                <w:szCs w:val="18"/>
              </w:rPr>
              <w:t xml:space="preserve"> 2,010,483,976.35 </w:t>
            </w:r>
          </w:p>
        </w:tc>
        <w:tc>
          <w:tcPr>
            <w:tcW w:w="708" w:type="dxa"/>
          </w:tcPr>
          <w:p w:rsidR="00B86093" w:rsidRPr="00B86093" w:rsidRDefault="00B86093" w:rsidP="00B86093">
            <w:pPr>
              <w:rPr>
                <w:sz w:val="18"/>
                <w:szCs w:val="18"/>
              </w:rPr>
            </w:pPr>
            <w:r w:rsidRPr="00B86093">
              <w:rPr>
                <w:sz w:val="18"/>
                <w:szCs w:val="18"/>
              </w:rPr>
              <w:t xml:space="preserve"> -   </w:t>
            </w:r>
          </w:p>
        </w:tc>
        <w:tc>
          <w:tcPr>
            <w:tcW w:w="711" w:type="dxa"/>
          </w:tcPr>
          <w:p w:rsidR="00B86093" w:rsidRPr="00B86093" w:rsidRDefault="00B86093" w:rsidP="00B86093">
            <w:pPr>
              <w:rPr>
                <w:sz w:val="18"/>
                <w:szCs w:val="18"/>
              </w:rPr>
            </w:pPr>
            <w:r w:rsidRPr="00B86093">
              <w:rPr>
                <w:sz w:val="18"/>
                <w:szCs w:val="18"/>
              </w:rPr>
              <w:t xml:space="preserve"> -   </w:t>
            </w:r>
          </w:p>
        </w:tc>
        <w:tc>
          <w:tcPr>
            <w:tcW w:w="981" w:type="dxa"/>
          </w:tcPr>
          <w:p w:rsidR="00B86093" w:rsidRPr="00B86093" w:rsidRDefault="00B86093" w:rsidP="00B86093">
            <w:pPr>
              <w:rPr>
                <w:sz w:val="18"/>
                <w:szCs w:val="18"/>
              </w:rPr>
            </w:pPr>
            <w:r w:rsidRPr="00B86093">
              <w:rPr>
                <w:sz w:val="18"/>
                <w:szCs w:val="18"/>
              </w:rPr>
              <w:t xml:space="preserve"> 87,139,485.18 </w:t>
            </w:r>
          </w:p>
        </w:tc>
        <w:tc>
          <w:tcPr>
            <w:tcW w:w="1035" w:type="dxa"/>
            <w:gridSpan w:val="2"/>
          </w:tcPr>
          <w:p w:rsidR="00B86093" w:rsidRPr="00B86093" w:rsidRDefault="00B86093" w:rsidP="00B86093">
            <w:pPr>
              <w:rPr>
                <w:sz w:val="18"/>
                <w:szCs w:val="18"/>
              </w:rPr>
            </w:pPr>
            <w:r w:rsidRPr="00B86093">
              <w:rPr>
                <w:sz w:val="18"/>
                <w:szCs w:val="18"/>
              </w:rPr>
              <w:t xml:space="preserve"> 23,551,692,412.66 </w:t>
            </w:r>
          </w:p>
        </w:tc>
      </w:tr>
      <w:tr w:rsidR="00B86093" w:rsidRPr="005E1AD8" w:rsidTr="00B86093">
        <w:tc>
          <w:tcPr>
            <w:tcW w:w="1658" w:type="dxa"/>
            <w:vAlign w:val="center"/>
          </w:tcPr>
          <w:p w:rsidR="00B86093" w:rsidRPr="00E7293B" w:rsidRDefault="00B86093" w:rsidP="00B86093">
            <w:pPr>
              <w:spacing w:before="29" w:line="288" w:lineRule="auto"/>
              <w:rPr>
                <w:sz w:val="18"/>
                <w:szCs w:val="18"/>
              </w:rPr>
            </w:pPr>
            <w:r w:rsidRPr="00E7293B">
              <w:rPr>
                <w:color w:val="000000"/>
                <w:sz w:val="18"/>
                <w:szCs w:val="18"/>
              </w:rPr>
              <w:t>负债</w:t>
            </w:r>
          </w:p>
        </w:tc>
        <w:tc>
          <w:tcPr>
            <w:tcW w:w="1569" w:type="dxa"/>
            <w:gridSpan w:val="3"/>
          </w:tcPr>
          <w:p w:rsidR="00B86093" w:rsidRPr="00B86093" w:rsidRDefault="00B86093" w:rsidP="00B86093">
            <w:pPr>
              <w:rPr>
                <w:sz w:val="18"/>
                <w:szCs w:val="18"/>
              </w:rPr>
            </w:pPr>
          </w:p>
        </w:tc>
        <w:tc>
          <w:tcPr>
            <w:tcW w:w="1276" w:type="dxa"/>
          </w:tcPr>
          <w:p w:rsidR="00B86093" w:rsidRPr="00B86093" w:rsidRDefault="00B86093" w:rsidP="00B86093">
            <w:pPr>
              <w:rPr>
                <w:sz w:val="18"/>
                <w:szCs w:val="18"/>
              </w:rPr>
            </w:pPr>
          </w:p>
        </w:tc>
        <w:tc>
          <w:tcPr>
            <w:tcW w:w="1134" w:type="dxa"/>
          </w:tcPr>
          <w:p w:rsidR="00B86093" w:rsidRPr="00B86093" w:rsidRDefault="00B86093" w:rsidP="00B86093">
            <w:pPr>
              <w:rPr>
                <w:sz w:val="18"/>
                <w:szCs w:val="18"/>
              </w:rPr>
            </w:pP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p>
        </w:tc>
        <w:tc>
          <w:tcPr>
            <w:tcW w:w="1035" w:type="dxa"/>
            <w:gridSpan w:val="2"/>
          </w:tcPr>
          <w:p w:rsidR="00B86093" w:rsidRPr="00B86093" w:rsidRDefault="00B86093" w:rsidP="00B86093">
            <w:pPr>
              <w:rPr>
                <w:sz w:val="18"/>
                <w:szCs w:val="18"/>
              </w:rPr>
            </w:pPr>
          </w:p>
        </w:tc>
      </w:tr>
      <w:tr w:rsidR="00B86093" w:rsidTr="00B86093">
        <w:tc>
          <w:tcPr>
            <w:tcW w:w="1658" w:type="dxa"/>
            <w:vAlign w:val="center"/>
          </w:tcPr>
          <w:p w:rsidR="00B86093" w:rsidRDefault="00B86093" w:rsidP="00B86093">
            <w:pPr>
              <w:jc w:val="left"/>
            </w:pPr>
            <w:r>
              <w:rPr>
                <w:color w:val="000000"/>
                <w:sz w:val="18"/>
                <w:szCs w:val="18"/>
              </w:rPr>
              <w:t>应付管理人报酬</w:t>
            </w:r>
          </w:p>
        </w:tc>
        <w:tc>
          <w:tcPr>
            <w:tcW w:w="1569" w:type="dxa"/>
            <w:gridSpan w:val="3"/>
          </w:tcPr>
          <w:p w:rsidR="00B86093" w:rsidRPr="00B86093" w:rsidRDefault="00B86093" w:rsidP="00B86093">
            <w:pPr>
              <w:rPr>
                <w:sz w:val="18"/>
                <w:szCs w:val="18"/>
              </w:rPr>
            </w:pPr>
          </w:p>
        </w:tc>
        <w:tc>
          <w:tcPr>
            <w:tcW w:w="1276" w:type="dxa"/>
          </w:tcPr>
          <w:p w:rsidR="00B86093" w:rsidRPr="00B86093" w:rsidRDefault="00B86093" w:rsidP="00B86093">
            <w:pPr>
              <w:rPr>
                <w:sz w:val="18"/>
                <w:szCs w:val="18"/>
              </w:rPr>
            </w:pPr>
          </w:p>
        </w:tc>
        <w:tc>
          <w:tcPr>
            <w:tcW w:w="1134" w:type="dxa"/>
          </w:tcPr>
          <w:p w:rsidR="00B86093" w:rsidRPr="00B86093" w:rsidRDefault="00B86093" w:rsidP="00B86093">
            <w:pPr>
              <w:rPr>
                <w:sz w:val="18"/>
                <w:szCs w:val="18"/>
              </w:rPr>
            </w:pP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r w:rsidRPr="00B86093">
              <w:rPr>
                <w:sz w:val="18"/>
                <w:szCs w:val="18"/>
              </w:rPr>
              <w:t xml:space="preserve"> 1,927,764.43 </w:t>
            </w:r>
          </w:p>
        </w:tc>
        <w:tc>
          <w:tcPr>
            <w:tcW w:w="1035" w:type="dxa"/>
            <w:gridSpan w:val="2"/>
          </w:tcPr>
          <w:p w:rsidR="00B86093" w:rsidRPr="00B86093" w:rsidRDefault="00B86093" w:rsidP="00B86093">
            <w:pPr>
              <w:rPr>
                <w:sz w:val="18"/>
                <w:szCs w:val="18"/>
              </w:rPr>
            </w:pPr>
            <w:r w:rsidRPr="00B86093">
              <w:rPr>
                <w:sz w:val="18"/>
                <w:szCs w:val="18"/>
              </w:rPr>
              <w:t xml:space="preserve"> 1,927,764.43 </w:t>
            </w:r>
          </w:p>
        </w:tc>
      </w:tr>
      <w:tr w:rsidR="00B86093" w:rsidTr="00B86093">
        <w:tc>
          <w:tcPr>
            <w:tcW w:w="1658" w:type="dxa"/>
            <w:vAlign w:val="center"/>
          </w:tcPr>
          <w:p w:rsidR="00B86093" w:rsidRDefault="00B86093" w:rsidP="00B86093">
            <w:pPr>
              <w:jc w:val="left"/>
            </w:pPr>
            <w:r>
              <w:rPr>
                <w:color w:val="000000"/>
                <w:sz w:val="18"/>
                <w:szCs w:val="18"/>
              </w:rPr>
              <w:t>应付托管费</w:t>
            </w:r>
          </w:p>
        </w:tc>
        <w:tc>
          <w:tcPr>
            <w:tcW w:w="1569" w:type="dxa"/>
            <w:gridSpan w:val="3"/>
          </w:tcPr>
          <w:p w:rsidR="00B86093" w:rsidRPr="00B86093" w:rsidRDefault="00B86093" w:rsidP="00B86093">
            <w:pPr>
              <w:rPr>
                <w:sz w:val="18"/>
                <w:szCs w:val="18"/>
              </w:rPr>
            </w:pPr>
          </w:p>
        </w:tc>
        <w:tc>
          <w:tcPr>
            <w:tcW w:w="1276" w:type="dxa"/>
          </w:tcPr>
          <w:p w:rsidR="00B86093" w:rsidRPr="00B86093" w:rsidRDefault="00B86093" w:rsidP="00B86093">
            <w:pPr>
              <w:rPr>
                <w:sz w:val="18"/>
                <w:szCs w:val="18"/>
              </w:rPr>
            </w:pPr>
          </w:p>
        </w:tc>
        <w:tc>
          <w:tcPr>
            <w:tcW w:w="1134" w:type="dxa"/>
          </w:tcPr>
          <w:p w:rsidR="00B86093" w:rsidRPr="00B86093" w:rsidRDefault="00B86093" w:rsidP="00B86093">
            <w:pPr>
              <w:rPr>
                <w:sz w:val="18"/>
                <w:szCs w:val="18"/>
              </w:rPr>
            </w:pP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r w:rsidRPr="00B86093">
              <w:rPr>
                <w:sz w:val="18"/>
                <w:szCs w:val="18"/>
              </w:rPr>
              <w:t xml:space="preserve"> 642,588.16 </w:t>
            </w:r>
          </w:p>
        </w:tc>
        <w:tc>
          <w:tcPr>
            <w:tcW w:w="1035" w:type="dxa"/>
            <w:gridSpan w:val="2"/>
          </w:tcPr>
          <w:p w:rsidR="00B86093" w:rsidRPr="00B86093" w:rsidRDefault="00B86093" w:rsidP="00B86093">
            <w:pPr>
              <w:rPr>
                <w:sz w:val="18"/>
                <w:szCs w:val="18"/>
              </w:rPr>
            </w:pPr>
            <w:r w:rsidRPr="00B86093">
              <w:rPr>
                <w:sz w:val="18"/>
                <w:szCs w:val="18"/>
              </w:rPr>
              <w:t xml:space="preserve"> 642,588.16 </w:t>
            </w:r>
          </w:p>
        </w:tc>
      </w:tr>
      <w:tr w:rsidR="00B86093" w:rsidTr="00B86093">
        <w:tc>
          <w:tcPr>
            <w:tcW w:w="1658" w:type="dxa"/>
            <w:vAlign w:val="center"/>
          </w:tcPr>
          <w:p w:rsidR="00B86093" w:rsidRDefault="00B86093" w:rsidP="00B86093">
            <w:pPr>
              <w:jc w:val="left"/>
            </w:pPr>
            <w:r>
              <w:rPr>
                <w:color w:val="000000"/>
                <w:sz w:val="18"/>
                <w:szCs w:val="18"/>
              </w:rPr>
              <w:t>应付销售服务费</w:t>
            </w:r>
          </w:p>
        </w:tc>
        <w:tc>
          <w:tcPr>
            <w:tcW w:w="1569" w:type="dxa"/>
            <w:gridSpan w:val="3"/>
          </w:tcPr>
          <w:p w:rsidR="00B86093" w:rsidRPr="00B86093" w:rsidRDefault="00B86093" w:rsidP="00B86093">
            <w:pPr>
              <w:rPr>
                <w:sz w:val="18"/>
                <w:szCs w:val="18"/>
              </w:rPr>
            </w:pPr>
          </w:p>
        </w:tc>
        <w:tc>
          <w:tcPr>
            <w:tcW w:w="1276" w:type="dxa"/>
          </w:tcPr>
          <w:p w:rsidR="00B86093" w:rsidRPr="00B86093" w:rsidRDefault="00B86093" w:rsidP="00B86093">
            <w:pPr>
              <w:rPr>
                <w:sz w:val="18"/>
                <w:szCs w:val="18"/>
              </w:rPr>
            </w:pPr>
          </w:p>
        </w:tc>
        <w:tc>
          <w:tcPr>
            <w:tcW w:w="1134" w:type="dxa"/>
          </w:tcPr>
          <w:p w:rsidR="00B86093" w:rsidRPr="00B86093" w:rsidRDefault="00B86093" w:rsidP="00B86093">
            <w:pPr>
              <w:rPr>
                <w:sz w:val="18"/>
                <w:szCs w:val="18"/>
              </w:rPr>
            </w:pP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r w:rsidRPr="00B86093">
              <w:rPr>
                <w:sz w:val="18"/>
                <w:szCs w:val="18"/>
              </w:rPr>
              <w:t xml:space="preserve"> 146,058.72 </w:t>
            </w:r>
          </w:p>
        </w:tc>
        <w:tc>
          <w:tcPr>
            <w:tcW w:w="1035" w:type="dxa"/>
            <w:gridSpan w:val="2"/>
          </w:tcPr>
          <w:p w:rsidR="00B86093" w:rsidRPr="00B86093" w:rsidRDefault="00B86093" w:rsidP="00B86093">
            <w:pPr>
              <w:rPr>
                <w:sz w:val="18"/>
                <w:szCs w:val="18"/>
              </w:rPr>
            </w:pPr>
            <w:r w:rsidRPr="00B86093">
              <w:rPr>
                <w:sz w:val="18"/>
                <w:szCs w:val="18"/>
              </w:rPr>
              <w:t xml:space="preserve"> 146,058.72 </w:t>
            </w:r>
          </w:p>
        </w:tc>
      </w:tr>
      <w:tr w:rsidR="00B86093" w:rsidTr="00B86093">
        <w:tc>
          <w:tcPr>
            <w:tcW w:w="1658" w:type="dxa"/>
            <w:vAlign w:val="center"/>
          </w:tcPr>
          <w:p w:rsidR="00B86093" w:rsidRDefault="00B86093" w:rsidP="00B86093">
            <w:pPr>
              <w:jc w:val="left"/>
            </w:pPr>
            <w:r>
              <w:rPr>
                <w:color w:val="000000"/>
                <w:sz w:val="18"/>
                <w:szCs w:val="18"/>
              </w:rPr>
              <w:t>应付交易费用</w:t>
            </w:r>
          </w:p>
        </w:tc>
        <w:tc>
          <w:tcPr>
            <w:tcW w:w="1569" w:type="dxa"/>
            <w:gridSpan w:val="3"/>
          </w:tcPr>
          <w:p w:rsidR="00B86093" w:rsidRPr="00B86093" w:rsidRDefault="00B86093" w:rsidP="00B86093">
            <w:pPr>
              <w:rPr>
                <w:sz w:val="18"/>
                <w:szCs w:val="18"/>
              </w:rPr>
            </w:pPr>
          </w:p>
        </w:tc>
        <w:tc>
          <w:tcPr>
            <w:tcW w:w="1276" w:type="dxa"/>
          </w:tcPr>
          <w:p w:rsidR="00B86093" w:rsidRPr="00B86093" w:rsidRDefault="00B86093" w:rsidP="00B86093">
            <w:pPr>
              <w:rPr>
                <w:sz w:val="18"/>
                <w:szCs w:val="18"/>
              </w:rPr>
            </w:pPr>
          </w:p>
        </w:tc>
        <w:tc>
          <w:tcPr>
            <w:tcW w:w="1134" w:type="dxa"/>
          </w:tcPr>
          <w:p w:rsidR="00B86093" w:rsidRPr="00B86093" w:rsidRDefault="00B86093" w:rsidP="00B86093">
            <w:pPr>
              <w:rPr>
                <w:sz w:val="18"/>
                <w:szCs w:val="18"/>
              </w:rPr>
            </w:pP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r w:rsidRPr="00B86093">
              <w:rPr>
                <w:sz w:val="18"/>
                <w:szCs w:val="18"/>
              </w:rPr>
              <w:t xml:space="preserve"> 79,034.00 </w:t>
            </w:r>
          </w:p>
        </w:tc>
        <w:tc>
          <w:tcPr>
            <w:tcW w:w="1035" w:type="dxa"/>
            <w:gridSpan w:val="2"/>
          </w:tcPr>
          <w:p w:rsidR="00B86093" w:rsidRPr="00B86093" w:rsidRDefault="00B86093" w:rsidP="00B86093">
            <w:pPr>
              <w:rPr>
                <w:sz w:val="18"/>
                <w:szCs w:val="18"/>
              </w:rPr>
            </w:pPr>
            <w:r w:rsidRPr="00B86093">
              <w:rPr>
                <w:sz w:val="18"/>
                <w:szCs w:val="18"/>
              </w:rPr>
              <w:t xml:space="preserve"> 79,034.00 </w:t>
            </w:r>
          </w:p>
        </w:tc>
      </w:tr>
      <w:tr w:rsidR="00B86093" w:rsidTr="00B86093">
        <w:tc>
          <w:tcPr>
            <w:tcW w:w="1658" w:type="dxa"/>
            <w:vAlign w:val="center"/>
          </w:tcPr>
          <w:p w:rsidR="00B86093" w:rsidRDefault="00B86093" w:rsidP="00B86093">
            <w:pPr>
              <w:jc w:val="left"/>
            </w:pPr>
            <w:r>
              <w:rPr>
                <w:color w:val="000000"/>
                <w:sz w:val="18"/>
                <w:szCs w:val="18"/>
              </w:rPr>
              <w:t>应付利润</w:t>
            </w:r>
          </w:p>
        </w:tc>
        <w:tc>
          <w:tcPr>
            <w:tcW w:w="1569" w:type="dxa"/>
            <w:gridSpan w:val="3"/>
          </w:tcPr>
          <w:p w:rsidR="00B86093" w:rsidRPr="00B86093" w:rsidRDefault="00B86093" w:rsidP="00B86093">
            <w:pPr>
              <w:rPr>
                <w:sz w:val="18"/>
                <w:szCs w:val="18"/>
              </w:rPr>
            </w:pPr>
          </w:p>
        </w:tc>
        <w:tc>
          <w:tcPr>
            <w:tcW w:w="1276" w:type="dxa"/>
          </w:tcPr>
          <w:p w:rsidR="00B86093" w:rsidRPr="00B86093" w:rsidRDefault="00B86093" w:rsidP="00B86093">
            <w:pPr>
              <w:rPr>
                <w:sz w:val="18"/>
                <w:szCs w:val="18"/>
              </w:rPr>
            </w:pPr>
          </w:p>
        </w:tc>
        <w:tc>
          <w:tcPr>
            <w:tcW w:w="1134" w:type="dxa"/>
          </w:tcPr>
          <w:p w:rsidR="00B86093" w:rsidRPr="00B86093" w:rsidRDefault="00B86093" w:rsidP="00B86093">
            <w:pPr>
              <w:rPr>
                <w:sz w:val="18"/>
                <w:szCs w:val="18"/>
              </w:rPr>
            </w:pP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r w:rsidRPr="00B86093">
              <w:rPr>
                <w:sz w:val="18"/>
                <w:szCs w:val="18"/>
              </w:rPr>
              <w:t xml:space="preserve"> 3,203,752.93 </w:t>
            </w:r>
          </w:p>
        </w:tc>
        <w:tc>
          <w:tcPr>
            <w:tcW w:w="1035" w:type="dxa"/>
            <w:gridSpan w:val="2"/>
          </w:tcPr>
          <w:p w:rsidR="00B86093" w:rsidRPr="00B86093" w:rsidRDefault="00B86093" w:rsidP="00B86093">
            <w:pPr>
              <w:rPr>
                <w:sz w:val="18"/>
                <w:szCs w:val="18"/>
              </w:rPr>
            </w:pPr>
            <w:r w:rsidRPr="00B86093">
              <w:rPr>
                <w:sz w:val="18"/>
                <w:szCs w:val="18"/>
              </w:rPr>
              <w:t xml:space="preserve"> 3,203,752.93 </w:t>
            </w:r>
          </w:p>
        </w:tc>
      </w:tr>
      <w:tr w:rsidR="00B86093" w:rsidTr="00B86093">
        <w:tc>
          <w:tcPr>
            <w:tcW w:w="1658" w:type="dxa"/>
            <w:vAlign w:val="center"/>
          </w:tcPr>
          <w:p w:rsidR="00B86093" w:rsidRDefault="00B86093" w:rsidP="00B86093">
            <w:pPr>
              <w:jc w:val="left"/>
            </w:pPr>
            <w:r>
              <w:rPr>
                <w:color w:val="000000"/>
                <w:sz w:val="18"/>
                <w:szCs w:val="18"/>
              </w:rPr>
              <w:t>其他负债</w:t>
            </w:r>
          </w:p>
        </w:tc>
        <w:tc>
          <w:tcPr>
            <w:tcW w:w="1569" w:type="dxa"/>
            <w:gridSpan w:val="3"/>
          </w:tcPr>
          <w:p w:rsidR="00B86093" w:rsidRPr="00B86093" w:rsidRDefault="00B86093" w:rsidP="00B86093">
            <w:pPr>
              <w:rPr>
                <w:sz w:val="18"/>
                <w:szCs w:val="18"/>
              </w:rPr>
            </w:pPr>
          </w:p>
        </w:tc>
        <w:tc>
          <w:tcPr>
            <w:tcW w:w="1276" w:type="dxa"/>
          </w:tcPr>
          <w:p w:rsidR="00B86093" w:rsidRPr="00B86093" w:rsidRDefault="00B86093" w:rsidP="00B86093">
            <w:pPr>
              <w:rPr>
                <w:sz w:val="18"/>
                <w:szCs w:val="18"/>
              </w:rPr>
            </w:pPr>
          </w:p>
        </w:tc>
        <w:tc>
          <w:tcPr>
            <w:tcW w:w="1134" w:type="dxa"/>
          </w:tcPr>
          <w:p w:rsidR="00B86093" w:rsidRPr="00B86093" w:rsidRDefault="00B86093" w:rsidP="00B86093">
            <w:pPr>
              <w:rPr>
                <w:sz w:val="18"/>
                <w:szCs w:val="18"/>
              </w:rPr>
            </w:pP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r w:rsidRPr="00B86093">
              <w:rPr>
                <w:sz w:val="18"/>
                <w:szCs w:val="18"/>
              </w:rPr>
              <w:t xml:space="preserve"> 241,413.97 </w:t>
            </w:r>
          </w:p>
        </w:tc>
        <w:tc>
          <w:tcPr>
            <w:tcW w:w="1035" w:type="dxa"/>
            <w:gridSpan w:val="2"/>
          </w:tcPr>
          <w:p w:rsidR="00B86093" w:rsidRPr="00B86093" w:rsidRDefault="00B86093" w:rsidP="00B86093">
            <w:pPr>
              <w:rPr>
                <w:sz w:val="18"/>
                <w:szCs w:val="18"/>
              </w:rPr>
            </w:pPr>
            <w:r w:rsidRPr="00B86093">
              <w:rPr>
                <w:sz w:val="18"/>
                <w:szCs w:val="18"/>
              </w:rPr>
              <w:t xml:space="preserve"> 241,413.97 </w:t>
            </w:r>
          </w:p>
        </w:tc>
      </w:tr>
      <w:tr w:rsidR="00B86093" w:rsidRPr="005E1AD8" w:rsidTr="00B86093">
        <w:tc>
          <w:tcPr>
            <w:tcW w:w="1658" w:type="dxa"/>
            <w:vAlign w:val="center"/>
          </w:tcPr>
          <w:p w:rsidR="00B86093" w:rsidRPr="0077393F" w:rsidRDefault="00B86093" w:rsidP="00B86093">
            <w:pPr>
              <w:spacing w:before="29" w:line="288" w:lineRule="auto"/>
              <w:rPr>
                <w:sz w:val="18"/>
                <w:szCs w:val="18"/>
              </w:rPr>
            </w:pPr>
            <w:r w:rsidRPr="0077393F">
              <w:rPr>
                <w:color w:val="000000"/>
                <w:sz w:val="18"/>
                <w:szCs w:val="18"/>
              </w:rPr>
              <w:t>负债总计</w:t>
            </w:r>
          </w:p>
        </w:tc>
        <w:tc>
          <w:tcPr>
            <w:tcW w:w="1569" w:type="dxa"/>
            <w:gridSpan w:val="3"/>
          </w:tcPr>
          <w:p w:rsidR="00B86093" w:rsidRPr="00B86093" w:rsidRDefault="00B86093" w:rsidP="00B86093">
            <w:pPr>
              <w:rPr>
                <w:sz w:val="18"/>
                <w:szCs w:val="18"/>
              </w:rPr>
            </w:pPr>
            <w:r w:rsidRPr="00B86093">
              <w:rPr>
                <w:sz w:val="18"/>
                <w:szCs w:val="18"/>
              </w:rPr>
              <w:t xml:space="preserve"> -   </w:t>
            </w:r>
          </w:p>
        </w:tc>
        <w:tc>
          <w:tcPr>
            <w:tcW w:w="1276" w:type="dxa"/>
          </w:tcPr>
          <w:p w:rsidR="00B86093" w:rsidRPr="00B86093" w:rsidRDefault="00B86093" w:rsidP="00B86093">
            <w:pPr>
              <w:rPr>
                <w:sz w:val="18"/>
                <w:szCs w:val="18"/>
              </w:rPr>
            </w:pPr>
          </w:p>
        </w:tc>
        <w:tc>
          <w:tcPr>
            <w:tcW w:w="1134" w:type="dxa"/>
          </w:tcPr>
          <w:p w:rsidR="00B86093" w:rsidRPr="00B86093" w:rsidRDefault="00B86093" w:rsidP="00B86093">
            <w:pPr>
              <w:rPr>
                <w:sz w:val="18"/>
                <w:szCs w:val="18"/>
              </w:rPr>
            </w:pPr>
          </w:p>
        </w:tc>
        <w:tc>
          <w:tcPr>
            <w:tcW w:w="708" w:type="dxa"/>
          </w:tcPr>
          <w:p w:rsidR="00B86093" w:rsidRPr="00B86093" w:rsidRDefault="00B86093" w:rsidP="00B86093">
            <w:pPr>
              <w:rPr>
                <w:sz w:val="18"/>
                <w:szCs w:val="18"/>
              </w:rPr>
            </w:pPr>
          </w:p>
        </w:tc>
        <w:tc>
          <w:tcPr>
            <w:tcW w:w="711" w:type="dxa"/>
          </w:tcPr>
          <w:p w:rsidR="00B86093" w:rsidRPr="00B86093" w:rsidRDefault="00B86093" w:rsidP="00B86093">
            <w:pPr>
              <w:rPr>
                <w:sz w:val="18"/>
                <w:szCs w:val="18"/>
              </w:rPr>
            </w:pPr>
          </w:p>
        </w:tc>
        <w:tc>
          <w:tcPr>
            <w:tcW w:w="981" w:type="dxa"/>
          </w:tcPr>
          <w:p w:rsidR="00B86093" w:rsidRPr="00B86093" w:rsidRDefault="00B86093" w:rsidP="00B86093">
            <w:pPr>
              <w:rPr>
                <w:sz w:val="18"/>
                <w:szCs w:val="18"/>
              </w:rPr>
            </w:pPr>
            <w:r w:rsidRPr="00B86093">
              <w:rPr>
                <w:sz w:val="18"/>
                <w:szCs w:val="18"/>
              </w:rPr>
              <w:t xml:space="preserve"> 6,240,612.21 </w:t>
            </w:r>
          </w:p>
        </w:tc>
        <w:tc>
          <w:tcPr>
            <w:tcW w:w="1035" w:type="dxa"/>
            <w:gridSpan w:val="2"/>
          </w:tcPr>
          <w:p w:rsidR="00B86093" w:rsidRPr="00B86093" w:rsidRDefault="00B86093" w:rsidP="00B86093">
            <w:pPr>
              <w:rPr>
                <w:sz w:val="18"/>
                <w:szCs w:val="18"/>
              </w:rPr>
            </w:pPr>
            <w:r w:rsidRPr="00B86093">
              <w:rPr>
                <w:sz w:val="18"/>
                <w:szCs w:val="18"/>
              </w:rPr>
              <w:t xml:space="preserve"> 6,240,612.21 </w:t>
            </w:r>
          </w:p>
        </w:tc>
      </w:tr>
      <w:tr w:rsidR="00B86093" w:rsidRPr="005E1AD8" w:rsidTr="00B86093">
        <w:tc>
          <w:tcPr>
            <w:tcW w:w="1658" w:type="dxa"/>
            <w:vAlign w:val="center"/>
          </w:tcPr>
          <w:p w:rsidR="00B86093" w:rsidRPr="0077393F" w:rsidRDefault="00B86093" w:rsidP="00B86093">
            <w:pPr>
              <w:spacing w:before="29" w:line="288" w:lineRule="auto"/>
              <w:rPr>
                <w:color w:val="000000"/>
                <w:sz w:val="18"/>
                <w:szCs w:val="18"/>
              </w:rPr>
            </w:pPr>
            <w:r w:rsidRPr="0077393F">
              <w:rPr>
                <w:color w:val="000000"/>
                <w:sz w:val="18"/>
                <w:szCs w:val="18"/>
              </w:rPr>
              <w:t>利率敏感度缺口</w:t>
            </w:r>
          </w:p>
        </w:tc>
        <w:tc>
          <w:tcPr>
            <w:tcW w:w="1569" w:type="dxa"/>
            <w:gridSpan w:val="3"/>
          </w:tcPr>
          <w:p w:rsidR="00B86093" w:rsidRPr="00B86093" w:rsidRDefault="00B86093" w:rsidP="00B86093">
            <w:pPr>
              <w:rPr>
                <w:sz w:val="18"/>
                <w:szCs w:val="18"/>
              </w:rPr>
            </w:pPr>
            <w:r w:rsidRPr="00B86093">
              <w:rPr>
                <w:sz w:val="18"/>
                <w:szCs w:val="18"/>
              </w:rPr>
              <w:t xml:space="preserve"> 14,618,139,609.20 </w:t>
            </w:r>
          </w:p>
        </w:tc>
        <w:tc>
          <w:tcPr>
            <w:tcW w:w="1276" w:type="dxa"/>
          </w:tcPr>
          <w:p w:rsidR="00B86093" w:rsidRPr="00B86093" w:rsidRDefault="00B86093" w:rsidP="00B86093">
            <w:pPr>
              <w:rPr>
                <w:sz w:val="18"/>
                <w:szCs w:val="18"/>
              </w:rPr>
            </w:pPr>
            <w:r w:rsidRPr="00B86093">
              <w:rPr>
                <w:sz w:val="18"/>
                <w:szCs w:val="18"/>
              </w:rPr>
              <w:t xml:space="preserve"> 6,835,929,341.93 </w:t>
            </w:r>
          </w:p>
        </w:tc>
        <w:tc>
          <w:tcPr>
            <w:tcW w:w="1134" w:type="dxa"/>
          </w:tcPr>
          <w:p w:rsidR="00B86093" w:rsidRPr="00B86093" w:rsidRDefault="00B86093" w:rsidP="00B86093">
            <w:pPr>
              <w:rPr>
                <w:sz w:val="18"/>
                <w:szCs w:val="18"/>
              </w:rPr>
            </w:pPr>
            <w:r w:rsidRPr="00B86093">
              <w:rPr>
                <w:sz w:val="18"/>
                <w:szCs w:val="18"/>
              </w:rPr>
              <w:t xml:space="preserve"> 2,010,483,976.35 </w:t>
            </w:r>
          </w:p>
        </w:tc>
        <w:tc>
          <w:tcPr>
            <w:tcW w:w="708" w:type="dxa"/>
          </w:tcPr>
          <w:p w:rsidR="00B86093" w:rsidRPr="00B86093" w:rsidRDefault="00B86093" w:rsidP="00B86093">
            <w:pPr>
              <w:rPr>
                <w:sz w:val="18"/>
                <w:szCs w:val="18"/>
              </w:rPr>
            </w:pPr>
            <w:r w:rsidRPr="00B86093">
              <w:rPr>
                <w:sz w:val="18"/>
                <w:szCs w:val="18"/>
              </w:rPr>
              <w:t xml:space="preserve"> -   </w:t>
            </w:r>
          </w:p>
        </w:tc>
        <w:tc>
          <w:tcPr>
            <w:tcW w:w="711" w:type="dxa"/>
          </w:tcPr>
          <w:p w:rsidR="00B86093" w:rsidRPr="00B86093" w:rsidRDefault="00B86093" w:rsidP="00B86093">
            <w:pPr>
              <w:rPr>
                <w:sz w:val="18"/>
                <w:szCs w:val="18"/>
              </w:rPr>
            </w:pPr>
            <w:r w:rsidRPr="00B86093">
              <w:rPr>
                <w:sz w:val="18"/>
                <w:szCs w:val="18"/>
              </w:rPr>
              <w:t xml:space="preserve"> -   </w:t>
            </w:r>
          </w:p>
        </w:tc>
        <w:tc>
          <w:tcPr>
            <w:tcW w:w="981" w:type="dxa"/>
          </w:tcPr>
          <w:p w:rsidR="00B86093" w:rsidRPr="00B86093" w:rsidRDefault="00B86093" w:rsidP="00B86093">
            <w:pPr>
              <w:rPr>
                <w:sz w:val="18"/>
                <w:szCs w:val="18"/>
              </w:rPr>
            </w:pPr>
            <w:r w:rsidRPr="00B86093">
              <w:rPr>
                <w:sz w:val="18"/>
                <w:szCs w:val="18"/>
              </w:rPr>
              <w:t xml:space="preserve"> 80,898,872.97 </w:t>
            </w:r>
          </w:p>
        </w:tc>
        <w:tc>
          <w:tcPr>
            <w:tcW w:w="1035" w:type="dxa"/>
            <w:gridSpan w:val="2"/>
          </w:tcPr>
          <w:p w:rsidR="00B86093" w:rsidRPr="00B86093" w:rsidRDefault="00B86093" w:rsidP="00B86093">
            <w:pPr>
              <w:rPr>
                <w:sz w:val="18"/>
                <w:szCs w:val="18"/>
              </w:rPr>
            </w:pPr>
            <w:r w:rsidRPr="00B86093">
              <w:rPr>
                <w:sz w:val="18"/>
                <w:szCs w:val="18"/>
              </w:rPr>
              <w:t xml:space="preserve"> 23,545,451,800.45 </w:t>
            </w:r>
          </w:p>
        </w:tc>
      </w:tr>
      <w:tr w:rsidR="00126D14" w:rsidRPr="005E1AD8" w:rsidTr="00B86093">
        <w:tc>
          <w:tcPr>
            <w:tcW w:w="1672"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2016</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555" w:type="dxa"/>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276"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34"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708"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711"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1"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5"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B86093">
        <w:tc>
          <w:tcPr>
            <w:tcW w:w="1672"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555" w:type="dxa"/>
            <w:vAlign w:val="center"/>
          </w:tcPr>
          <w:p w:rsidR="00126D14" w:rsidRPr="0077393F" w:rsidRDefault="00126D14" w:rsidP="00BF370B">
            <w:pPr>
              <w:spacing w:before="29" w:line="288" w:lineRule="auto"/>
              <w:rPr>
                <w:sz w:val="18"/>
                <w:szCs w:val="18"/>
              </w:rPr>
            </w:pPr>
          </w:p>
        </w:tc>
        <w:tc>
          <w:tcPr>
            <w:tcW w:w="1276" w:type="dxa"/>
            <w:vAlign w:val="center"/>
          </w:tcPr>
          <w:p w:rsidR="00126D14" w:rsidRPr="005E1AD8" w:rsidRDefault="00126D14" w:rsidP="00BF370B">
            <w:pPr>
              <w:spacing w:before="29" w:line="288" w:lineRule="auto"/>
              <w:rPr>
                <w:sz w:val="18"/>
                <w:szCs w:val="18"/>
              </w:rPr>
            </w:pPr>
          </w:p>
        </w:tc>
        <w:tc>
          <w:tcPr>
            <w:tcW w:w="1134" w:type="dxa"/>
            <w:vAlign w:val="center"/>
          </w:tcPr>
          <w:p w:rsidR="00126D14" w:rsidRPr="005E1AD8" w:rsidRDefault="00126D14" w:rsidP="00BF370B">
            <w:pPr>
              <w:spacing w:before="29" w:line="288" w:lineRule="auto"/>
              <w:rPr>
                <w:sz w:val="18"/>
                <w:szCs w:val="18"/>
              </w:rPr>
            </w:pPr>
          </w:p>
        </w:tc>
        <w:tc>
          <w:tcPr>
            <w:tcW w:w="708" w:type="dxa"/>
            <w:vAlign w:val="center"/>
          </w:tcPr>
          <w:p w:rsidR="00126D14" w:rsidRPr="005E1AD8" w:rsidRDefault="00126D14" w:rsidP="00BF370B">
            <w:pPr>
              <w:spacing w:before="29" w:line="288" w:lineRule="auto"/>
              <w:rPr>
                <w:sz w:val="18"/>
                <w:szCs w:val="18"/>
              </w:rPr>
            </w:pPr>
          </w:p>
        </w:tc>
        <w:tc>
          <w:tcPr>
            <w:tcW w:w="711" w:type="dxa"/>
            <w:vAlign w:val="center"/>
          </w:tcPr>
          <w:p w:rsidR="00126D14" w:rsidRPr="005E1AD8" w:rsidRDefault="00126D14" w:rsidP="00BF370B">
            <w:pPr>
              <w:spacing w:before="29" w:line="288" w:lineRule="auto"/>
              <w:rPr>
                <w:sz w:val="18"/>
                <w:szCs w:val="18"/>
              </w:rPr>
            </w:pPr>
          </w:p>
        </w:tc>
        <w:tc>
          <w:tcPr>
            <w:tcW w:w="991" w:type="dxa"/>
            <w:gridSpan w:val="2"/>
            <w:vAlign w:val="center"/>
          </w:tcPr>
          <w:p w:rsidR="00126D14" w:rsidRPr="005E1AD8" w:rsidRDefault="00126D14" w:rsidP="00BF370B">
            <w:pPr>
              <w:spacing w:before="29" w:line="288" w:lineRule="auto"/>
              <w:rPr>
                <w:sz w:val="18"/>
                <w:szCs w:val="18"/>
              </w:rPr>
            </w:pPr>
          </w:p>
        </w:tc>
        <w:tc>
          <w:tcPr>
            <w:tcW w:w="1025" w:type="dxa"/>
            <w:vAlign w:val="center"/>
          </w:tcPr>
          <w:p w:rsidR="00126D14" w:rsidRPr="005E1AD8" w:rsidRDefault="00126D14" w:rsidP="00BF370B">
            <w:pPr>
              <w:spacing w:before="29" w:line="288" w:lineRule="auto"/>
              <w:rPr>
                <w:sz w:val="18"/>
                <w:szCs w:val="18"/>
              </w:rPr>
            </w:pPr>
          </w:p>
        </w:tc>
      </w:tr>
      <w:tr w:rsidR="002622A8" w:rsidTr="00B86093">
        <w:tc>
          <w:tcPr>
            <w:tcW w:w="1672" w:type="dxa"/>
            <w:gridSpan w:val="3"/>
            <w:vAlign w:val="center"/>
          </w:tcPr>
          <w:p w:rsidR="002622A8" w:rsidRDefault="00DF40FE">
            <w:pPr>
              <w:jc w:val="left"/>
            </w:pPr>
            <w:r>
              <w:rPr>
                <w:color w:val="000000"/>
                <w:sz w:val="18"/>
                <w:szCs w:val="18"/>
              </w:rPr>
              <w:t>银行存款</w:t>
            </w:r>
          </w:p>
        </w:tc>
        <w:tc>
          <w:tcPr>
            <w:tcW w:w="1555" w:type="dxa"/>
            <w:vAlign w:val="center"/>
          </w:tcPr>
          <w:p w:rsidR="002622A8" w:rsidRDefault="00DF40FE">
            <w:pPr>
              <w:jc w:val="left"/>
            </w:pPr>
            <w:r>
              <w:rPr>
                <w:color w:val="000000"/>
                <w:sz w:val="18"/>
                <w:szCs w:val="18"/>
              </w:rPr>
              <w:t>52,625,821.79</w:t>
            </w:r>
          </w:p>
        </w:tc>
        <w:tc>
          <w:tcPr>
            <w:tcW w:w="1276" w:type="dxa"/>
            <w:vAlign w:val="center"/>
          </w:tcPr>
          <w:p w:rsidR="002622A8" w:rsidRDefault="00DF40FE">
            <w:pPr>
              <w:jc w:val="left"/>
            </w:pPr>
            <w:r>
              <w:rPr>
                <w:color w:val="000000"/>
                <w:sz w:val="18"/>
                <w:szCs w:val="18"/>
              </w:rPr>
              <w:t>-</w:t>
            </w:r>
          </w:p>
        </w:tc>
        <w:tc>
          <w:tcPr>
            <w:tcW w:w="1134" w:type="dxa"/>
            <w:vAlign w:val="center"/>
          </w:tcPr>
          <w:p w:rsidR="002622A8" w:rsidRDefault="00DF40FE">
            <w:pPr>
              <w:jc w:val="left"/>
            </w:pPr>
            <w:r>
              <w:rPr>
                <w:color w:val="000000"/>
                <w:sz w:val="18"/>
                <w:szCs w:val="18"/>
              </w:rPr>
              <w:t>-</w:t>
            </w:r>
          </w:p>
        </w:tc>
        <w:tc>
          <w:tcPr>
            <w:tcW w:w="708" w:type="dxa"/>
            <w:vAlign w:val="center"/>
          </w:tcPr>
          <w:p w:rsidR="002622A8" w:rsidRDefault="00DF40FE">
            <w:pPr>
              <w:jc w:val="left"/>
            </w:pPr>
            <w:r>
              <w:rPr>
                <w:color w:val="000000"/>
                <w:sz w:val="18"/>
                <w:szCs w:val="18"/>
              </w:rPr>
              <w:t>-</w:t>
            </w:r>
          </w:p>
        </w:tc>
        <w:tc>
          <w:tcPr>
            <w:tcW w:w="711" w:type="dxa"/>
            <w:vAlign w:val="center"/>
          </w:tcPr>
          <w:p w:rsidR="002622A8" w:rsidRDefault="00DF40FE">
            <w:pPr>
              <w:jc w:val="left"/>
            </w:pPr>
            <w:r>
              <w:rPr>
                <w:color w:val="000000"/>
                <w:sz w:val="18"/>
                <w:szCs w:val="18"/>
              </w:rPr>
              <w:t>-</w:t>
            </w:r>
          </w:p>
        </w:tc>
        <w:tc>
          <w:tcPr>
            <w:tcW w:w="991" w:type="dxa"/>
            <w:gridSpan w:val="2"/>
            <w:vAlign w:val="center"/>
          </w:tcPr>
          <w:p w:rsidR="002622A8" w:rsidRDefault="00DF40FE">
            <w:pPr>
              <w:jc w:val="left"/>
            </w:pPr>
            <w:r>
              <w:rPr>
                <w:color w:val="000000"/>
                <w:sz w:val="18"/>
                <w:szCs w:val="18"/>
              </w:rPr>
              <w:t>-</w:t>
            </w:r>
          </w:p>
        </w:tc>
        <w:tc>
          <w:tcPr>
            <w:tcW w:w="1025" w:type="dxa"/>
            <w:vAlign w:val="center"/>
          </w:tcPr>
          <w:p w:rsidR="002622A8" w:rsidRDefault="00DF40FE">
            <w:pPr>
              <w:jc w:val="left"/>
            </w:pPr>
            <w:r>
              <w:rPr>
                <w:color w:val="000000"/>
                <w:sz w:val="18"/>
                <w:szCs w:val="18"/>
              </w:rPr>
              <w:t>52,625,821.79</w:t>
            </w:r>
          </w:p>
        </w:tc>
      </w:tr>
      <w:tr w:rsidR="002622A8" w:rsidTr="00B86093">
        <w:tc>
          <w:tcPr>
            <w:tcW w:w="1672" w:type="dxa"/>
            <w:gridSpan w:val="3"/>
            <w:vAlign w:val="center"/>
          </w:tcPr>
          <w:p w:rsidR="002622A8" w:rsidRDefault="00DF40FE">
            <w:pPr>
              <w:jc w:val="left"/>
            </w:pPr>
            <w:r>
              <w:rPr>
                <w:color w:val="000000"/>
                <w:sz w:val="18"/>
                <w:szCs w:val="18"/>
              </w:rPr>
              <w:t>买入返售金融资产</w:t>
            </w:r>
          </w:p>
        </w:tc>
        <w:tc>
          <w:tcPr>
            <w:tcW w:w="1555" w:type="dxa"/>
            <w:vAlign w:val="center"/>
          </w:tcPr>
          <w:p w:rsidR="002622A8" w:rsidRDefault="00DF40FE">
            <w:pPr>
              <w:jc w:val="left"/>
            </w:pPr>
            <w:r>
              <w:rPr>
                <w:color w:val="000000"/>
                <w:sz w:val="18"/>
                <w:szCs w:val="18"/>
              </w:rPr>
              <w:t>148,000,000.00</w:t>
            </w:r>
          </w:p>
        </w:tc>
        <w:tc>
          <w:tcPr>
            <w:tcW w:w="1276" w:type="dxa"/>
            <w:vAlign w:val="center"/>
          </w:tcPr>
          <w:p w:rsidR="002622A8" w:rsidRDefault="00DF40FE">
            <w:pPr>
              <w:jc w:val="left"/>
            </w:pPr>
            <w:r>
              <w:rPr>
                <w:color w:val="000000"/>
                <w:sz w:val="18"/>
                <w:szCs w:val="18"/>
              </w:rPr>
              <w:t>-</w:t>
            </w:r>
          </w:p>
        </w:tc>
        <w:tc>
          <w:tcPr>
            <w:tcW w:w="1134" w:type="dxa"/>
            <w:vAlign w:val="center"/>
          </w:tcPr>
          <w:p w:rsidR="002622A8" w:rsidRDefault="00DF40FE">
            <w:pPr>
              <w:jc w:val="left"/>
            </w:pPr>
            <w:r>
              <w:rPr>
                <w:color w:val="000000"/>
                <w:sz w:val="18"/>
                <w:szCs w:val="18"/>
              </w:rPr>
              <w:t>-</w:t>
            </w:r>
          </w:p>
        </w:tc>
        <w:tc>
          <w:tcPr>
            <w:tcW w:w="708" w:type="dxa"/>
            <w:vAlign w:val="center"/>
          </w:tcPr>
          <w:p w:rsidR="002622A8" w:rsidRDefault="00DF40FE">
            <w:pPr>
              <w:jc w:val="left"/>
            </w:pPr>
            <w:r>
              <w:rPr>
                <w:color w:val="000000"/>
                <w:sz w:val="18"/>
                <w:szCs w:val="18"/>
              </w:rPr>
              <w:t>-</w:t>
            </w:r>
          </w:p>
        </w:tc>
        <w:tc>
          <w:tcPr>
            <w:tcW w:w="711" w:type="dxa"/>
            <w:vAlign w:val="center"/>
          </w:tcPr>
          <w:p w:rsidR="002622A8" w:rsidRDefault="00DF40FE">
            <w:pPr>
              <w:jc w:val="left"/>
            </w:pPr>
            <w:r>
              <w:rPr>
                <w:color w:val="000000"/>
                <w:sz w:val="18"/>
                <w:szCs w:val="18"/>
              </w:rPr>
              <w:t>-</w:t>
            </w:r>
          </w:p>
        </w:tc>
        <w:tc>
          <w:tcPr>
            <w:tcW w:w="991" w:type="dxa"/>
            <w:gridSpan w:val="2"/>
            <w:vAlign w:val="center"/>
          </w:tcPr>
          <w:p w:rsidR="002622A8" w:rsidRDefault="00DF40FE">
            <w:pPr>
              <w:jc w:val="left"/>
            </w:pPr>
            <w:r>
              <w:rPr>
                <w:color w:val="000000"/>
                <w:sz w:val="18"/>
                <w:szCs w:val="18"/>
              </w:rPr>
              <w:t>-</w:t>
            </w:r>
          </w:p>
        </w:tc>
        <w:tc>
          <w:tcPr>
            <w:tcW w:w="1025" w:type="dxa"/>
            <w:vAlign w:val="center"/>
          </w:tcPr>
          <w:p w:rsidR="002622A8" w:rsidRDefault="00DF40FE">
            <w:pPr>
              <w:jc w:val="left"/>
            </w:pPr>
            <w:r>
              <w:rPr>
                <w:color w:val="000000"/>
                <w:sz w:val="18"/>
                <w:szCs w:val="18"/>
              </w:rPr>
              <w:t>148,000,000.00</w:t>
            </w:r>
          </w:p>
        </w:tc>
      </w:tr>
      <w:tr w:rsidR="002622A8" w:rsidTr="00B86093">
        <w:tc>
          <w:tcPr>
            <w:tcW w:w="1672" w:type="dxa"/>
            <w:gridSpan w:val="3"/>
            <w:vAlign w:val="center"/>
          </w:tcPr>
          <w:p w:rsidR="002622A8" w:rsidRDefault="00DF40FE">
            <w:pPr>
              <w:jc w:val="left"/>
            </w:pPr>
            <w:r>
              <w:rPr>
                <w:color w:val="000000"/>
                <w:sz w:val="18"/>
                <w:szCs w:val="18"/>
              </w:rPr>
              <w:t>应收证券清算款</w:t>
            </w:r>
          </w:p>
        </w:tc>
        <w:tc>
          <w:tcPr>
            <w:tcW w:w="1555" w:type="dxa"/>
            <w:vAlign w:val="center"/>
          </w:tcPr>
          <w:p w:rsidR="002622A8" w:rsidRDefault="00DF40FE">
            <w:pPr>
              <w:jc w:val="left"/>
            </w:pPr>
            <w:r>
              <w:rPr>
                <w:color w:val="000000"/>
                <w:sz w:val="18"/>
                <w:szCs w:val="18"/>
              </w:rPr>
              <w:t>-</w:t>
            </w:r>
          </w:p>
        </w:tc>
        <w:tc>
          <w:tcPr>
            <w:tcW w:w="1276" w:type="dxa"/>
            <w:vAlign w:val="center"/>
          </w:tcPr>
          <w:p w:rsidR="002622A8" w:rsidRDefault="00DF40FE">
            <w:pPr>
              <w:jc w:val="left"/>
            </w:pPr>
            <w:r>
              <w:rPr>
                <w:color w:val="000000"/>
                <w:sz w:val="18"/>
                <w:szCs w:val="18"/>
              </w:rPr>
              <w:t>-</w:t>
            </w:r>
          </w:p>
        </w:tc>
        <w:tc>
          <w:tcPr>
            <w:tcW w:w="1134" w:type="dxa"/>
            <w:vAlign w:val="center"/>
          </w:tcPr>
          <w:p w:rsidR="002622A8" w:rsidRDefault="00DF40FE">
            <w:pPr>
              <w:jc w:val="left"/>
            </w:pPr>
            <w:r>
              <w:rPr>
                <w:color w:val="000000"/>
                <w:sz w:val="18"/>
                <w:szCs w:val="18"/>
              </w:rPr>
              <w:t>-</w:t>
            </w:r>
          </w:p>
        </w:tc>
        <w:tc>
          <w:tcPr>
            <w:tcW w:w="708" w:type="dxa"/>
            <w:vAlign w:val="center"/>
          </w:tcPr>
          <w:p w:rsidR="002622A8" w:rsidRDefault="00DF40FE">
            <w:pPr>
              <w:jc w:val="left"/>
            </w:pPr>
            <w:r>
              <w:rPr>
                <w:color w:val="000000"/>
                <w:sz w:val="18"/>
                <w:szCs w:val="18"/>
              </w:rPr>
              <w:t>-</w:t>
            </w:r>
          </w:p>
        </w:tc>
        <w:tc>
          <w:tcPr>
            <w:tcW w:w="711" w:type="dxa"/>
            <w:vAlign w:val="center"/>
          </w:tcPr>
          <w:p w:rsidR="002622A8" w:rsidRDefault="00DF40FE">
            <w:pPr>
              <w:jc w:val="left"/>
            </w:pPr>
            <w:r>
              <w:rPr>
                <w:color w:val="000000"/>
                <w:sz w:val="18"/>
                <w:szCs w:val="18"/>
              </w:rPr>
              <w:t>-</w:t>
            </w:r>
          </w:p>
        </w:tc>
        <w:tc>
          <w:tcPr>
            <w:tcW w:w="991" w:type="dxa"/>
            <w:gridSpan w:val="2"/>
            <w:vAlign w:val="center"/>
          </w:tcPr>
          <w:p w:rsidR="002622A8" w:rsidRDefault="00DF40FE">
            <w:pPr>
              <w:jc w:val="left"/>
            </w:pPr>
            <w:r>
              <w:rPr>
                <w:color w:val="000000"/>
                <w:sz w:val="18"/>
                <w:szCs w:val="18"/>
              </w:rPr>
              <w:t>15,732.28</w:t>
            </w:r>
          </w:p>
        </w:tc>
        <w:tc>
          <w:tcPr>
            <w:tcW w:w="1025" w:type="dxa"/>
            <w:vAlign w:val="center"/>
          </w:tcPr>
          <w:p w:rsidR="002622A8" w:rsidRDefault="00DF40FE">
            <w:pPr>
              <w:jc w:val="left"/>
            </w:pPr>
            <w:r>
              <w:rPr>
                <w:color w:val="000000"/>
                <w:sz w:val="18"/>
                <w:szCs w:val="18"/>
              </w:rPr>
              <w:t>15,732.28</w:t>
            </w:r>
          </w:p>
        </w:tc>
      </w:tr>
      <w:tr w:rsidR="002622A8" w:rsidTr="00B86093">
        <w:tc>
          <w:tcPr>
            <w:tcW w:w="1672" w:type="dxa"/>
            <w:gridSpan w:val="3"/>
            <w:vAlign w:val="center"/>
          </w:tcPr>
          <w:p w:rsidR="002622A8" w:rsidRDefault="00DF40FE">
            <w:pPr>
              <w:jc w:val="left"/>
            </w:pPr>
            <w:r>
              <w:rPr>
                <w:color w:val="000000"/>
                <w:sz w:val="18"/>
                <w:szCs w:val="18"/>
              </w:rPr>
              <w:t>应收利息</w:t>
            </w:r>
          </w:p>
        </w:tc>
        <w:tc>
          <w:tcPr>
            <w:tcW w:w="1555" w:type="dxa"/>
            <w:vAlign w:val="center"/>
          </w:tcPr>
          <w:p w:rsidR="002622A8" w:rsidRDefault="00DF40FE">
            <w:pPr>
              <w:jc w:val="left"/>
            </w:pPr>
            <w:r>
              <w:rPr>
                <w:color w:val="000000"/>
                <w:sz w:val="18"/>
                <w:szCs w:val="18"/>
              </w:rPr>
              <w:t>-</w:t>
            </w:r>
          </w:p>
        </w:tc>
        <w:tc>
          <w:tcPr>
            <w:tcW w:w="1276" w:type="dxa"/>
            <w:vAlign w:val="center"/>
          </w:tcPr>
          <w:p w:rsidR="002622A8" w:rsidRDefault="00DF40FE">
            <w:pPr>
              <w:jc w:val="left"/>
            </w:pPr>
            <w:r>
              <w:rPr>
                <w:color w:val="000000"/>
                <w:sz w:val="18"/>
                <w:szCs w:val="18"/>
              </w:rPr>
              <w:t>-</w:t>
            </w:r>
          </w:p>
        </w:tc>
        <w:tc>
          <w:tcPr>
            <w:tcW w:w="1134" w:type="dxa"/>
            <w:vAlign w:val="center"/>
          </w:tcPr>
          <w:p w:rsidR="002622A8" w:rsidRDefault="00DF40FE">
            <w:pPr>
              <w:jc w:val="left"/>
            </w:pPr>
            <w:r>
              <w:rPr>
                <w:color w:val="000000"/>
                <w:sz w:val="18"/>
                <w:szCs w:val="18"/>
              </w:rPr>
              <w:t>-</w:t>
            </w:r>
          </w:p>
        </w:tc>
        <w:tc>
          <w:tcPr>
            <w:tcW w:w="708" w:type="dxa"/>
            <w:vAlign w:val="center"/>
          </w:tcPr>
          <w:p w:rsidR="002622A8" w:rsidRDefault="00DF40FE">
            <w:pPr>
              <w:jc w:val="left"/>
            </w:pPr>
            <w:r>
              <w:rPr>
                <w:color w:val="000000"/>
                <w:sz w:val="18"/>
                <w:szCs w:val="18"/>
              </w:rPr>
              <w:t>-</w:t>
            </w:r>
          </w:p>
        </w:tc>
        <w:tc>
          <w:tcPr>
            <w:tcW w:w="711" w:type="dxa"/>
            <w:vAlign w:val="center"/>
          </w:tcPr>
          <w:p w:rsidR="002622A8" w:rsidRDefault="00DF40FE">
            <w:pPr>
              <w:jc w:val="left"/>
            </w:pPr>
            <w:r>
              <w:rPr>
                <w:color w:val="000000"/>
                <w:sz w:val="18"/>
                <w:szCs w:val="18"/>
              </w:rPr>
              <w:t>-</w:t>
            </w:r>
          </w:p>
        </w:tc>
        <w:tc>
          <w:tcPr>
            <w:tcW w:w="991" w:type="dxa"/>
            <w:gridSpan w:val="2"/>
            <w:vAlign w:val="center"/>
          </w:tcPr>
          <w:p w:rsidR="002622A8" w:rsidRDefault="00DF40FE">
            <w:pPr>
              <w:jc w:val="left"/>
            </w:pPr>
            <w:r>
              <w:rPr>
                <w:color w:val="000000"/>
                <w:sz w:val="18"/>
                <w:szCs w:val="18"/>
              </w:rPr>
              <w:t>75,474.01</w:t>
            </w:r>
          </w:p>
        </w:tc>
        <w:tc>
          <w:tcPr>
            <w:tcW w:w="1025" w:type="dxa"/>
            <w:vAlign w:val="center"/>
          </w:tcPr>
          <w:p w:rsidR="002622A8" w:rsidRDefault="00DF40FE">
            <w:pPr>
              <w:jc w:val="left"/>
            </w:pPr>
            <w:r>
              <w:rPr>
                <w:color w:val="000000"/>
                <w:sz w:val="18"/>
                <w:szCs w:val="18"/>
              </w:rPr>
              <w:t>75,474.01</w:t>
            </w:r>
          </w:p>
        </w:tc>
      </w:tr>
      <w:tr w:rsidR="00126D14" w:rsidRPr="0077393F" w:rsidTr="00B86093">
        <w:tc>
          <w:tcPr>
            <w:tcW w:w="1672"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555" w:type="dxa"/>
            <w:vAlign w:val="center"/>
          </w:tcPr>
          <w:p w:rsidR="00126D14" w:rsidRPr="0077393F" w:rsidRDefault="00126D14" w:rsidP="00BF370B">
            <w:pPr>
              <w:spacing w:before="29" w:line="288" w:lineRule="auto"/>
              <w:jc w:val="right"/>
              <w:rPr>
                <w:sz w:val="18"/>
                <w:szCs w:val="18"/>
              </w:rPr>
            </w:pPr>
            <w:r w:rsidRPr="0077393F">
              <w:rPr>
                <w:sz w:val="18"/>
                <w:szCs w:val="18"/>
              </w:rPr>
              <w:t>200,625,821.79</w:t>
            </w:r>
          </w:p>
        </w:tc>
        <w:tc>
          <w:tcPr>
            <w:tcW w:w="1276"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1134"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708"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71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91,206.29</w:t>
            </w:r>
          </w:p>
          <w:p w:rsidR="00126D14" w:rsidRPr="0077393F" w:rsidRDefault="00126D14" w:rsidP="00BF370B">
            <w:pPr>
              <w:spacing w:before="29" w:line="288" w:lineRule="auto"/>
              <w:jc w:val="right"/>
              <w:rPr>
                <w:sz w:val="18"/>
                <w:szCs w:val="18"/>
              </w:rPr>
            </w:pPr>
          </w:p>
        </w:tc>
        <w:tc>
          <w:tcPr>
            <w:tcW w:w="1025" w:type="dxa"/>
            <w:vAlign w:val="center"/>
          </w:tcPr>
          <w:p w:rsidR="00126D14" w:rsidRPr="0077393F" w:rsidRDefault="00126D14" w:rsidP="00BF370B">
            <w:pPr>
              <w:spacing w:before="29" w:line="288" w:lineRule="auto"/>
              <w:jc w:val="right"/>
              <w:rPr>
                <w:sz w:val="18"/>
                <w:szCs w:val="18"/>
              </w:rPr>
            </w:pPr>
            <w:r w:rsidRPr="0077393F">
              <w:rPr>
                <w:sz w:val="18"/>
                <w:szCs w:val="18"/>
              </w:rPr>
              <w:t>200,717,028.08</w:t>
            </w:r>
          </w:p>
          <w:p w:rsidR="00126D14" w:rsidRPr="0077393F" w:rsidRDefault="00126D14" w:rsidP="00BF370B">
            <w:pPr>
              <w:spacing w:before="29" w:line="288" w:lineRule="auto"/>
              <w:jc w:val="right"/>
              <w:rPr>
                <w:sz w:val="18"/>
                <w:szCs w:val="18"/>
              </w:rPr>
            </w:pPr>
          </w:p>
        </w:tc>
      </w:tr>
      <w:tr w:rsidR="00126D14" w:rsidRPr="005E1AD8" w:rsidTr="00B86093">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555" w:type="dxa"/>
            <w:vAlign w:val="center"/>
          </w:tcPr>
          <w:p w:rsidR="00126D14" w:rsidRPr="005E1AD8" w:rsidRDefault="00126D14" w:rsidP="00BF370B">
            <w:pPr>
              <w:spacing w:before="29" w:line="288" w:lineRule="auto"/>
              <w:jc w:val="center"/>
              <w:rPr>
                <w:sz w:val="18"/>
                <w:szCs w:val="18"/>
              </w:rPr>
            </w:pPr>
          </w:p>
        </w:tc>
        <w:tc>
          <w:tcPr>
            <w:tcW w:w="1276" w:type="dxa"/>
            <w:vAlign w:val="center"/>
          </w:tcPr>
          <w:p w:rsidR="00126D14" w:rsidRPr="005E1AD8" w:rsidRDefault="00126D14" w:rsidP="00BF370B">
            <w:pPr>
              <w:spacing w:before="29" w:line="288" w:lineRule="auto"/>
              <w:jc w:val="center"/>
              <w:rPr>
                <w:color w:val="000000"/>
                <w:sz w:val="18"/>
                <w:szCs w:val="18"/>
              </w:rPr>
            </w:pPr>
          </w:p>
        </w:tc>
        <w:tc>
          <w:tcPr>
            <w:tcW w:w="1134" w:type="dxa"/>
            <w:vAlign w:val="center"/>
          </w:tcPr>
          <w:p w:rsidR="00126D14" w:rsidRPr="005E1AD8" w:rsidRDefault="00126D14" w:rsidP="00BF370B">
            <w:pPr>
              <w:spacing w:before="29" w:line="288" w:lineRule="auto"/>
              <w:jc w:val="center"/>
              <w:rPr>
                <w:color w:val="000000"/>
                <w:sz w:val="18"/>
                <w:szCs w:val="18"/>
              </w:rPr>
            </w:pPr>
          </w:p>
        </w:tc>
        <w:tc>
          <w:tcPr>
            <w:tcW w:w="708" w:type="dxa"/>
            <w:vAlign w:val="center"/>
          </w:tcPr>
          <w:p w:rsidR="00126D14" w:rsidRPr="005E1AD8" w:rsidRDefault="00126D14" w:rsidP="00BF370B">
            <w:pPr>
              <w:spacing w:before="29" w:line="288" w:lineRule="auto"/>
              <w:jc w:val="center"/>
              <w:rPr>
                <w:sz w:val="18"/>
                <w:szCs w:val="18"/>
              </w:rPr>
            </w:pPr>
          </w:p>
        </w:tc>
        <w:tc>
          <w:tcPr>
            <w:tcW w:w="711" w:type="dxa"/>
            <w:vAlign w:val="center"/>
          </w:tcPr>
          <w:p w:rsidR="00126D14" w:rsidRPr="005E1AD8" w:rsidRDefault="00126D14" w:rsidP="00BF370B">
            <w:pPr>
              <w:spacing w:before="29" w:line="288" w:lineRule="auto"/>
              <w:jc w:val="center"/>
              <w:rPr>
                <w:sz w:val="18"/>
                <w:szCs w:val="18"/>
              </w:rPr>
            </w:pPr>
          </w:p>
        </w:tc>
        <w:tc>
          <w:tcPr>
            <w:tcW w:w="991" w:type="dxa"/>
            <w:gridSpan w:val="2"/>
            <w:vAlign w:val="center"/>
          </w:tcPr>
          <w:p w:rsidR="00126D14" w:rsidRPr="005E1AD8" w:rsidRDefault="00126D14" w:rsidP="00BF370B">
            <w:pPr>
              <w:spacing w:before="29" w:line="288" w:lineRule="auto"/>
              <w:jc w:val="center"/>
              <w:rPr>
                <w:sz w:val="18"/>
                <w:szCs w:val="18"/>
              </w:rPr>
            </w:pPr>
          </w:p>
        </w:tc>
        <w:tc>
          <w:tcPr>
            <w:tcW w:w="1025" w:type="dxa"/>
            <w:vAlign w:val="center"/>
          </w:tcPr>
          <w:p w:rsidR="00126D14" w:rsidRPr="005E1AD8" w:rsidRDefault="00126D14" w:rsidP="00BF370B">
            <w:pPr>
              <w:spacing w:before="29" w:line="288" w:lineRule="auto"/>
              <w:jc w:val="center"/>
              <w:rPr>
                <w:sz w:val="18"/>
                <w:szCs w:val="18"/>
              </w:rPr>
            </w:pPr>
          </w:p>
        </w:tc>
      </w:tr>
      <w:tr w:rsidR="002622A8" w:rsidTr="00B86093">
        <w:tc>
          <w:tcPr>
            <w:tcW w:w="1672" w:type="dxa"/>
            <w:gridSpan w:val="3"/>
            <w:vAlign w:val="center"/>
          </w:tcPr>
          <w:p w:rsidR="002622A8" w:rsidRDefault="00DF40FE">
            <w:pPr>
              <w:jc w:val="left"/>
            </w:pPr>
            <w:r>
              <w:rPr>
                <w:color w:val="000000"/>
                <w:sz w:val="18"/>
                <w:szCs w:val="18"/>
              </w:rPr>
              <w:t>应付管理人报酬</w:t>
            </w:r>
          </w:p>
        </w:tc>
        <w:tc>
          <w:tcPr>
            <w:tcW w:w="1555" w:type="dxa"/>
            <w:vAlign w:val="center"/>
          </w:tcPr>
          <w:p w:rsidR="002622A8" w:rsidRDefault="00DF40FE">
            <w:pPr>
              <w:jc w:val="left"/>
            </w:pPr>
            <w:r>
              <w:rPr>
                <w:color w:val="000000"/>
                <w:sz w:val="18"/>
                <w:szCs w:val="18"/>
              </w:rPr>
              <w:t>-</w:t>
            </w:r>
          </w:p>
        </w:tc>
        <w:tc>
          <w:tcPr>
            <w:tcW w:w="1276" w:type="dxa"/>
            <w:vAlign w:val="center"/>
          </w:tcPr>
          <w:p w:rsidR="002622A8" w:rsidRDefault="00DF40FE">
            <w:pPr>
              <w:jc w:val="left"/>
            </w:pPr>
            <w:r>
              <w:rPr>
                <w:color w:val="000000"/>
                <w:sz w:val="18"/>
                <w:szCs w:val="18"/>
              </w:rPr>
              <w:t>-</w:t>
            </w:r>
          </w:p>
        </w:tc>
        <w:tc>
          <w:tcPr>
            <w:tcW w:w="1134" w:type="dxa"/>
            <w:vAlign w:val="center"/>
          </w:tcPr>
          <w:p w:rsidR="002622A8" w:rsidRDefault="00DF40FE">
            <w:pPr>
              <w:jc w:val="left"/>
            </w:pPr>
            <w:r>
              <w:rPr>
                <w:color w:val="000000"/>
                <w:sz w:val="18"/>
                <w:szCs w:val="18"/>
              </w:rPr>
              <w:t>-</w:t>
            </w:r>
          </w:p>
        </w:tc>
        <w:tc>
          <w:tcPr>
            <w:tcW w:w="708" w:type="dxa"/>
            <w:vAlign w:val="center"/>
          </w:tcPr>
          <w:p w:rsidR="002622A8" w:rsidRDefault="00DF40FE">
            <w:pPr>
              <w:jc w:val="left"/>
            </w:pPr>
            <w:r>
              <w:rPr>
                <w:color w:val="000000"/>
                <w:sz w:val="18"/>
                <w:szCs w:val="18"/>
              </w:rPr>
              <w:t>-</w:t>
            </w:r>
          </w:p>
        </w:tc>
        <w:tc>
          <w:tcPr>
            <w:tcW w:w="711" w:type="dxa"/>
            <w:vAlign w:val="center"/>
          </w:tcPr>
          <w:p w:rsidR="002622A8" w:rsidRDefault="00DF40FE">
            <w:pPr>
              <w:jc w:val="left"/>
            </w:pPr>
            <w:r>
              <w:rPr>
                <w:color w:val="000000"/>
                <w:sz w:val="18"/>
                <w:szCs w:val="18"/>
              </w:rPr>
              <w:t>-</w:t>
            </w:r>
          </w:p>
        </w:tc>
        <w:tc>
          <w:tcPr>
            <w:tcW w:w="991" w:type="dxa"/>
            <w:gridSpan w:val="2"/>
            <w:vAlign w:val="center"/>
          </w:tcPr>
          <w:p w:rsidR="002622A8" w:rsidRDefault="00DF40FE">
            <w:pPr>
              <w:jc w:val="center"/>
            </w:pPr>
            <w:r>
              <w:rPr>
                <w:color w:val="000000"/>
                <w:sz w:val="18"/>
                <w:szCs w:val="18"/>
              </w:rPr>
              <w:t>19,707.28</w:t>
            </w:r>
          </w:p>
        </w:tc>
        <w:tc>
          <w:tcPr>
            <w:tcW w:w="1025" w:type="dxa"/>
            <w:vAlign w:val="center"/>
          </w:tcPr>
          <w:p w:rsidR="002622A8" w:rsidRDefault="00DF40FE">
            <w:pPr>
              <w:jc w:val="left"/>
            </w:pPr>
            <w:r>
              <w:rPr>
                <w:color w:val="000000"/>
                <w:sz w:val="18"/>
                <w:szCs w:val="18"/>
              </w:rPr>
              <w:t>19,707.28</w:t>
            </w:r>
          </w:p>
        </w:tc>
      </w:tr>
      <w:tr w:rsidR="002622A8" w:rsidTr="00B86093">
        <w:tc>
          <w:tcPr>
            <w:tcW w:w="1672" w:type="dxa"/>
            <w:gridSpan w:val="3"/>
            <w:vAlign w:val="center"/>
          </w:tcPr>
          <w:p w:rsidR="002622A8" w:rsidRDefault="00DF40FE">
            <w:pPr>
              <w:jc w:val="left"/>
            </w:pPr>
            <w:r>
              <w:rPr>
                <w:color w:val="000000"/>
                <w:sz w:val="18"/>
                <w:szCs w:val="18"/>
              </w:rPr>
              <w:t>应付托管费</w:t>
            </w:r>
          </w:p>
        </w:tc>
        <w:tc>
          <w:tcPr>
            <w:tcW w:w="1555" w:type="dxa"/>
            <w:vAlign w:val="center"/>
          </w:tcPr>
          <w:p w:rsidR="002622A8" w:rsidRDefault="00DF40FE">
            <w:pPr>
              <w:jc w:val="left"/>
            </w:pPr>
            <w:r>
              <w:rPr>
                <w:color w:val="000000"/>
                <w:sz w:val="18"/>
                <w:szCs w:val="18"/>
              </w:rPr>
              <w:t>-</w:t>
            </w:r>
          </w:p>
        </w:tc>
        <w:tc>
          <w:tcPr>
            <w:tcW w:w="1276" w:type="dxa"/>
            <w:vAlign w:val="center"/>
          </w:tcPr>
          <w:p w:rsidR="002622A8" w:rsidRDefault="00DF40FE">
            <w:pPr>
              <w:jc w:val="left"/>
            </w:pPr>
            <w:r>
              <w:rPr>
                <w:color w:val="000000"/>
                <w:sz w:val="18"/>
                <w:szCs w:val="18"/>
              </w:rPr>
              <w:t>-</w:t>
            </w:r>
          </w:p>
        </w:tc>
        <w:tc>
          <w:tcPr>
            <w:tcW w:w="1134" w:type="dxa"/>
            <w:vAlign w:val="center"/>
          </w:tcPr>
          <w:p w:rsidR="002622A8" w:rsidRDefault="00DF40FE">
            <w:pPr>
              <w:jc w:val="left"/>
            </w:pPr>
            <w:r>
              <w:rPr>
                <w:color w:val="000000"/>
                <w:sz w:val="18"/>
                <w:szCs w:val="18"/>
              </w:rPr>
              <w:t>-</w:t>
            </w:r>
          </w:p>
        </w:tc>
        <w:tc>
          <w:tcPr>
            <w:tcW w:w="708" w:type="dxa"/>
            <w:vAlign w:val="center"/>
          </w:tcPr>
          <w:p w:rsidR="002622A8" w:rsidRDefault="00DF40FE">
            <w:pPr>
              <w:jc w:val="left"/>
            </w:pPr>
            <w:r>
              <w:rPr>
                <w:color w:val="000000"/>
                <w:sz w:val="18"/>
                <w:szCs w:val="18"/>
              </w:rPr>
              <w:t>-</w:t>
            </w:r>
          </w:p>
        </w:tc>
        <w:tc>
          <w:tcPr>
            <w:tcW w:w="711" w:type="dxa"/>
            <w:vAlign w:val="center"/>
          </w:tcPr>
          <w:p w:rsidR="002622A8" w:rsidRDefault="00DF40FE">
            <w:pPr>
              <w:jc w:val="left"/>
            </w:pPr>
            <w:r>
              <w:rPr>
                <w:color w:val="000000"/>
                <w:sz w:val="18"/>
                <w:szCs w:val="18"/>
              </w:rPr>
              <w:t>-</w:t>
            </w:r>
          </w:p>
        </w:tc>
        <w:tc>
          <w:tcPr>
            <w:tcW w:w="991" w:type="dxa"/>
            <w:gridSpan w:val="2"/>
            <w:vAlign w:val="center"/>
          </w:tcPr>
          <w:p w:rsidR="002622A8" w:rsidRDefault="00DF40FE">
            <w:pPr>
              <w:jc w:val="center"/>
            </w:pPr>
            <w:r>
              <w:rPr>
                <w:color w:val="000000"/>
                <w:sz w:val="18"/>
                <w:szCs w:val="18"/>
              </w:rPr>
              <w:t>6,569.09</w:t>
            </w:r>
          </w:p>
        </w:tc>
        <w:tc>
          <w:tcPr>
            <w:tcW w:w="1025" w:type="dxa"/>
            <w:vAlign w:val="center"/>
          </w:tcPr>
          <w:p w:rsidR="002622A8" w:rsidRDefault="00DF40FE">
            <w:pPr>
              <w:jc w:val="left"/>
            </w:pPr>
            <w:r>
              <w:rPr>
                <w:color w:val="000000"/>
                <w:sz w:val="18"/>
                <w:szCs w:val="18"/>
              </w:rPr>
              <w:t>6,569.09</w:t>
            </w:r>
          </w:p>
        </w:tc>
      </w:tr>
      <w:tr w:rsidR="002622A8" w:rsidTr="00B86093">
        <w:tc>
          <w:tcPr>
            <w:tcW w:w="1672" w:type="dxa"/>
            <w:gridSpan w:val="3"/>
            <w:vAlign w:val="center"/>
          </w:tcPr>
          <w:p w:rsidR="002622A8" w:rsidRDefault="00DF40FE">
            <w:pPr>
              <w:jc w:val="left"/>
            </w:pPr>
            <w:r>
              <w:rPr>
                <w:color w:val="000000"/>
                <w:sz w:val="18"/>
                <w:szCs w:val="18"/>
              </w:rPr>
              <w:lastRenderedPageBreak/>
              <w:t>应付销售服务费</w:t>
            </w:r>
          </w:p>
        </w:tc>
        <w:tc>
          <w:tcPr>
            <w:tcW w:w="1555" w:type="dxa"/>
            <w:vAlign w:val="center"/>
          </w:tcPr>
          <w:p w:rsidR="002622A8" w:rsidRDefault="00DF40FE">
            <w:pPr>
              <w:jc w:val="left"/>
            </w:pPr>
            <w:r>
              <w:rPr>
                <w:color w:val="000000"/>
                <w:sz w:val="18"/>
                <w:szCs w:val="18"/>
              </w:rPr>
              <w:t>-</w:t>
            </w:r>
          </w:p>
        </w:tc>
        <w:tc>
          <w:tcPr>
            <w:tcW w:w="1276" w:type="dxa"/>
            <w:vAlign w:val="center"/>
          </w:tcPr>
          <w:p w:rsidR="002622A8" w:rsidRDefault="00DF40FE">
            <w:pPr>
              <w:jc w:val="left"/>
            </w:pPr>
            <w:r>
              <w:rPr>
                <w:color w:val="000000"/>
                <w:sz w:val="18"/>
                <w:szCs w:val="18"/>
              </w:rPr>
              <w:t>-</w:t>
            </w:r>
          </w:p>
        </w:tc>
        <w:tc>
          <w:tcPr>
            <w:tcW w:w="1134" w:type="dxa"/>
            <w:vAlign w:val="center"/>
          </w:tcPr>
          <w:p w:rsidR="002622A8" w:rsidRDefault="00DF40FE">
            <w:pPr>
              <w:jc w:val="left"/>
            </w:pPr>
            <w:r>
              <w:rPr>
                <w:color w:val="000000"/>
                <w:sz w:val="18"/>
                <w:szCs w:val="18"/>
              </w:rPr>
              <w:t>-</w:t>
            </w:r>
          </w:p>
        </w:tc>
        <w:tc>
          <w:tcPr>
            <w:tcW w:w="708" w:type="dxa"/>
            <w:vAlign w:val="center"/>
          </w:tcPr>
          <w:p w:rsidR="002622A8" w:rsidRDefault="00DF40FE">
            <w:pPr>
              <w:jc w:val="left"/>
            </w:pPr>
            <w:r>
              <w:rPr>
                <w:color w:val="000000"/>
                <w:sz w:val="18"/>
                <w:szCs w:val="18"/>
              </w:rPr>
              <w:t>-</w:t>
            </w:r>
          </w:p>
        </w:tc>
        <w:tc>
          <w:tcPr>
            <w:tcW w:w="711" w:type="dxa"/>
            <w:vAlign w:val="center"/>
          </w:tcPr>
          <w:p w:rsidR="002622A8" w:rsidRDefault="00DF40FE">
            <w:pPr>
              <w:jc w:val="left"/>
            </w:pPr>
            <w:r>
              <w:rPr>
                <w:color w:val="000000"/>
                <w:sz w:val="18"/>
                <w:szCs w:val="18"/>
              </w:rPr>
              <w:t>-</w:t>
            </w:r>
          </w:p>
        </w:tc>
        <w:tc>
          <w:tcPr>
            <w:tcW w:w="991" w:type="dxa"/>
            <w:gridSpan w:val="2"/>
            <w:vAlign w:val="center"/>
          </w:tcPr>
          <w:p w:rsidR="002622A8" w:rsidRDefault="00DF40FE">
            <w:pPr>
              <w:jc w:val="center"/>
            </w:pPr>
            <w:r>
              <w:rPr>
                <w:color w:val="000000"/>
                <w:sz w:val="18"/>
                <w:szCs w:val="18"/>
              </w:rPr>
              <w:t>1,338.56</w:t>
            </w:r>
          </w:p>
        </w:tc>
        <w:tc>
          <w:tcPr>
            <w:tcW w:w="1025" w:type="dxa"/>
            <w:vAlign w:val="center"/>
          </w:tcPr>
          <w:p w:rsidR="002622A8" w:rsidRDefault="00DF40FE">
            <w:pPr>
              <w:jc w:val="left"/>
            </w:pPr>
            <w:r>
              <w:rPr>
                <w:color w:val="000000"/>
                <w:sz w:val="18"/>
                <w:szCs w:val="18"/>
              </w:rPr>
              <w:t>1,338.56</w:t>
            </w:r>
          </w:p>
        </w:tc>
      </w:tr>
      <w:tr w:rsidR="002622A8" w:rsidTr="00B86093">
        <w:tc>
          <w:tcPr>
            <w:tcW w:w="1672" w:type="dxa"/>
            <w:gridSpan w:val="3"/>
            <w:vAlign w:val="center"/>
          </w:tcPr>
          <w:p w:rsidR="002622A8" w:rsidRDefault="00DF40FE">
            <w:pPr>
              <w:jc w:val="left"/>
            </w:pPr>
            <w:r>
              <w:rPr>
                <w:color w:val="000000"/>
                <w:sz w:val="18"/>
                <w:szCs w:val="18"/>
              </w:rPr>
              <w:t>应付利润</w:t>
            </w:r>
          </w:p>
        </w:tc>
        <w:tc>
          <w:tcPr>
            <w:tcW w:w="1555" w:type="dxa"/>
            <w:vAlign w:val="center"/>
          </w:tcPr>
          <w:p w:rsidR="002622A8" w:rsidRDefault="00DF40FE">
            <w:pPr>
              <w:jc w:val="left"/>
            </w:pPr>
            <w:r>
              <w:rPr>
                <w:color w:val="000000"/>
                <w:sz w:val="18"/>
                <w:szCs w:val="18"/>
              </w:rPr>
              <w:t>-</w:t>
            </w:r>
          </w:p>
        </w:tc>
        <w:tc>
          <w:tcPr>
            <w:tcW w:w="1276" w:type="dxa"/>
            <w:vAlign w:val="center"/>
          </w:tcPr>
          <w:p w:rsidR="002622A8" w:rsidRDefault="00DF40FE">
            <w:pPr>
              <w:jc w:val="left"/>
            </w:pPr>
            <w:r>
              <w:rPr>
                <w:color w:val="000000"/>
                <w:sz w:val="18"/>
                <w:szCs w:val="18"/>
              </w:rPr>
              <w:t>-</w:t>
            </w:r>
          </w:p>
        </w:tc>
        <w:tc>
          <w:tcPr>
            <w:tcW w:w="1134" w:type="dxa"/>
            <w:vAlign w:val="center"/>
          </w:tcPr>
          <w:p w:rsidR="002622A8" w:rsidRDefault="00DF40FE">
            <w:pPr>
              <w:jc w:val="left"/>
            </w:pPr>
            <w:r>
              <w:rPr>
                <w:color w:val="000000"/>
                <w:sz w:val="18"/>
                <w:szCs w:val="18"/>
              </w:rPr>
              <w:t>-</w:t>
            </w:r>
          </w:p>
        </w:tc>
        <w:tc>
          <w:tcPr>
            <w:tcW w:w="708" w:type="dxa"/>
            <w:vAlign w:val="center"/>
          </w:tcPr>
          <w:p w:rsidR="002622A8" w:rsidRDefault="00DF40FE">
            <w:pPr>
              <w:jc w:val="left"/>
            </w:pPr>
            <w:r>
              <w:rPr>
                <w:color w:val="000000"/>
                <w:sz w:val="18"/>
                <w:szCs w:val="18"/>
              </w:rPr>
              <w:t>-</w:t>
            </w:r>
          </w:p>
        </w:tc>
        <w:tc>
          <w:tcPr>
            <w:tcW w:w="711" w:type="dxa"/>
            <w:vAlign w:val="center"/>
          </w:tcPr>
          <w:p w:rsidR="002622A8" w:rsidRDefault="00DF40FE">
            <w:pPr>
              <w:jc w:val="left"/>
            </w:pPr>
            <w:r>
              <w:rPr>
                <w:color w:val="000000"/>
                <w:sz w:val="18"/>
                <w:szCs w:val="18"/>
              </w:rPr>
              <w:t>-</w:t>
            </w:r>
          </w:p>
        </w:tc>
        <w:tc>
          <w:tcPr>
            <w:tcW w:w="991" w:type="dxa"/>
            <w:gridSpan w:val="2"/>
            <w:vAlign w:val="center"/>
          </w:tcPr>
          <w:p w:rsidR="002622A8" w:rsidRDefault="00DF40FE">
            <w:pPr>
              <w:jc w:val="center"/>
            </w:pPr>
            <w:r>
              <w:rPr>
                <w:color w:val="000000"/>
                <w:sz w:val="18"/>
                <w:szCs w:val="18"/>
              </w:rPr>
              <w:t>9,910.48</w:t>
            </w:r>
          </w:p>
        </w:tc>
        <w:tc>
          <w:tcPr>
            <w:tcW w:w="1025" w:type="dxa"/>
            <w:vAlign w:val="center"/>
          </w:tcPr>
          <w:p w:rsidR="002622A8" w:rsidRDefault="00DF40FE">
            <w:pPr>
              <w:jc w:val="left"/>
            </w:pPr>
            <w:r>
              <w:rPr>
                <w:color w:val="000000"/>
                <w:sz w:val="18"/>
                <w:szCs w:val="18"/>
              </w:rPr>
              <w:t>9,910.48</w:t>
            </w:r>
          </w:p>
        </w:tc>
      </w:tr>
      <w:tr w:rsidR="002622A8" w:rsidTr="00B86093">
        <w:tc>
          <w:tcPr>
            <w:tcW w:w="1672" w:type="dxa"/>
            <w:gridSpan w:val="3"/>
            <w:vAlign w:val="center"/>
          </w:tcPr>
          <w:p w:rsidR="002622A8" w:rsidRDefault="00DF40FE">
            <w:pPr>
              <w:jc w:val="left"/>
            </w:pPr>
            <w:r>
              <w:rPr>
                <w:color w:val="000000"/>
                <w:sz w:val="18"/>
                <w:szCs w:val="18"/>
              </w:rPr>
              <w:t>其他负债</w:t>
            </w:r>
          </w:p>
        </w:tc>
        <w:tc>
          <w:tcPr>
            <w:tcW w:w="1555" w:type="dxa"/>
            <w:vAlign w:val="center"/>
          </w:tcPr>
          <w:p w:rsidR="002622A8" w:rsidRDefault="00DF40FE">
            <w:pPr>
              <w:jc w:val="left"/>
            </w:pPr>
            <w:r>
              <w:rPr>
                <w:color w:val="000000"/>
                <w:sz w:val="18"/>
                <w:szCs w:val="18"/>
              </w:rPr>
              <w:t>-</w:t>
            </w:r>
          </w:p>
        </w:tc>
        <w:tc>
          <w:tcPr>
            <w:tcW w:w="1276" w:type="dxa"/>
            <w:vAlign w:val="center"/>
          </w:tcPr>
          <w:p w:rsidR="002622A8" w:rsidRDefault="00DF40FE">
            <w:pPr>
              <w:jc w:val="left"/>
            </w:pPr>
            <w:r>
              <w:rPr>
                <w:color w:val="000000"/>
                <w:sz w:val="18"/>
                <w:szCs w:val="18"/>
              </w:rPr>
              <w:t>-</w:t>
            </w:r>
          </w:p>
        </w:tc>
        <w:tc>
          <w:tcPr>
            <w:tcW w:w="1134" w:type="dxa"/>
            <w:vAlign w:val="center"/>
          </w:tcPr>
          <w:p w:rsidR="002622A8" w:rsidRDefault="00DF40FE">
            <w:pPr>
              <w:jc w:val="left"/>
            </w:pPr>
            <w:r>
              <w:rPr>
                <w:color w:val="000000"/>
                <w:sz w:val="18"/>
                <w:szCs w:val="18"/>
              </w:rPr>
              <w:t>-</w:t>
            </w:r>
          </w:p>
        </w:tc>
        <w:tc>
          <w:tcPr>
            <w:tcW w:w="708" w:type="dxa"/>
            <w:vAlign w:val="center"/>
          </w:tcPr>
          <w:p w:rsidR="002622A8" w:rsidRDefault="00DF40FE">
            <w:pPr>
              <w:jc w:val="left"/>
            </w:pPr>
            <w:r>
              <w:rPr>
                <w:color w:val="000000"/>
                <w:sz w:val="18"/>
                <w:szCs w:val="18"/>
              </w:rPr>
              <w:t>-</w:t>
            </w:r>
          </w:p>
        </w:tc>
        <w:tc>
          <w:tcPr>
            <w:tcW w:w="711" w:type="dxa"/>
            <w:vAlign w:val="center"/>
          </w:tcPr>
          <w:p w:rsidR="002622A8" w:rsidRDefault="00DF40FE">
            <w:pPr>
              <w:jc w:val="left"/>
            </w:pPr>
            <w:r>
              <w:rPr>
                <w:color w:val="000000"/>
                <w:sz w:val="18"/>
                <w:szCs w:val="18"/>
              </w:rPr>
              <w:t>-</w:t>
            </w:r>
          </w:p>
        </w:tc>
        <w:tc>
          <w:tcPr>
            <w:tcW w:w="991" w:type="dxa"/>
            <w:gridSpan w:val="2"/>
            <w:vAlign w:val="center"/>
          </w:tcPr>
          <w:p w:rsidR="002622A8" w:rsidRDefault="00DF40FE">
            <w:pPr>
              <w:jc w:val="center"/>
            </w:pPr>
            <w:r>
              <w:rPr>
                <w:color w:val="000000"/>
                <w:sz w:val="18"/>
                <w:szCs w:val="18"/>
              </w:rPr>
              <w:t>5,080.75</w:t>
            </w:r>
          </w:p>
        </w:tc>
        <w:tc>
          <w:tcPr>
            <w:tcW w:w="1025" w:type="dxa"/>
            <w:vAlign w:val="center"/>
          </w:tcPr>
          <w:p w:rsidR="002622A8" w:rsidRDefault="00DF40FE">
            <w:pPr>
              <w:jc w:val="left"/>
            </w:pPr>
            <w:r>
              <w:rPr>
                <w:color w:val="000000"/>
                <w:sz w:val="18"/>
                <w:szCs w:val="18"/>
              </w:rPr>
              <w:t>5,080.75</w:t>
            </w:r>
          </w:p>
        </w:tc>
      </w:tr>
      <w:tr w:rsidR="00126D14" w:rsidRPr="005E1AD8" w:rsidTr="00B86093">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5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276"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3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708"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71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42,606.16</w:t>
            </w:r>
          </w:p>
          <w:p w:rsidR="00126D14" w:rsidRPr="0077393F" w:rsidRDefault="00126D14" w:rsidP="00BF370B">
            <w:pPr>
              <w:spacing w:before="29" w:line="288" w:lineRule="auto"/>
              <w:jc w:val="right"/>
              <w:rPr>
                <w:sz w:val="18"/>
                <w:szCs w:val="18"/>
              </w:rPr>
            </w:pPr>
          </w:p>
        </w:tc>
        <w:tc>
          <w:tcPr>
            <w:tcW w:w="1025" w:type="dxa"/>
            <w:vAlign w:val="center"/>
          </w:tcPr>
          <w:p w:rsidR="00126D14" w:rsidRPr="0077393F" w:rsidRDefault="00126D14" w:rsidP="00BF370B">
            <w:pPr>
              <w:spacing w:before="29" w:line="288" w:lineRule="auto"/>
              <w:jc w:val="right"/>
              <w:rPr>
                <w:sz w:val="18"/>
                <w:szCs w:val="18"/>
              </w:rPr>
            </w:pPr>
            <w:r w:rsidRPr="0077393F">
              <w:rPr>
                <w:sz w:val="18"/>
                <w:szCs w:val="18"/>
              </w:rPr>
              <w:t>42,606.16</w:t>
            </w:r>
          </w:p>
          <w:p w:rsidR="00126D14" w:rsidRPr="0077393F" w:rsidRDefault="00126D14" w:rsidP="00BF370B">
            <w:pPr>
              <w:spacing w:before="29" w:line="288" w:lineRule="auto"/>
              <w:jc w:val="right"/>
              <w:rPr>
                <w:sz w:val="18"/>
                <w:szCs w:val="18"/>
              </w:rPr>
            </w:pPr>
          </w:p>
        </w:tc>
      </w:tr>
      <w:tr w:rsidR="00126D14" w:rsidRPr="005E1AD8" w:rsidTr="00B86093">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555" w:type="dxa"/>
            <w:vAlign w:val="center"/>
          </w:tcPr>
          <w:p w:rsidR="00126D14" w:rsidRPr="0077393F" w:rsidRDefault="00126D14" w:rsidP="00BF370B">
            <w:pPr>
              <w:spacing w:before="29" w:line="288" w:lineRule="auto"/>
              <w:jc w:val="right"/>
              <w:rPr>
                <w:sz w:val="18"/>
                <w:szCs w:val="18"/>
              </w:rPr>
            </w:pPr>
            <w:r w:rsidRPr="0077393F">
              <w:rPr>
                <w:sz w:val="18"/>
                <w:szCs w:val="18"/>
              </w:rPr>
              <w:t>200,625,821.79</w:t>
            </w:r>
          </w:p>
          <w:p w:rsidR="00126D14" w:rsidRPr="0077393F" w:rsidRDefault="00126D14" w:rsidP="00BF370B">
            <w:pPr>
              <w:spacing w:before="29" w:line="288" w:lineRule="auto"/>
              <w:jc w:val="right"/>
              <w:rPr>
                <w:sz w:val="18"/>
                <w:szCs w:val="18"/>
              </w:rPr>
            </w:pPr>
          </w:p>
        </w:tc>
        <w:tc>
          <w:tcPr>
            <w:tcW w:w="1276"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3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708"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71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48,600.13</w:t>
            </w:r>
          </w:p>
          <w:p w:rsidR="00126D14" w:rsidRPr="0077393F" w:rsidRDefault="00126D14" w:rsidP="00BF370B">
            <w:pPr>
              <w:spacing w:before="29" w:line="288" w:lineRule="auto"/>
              <w:jc w:val="right"/>
              <w:rPr>
                <w:sz w:val="18"/>
                <w:szCs w:val="18"/>
              </w:rPr>
            </w:pPr>
          </w:p>
        </w:tc>
        <w:tc>
          <w:tcPr>
            <w:tcW w:w="1025" w:type="dxa"/>
            <w:vAlign w:val="center"/>
          </w:tcPr>
          <w:p w:rsidR="00126D14" w:rsidRPr="0077393F" w:rsidRDefault="00126D14" w:rsidP="00BF370B">
            <w:pPr>
              <w:spacing w:before="29" w:line="288" w:lineRule="auto"/>
              <w:jc w:val="right"/>
              <w:rPr>
                <w:sz w:val="18"/>
                <w:szCs w:val="18"/>
              </w:rPr>
            </w:pPr>
            <w:r w:rsidRPr="0077393F">
              <w:rPr>
                <w:sz w:val="18"/>
                <w:szCs w:val="18"/>
              </w:rPr>
              <w:t>200,674,421.92</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2622A8">
        <w:tc>
          <w:tcPr>
            <w:tcW w:w="851" w:type="dxa"/>
            <w:vAlign w:val="center"/>
          </w:tcPr>
          <w:p w:rsidR="002622A8" w:rsidRDefault="00DF40FE">
            <w:pPr>
              <w:jc w:val="left"/>
            </w:pPr>
            <w:r>
              <w:rPr>
                <w:rFonts w:hint="eastAsia"/>
                <w:sz w:val="24"/>
              </w:rPr>
              <w:t>假设</w:t>
            </w:r>
          </w:p>
        </w:tc>
        <w:tc>
          <w:tcPr>
            <w:tcW w:w="8221" w:type="dxa"/>
            <w:gridSpan w:val="3"/>
            <w:vAlign w:val="center"/>
          </w:tcPr>
          <w:p w:rsidR="002622A8" w:rsidRDefault="00DF40FE">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2016</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2622A8">
        <w:tc>
          <w:tcPr>
            <w:tcW w:w="851" w:type="dxa"/>
            <w:vMerge/>
          </w:tcPr>
          <w:p w:rsidR="002622A8" w:rsidRDefault="002622A8"/>
        </w:tc>
        <w:tc>
          <w:tcPr>
            <w:tcW w:w="2693" w:type="dxa"/>
            <w:vAlign w:val="center"/>
          </w:tcPr>
          <w:p w:rsidR="002622A8" w:rsidRDefault="00DF40FE">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2622A8" w:rsidRDefault="00DF40FE">
            <w:pPr>
              <w:jc w:val="right"/>
            </w:pPr>
            <w:r>
              <w:rPr>
                <w:rFonts w:hint="eastAsia"/>
                <w:sz w:val="24"/>
              </w:rPr>
              <w:t>增加约</w:t>
            </w:r>
            <w:r>
              <w:rPr>
                <w:rFonts w:hint="eastAsia"/>
                <w:sz w:val="24"/>
              </w:rPr>
              <w:t>353</w:t>
            </w:r>
          </w:p>
        </w:tc>
        <w:tc>
          <w:tcPr>
            <w:tcW w:w="2751" w:type="dxa"/>
            <w:vAlign w:val="center"/>
          </w:tcPr>
          <w:p w:rsidR="002622A8" w:rsidRDefault="000A475E">
            <w:pPr>
              <w:jc w:val="right"/>
            </w:pPr>
            <w:r>
              <w:rPr>
                <w:rFonts w:hint="eastAsia"/>
                <w:sz w:val="24"/>
              </w:rPr>
              <w:t>无重大</w:t>
            </w:r>
            <w:r>
              <w:rPr>
                <w:sz w:val="24"/>
              </w:rPr>
              <w:t>影响</w:t>
            </w:r>
          </w:p>
        </w:tc>
      </w:tr>
      <w:tr w:rsidR="002622A8">
        <w:tc>
          <w:tcPr>
            <w:tcW w:w="851" w:type="dxa"/>
            <w:vMerge/>
          </w:tcPr>
          <w:p w:rsidR="002622A8" w:rsidRDefault="002622A8"/>
        </w:tc>
        <w:tc>
          <w:tcPr>
            <w:tcW w:w="2693" w:type="dxa"/>
            <w:vAlign w:val="center"/>
          </w:tcPr>
          <w:p w:rsidR="002622A8" w:rsidRDefault="00DF40FE">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2622A8" w:rsidRDefault="00DF40FE">
            <w:pPr>
              <w:jc w:val="right"/>
            </w:pPr>
            <w:r>
              <w:rPr>
                <w:rFonts w:hint="eastAsia"/>
                <w:sz w:val="24"/>
              </w:rPr>
              <w:t>减少约</w:t>
            </w:r>
            <w:r>
              <w:rPr>
                <w:rFonts w:hint="eastAsia"/>
                <w:sz w:val="24"/>
              </w:rPr>
              <w:t>353</w:t>
            </w:r>
          </w:p>
        </w:tc>
        <w:tc>
          <w:tcPr>
            <w:tcW w:w="2751" w:type="dxa"/>
            <w:vAlign w:val="center"/>
          </w:tcPr>
          <w:p w:rsidR="002622A8" w:rsidRDefault="000A475E">
            <w:pPr>
              <w:jc w:val="right"/>
            </w:pPr>
            <w:r>
              <w:rPr>
                <w:rFonts w:hint="eastAsia"/>
                <w:sz w:val="24"/>
              </w:rPr>
              <w:t>无重大</w:t>
            </w:r>
            <w:r>
              <w:rPr>
                <w:sz w:val="24"/>
              </w:rPr>
              <w:t>影响</w:t>
            </w:r>
          </w:p>
        </w:tc>
      </w:tr>
    </w:tbl>
    <w:p w:rsidR="006D141C" w:rsidRPr="00FF57F1" w:rsidRDefault="006D141C" w:rsidP="00FF57F1">
      <w:pPr>
        <w:tabs>
          <w:tab w:val="left" w:pos="426"/>
        </w:tabs>
        <w:spacing w:before="29" w:line="288" w:lineRule="auto"/>
        <w:jc w:val="left"/>
        <w:rPr>
          <w:kern w:val="0"/>
          <w:sz w:val="24"/>
        </w:rPr>
      </w:pPr>
      <w:r w:rsidRPr="00FF57F1">
        <w:rPr>
          <w:rFonts w:hint="eastAsia"/>
          <w:kern w:val="0"/>
          <w:sz w:val="24"/>
        </w:rPr>
        <w:t>注：于</w:t>
      </w:r>
      <w:r w:rsidRPr="00FF57F1">
        <w:rPr>
          <w:rFonts w:hint="eastAsia"/>
          <w:kern w:val="0"/>
          <w:sz w:val="24"/>
        </w:rPr>
        <w:t>2016</w:t>
      </w:r>
      <w:r w:rsidRPr="00FF57F1">
        <w:rPr>
          <w:rFonts w:hint="eastAsia"/>
          <w:kern w:val="0"/>
          <w:sz w:val="24"/>
        </w:rPr>
        <w:t>年</w:t>
      </w:r>
      <w:r w:rsidRPr="00FF57F1">
        <w:rPr>
          <w:rFonts w:hint="eastAsia"/>
          <w:kern w:val="0"/>
          <w:sz w:val="24"/>
        </w:rPr>
        <w:t>12</w:t>
      </w:r>
      <w:r w:rsidRPr="00FF57F1">
        <w:rPr>
          <w:rFonts w:hint="eastAsia"/>
          <w:kern w:val="0"/>
          <w:sz w:val="24"/>
        </w:rPr>
        <w:t>月</w:t>
      </w:r>
      <w:r w:rsidRPr="00FF57F1">
        <w:rPr>
          <w:rFonts w:hint="eastAsia"/>
          <w:kern w:val="0"/>
          <w:sz w:val="24"/>
        </w:rPr>
        <w:t>31</w:t>
      </w:r>
      <w:r w:rsidRPr="00FF57F1">
        <w:rPr>
          <w:rFonts w:hint="eastAsia"/>
          <w:kern w:val="0"/>
          <w:sz w:val="24"/>
        </w:rPr>
        <w:t>日，本基金未持有交易性债券投资，因此市场利率的变动对于本基金资产净值无重大影响。</w:t>
      </w:r>
    </w:p>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2622A8" w:rsidRDefault="00DF40FE">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2622A8" w:rsidRDefault="002622A8">
      <w:pPr>
        <w:tabs>
          <w:tab w:val="left" w:pos="426"/>
        </w:tabs>
        <w:spacing w:before="29" w:line="288" w:lineRule="auto"/>
        <w:ind w:firstLineChars="200" w:firstLine="480"/>
        <w:rPr>
          <w:kern w:val="0"/>
          <w:sz w:val="24"/>
        </w:rPr>
      </w:pPr>
    </w:p>
    <w:p w:rsidR="002622A8" w:rsidRDefault="00DF40FE">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2622A8" w:rsidRDefault="00DF40FE">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w:t>
      </w:r>
      <w:r>
        <w:rPr>
          <w:rFonts w:hint="eastAsia"/>
          <w:kern w:val="0"/>
          <w:sz w:val="24"/>
        </w:rPr>
        <w:lastRenderedPageBreak/>
        <w:t>所属的最低层次决定：</w:t>
      </w:r>
    </w:p>
    <w:p w:rsidR="002622A8" w:rsidRDefault="002622A8">
      <w:pPr>
        <w:tabs>
          <w:tab w:val="left" w:pos="426"/>
        </w:tabs>
        <w:spacing w:before="29" w:line="288" w:lineRule="auto"/>
        <w:ind w:firstLineChars="200" w:firstLine="480"/>
        <w:rPr>
          <w:kern w:val="0"/>
          <w:sz w:val="24"/>
        </w:rPr>
      </w:pPr>
    </w:p>
    <w:p w:rsidR="002622A8" w:rsidRDefault="00DF40FE">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2622A8" w:rsidRDefault="00DF40FE">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2622A8" w:rsidRDefault="00DF40FE">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2622A8" w:rsidRDefault="002622A8">
      <w:pPr>
        <w:tabs>
          <w:tab w:val="left" w:pos="426"/>
        </w:tabs>
        <w:spacing w:before="29" w:line="288" w:lineRule="auto"/>
        <w:ind w:firstLineChars="200" w:firstLine="480"/>
        <w:rPr>
          <w:kern w:val="0"/>
          <w:sz w:val="24"/>
        </w:rPr>
      </w:pPr>
    </w:p>
    <w:p w:rsidR="002622A8" w:rsidRDefault="00DF40FE">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2622A8" w:rsidRDefault="00DF40FE">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2622A8" w:rsidRDefault="00DF40F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7,750,602,000.00</w:t>
      </w:r>
      <w:r>
        <w:rPr>
          <w:rFonts w:hint="eastAsia"/>
          <w:kern w:val="0"/>
          <w:sz w:val="24"/>
        </w:rPr>
        <w:t>元，无属于第一或第三层次的余额。</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日：无</w:t>
      </w:r>
      <w:r>
        <w:rPr>
          <w:rFonts w:hint="eastAsia"/>
          <w:kern w:val="0"/>
          <w:sz w:val="24"/>
        </w:rPr>
        <w:t>)</w:t>
      </w:r>
      <w:r>
        <w:rPr>
          <w:rFonts w:hint="eastAsia"/>
          <w:kern w:val="0"/>
          <w:sz w:val="24"/>
        </w:rPr>
        <w:t>。</w:t>
      </w:r>
    </w:p>
    <w:p w:rsidR="002622A8" w:rsidRDefault="002622A8">
      <w:pPr>
        <w:tabs>
          <w:tab w:val="left" w:pos="426"/>
        </w:tabs>
        <w:spacing w:before="29" w:line="288" w:lineRule="auto"/>
        <w:ind w:firstLineChars="200" w:firstLine="480"/>
        <w:rPr>
          <w:kern w:val="0"/>
          <w:sz w:val="24"/>
        </w:rPr>
      </w:pPr>
    </w:p>
    <w:p w:rsidR="002622A8" w:rsidRDefault="00DF40FE">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2622A8" w:rsidRDefault="00DF40FE">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2622A8" w:rsidRDefault="00DF40FE">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2622A8" w:rsidRDefault="00DF40FE">
      <w:pPr>
        <w:tabs>
          <w:tab w:val="left" w:pos="426"/>
        </w:tabs>
        <w:spacing w:before="29" w:line="288" w:lineRule="auto"/>
        <w:ind w:firstLineChars="200" w:firstLine="480"/>
        <w:rPr>
          <w:kern w:val="0"/>
          <w:sz w:val="24"/>
        </w:rPr>
      </w:pPr>
      <w:r>
        <w:rPr>
          <w:rFonts w:hint="eastAsia"/>
          <w:kern w:val="0"/>
          <w:sz w:val="24"/>
        </w:rPr>
        <w:t>无。</w:t>
      </w:r>
    </w:p>
    <w:p w:rsidR="002622A8" w:rsidRDefault="002622A8">
      <w:pPr>
        <w:tabs>
          <w:tab w:val="left" w:pos="426"/>
        </w:tabs>
        <w:spacing w:before="29" w:line="288" w:lineRule="auto"/>
        <w:ind w:firstLineChars="200" w:firstLine="480"/>
        <w:rPr>
          <w:kern w:val="0"/>
          <w:sz w:val="24"/>
        </w:rPr>
      </w:pPr>
    </w:p>
    <w:p w:rsidR="002622A8" w:rsidRDefault="00DF40FE">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2622A8" w:rsidRDefault="00DF40F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2622A8" w:rsidRDefault="002622A8">
      <w:pPr>
        <w:tabs>
          <w:tab w:val="left" w:pos="426"/>
        </w:tabs>
        <w:spacing w:before="29" w:line="288" w:lineRule="auto"/>
        <w:ind w:firstLineChars="200" w:firstLine="480"/>
        <w:rPr>
          <w:kern w:val="0"/>
          <w:sz w:val="24"/>
        </w:rPr>
      </w:pPr>
    </w:p>
    <w:p w:rsidR="002622A8" w:rsidRDefault="00DF40FE">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2622A8" w:rsidRDefault="00DF40FE">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2622A8" w:rsidRDefault="002622A8">
      <w:pPr>
        <w:tabs>
          <w:tab w:val="left" w:pos="426"/>
        </w:tabs>
        <w:spacing w:before="29" w:line="288" w:lineRule="auto"/>
        <w:ind w:firstLineChars="200" w:firstLine="480"/>
        <w:rPr>
          <w:kern w:val="0"/>
          <w:sz w:val="24"/>
        </w:rPr>
      </w:pPr>
    </w:p>
    <w:p w:rsidR="002622A8" w:rsidRDefault="00DF40FE">
      <w:pPr>
        <w:tabs>
          <w:tab w:val="left" w:pos="426"/>
        </w:tabs>
        <w:spacing w:before="29" w:line="288" w:lineRule="auto"/>
        <w:ind w:firstLineChars="200" w:firstLine="480"/>
        <w:rPr>
          <w:kern w:val="0"/>
          <w:sz w:val="24"/>
        </w:rPr>
      </w:pPr>
      <w:r>
        <w:rPr>
          <w:rFonts w:hint="eastAsia"/>
          <w:kern w:val="0"/>
          <w:sz w:val="24"/>
        </w:rPr>
        <w:t xml:space="preserve">(2) </w:t>
      </w:r>
      <w:r>
        <w:rPr>
          <w:rFonts w:hint="eastAsia"/>
          <w:kern w:val="0"/>
          <w:sz w:val="24"/>
        </w:rPr>
        <w:t>增值税</w:t>
      </w:r>
    </w:p>
    <w:p w:rsidR="002622A8" w:rsidRDefault="00DF40FE">
      <w:pPr>
        <w:tabs>
          <w:tab w:val="left" w:pos="426"/>
        </w:tabs>
        <w:spacing w:before="29" w:line="288" w:lineRule="auto"/>
        <w:ind w:firstLineChars="200" w:firstLine="480"/>
        <w:rPr>
          <w:kern w:val="0"/>
          <w:sz w:val="24"/>
        </w:rPr>
      </w:pPr>
      <w:r>
        <w:rPr>
          <w:rFonts w:hint="eastAsia"/>
          <w:kern w:val="0"/>
          <w:sz w:val="24"/>
        </w:rPr>
        <w:t>根据财政部、国家税务总局于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21</w:t>
      </w:r>
      <w:r>
        <w:rPr>
          <w:rFonts w:hint="eastAsia"/>
          <w:kern w:val="0"/>
          <w:sz w:val="24"/>
        </w:rPr>
        <w:t>日颁布的财税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教育辅助服务等增值税政策的通知》的规定，资管产品运营过程中发生的增值税应税行为，以资管产品管理人为增值税纳税人。</w:t>
      </w:r>
    </w:p>
    <w:p w:rsidR="002622A8" w:rsidRDefault="002622A8">
      <w:pPr>
        <w:tabs>
          <w:tab w:val="left" w:pos="426"/>
        </w:tabs>
        <w:spacing w:before="29" w:line="288" w:lineRule="auto"/>
        <w:ind w:firstLineChars="200" w:firstLine="480"/>
        <w:rPr>
          <w:kern w:val="0"/>
          <w:sz w:val="24"/>
        </w:rPr>
      </w:pPr>
    </w:p>
    <w:p w:rsidR="002622A8" w:rsidRDefault="00DF40FE">
      <w:pPr>
        <w:tabs>
          <w:tab w:val="left" w:pos="426"/>
        </w:tabs>
        <w:spacing w:before="29" w:line="288" w:lineRule="auto"/>
        <w:ind w:firstLineChars="200" w:firstLine="480"/>
        <w:rPr>
          <w:kern w:val="0"/>
          <w:sz w:val="24"/>
        </w:rPr>
      </w:pPr>
      <w:r>
        <w:rPr>
          <w:rFonts w:hint="eastAsia"/>
          <w:kern w:val="0"/>
          <w:sz w:val="24"/>
        </w:rPr>
        <w:t>根据财政部、国家税务总局于</w:t>
      </w:r>
      <w:r>
        <w:rPr>
          <w:rFonts w:hint="eastAsia"/>
          <w:kern w:val="0"/>
          <w:sz w:val="24"/>
        </w:rPr>
        <w:t>2017</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日颁布的财税</w:t>
      </w:r>
      <w:r>
        <w:rPr>
          <w:rFonts w:hint="eastAsia"/>
          <w:kern w:val="0"/>
          <w:sz w:val="24"/>
        </w:rPr>
        <w:t>[2017]56</w:t>
      </w:r>
      <w:r>
        <w:rPr>
          <w:rFonts w:hint="eastAsia"/>
          <w:kern w:val="0"/>
          <w:sz w:val="24"/>
        </w:rPr>
        <w:t>号《关于资管产品增值税有关问题的通知》的规定，资管产品管理人运营资管产品过程中发生的增值税应税行为，暂适用简易计税方法，按照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rsidR="002622A8" w:rsidRDefault="002622A8">
      <w:pPr>
        <w:tabs>
          <w:tab w:val="left" w:pos="426"/>
        </w:tabs>
        <w:spacing w:before="29" w:line="288" w:lineRule="auto"/>
        <w:ind w:firstLineChars="200" w:firstLine="480"/>
        <w:rPr>
          <w:kern w:val="0"/>
          <w:sz w:val="24"/>
        </w:rPr>
      </w:pPr>
    </w:p>
    <w:p w:rsidR="002622A8" w:rsidRDefault="00DF40FE">
      <w:pPr>
        <w:tabs>
          <w:tab w:val="left" w:pos="426"/>
        </w:tabs>
        <w:spacing w:before="29" w:line="288" w:lineRule="auto"/>
        <w:ind w:firstLineChars="200" w:firstLine="480"/>
        <w:rPr>
          <w:kern w:val="0"/>
          <w:sz w:val="24"/>
        </w:rPr>
      </w:pPr>
      <w:r>
        <w:rPr>
          <w:rFonts w:hint="eastAsia"/>
          <w:kern w:val="0"/>
          <w:sz w:val="24"/>
        </w:rPr>
        <w:t>此外，财政部、国家税务总局于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25</w:t>
      </w:r>
      <w:r>
        <w:rPr>
          <w:rFonts w:hint="eastAsia"/>
          <w:kern w:val="0"/>
          <w:sz w:val="24"/>
        </w:rPr>
        <w:t>日颁布的财税</w:t>
      </w:r>
      <w:r>
        <w:rPr>
          <w:rFonts w:hint="eastAsia"/>
          <w:kern w:val="0"/>
          <w:sz w:val="24"/>
        </w:rPr>
        <w:t>[2017]90</w:t>
      </w:r>
      <w:r>
        <w:rPr>
          <w:rFonts w:hint="eastAsia"/>
          <w:kern w:val="0"/>
          <w:sz w:val="24"/>
        </w:rPr>
        <w:t>号《关于租入固定资产进行税额抵扣等增值税政策的通知》对资管产品管理人自</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日起运营资管产品提供的贷款服务、发生的部分金融商品转让业务的销售额确定做出规定。</w:t>
      </w:r>
    </w:p>
    <w:p w:rsidR="002622A8" w:rsidRDefault="002622A8">
      <w:pPr>
        <w:tabs>
          <w:tab w:val="left" w:pos="426"/>
        </w:tabs>
        <w:spacing w:before="29" w:line="288" w:lineRule="auto"/>
        <w:ind w:firstLineChars="200" w:firstLine="480"/>
        <w:rPr>
          <w:kern w:val="0"/>
          <w:sz w:val="24"/>
        </w:rPr>
      </w:pPr>
    </w:p>
    <w:p w:rsidR="002622A8" w:rsidRDefault="00DF40FE">
      <w:pPr>
        <w:tabs>
          <w:tab w:val="left" w:pos="426"/>
        </w:tabs>
        <w:spacing w:before="29" w:line="288" w:lineRule="auto"/>
        <w:ind w:firstLineChars="200" w:firstLine="480"/>
        <w:rPr>
          <w:kern w:val="0"/>
          <w:sz w:val="24"/>
        </w:rPr>
      </w:pPr>
      <w:r>
        <w:rPr>
          <w:rFonts w:hint="eastAsia"/>
          <w:kern w:val="0"/>
          <w:sz w:val="24"/>
        </w:rPr>
        <w:t>上述税收政策对本基金截至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日止的财务状况和经营成果无影响。</w:t>
      </w:r>
    </w:p>
    <w:p w:rsidR="002622A8" w:rsidRDefault="002622A8">
      <w:pPr>
        <w:tabs>
          <w:tab w:val="left" w:pos="426"/>
        </w:tabs>
        <w:spacing w:before="29" w:line="288" w:lineRule="auto"/>
        <w:ind w:firstLineChars="200" w:firstLine="480"/>
        <w:rPr>
          <w:kern w:val="0"/>
          <w:sz w:val="24"/>
        </w:rPr>
      </w:pP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(3) </w:t>
      </w:r>
      <w:r w:rsidRPr="003F0D5A">
        <w:rPr>
          <w:rFonts w:hint="eastAsia"/>
          <w:kern w:val="0"/>
          <w:sz w:val="24"/>
        </w:rPr>
        <w:t>除公允价值和增值税外，截至资产负债表日本基金无需要说明的其他重要事项。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39" w:name="_Toc331410101"/>
      <w:bookmarkStart w:id="40" w:name="_Toc225498272"/>
      <w:bookmarkStart w:id="41" w:name="_Toc509581498"/>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39"/>
      <w:bookmarkEnd w:id="40"/>
      <w:bookmarkEnd w:id="41"/>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42" w:name="_Toc331410102"/>
      <w:bookmarkStart w:id="43" w:name="_Toc225498273"/>
      <w:bookmarkStart w:id="44" w:name="_Toc509581499"/>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42"/>
      <w:bookmarkEnd w:id="43"/>
      <w:bookmarkEnd w:id="44"/>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7,756,263,607.37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32.93</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7,756,263,607.37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32.93</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9,752,662,836.71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41.41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214,790,103.89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0.91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5,955,626,483.40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25.29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87,139,485.18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0.37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23,551,692,412.66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45" w:name="_Toc331410103"/>
      <w:bookmarkStart w:id="46" w:name="_Toc225498274"/>
      <w:bookmarkStart w:id="47" w:name="_Toc509581500"/>
      <w:r w:rsidRPr="002F6F51">
        <w:rPr>
          <w:rFonts w:ascii="Times New Roman" w:hAnsi="Times New Roman" w:cs="Times New Roman" w:hint="eastAsia"/>
          <w:szCs w:val="24"/>
        </w:rPr>
        <w:t>8.2</w:t>
      </w:r>
      <w:bookmarkEnd w:id="45"/>
      <w:bookmarkEnd w:id="46"/>
      <w:r w:rsidR="00AF5FD2" w:rsidRPr="002F6F51">
        <w:rPr>
          <w:rFonts w:ascii="Times New Roman" w:hAnsi="Times New Roman" w:cs="Times New Roman"/>
          <w:szCs w:val="24"/>
        </w:rPr>
        <w:t>债券回购融资情况</w:t>
      </w:r>
      <w:bookmarkEnd w:id="47"/>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1.90</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0.01</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48" w:name="_Toc247957040"/>
      <w:bookmarkStart w:id="49"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48"/>
      <w:bookmarkEnd w:id="49"/>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50" w:name="_Toc275523745"/>
      <w:r w:rsidRPr="005152BC">
        <w:rPr>
          <w:rFonts w:hint="eastAsia"/>
          <w:b/>
          <w:bCs/>
          <w:sz w:val="24"/>
        </w:rPr>
        <w:t>8.3</w:t>
      </w:r>
      <w:bookmarkEnd w:id="50"/>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40</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117</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0</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C835A2" w:rsidRDefault="00C835A2" w:rsidP="00C835A2">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7580E" w:rsidRPr="00C835A2"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62.08</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1.74</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27.30</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4.86</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7F5DE6" w:rsidP="002F7CDB">
            <w:pPr>
              <w:spacing w:before="29" w:line="288" w:lineRule="auto"/>
              <w:jc w:val="right"/>
              <w:rPr>
                <w:sz w:val="24"/>
              </w:rPr>
            </w:pPr>
            <w:r w:rsidRPr="007F5DE6">
              <w:rPr>
                <w:sz w:val="24"/>
              </w:rPr>
              <w:t>3.68</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lastRenderedPageBreak/>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lastRenderedPageBreak/>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99.66</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51" w:name="_Toc509581501"/>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51"/>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52" w:name="_Toc331410106"/>
      <w:bookmarkStart w:id="53" w:name="_Toc234814104"/>
      <w:bookmarkStart w:id="54" w:name="_Toc509581502"/>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52"/>
      <w:bookmarkEnd w:id="53"/>
      <w:bookmarkEnd w:id="54"/>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229,146,867.11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0.97</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959,197,571.38</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4.07</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959,197,571.38</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4.07</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45,180,378.64</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0.19</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6,522,738,790.24</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27.70</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7,756,263,607.37</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32.94</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55" w:name="_Toc331410107"/>
      <w:bookmarkStart w:id="56" w:name="_Toc509581503"/>
      <w:r w:rsidRPr="00DD6A8C">
        <w:rPr>
          <w:rFonts w:ascii="Times New Roman" w:hAnsi="Times New Roman" w:cs="Times New Roman" w:hint="eastAsia"/>
          <w:kern w:val="0"/>
          <w:szCs w:val="24"/>
        </w:rPr>
        <w:t>8.6</w:t>
      </w:r>
      <w:bookmarkEnd w:id="55"/>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56"/>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2622A8">
        <w:trPr>
          <w:jc w:val="center"/>
        </w:trPr>
        <w:tc>
          <w:tcPr>
            <w:tcW w:w="768" w:type="dxa"/>
            <w:vAlign w:val="center"/>
          </w:tcPr>
          <w:p w:rsidR="002622A8" w:rsidRDefault="00DF40FE">
            <w:pPr>
              <w:jc w:val="center"/>
            </w:pPr>
            <w:r>
              <w:rPr>
                <w:rFonts w:hint="eastAsia"/>
                <w:sz w:val="24"/>
              </w:rPr>
              <w:t>1</w:t>
            </w:r>
          </w:p>
        </w:tc>
        <w:tc>
          <w:tcPr>
            <w:tcW w:w="1329" w:type="dxa"/>
            <w:vAlign w:val="center"/>
          </w:tcPr>
          <w:p w:rsidR="002622A8" w:rsidRDefault="00DF40FE">
            <w:pPr>
              <w:jc w:val="center"/>
            </w:pPr>
            <w:r>
              <w:rPr>
                <w:rFonts w:hint="eastAsia"/>
                <w:sz w:val="24"/>
              </w:rPr>
              <w:t>111720223</w:t>
            </w:r>
          </w:p>
        </w:tc>
        <w:tc>
          <w:tcPr>
            <w:tcW w:w="1762" w:type="dxa"/>
            <w:vAlign w:val="center"/>
          </w:tcPr>
          <w:p w:rsidR="002622A8" w:rsidRDefault="00DF40FE">
            <w:pPr>
              <w:jc w:val="center"/>
            </w:pPr>
            <w:r>
              <w:rPr>
                <w:rFonts w:hint="eastAsia"/>
                <w:sz w:val="24"/>
              </w:rPr>
              <w:t>17</w:t>
            </w:r>
            <w:r>
              <w:rPr>
                <w:rFonts w:hint="eastAsia"/>
                <w:sz w:val="24"/>
              </w:rPr>
              <w:t>广发银行</w:t>
            </w:r>
            <w:r>
              <w:rPr>
                <w:rFonts w:hint="eastAsia"/>
                <w:sz w:val="24"/>
              </w:rPr>
              <w:t>CD223</w:t>
            </w:r>
          </w:p>
        </w:tc>
        <w:tc>
          <w:tcPr>
            <w:tcW w:w="1731" w:type="dxa"/>
            <w:vAlign w:val="center"/>
          </w:tcPr>
          <w:p w:rsidR="002622A8" w:rsidRDefault="00DF40FE">
            <w:pPr>
              <w:jc w:val="center"/>
            </w:pPr>
            <w:r>
              <w:rPr>
                <w:rFonts w:hint="eastAsia"/>
                <w:sz w:val="24"/>
              </w:rPr>
              <w:t>7,000,000</w:t>
            </w:r>
          </w:p>
        </w:tc>
        <w:tc>
          <w:tcPr>
            <w:tcW w:w="1980" w:type="dxa"/>
            <w:vAlign w:val="center"/>
          </w:tcPr>
          <w:p w:rsidR="002622A8" w:rsidRDefault="00DF40FE">
            <w:pPr>
              <w:jc w:val="center"/>
            </w:pPr>
            <w:r>
              <w:rPr>
                <w:rFonts w:hint="eastAsia"/>
                <w:sz w:val="24"/>
              </w:rPr>
              <w:t>692,782,491.77</w:t>
            </w:r>
          </w:p>
        </w:tc>
        <w:tc>
          <w:tcPr>
            <w:tcW w:w="1520" w:type="dxa"/>
            <w:vAlign w:val="center"/>
          </w:tcPr>
          <w:p w:rsidR="002622A8" w:rsidRDefault="00DF40FE">
            <w:pPr>
              <w:jc w:val="center"/>
            </w:pPr>
            <w:r>
              <w:rPr>
                <w:rFonts w:hint="eastAsia"/>
                <w:sz w:val="24"/>
              </w:rPr>
              <w:t>2.94</w:t>
            </w:r>
          </w:p>
        </w:tc>
      </w:tr>
      <w:tr w:rsidR="002622A8">
        <w:trPr>
          <w:jc w:val="center"/>
        </w:trPr>
        <w:tc>
          <w:tcPr>
            <w:tcW w:w="768" w:type="dxa"/>
            <w:vAlign w:val="center"/>
          </w:tcPr>
          <w:p w:rsidR="002622A8" w:rsidRDefault="00DF40FE">
            <w:pPr>
              <w:jc w:val="center"/>
            </w:pPr>
            <w:r>
              <w:rPr>
                <w:rFonts w:hint="eastAsia"/>
                <w:sz w:val="24"/>
              </w:rPr>
              <w:t>2</w:t>
            </w:r>
          </w:p>
        </w:tc>
        <w:tc>
          <w:tcPr>
            <w:tcW w:w="1329" w:type="dxa"/>
            <w:vAlign w:val="center"/>
          </w:tcPr>
          <w:p w:rsidR="002622A8" w:rsidRDefault="00DF40FE">
            <w:pPr>
              <w:jc w:val="center"/>
            </w:pPr>
            <w:r>
              <w:rPr>
                <w:rFonts w:hint="eastAsia"/>
                <w:sz w:val="24"/>
              </w:rPr>
              <w:t>111781785</w:t>
            </w:r>
          </w:p>
        </w:tc>
        <w:tc>
          <w:tcPr>
            <w:tcW w:w="1762" w:type="dxa"/>
            <w:vAlign w:val="center"/>
          </w:tcPr>
          <w:p w:rsidR="002622A8" w:rsidRDefault="00DF40FE">
            <w:pPr>
              <w:jc w:val="center"/>
            </w:pPr>
            <w:r>
              <w:rPr>
                <w:rFonts w:hint="eastAsia"/>
                <w:sz w:val="24"/>
              </w:rPr>
              <w:t>17</w:t>
            </w:r>
            <w:r>
              <w:rPr>
                <w:rFonts w:hint="eastAsia"/>
                <w:sz w:val="24"/>
              </w:rPr>
              <w:t>四川天府银行</w:t>
            </w:r>
            <w:r>
              <w:rPr>
                <w:rFonts w:hint="eastAsia"/>
                <w:sz w:val="24"/>
              </w:rPr>
              <w:t>CD123</w:t>
            </w:r>
          </w:p>
        </w:tc>
        <w:tc>
          <w:tcPr>
            <w:tcW w:w="1731" w:type="dxa"/>
            <w:vAlign w:val="center"/>
          </w:tcPr>
          <w:p w:rsidR="002622A8" w:rsidRDefault="00DF40FE">
            <w:pPr>
              <w:jc w:val="center"/>
            </w:pPr>
            <w:r>
              <w:rPr>
                <w:rFonts w:hint="eastAsia"/>
                <w:sz w:val="24"/>
              </w:rPr>
              <w:t>4,500,000</w:t>
            </w:r>
          </w:p>
        </w:tc>
        <w:tc>
          <w:tcPr>
            <w:tcW w:w="1980" w:type="dxa"/>
            <w:vAlign w:val="center"/>
          </w:tcPr>
          <w:p w:rsidR="002622A8" w:rsidRDefault="00DF40FE">
            <w:pPr>
              <w:jc w:val="center"/>
            </w:pPr>
            <w:r>
              <w:rPr>
                <w:rFonts w:hint="eastAsia"/>
                <w:sz w:val="24"/>
              </w:rPr>
              <w:t>448,645,605.06</w:t>
            </w:r>
          </w:p>
        </w:tc>
        <w:tc>
          <w:tcPr>
            <w:tcW w:w="1520" w:type="dxa"/>
            <w:vAlign w:val="center"/>
          </w:tcPr>
          <w:p w:rsidR="002622A8" w:rsidRDefault="00DF40FE">
            <w:pPr>
              <w:jc w:val="center"/>
            </w:pPr>
            <w:r>
              <w:rPr>
                <w:rFonts w:hint="eastAsia"/>
                <w:sz w:val="24"/>
              </w:rPr>
              <w:t>1.91</w:t>
            </w:r>
          </w:p>
        </w:tc>
      </w:tr>
      <w:tr w:rsidR="002622A8">
        <w:trPr>
          <w:jc w:val="center"/>
        </w:trPr>
        <w:tc>
          <w:tcPr>
            <w:tcW w:w="768" w:type="dxa"/>
            <w:vAlign w:val="center"/>
          </w:tcPr>
          <w:p w:rsidR="002622A8" w:rsidRDefault="00DF40FE">
            <w:pPr>
              <w:jc w:val="center"/>
            </w:pPr>
            <w:r>
              <w:rPr>
                <w:rFonts w:hint="eastAsia"/>
                <w:sz w:val="24"/>
              </w:rPr>
              <w:t>3</w:t>
            </w:r>
          </w:p>
        </w:tc>
        <w:tc>
          <w:tcPr>
            <w:tcW w:w="1329" w:type="dxa"/>
            <w:vAlign w:val="center"/>
          </w:tcPr>
          <w:p w:rsidR="002622A8" w:rsidRDefault="00DF40FE">
            <w:pPr>
              <w:jc w:val="center"/>
            </w:pPr>
            <w:r>
              <w:rPr>
                <w:rFonts w:hint="eastAsia"/>
                <w:sz w:val="24"/>
              </w:rPr>
              <w:t>111711539</w:t>
            </w:r>
          </w:p>
        </w:tc>
        <w:tc>
          <w:tcPr>
            <w:tcW w:w="1762" w:type="dxa"/>
            <w:vAlign w:val="center"/>
          </w:tcPr>
          <w:p w:rsidR="002622A8" w:rsidRDefault="00DF40FE">
            <w:pPr>
              <w:jc w:val="center"/>
            </w:pPr>
            <w:r>
              <w:rPr>
                <w:rFonts w:hint="eastAsia"/>
                <w:sz w:val="24"/>
              </w:rPr>
              <w:t>17</w:t>
            </w:r>
            <w:r>
              <w:rPr>
                <w:rFonts w:hint="eastAsia"/>
                <w:sz w:val="24"/>
              </w:rPr>
              <w:t>平安银行</w:t>
            </w:r>
            <w:r>
              <w:rPr>
                <w:rFonts w:hint="eastAsia"/>
                <w:sz w:val="24"/>
              </w:rPr>
              <w:t>CD539</w:t>
            </w:r>
          </w:p>
        </w:tc>
        <w:tc>
          <w:tcPr>
            <w:tcW w:w="1731" w:type="dxa"/>
            <w:vAlign w:val="center"/>
          </w:tcPr>
          <w:p w:rsidR="002622A8" w:rsidRDefault="00DF40FE">
            <w:pPr>
              <w:jc w:val="center"/>
            </w:pPr>
            <w:r>
              <w:rPr>
                <w:rFonts w:hint="eastAsia"/>
                <w:sz w:val="24"/>
              </w:rPr>
              <w:t>4,000,000</w:t>
            </w:r>
          </w:p>
        </w:tc>
        <w:tc>
          <w:tcPr>
            <w:tcW w:w="1980" w:type="dxa"/>
            <w:vAlign w:val="center"/>
          </w:tcPr>
          <w:p w:rsidR="002622A8" w:rsidRDefault="00DF40FE">
            <w:pPr>
              <w:jc w:val="center"/>
            </w:pPr>
            <w:r>
              <w:rPr>
                <w:rFonts w:hint="eastAsia"/>
                <w:sz w:val="24"/>
              </w:rPr>
              <w:t>398,540,327.96</w:t>
            </w:r>
          </w:p>
        </w:tc>
        <w:tc>
          <w:tcPr>
            <w:tcW w:w="1520" w:type="dxa"/>
            <w:vAlign w:val="center"/>
          </w:tcPr>
          <w:p w:rsidR="002622A8" w:rsidRDefault="00DF40FE">
            <w:pPr>
              <w:jc w:val="center"/>
            </w:pPr>
            <w:r>
              <w:rPr>
                <w:rFonts w:hint="eastAsia"/>
                <w:sz w:val="24"/>
              </w:rPr>
              <w:t>1.69</w:t>
            </w:r>
          </w:p>
        </w:tc>
      </w:tr>
      <w:tr w:rsidR="002622A8">
        <w:trPr>
          <w:jc w:val="center"/>
        </w:trPr>
        <w:tc>
          <w:tcPr>
            <w:tcW w:w="768" w:type="dxa"/>
            <w:vAlign w:val="center"/>
          </w:tcPr>
          <w:p w:rsidR="002622A8" w:rsidRDefault="00DF40FE">
            <w:pPr>
              <w:jc w:val="center"/>
            </w:pPr>
            <w:r>
              <w:rPr>
                <w:rFonts w:hint="eastAsia"/>
                <w:sz w:val="24"/>
              </w:rPr>
              <w:t>4</w:t>
            </w:r>
          </w:p>
        </w:tc>
        <w:tc>
          <w:tcPr>
            <w:tcW w:w="1329" w:type="dxa"/>
            <w:vAlign w:val="center"/>
          </w:tcPr>
          <w:p w:rsidR="002622A8" w:rsidRDefault="00DF40FE">
            <w:pPr>
              <w:jc w:val="center"/>
            </w:pPr>
            <w:r>
              <w:rPr>
                <w:rFonts w:hint="eastAsia"/>
                <w:sz w:val="24"/>
              </w:rPr>
              <w:t>111711412</w:t>
            </w:r>
          </w:p>
        </w:tc>
        <w:tc>
          <w:tcPr>
            <w:tcW w:w="1762" w:type="dxa"/>
            <w:vAlign w:val="center"/>
          </w:tcPr>
          <w:p w:rsidR="002622A8" w:rsidRDefault="00DF40FE">
            <w:pPr>
              <w:jc w:val="center"/>
            </w:pPr>
            <w:r>
              <w:rPr>
                <w:rFonts w:hint="eastAsia"/>
                <w:sz w:val="24"/>
              </w:rPr>
              <w:t>17</w:t>
            </w:r>
            <w:r>
              <w:rPr>
                <w:rFonts w:hint="eastAsia"/>
                <w:sz w:val="24"/>
              </w:rPr>
              <w:t>平安银行</w:t>
            </w:r>
            <w:r>
              <w:rPr>
                <w:rFonts w:hint="eastAsia"/>
                <w:sz w:val="24"/>
              </w:rPr>
              <w:t>CD412</w:t>
            </w:r>
          </w:p>
        </w:tc>
        <w:tc>
          <w:tcPr>
            <w:tcW w:w="1731" w:type="dxa"/>
            <w:vAlign w:val="center"/>
          </w:tcPr>
          <w:p w:rsidR="002622A8" w:rsidRDefault="00DF40FE">
            <w:pPr>
              <w:jc w:val="center"/>
            </w:pPr>
            <w:r>
              <w:rPr>
                <w:rFonts w:hint="eastAsia"/>
                <w:sz w:val="24"/>
              </w:rPr>
              <w:t>4,000,000</w:t>
            </w:r>
          </w:p>
        </w:tc>
        <w:tc>
          <w:tcPr>
            <w:tcW w:w="1980" w:type="dxa"/>
            <w:vAlign w:val="center"/>
          </w:tcPr>
          <w:p w:rsidR="002622A8" w:rsidRDefault="00DF40FE">
            <w:pPr>
              <w:jc w:val="center"/>
            </w:pPr>
            <w:r>
              <w:rPr>
                <w:rFonts w:hint="eastAsia"/>
                <w:sz w:val="24"/>
              </w:rPr>
              <w:t>396,100,129.32</w:t>
            </w:r>
          </w:p>
        </w:tc>
        <w:tc>
          <w:tcPr>
            <w:tcW w:w="1520" w:type="dxa"/>
            <w:vAlign w:val="center"/>
          </w:tcPr>
          <w:p w:rsidR="002622A8" w:rsidRDefault="00DF40FE">
            <w:pPr>
              <w:jc w:val="center"/>
            </w:pPr>
            <w:r>
              <w:rPr>
                <w:rFonts w:hint="eastAsia"/>
                <w:sz w:val="24"/>
              </w:rPr>
              <w:t>1.68</w:t>
            </w:r>
          </w:p>
        </w:tc>
      </w:tr>
      <w:tr w:rsidR="002622A8">
        <w:trPr>
          <w:jc w:val="center"/>
        </w:trPr>
        <w:tc>
          <w:tcPr>
            <w:tcW w:w="768" w:type="dxa"/>
            <w:vAlign w:val="center"/>
          </w:tcPr>
          <w:p w:rsidR="002622A8" w:rsidRDefault="00DF40FE">
            <w:pPr>
              <w:jc w:val="center"/>
            </w:pPr>
            <w:r>
              <w:rPr>
                <w:rFonts w:hint="eastAsia"/>
                <w:sz w:val="24"/>
              </w:rPr>
              <w:t>5</w:t>
            </w:r>
          </w:p>
        </w:tc>
        <w:tc>
          <w:tcPr>
            <w:tcW w:w="1329" w:type="dxa"/>
            <w:vAlign w:val="center"/>
          </w:tcPr>
          <w:p w:rsidR="002622A8" w:rsidRDefault="00DF40FE">
            <w:pPr>
              <w:jc w:val="center"/>
            </w:pPr>
            <w:r>
              <w:rPr>
                <w:rFonts w:hint="eastAsia"/>
                <w:sz w:val="24"/>
              </w:rPr>
              <w:t>111709511</w:t>
            </w:r>
          </w:p>
        </w:tc>
        <w:tc>
          <w:tcPr>
            <w:tcW w:w="1762" w:type="dxa"/>
            <w:vAlign w:val="center"/>
          </w:tcPr>
          <w:p w:rsidR="002622A8" w:rsidRDefault="00DF40FE">
            <w:pPr>
              <w:jc w:val="center"/>
            </w:pPr>
            <w:r>
              <w:rPr>
                <w:rFonts w:hint="eastAsia"/>
                <w:sz w:val="24"/>
              </w:rPr>
              <w:t>17</w:t>
            </w:r>
            <w:r>
              <w:rPr>
                <w:rFonts w:hint="eastAsia"/>
                <w:sz w:val="24"/>
              </w:rPr>
              <w:t>浦发银行</w:t>
            </w:r>
            <w:r>
              <w:rPr>
                <w:rFonts w:hint="eastAsia"/>
                <w:sz w:val="24"/>
              </w:rPr>
              <w:t>CD511</w:t>
            </w:r>
          </w:p>
        </w:tc>
        <w:tc>
          <w:tcPr>
            <w:tcW w:w="1731" w:type="dxa"/>
            <w:vAlign w:val="center"/>
          </w:tcPr>
          <w:p w:rsidR="002622A8" w:rsidRDefault="00DF40FE">
            <w:pPr>
              <w:jc w:val="center"/>
            </w:pPr>
            <w:r>
              <w:rPr>
                <w:rFonts w:hint="eastAsia"/>
                <w:sz w:val="24"/>
              </w:rPr>
              <w:t>4,000,000</w:t>
            </w:r>
          </w:p>
        </w:tc>
        <w:tc>
          <w:tcPr>
            <w:tcW w:w="1980" w:type="dxa"/>
            <w:vAlign w:val="center"/>
          </w:tcPr>
          <w:p w:rsidR="002622A8" w:rsidRDefault="00DF40FE">
            <w:pPr>
              <w:jc w:val="center"/>
            </w:pPr>
            <w:r>
              <w:rPr>
                <w:rFonts w:hint="eastAsia"/>
                <w:sz w:val="24"/>
              </w:rPr>
              <w:t>395,636,226.33</w:t>
            </w:r>
          </w:p>
        </w:tc>
        <w:tc>
          <w:tcPr>
            <w:tcW w:w="1520" w:type="dxa"/>
            <w:vAlign w:val="center"/>
          </w:tcPr>
          <w:p w:rsidR="002622A8" w:rsidRDefault="00DF40FE">
            <w:pPr>
              <w:jc w:val="center"/>
            </w:pPr>
            <w:r>
              <w:rPr>
                <w:rFonts w:hint="eastAsia"/>
                <w:sz w:val="24"/>
              </w:rPr>
              <w:t>1.68</w:t>
            </w:r>
          </w:p>
        </w:tc>
      </w:tr>
      <w:tr w:rsidR="002622A8">
        <w:trPr>
          <w:jc w:val="center"/>
        </w:trPr>
        <w:tc>
          <w:tcPr>
            <w:tcW w:w="768" w:type="dxa"/>
            <w:vAlign w:val="center"/>
          </w:tcPr>
          <w:p w:rsidR="002622A8" w:rsidRDefault="00DF40FE">
            <w:pPr>
              <w:jc w:val="center"/>
            </w:pPr>
            <w:r>
              <w:rPr>
                <w:rFonts w:hint="eastAsia"/>
                <w:sz w:val="24"/>
              </w:rPr>
              <w:lastRenderedPageBreak/>
              <w:t>6</w:t>
            </w:r>
          </w:p>
        </w:tc>
        <w:tc>
          <w:tcPr>
            <w:tcW w:w="1329" w:type="dxa"/>
            <w:vAlign w:val="center"/>
          </w:tcPr>
          <w:p w:rsidR="002622A8" w:rsidRDefault="00DF40FE">
            <w:pPr>
              <w:jc w:val="center"/>
            </w:pPr>
            <w:r>
              <w:rPr>
                <w:rFonts w:hint="eastAsia"/>
                <w:sz w:val="24"/>
              </w:rPr>
              <w:t>111719418</w:t>
            </w:r>
          </w:p>
        </w:tc>
        <w:tc>
          <w:tcPr>
            <w:tcW w:w="1762" w:type="dxa"/>
            <w:vAlign w:val="center"/>
          </w:tcPr>
          <w:p w:rsidR="002622A8" w:rsidRDefault="00DF40FE">
            <w:pPr>
              <w:jc w:val="center"/>
            </w:pPr>
            <w:r>
              <w:rPr>
                <w:rFonts w:hint="eastAsia"/>
                <w:sz w:val="24"/>
              </w:rPr>
              <w:t>17</w:t>
            </w:r>
            <w:r>
              <w:rPr>
                <w:rFonts w:hint="eastAsia"/>
                <w:sz w:val="24"/>
              </w:rPr>
              <w:t>恒丰银行</w:t>
            </w:r>
            <w:r>
              <w:rPr>
                <w:rFonts w:hint="eastAsia"/>
                <w:sz w:val="24"/>
              </w:rPr>
              <w:t>CD418</w:t>
            </w:r>
          </w:p>
        </w:tc>
        <w:tc>
          <w:tcPr>
            <w:tcW w:w="1731" w:type="dxa"/>
            <w:vAlign w:val="center"/>
          </w:tcPr>
          <w:p w:rsidR="002622A8" w:rsidRDefault="00DF40FE">
            <w:pPr>
              <w:jc w:val="center"/>
            </w:pPr>
            <w:r>
              <w:rPr>
                <w:rFonts w:hint="eastAsia"/>
                <w:sz w:val="24"/>
              </w:rPr>
              <w:t>4,000,000</w:t>
            </w:r>
          </w:p>
        </w:tc>
        <w:tc>
          <w:tcPr>
            <w:tcW w:w="1980" w:type="dxa"/>
            <w:vAlign w:val="center"/>
          </w:tcPr>
          <w:p w:rsidR="002622A8" w:rsidRDefault="00DF40FE">
            <w:pPr>
              <w:jc w:val="center"/>
            </w:pPr>
            <w:r>
              <w:rPr>
                <w:rFonts w:hint="eastAsia"/>
                <w:sz w:val="24"/>
              </w:rPr>
              <w:t>395,215,643.88</w:t>
            </w:r>
          </w:p>
        </w:tc>
        <w:tc>
          <w:tcPr>
            <w:tcW w:w="1520" w:type="dxa"/>
            <w:vAlign w:val="center"/>
          </w:tcPr>
          <w:p w:rsidR="002622A8" w:rsidRDefault="00DF40FE">
            <w:pPr>
              <w:jc w:val="center"/>
            </w:pPr>
            <w:r>
              <w:rPr>
                <w:rFonts w:hint="eastAsia"/>
                <w:sz w:val="24"/>
              </w:rPr>
              <w:t>1.68</w:t>
            </w:r>
          </w:p>
        </w:tc>
      </w:tr>
      <w:tr w:rsidR="002622A8">
        <w:trPr>
          <w:jc w:val="center"/>
        </w:trPr>
        <w:tc>
          <w:tcPr>
            <w:tcW w:w="768" w:type="dxa"/>
            <w:vAlign w:val="center"/>
          </w:tcPr>
          <w:p w:rsidR="002622A8" w:rsidRDefault="00DF40FE">
            <w:pPr>
              <w:jc w:val="center"/>
            </w:pPr>
            <w:r>
              <w:rPr>
                <w:rFonts w:hint="eastAsia"/>
                <w:sz w:val="24"/>
              </w:rPr>
              <w:t>7</w:t>
            </w:r>
          </w:p>
        </w:tc>
        <w:tc>
          <w:tcPr>
            <w:tcW w:w="1329" w:type="dxa"/>
            <w:vAlign w:val="center"/>
          </w:tcPr>
          <w:p w:rsidR="002622A8" w:rsidRDefault="00DF40FE">
            <w:pPr>
              <w:jc w:val="center"/>
            </w:pPr>
            <w:r>
              <w:rPr>
                <w:rFonts w:hint="eastAsia"/>
                <w:sz w:val="24"/>
              </w:rPr>
              <w:t>111711247</w:t>
            </w:r>
          </w:p>
        </w:tc>
        <w:tc>
          <w:tcPr>
            <w:tcW w:w="1762" w:type="dxa"/>
            <w:vAlign w:val="center"/>
          </w:tcPr>
          <w:p w:rsidR="002622A8" w:rsidRDefault="00DF40FE">
            <w:pPr>
              <w:jc w:val="center"/>
            </w:pPr>
            <w:r>
              <w:rPr>
                <w:rFonts w:hint="eastAsia"/>
                <w:sz w:val="24"/>
              </w:rPr>
              <w:t>17</w:t>
            </w:r>
            <w:r>
              <w:rPr>
                <w:rFonts w:hint="eastAsia"/>
                <w:sz w:val="24"/>
              </w:rPr>
              <w:t>平安银行</w:t>
            </w:r>
            <w:r>
              <w:rPr>
                <w:rFonts w:hint="eastAsia"/>
                <w:sz w:val="24"/>
              </w:rPr>
              <w:t>CD247</w:t>
            </w:r>
          </w:p>
        </w:tc>
        <w:tc>
          <w:tcPr>
            <w:tcW w:w="1731" w:type="dxa"/>
            <w:vAlign w:val="center"/>
          </w:tcPr>
          <w:p w:rsidR="002622A8" w:rsidRDefault="00DF40FE">
            <w:pPr>
              <w:jc w:val="center"/>
            </w:pPr>
            <w:r>
              <w:rPr>
                <w:rFonts w:hint="eastAsia"/>
                <w:sz w:val="24"/>
              </w:rPr>
              <w:t>3,500,000</w:t>
            </w:r>
          </w:p>
        </w:tc>
        <w:tc>
          <w:tcPr>
            <w:tcW w:w="1980" w:type="dxa"/>
            <w:vAlign w:val="center"/>
          </w:tcPr>
          <w:p w:rsidR="002622A8" w:rsidRDefault="00DF40FE">
            <w:pPr>
              <w:jc w:val="center"/>
            </w:pPr>
            <w:r>
              <w:rPr>
                <w:rFonts w:hint="eastAsia"/>
                <w:sz w:val="24"/>
              </w:rPr>
              <w:t>342,120,242.86</w:t>
            </w:r>
          </w:p>
        </w:tc>
        <w:tc>
          <w:tcPr>
            <w:tcW w:w="1520" w:type="dxa"/>
            <w:vAlign w:val="center"/>
          </w:tcPr>
          <w:p w:rsidR="002622A8" w:rsidRDefault="00DF40FE">
            <w:pPr>
              <w:jc w:val="center"/>
            </w:pPr>
            <w:r>
              <w:rPr>
                <w:rFonts w:hint="eastAsia"/>
                <w:sz w:val="24"/>
              </w:rPr>
              <w:t>1.45</w:t>
            </w:r>
          </w:p>
        </w:tc>
      </w:tr>
      <w:tr w:rsidR="002622A8">
        <w:trPr>
          <w:jc w:val="center"/>
        </w:trPr>
        <w:tc>
          <w:tcPr>
            <w:tcW w:w="768" w:type="dxa"/>
            <w:vAlign w:val="center"/>
          </w:tcPr>
          <w:p w:rsidR="002622A8" w:rsidRDefault="00DF40FE">
            <w:pPr>
              <w:jc w:val="center"/>
            </w:pPr>
            <w:r>
              <w:rPr>
                <w:rFonts w:hint="eastAsia"/>
                <w:sz w:val="24"/>
              </w:rPr>
              <w:t>8</w:t>
            </w:r>
          </w:p>
        </w:tc>
        <w:tc>
          <w:tcPr>
            <w:tcW w:w="1329" w:type="dxa"/>
            <w:vAlign w:val="center"/>
          </w:tcPr>
          <w:p w:rsidR="002622A8" w:rsidRDefault="00DF40FE">
            <w:pPr>
              <w:jc w:val="center"/>
            </w:pPr>
            <w:r>
              <w:rPr>
                <w:rFonts w:hint="eastAsia"/>
                <w:sz w:val="24"/>
              </w:rPr>
              <w:t>111709243</w:t>
            </w:r>
          </w:p>
        </w:tc>
        <w:tc>
          <w:tcPr>
            <w:tcW w:w="1762" w:type="dxa"/>
            <w:vAlign w:val="center"/>
          </w:tcPr>
          <w:p w:rsidR="002622A8" w:rsidRDefault="00DF40FE">
            <w:pPr>
              <w:jc w:val="center"/>
            </w:pPr>
            <w:r>
              <w:rPr>
                <w:rFonts w:hint="eastAsia"/>
                <w:sz w:val="24"/>
              </w:rPr>
              <w:t>17</w:t>
            </w:r>
            <w:r>
              <w:rPr>
                <w:rFonts w:hint="eastAsia"/>
                <w:sz w:val="24"/>
              </w:rPr>
              <w:t>浦发银行</w:t>
            </w:r>
            <w:r>
              <w:rPr>
                <w:rFonts w:hint="eastAsia"/>
                <w:sz w:val="24"/>
              </w:rPr>
              <w:t>CD243</w:t>
            </w:r>
          </w:p>
        </w:tc>
        <w:tc>
          <w:tcPr>
            <w:tcW w:w="1731" w:type="dxa"/>
            <w:vAlign w:val="center"/>
          </w:tcPr>
          <w:p w:rsidR="002622A8" w:rsidRDefault="00DF40FE">
            <w:pPr>
              <w:jc w:val="center"/>
            </w:pPr>
            <w:r>
              <w:rPr>
                <w:rFonts w:hint="eastAsia"/>
                <w:sz w:val="24"/>
              </w:rPr>
              <w:t>3,250,000</w:t>
            </w:r>
          </w:p>
        </w:tc>
        <w:tc>
          <w:tcPr>
            <w:tcW w:w="1980" w:type="dxa"/>
            <w:vAlign w:val="center"/>
          </w:tcPr>
          <w:p w:rsidR="002622A8" w:rsidRDefault="00DF40FE">
            <w:pPr>
              <w:jc w:val="center"/>
            </w:pPr>
            <w:r>
              <w:rPr>
                <w:rFonts w:hint="eastAsia"/>
                <w:sz w:val="24"/>
              </w:rPr>
              <w:t>318,592,614.90</w:t>
            </w:r>
          </w:p>
        </w:tc>
        <w:tc>
          <w:tcPr>
            <w:tcW w:w="1520" w:type="dxa"/>
            <w:vAlign w:val="center"/>
          </w:tcPr>
          <w:p w:rsidR="002622A8" w:rsidRDefault="00DF40FE">
            <w:pPr>
              <w:jc w:val="center"/>
            </w:pPr>
            <w:r>
              <w:rPr>
                <w:rFonts w:hint="eastAsia"/>
                <w:sz w:val="24"/>
              </w:rPr>
              <w:t>1.35</w:t>
            </w:r>
          </w:p>
        </w:tc>
      </w:tr>
      <w:tr w:rsidR="002622A8">
        <w:trPr>
          <w:jc w:val="center"/>
        </w:trPr>
        <w:tc>
          <w:tcPr>
            <w:tcW w:w="768" w:type="dxa"/>
            <w:vAlign w:val="center"/>
          </w:tcPr>
          <w:p w:rsidR="002622A8" w:rsidRDefault="00DF40FE">
            <w:pPr>
              <w:jc w:val="center"/>
            </w:pPr>
            <w:r>
              <w:rPr>
                <w:rFonts w:hint="eastAsia"/>
                <w:sz w:val="24"/>
              </w:rPr>
              <w:t>9</w:t>
            </w:r>
          </w:p>
        </w:tc>
        <w:tc>
          <w:tcPr>
            <w:tcW w:w="1329" w:type="dxa"/>
            <w:vAlign w:val="center"/>
          </w:tcPr>
          <w:p w:rsidR="002622A8" w:rsidRDefault="00DF40FE">
            <w:pPr>
              <w:jc w:val="center"/>
            </w:pPr>
            <w:r>
              <w:rPr>
                <w:rFonts w:hint="eastAsia"/>
                <w:sz w:val="24"/>
              </w:rPr>
              <w:t>111780818</w:t>
            </w:r>
          </w:p>
        </w:tc>
        <w:tc>
          <w:tcPr>
            <w:tcW w:w="1762" w:type="dxa"/>
            <w:vAlign w:val="center"/>
          </w:tcPr>
          <w:p w:rsidR="002622A8" w:rsidRDefault="00DF40FE">
            <w:pPr>
              <w:jc w:val="center"/>
            </w:pPr>
            <w:r>
              <w:rPr>
                <w:rFonts w:hint="eastAsia"/>
                <w:sz w:val="24"/>
              </w:rPr>
              <w:t>17</w:t>
            </w:r>
            <w:r>
              <w:rPr>
                <w:rFonts w:hint="eastAsia"/>
                <w:sz w:val="24"/>
              </w:rPr>
              <w:t>温州银行</w:t>
            </w:r>
            <w:r>
              <w:rPr>
                <w:rFonts w:hint="eastAsia"/>
                <w:sz w:val="24"/>
              </w:rPr>
              <w:t>CD149</w:t>
            </w:r>
          </w:p>
        </w:tc>
        <w:tc>
          <w:tcPr>
            <w:tcW w:w="1731" w:type="dxa"/>
            <w:vAlign w:val="center"/>
          </w:tcPr>
          <w:p w:rsidR="002622A8" w:rsidRDefault="00DF40FE">
            <w:pPr>
              <w:jc w:val="center"/>
            </w:pPr>
            <w:r>
              <w:rPr>
                <w:rFonts w:hint="eastAsia"/>
                <w:sz w:val="24"/>
              </w:rPr>
              <w:t>3,000,000</w:t>
            </w:r>
          </w:p>
        </w:tc>
        <w:tc>
          <w:tcPr>
            <w:tcW w:w="1980" w:type="dxa"/>
            <w:vAlign w:val="center"/>
          </w:tcPr>
          <w:p w:rsidR="002622A8" w:rsidRDefault="00DF40FE">
            <w:pPr>
              <w:jc w:val="center"/>
            </w:pPr>
            <w:r>
              <w:rPr>
                <w:rFonts w:hint="eastAsia"/>
                <w:sz w:val="24"/>
              </w:rPr>
              <w:t>299,671,498.86</w:t>
            </w:r>
          </w:p>
        </w:tc>
        <w:tc>
          <w:tcPr>
            <w:tcW w:w="1520" w:type="dxa"/>
            <w:vAlign w:val="center"/>
          </w:tcPr>
          <w:p w:rsidR="002622A8" w:rsidRDefault="00DF40FE">
            <w:pPr>
              <w:jc w:val="center"/>
            </w:pPr>
            <w:r>
              <w:rPr>
                <w:rFonts w:hint="eastAsia"/>
                <w:sz w:val="24"/>
              </w:rPr>
              <w:t>1.27</w:t>
            </w:r>
          </w:p>
        </w:tc>
      </w:tr>
      <w:tr w:rsidR="002622A8">
        <w:trPr>
          <w:jc w:val="center"/>
        </w:trPr>
        <w:tc>
          <w:tcPr>
            <w:tcW w:w="768" w:type="dxa"/>
            <w:vAlign w:val="center"/>
          </w:tcPr>
          <w:p w:rsidR="002622A8" w:rsidRDefault="00DF40FE">
            <w:pPr>
              <w:jc w:val="center"/>
            </w:pPr>
            <w:r>
              <w:rPr>
                <w:rFonts w:hint="eastAsia"/>
                <w:sz w:val="24"/>
              </w:rPr>
              <w:t>10</w:t>
            </w:r>
          </w:p>
        </w:tc>
        <w:tc>
          <w:tcPr>
            <w:tcW w:w="1329" w:type="dxa"/>
            <w:vAlign w:val="center"/>
          </w:tcPr>
          <w:p w:rsidR="002622A8" w:rsidRDefault="00DF40FE">
            <w:pPr>
              <w:jc w:val="center"/>
            </w:pPr>
            <w:r>
              <w:rPr>
                <w:rFonts w:hint="eastAsia"/>
                <w:sz w:val="24"/>
              </w:rPr>
              <w:t>111771778</w:t>
            </w:r>
          </w:p>
        </w:tc>
        <w:tc>
          <w:tcPr>
            <w:tcW w:w="1762" w:type="dxa"/>
            <w:vAlign w:val="center"/>
          </w:tcPr>
          <w:p w:rsidR="002622A8" w:rsidRDefault="00DF40FE">
            <w:pPr>
              <w:jc w:val="center"/>
            </w:pPr>
            <w:r>
              <w:rPr>
                <w:rFonts w:hint="eastAsia"/>
                <w:sz w:val="24"/>
              </w:rPr>
              <w:t>17</w:t>
            </w:r>
            <w:r>
              <w:rPr>
                <w:rFonts w:hint="eastAsia"/>
                <w:sz w:val="24"/>
              </w:rPr>
              <w:t>东莞农村商业银行</w:t>
            </w:r>
            <w:r>
              <w:rPr>
                <w:rFonts w:hint="eastAsia"/>
                <w:sz w:val="24"/>
              </w:rPr>
              <w:t>CD112</w:t>
            </w:r>
          </w:p>
        </w:tc>
        <w:tc>
          <w:tcPr>
            <w:tcW w:w="1731" w:type="dxa"/>
            <w:vAlign w:val="center"/>
          </w:tcPr>
          <w:p w:rsidR="002622A8" w:rsidRDefault="00DF40FE">
            <w:pPr>
              <w:jc w:val="center"/>
            </w:pPr>
            <w:r>
              <w:rPr>
                <w:rFonts w:hint="eastAsia"/>
                <w:sz w:val="24"/>
              </w:rPr>
              <w:t>3,000,000</w:t>
            </w:r>
          </w:p>
        </w:tc>
        <w:tc>
          <w:tcPr>
            <w:tcW w:w="1980" w:type="dxa"/>
            <w:vAlign w:val="center"/>
          </w:tcPr>
          <w:p w:rsidR="002622A8" w:rsidRDefault="00DF40FE">
            <w:pPr>
              <w:jc w:val="center"/>
            </w:pPr>
            <w:r>
              <w:rPr>
                <w:rFonts w:hint="eastAsia"/>
                <w:sz w:val="24"/>
              </w:rPr>
              <w:t>296,525,476.39</w:t>
            </w:r>
          </w:p>
        </w:tc>
        <w:tc>
          <w:tcPr>
            <w:tcW w:w="1520" w:type="dxa"/>
            <w:vAlign w:val="center"/>
          </w:tcPr>
          <w:p w:rsidR="002622A8" w:rsidRDefault="00DF40FE">
            <w:pPr>
              <w:jc w:val="center"/>
            </w:pPr>
            <w:r>
              <w:rPr>
                <w:rFonts w:hint="eastAsia"/>
                <w:sz w:val="24"/>
              </w:rPr>
              <w:t>1.26</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57" w:name="_Toc331410108"/>
      <w:bookmarkStart w:id="58" w:name="_Toc509581504"/>
      <w:r w:rsidRPr="00473EE3">
        <w:rPr>
          <w:rFonts w:ascii="Times New Roman" w:hAnsi="Times New Roman" w:cs="Times New Roman" w:hint="eastAsia"/>
          <w:kern w:val="0"/>
          <w:szCs w:val="24"/>
        </w:rPr>
        <w:t>8.7</w:t>
      </w:r>
      <w:bookmarkEnd w:id="57"/>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58"/>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0.1093%</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-0.0805%</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0.0217%</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w:t>
      </w:r>
      <w:r w:rsidR="004B6FE7" w:rsidRPr="004B6FE7">
        <w:rPr>
          <w:rFonts w:hint="eastAsia"/>
          <w:sz w:val="24"/>
        </w:rPr>
        <w:t>负</w:t>
      </w:r>
      <w:r w:rsidRPr="007F5DE6">
        <w:rPr>
          <w:rFonts w:hint="eastAsia"/>
          <w:sz w:val="24"/>
        </w:rPr>
        <w:t>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59" w:name="_Toc331410109"/>
      <w:bookmarkStart w:id="60" w:name="_Toc509581505"/>
      <w:r w:rsidRPr="00911FFE">
        <w:rPr>
          <w:rFonts w:ascii="Times New Roman" w:hAnsi="Times New Roman" w:cs="Times New Roman" w:hint="eastAsia"/>
          <w:kern w:val="0"/>
          <w:szCs w:val="24"/>
        </w:rPr>
        <w:t>8.8</w:t>
      </w:r>
      <w:bookmarkEnd w:id="59"/>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60"/>
    </w:p>
    <w:p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61" w:name="_Toc331410110"/>
      <w:bookmarkStart w:id="62" w:name="_Toc509581506"/>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61"/>
      <w:bookmarkEnd w:id="62"/>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lastRenderedPageBreak/>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60,874,030.42</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26,265,454.76</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87,139,485.18</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63" w:name="_Toc331410111"/>
      <w:bookmarkStart w:id="64" w:name="_Toc225500050"/>
      <w:bookmarkStart w:id="65" w:name="_Toc509581507"/>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63"/>
      <w:bookmarkEnd w:id="64"/>
      <w:bookmarkEnd w:id="65"/>
    </w:p>
    <w:p w:rsidR="00A66BB5" w:rsidRPr="00D94234" w:rsidRDefault="00A66BB5" w:rsidP="00D94234">
      <w:pPr>
        <w:pStyle w:val="20"/>
        <w:spacing w:before="29" w:after="0" w:line="288" w:lineRule="auto"/>
        <w:rPr>
          <w:rFonts w:ascii="Times New Roman" w:hAnsi="Times New Roman" w:cs="Times New Roman"/>
          <w:kern w:val="0"/>
          <w:szCs w:val="24"/>
        </w:rPr>
      </w:pPr>
      <w:bookmarkStart w:id="66" w:name="_Toc331410112"/>
      <w:bookmarkStart w:id="67" w:name="_Toc225500051"/>
      <w:bookmarkStart w:id="68" w:name="_Toc509581508"/>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66"/>
      <w:bookmarkEnd w:id="67"/>
      <w:bookmarkEnd w:id="68"/>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交银天鑫宝货币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11,626</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8,146.99</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1,454.90</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94,715,471.40</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100.00%</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交银天鑫宝货币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28</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837,526,245.51</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23,450,734,874.15</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11,654</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2,020,375.13</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23,450,736,329.05</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99.60%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94,715,471.40</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0.40%</w:t>
            </w:r>
          </w:p>
        </w:tc>
      </w:tr>
    </w:tbl>
    <w:p w:rsidR="00A66BB5" w:rsidRPr="000108F8" w:rsidRDefault="00A66BB5" w:rsidP="004B36C2">
      <w:pPr>
        <w:spacing w:line="360" w:lineRule="auto"/>
        <w:rPr>
          <w:rFonts w:asciiTheme="minorEastAsia" w:eastAsiaTheme="minorEastAsia" w:hAnsiTheme="minorEastAsia"/>
          <w:szCs w:val="21"/>
        </w:rPr>
      </w:pPr>
    </w:p>
    <w:p w:rsidR="001B0E7B" w:rsidRDefault="001B0E7B" w:rsidP="001B0E7B">
      <w:pPr>
        <w:pStyle w:val="20"/>
        <w:spacing w:beforeLines="100" w:before="312" w:after="0"/>
        <w:rPr>
          <w:rFonts w:ascii="Times New Roman" w:eastAsiaTheme="minorEastAsia" w:hAnsi="Times New Roman"/>
          <w:color w:val="000000" w:themeColor="text1"/>
          <w:kern w:val="0"/>
          <w:sz w:val="21"/>
          <w:szCs w:val="21"/>
        </w:rPr>
      </w:pPr>
      <w:bookmarkStart w:id="69" w:name="_Toc509581509"/>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69"/>
    </w:p>
    <w:tbl>
      <w:tblPr>
        <w:tblStyle w:val="af7"/>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2622A8">
        <w:tc>
          <w:tcPr>
            <w:tcW w:w="0" w:type="auto"/>
            <w:vAlign w:val="center"/>
          </w:tcPr>
          <w:p w:rsidR="002622A8" w:rsidRDefault="00DF40FE">
            <w:pPr>
              <w:jc w:val="right"/>
            </w:pPr>
            <w:r>
              <w:rPr>
                <w:rFonts w:eastAsiaTheme="minorEastAsia"/>
                <w:color w:val="000000" w:themeColor="text1"/>
                <w:szCs w:val="21"/>
              </w:rPr>
              <w:t>1</w:t>
            </w:r>
          </w:p>
        </w:tc>
        <w:tc>
          <w:tcPr>
            <w:tcW w:w="0" w:type="auto"/>
            <w:vAlign w:val="center"/>
          </w:tcPr>
          <w:p w:rsidR="002622A8" w:rsidRDefault="00DF40FE">
            <w:pPr>
              <w:jc w:val="right"/>
            </w:pPr>
            <w:r>
              <w:rPr>
                <w:rFonts w:eastAsiaTheme="minorEastAsia"/>
                <w:color w:val="000000" w:themeColor="text1"/>
                <w:szCs w:val="21"/>
              </w:rPr>
              <w:t>银行类机构</w:t>
            </w:r>
          </w:p>
        </w:tc>
        <w:tc>
          <w:tcPr>
            <w:tcW w:w="0" w:type="auto"/>
            <w:vAlign w:val="center"/>
          </w:tcPr>
          <w:p w:rsidR="002622A8" w:rsidRPr="00EA67AC" w:rsidRDefault="00EA67AC">
            <w:pPr>
              <w:jc w:val="right"/>
            </w:pPr>
            <w:r w:rsidRPr="00EA67AC">
              <w:t>7,008,112,585.21</w:t>
            </w:r>
          </w:p>
        </w:tc>
        <w:tc>
          <w:tcPr>
            <w:tcW w:w="0" w:type="auto"/>
            <w:vAlign w:val="center"/>
          </w:tcPr>
          <w:p w:rsidR="002622A8" w:rsidRDefault="00DF40FE">
            <w:pPr>
              <w:jc w:val="right"/>
            </w:pPr>
            <w:r>
              <w:rPr>
                <w:rFonts w:eastAsiaTheme="minorEastAsia"/>
                <w:color w:val="000000" w:themeColor="text1"/>
                <w:szCs w:val="21"/>
              </w:rPr>
              <w:t>29.76%</w:t>
            </w:r>
          </w:p>
        </w:tc>
      </w:tr>
      <w:tr w:rsidR="002622A8">
        <w:tc>
          <w:tcPr>
            <w:tcW w:w="0" w:type="auto"/>
            <w:vAlign w:val="center"/>
          </w:tcPr>
          <w:p w:rsidR="002622A8" w:rsidRDefault="00DF40FE">
            <w:pPr>
              <w:jc w:val="right"/>
            </w:pPr>
            <w:r>
              <w:rPr>
                <w:rFonts w:eastAsiaTheme="minorEastAsia"/>
                <w:color w:val="000000" w:themeColor="text1"/>
                <w:szCs w:val="21"/>
              </w:rPr>
              <w:t>2</w:t>
            </w:r>
          </w:p>
        </w:tc>
        <w:tc>
          <w:tcPr>
            <w:tcW w:w="0" w:type="auto"/>
            <w:vAlign w:val="center"/>
          </w:tcPr>
          <w:p w:rsidR="002622A8" w:rsidRDefault="00DF40FE">
            <w:pPr>
              <w:jc w:val="right"/>
            </w:pPr>
            <w:r>
              <w:rPr>
                <w:rFonts w:eastAsiaTheme="minorEastAsia"/>
                <w:color w:val="000000" w:themeColor="text1"/>
                <w:szCs w:val="21"/>
              </w:rPr>
              <w:t>其他机构</w:t>
            </w:r>
          </w:p>
        </w:tc>
        <w:tc>
          <w:tcPr>
            <w:tcW w:w="0" w:type="auto"/>
            <w:vAlign w:val="center"/>
          </w:tcPr>
          <w:p w:rsidR="002622A8" w:rsidRDefault="00DF40FE">
            <w:pPr>
              <w:jc w:val="right"/>
            </w:pPr>
            <w:r>
              <w:rPr>
                <w:rFonts w:eastAsiaTheme="minorEastAsia"/>
                <w:color w:val="000000" w:themeColor="text1"/>
                <w:szCs w:val="21"/>
              </w:rPr>
              <w:t>3,073,003,451.00</w:t>
            </w:r>
          </w:p>
        </w:tc>
        <w:tc>
          <w:tcPr>
            <w:tcW w:w="0" w:type="auto"/>
            <w:vAlign w:val="center"/>
          </w:tcPr>
          <w:p w:rsidR="002622A8" w:rsidRDefault="00DF40FE">
            <w:pPr>
              <w:jc w:val="right"/>
            </w:pPr>
            <w:r>
              <w:rPr>
                <w:rFonts w:eastAsiaTheme="minorEastAsia"/>
                <w:color w:val="000000" w:themeColor="text1"/>
                <w:szCs w:val="21"/>
              </w:rPr>
              <w:t>13.05%</w:t>
            </w:r>
          </w:p>
        </w:tc>
      </w:tr>
      <w:tr w:rsidR="002622A8">
        <w:tc>
          <w:tcPr>
            <w:tcW w:w="0" w:type="auto"/>
            <w:vAlign w:val="center"/>
          </w:tcPr>
          <w:p w:rsidR="002622A8" w:rsidRDefault="00DF40FE">
            <w:pPr>
              <w:jc w:val="right"/>
            </w:pPr>
            <w:r>
              <w:rPr>
                <w:rFonts w:eastAsiaTheme="minorEastAsia"/>
                <w:color w:val="000000" w:themeColor="text1"/>
                <w:szCs w:val="21"/>
              </w:rPr>
              <w:t>3</w:t>
            </w:r>
          </w:p>
        </w:tc>
        <w:tc>
          <w:tcPr>
            <w:tcW w:w="0" w:type="auto"/>
            <w:vAlign w:val="center"/>
          </w:tcPr>
          <w:p w:rsidR="002622A8" w:rsidRDefault="00DF40FE">
            <w:pPr>
              <w:jc w:val="right"/>
            </w:pPr>
            <w:r>
              <w:rPr>
                <w:rFonts w:eastAsiaTheme="minorEastAsia"/>
                <w:color w:val="000000" w:themeColor="text1"/>
                <w:szCs w:val="21"/>
              </w:rPr>
              <w:t>银行类机构</w:t>
            </w:r>
          </w:p>
        </w:tc>
        <w:tc>
          <w:tcPr>
            <w:tcW w:w="0" w:type="auto"/>
            <w:vAlign w:val="center"/>
          </w:tcPr>
          <w:p w:rsidR="002622A8" w:rsidRDefault="00DF40FE">
            <w:pPr>
              <w:jc w:val="right"/>
            </w:pPr>
            <w:r>
              <w:rPr>
                <w:rFonts w:eastAsiaTheme="minorEastAsia"/>
                <w:color w:val="000000" w:themeColor="text1"/>
                <w:szCs w:val="21"/>
              </w:rPr>
              <w:t>3,025,162,546.00</w:t>
            </w:r>
          </w:p>
        </w:tc>
        <w:tc>
          <w:tcPr>
            <w:tcW w:w="0" w:type="auto"/>
            <w:vAlign w:val="center"/>
          </w:tcPr>
          <w:p w:rsidR="002622A8" w:rsidRDefault="00DF40FE">
            <w:pPr>
              <w:jc w:val="right"/>
            </w:pPr>
            <w:r>
              <w:rPr>
                <w:rFonts w:eastAsiaTheme="minorEastAsia"/>
                <w:color w:val="000000" w:themeColor="text1"/>
                <w:szCs w:val="21"/>
              </w:rPr>
              <w:t>12.85%</w:t>
            </w:r>
          </w:p>
        </w:tc>
      </w:tr>
      <w:tr w:rsidR="002622A8">
        <w:tc>
          <w:tcPr>
            <w:tcW w:w="0" w:type="auto"/>
            <w:vAlign w:val="center"/>
          </w:tcPr>
          <w:p w:rsidR="002622A8" w:rsidRDefault="00DF40FE">
            <w:pPr>
              <w:jc w:val="right"/>
            </w:pPr>
            <w:r>
              <w:rPr>
                <w:rFonts w:eastAsiaTheme="minorEastAsia"/>
                <w:color w:val="000000" w:themeColor="text1"/>
                <w:szCs w:val="21"/>
              </w:rPr>
              <w:t>4</w:t>
            </w:r>
          </w:p>
        </w:tc>
        <w:tc>
          <w:tcPr>
            <w:tcW w:w="0" w:type="auto"/>
            <w:vAlign w:val="center"/>
          </w:tcPr>
          <w:p w:rsidR="002622A8" w:rsidRDefault="00DF40FE">
            <w:pPr>
              <w:jc w:val="right"/>
            </w:pPr>
            <w:r>
              <w:rPr>
                <w:rFonts w:eastAsiaTheme="minorEastAsia"/>
                <w:color w:val="000000" w:themeColor="text1"/>
                <w:szCs w:val="21"/>
              </w:rPr>
              <w:t>银行类机构</w:t>
            </w:r>
          </w:p>
        </w:tc>
        <w:tc>
          <w:tcPr>
            <w:tcW w:w="0" w:type="auto"/>
            <w:vAlign w:val="center"/>
          </w:tcPr>
          <w:p w:rsidR="002622A8" w:rsidRDefault="00DF40FE">
            <w:pPr>
              <w:jc w:val="right"/>
            </w:pPr>
            <w:r>
              <w:rPr>
                <w:rFonts w:eastAsiaTheme="minorEastAsia"/>
                <w:color w:val="000000" w:themeColor="text1"/>
                <w:szCs w:val="21"/>
              </w:rPr>
              <w:t>1,014,341,887.00</w:t>
            </w:r>
          </w:p>
        </w:tc>
        <w:tc>
          <w:tcPr>
            <w:tcW w:w="0" w:type="auto"/>
            <w:vAlign w:val="center"/>
          </w:tcPr>
          <w:p w:rsidR="002622A8" w:rsidRDefault="00DF40FE">
            <w:pPr>
              <w:jc w:val="right"/>
            </w:pPr>
            <w:r>
              <w:rPr>
                <w:rFonts w:eastAsiaTheme="minorEastAsia"/>
                <w:color w:val="000000" w:themeColor="text1"/>
                <w:szCs w:val="21"/>
              </w:rPr>
              <w:t>4.31%</w:t>
            </w:r>
          </w:p>
        </w:tc>
      </w:tr>
      <w:tr w:rsidR="002622A8">
        <w:tc>
          <w:tcPr>
            <w:tcW w:w="0" w:type="auto"/>
            <w:vAlign w:val="center"/>
          </w:tcPr>
          <w:p w:rsidR="002622A8" w:rsidRDefault="00DF40FE">
            <w:pPr>
              <w:jc w:val="right"/>
            </w:pPr>
            <w:r>
              <w:rPr>
                <w:rFonts w:eastAsiaTheme="minorEastAsia"/>
                <w:color w:val="000000" w:themeColor="text1"/>
                <w:szCs w:val="21"/>
              </w:rPr>
              <w:lastRenderedPageBreak/>
              <w:t>5</w:t>
            </w:r>
          </w:p>
        </w:tc>
        <w:tc>
          <w:tcPr>
            <w:tcW w:w="0" w:type="auto"/>
            <w:vAlign w:val="center"/>
          </w:tcPr>
          <w:p w:rsidR="002622A8" w:rsidRDefault="00DF40FE">
            <w:pPr>
              <w:jc w:val="right"/>
            </w:pPr>
            <w:r>
              <w:rPr>
                <w:rFonts w:eastAsiaTheme="minorEastAsia"/>
                <w:color w:val="000000" w:themeColor="text1"/>
                <w:szCs w:val="21"/>
              </w:rPr>
              <w:t>其他机构</w:t>
            </w:r>
          </w:p>
        </w:tc>
        <w:tc>
          <w:tcPr>
            <w:tcW w:w="0" w:type="auto"/>
            <w:vAlign w:val="center"/>
          </w:tcPr>
          <w:p w:rsidR="002622A8" w:rsidRDefault="00DF40FE">
            <w:pPr>
              <w:jc w:val="right"/>
            </w:pPr>
            <w:r>
              <w:rPr>
                <w:rFonts w:eastAsiaTheme="minorEastAsia"/>
                <w:color w:val="000000" w:themeColor="text1"/>
                <w:szCs w:val="21"/>
              </w:rPr>
              <w:t>1,000,137,164.00</w:t>
            </w:r>
          </w:p>
        </w:tc>
        <w:tc>
          <w:tcPr>
            <w:tcW w:w="0" w:type="auto"/>
            <w:vAlign w:val="center"/>
          </w:tcPr>
          <w:p w:rsidR="002622A8" w:rsidRDefault="00DF40FE">
            <w:pPr>
              <w:jc w:val="right"/>
            </w:pPr>
            <w:r>
              <w:rPr>
                <w:rFonts w:eastAsiaTheme="minorEastAsia"/>
                <w:color w:val="000000" w:themeColor="text1"/>
                <w:szCs w:val="21"/>
              </w:rPr>
              <w:t>4.25%</w:t>
            </w:r>
          </w:p>
        </w:tc>
      </w:tr>
      <w:tr w:rsidR="002622A8">
        <w:tc>
          <w:tcPr>
            <w:tcW w:w="0" w:type="auto"/>
            <w:vAlign w:val="center"/>
          </w:tcPr>
          <w:p w:rsidR="002622A8" w:rsidRDefault="00DF40FE">
            <w:pPr>
              <w:jc w:val="right"/>
            </w:pPr>
            <w:r>
              <w:rPr>
                <w:rFonts w:eastAsiaTheme="minorEastAsia"/>
                <w:color w:val="000000" w:themeColor="text1"/>
                <w:szCs w:val="21"/>
              </w:rPr>
              <w:t>6</w:t>
            </w:r>
          </w:p>
        </w:tc>
        <w:tc>
          <w:tcPr>
            <w:tcW w:w="0" w:type="auto"/>
            <w:vAlign w:val="center"/>
          </w:tcPr>
          <w:p w:rsidR="002622A8" w:rsidRDefault="00DF40FE">
            <w:pPr>
              <w:jc w:val="right"/>
            </w:pPr>
            <w:r>
              <w:rPr>
                <w:rFonts w:eastAsiaTheme="minorEastAsia"/>
                <w:color w:val="000000" w:themeColor="text1"/>
                <w:szCs w:val="21"/>
              </w:rPr>
              <w:t>银行类机构</w:t>
            </w:r>
          </w:p>
        </w:tc>
        <w:tc>
          <w:tcPr>
            <w:tcW w:w="0" w:type="auto"/>
            <w:vAlign w:val="center"/>
          </w:tcPr>
          <w:p w:rsidR="002622A8" w:rsidRDefault="00DF40FE">
            <w:pPr>
              <w:jc w:val="right"/>
            </w:pPr>
            <w:r>
              <w:rPr>
                <w:rFonts w:eastAsiaTheme="minorEastAsia"/>
                <w:color w:val="000000" w:themeColor="text1"/>
                <w:szCs w:val="21"/>
              </w:rPr>
              <w:t>1,000,137,164.00</w:t>
            </w:r>
          </w:p>
        </w:tc>
        <w:tc>
          <w:tcPr>
            <w:tcW w:w="0" w:type="auto"/>
            <w:vAlign w:val="center"/>
          </w:tcPr>
          <w:p w:rsidR="002622A8" w:rsidRDefault="00DF40FE">
            <w:pPr>
              <w:jc w:val="right"/>
            </w:pPr>
            <w:r>
              <w:rPr>
                <w:rFonts w:eastAsiaTheme="minorEastAsia"/>
                <w:color w:val="000000" w:themeColor="text1"/>
                <w:szCs w:val="21"/>
              </w:rPr>
              <w:t>4.25%</w:t>
            </w:r>
          </w:p>
        </w:tc>
      </w:tr>
      <w:tr w:rsidR="002622A8">
        <w:tc>
          <w:tcPr>
            <w:tcW w:w="0" w:type="auto"/>
            <w:vAlign w:val="center"/>
          </w:tcPr>
          <w:p w:rsidR="002622A8" w:rsidRDefault="00DF40FE">
            <w:pPr>
              <w:jc w:val="right"/>
            </w:pPr>
            <w:r>
              <w:rPr>
                <w:rFonts w:eastAsiaTheme="minorEastAsia"/>
                <w:color w:val="000000" w:themeColor="text1"/>
                <w:szCs w:val="21"/>
              </w:rPr>
              <w:t>7</w:t>
            </w:r>
          </w:p>
        </w:tc>
        <w:tc>
          <w:tcPr>
            <w:tcW w:w="0" w:type="auto"/>
            <w:vAlign w:val="center"/>
          </w:tcPr>
          <w:p w:rsidR="002622A8" w:rsidRDefault="00DF40FE">
            <w:pPr>
              <w:jc w:val="right"/>
            </w:pPr>
            <w:r>
              <w:rPr>
                <w:rFonts w:eastAsiaTheme="minorEastAsia"/>
                <w:color w:val="000000" w:themeColor="text1"/>
                <w:szCs w:val="21"/>
              </w:rPr>
              <w:t>银行类机构</w:t>
            </w:r>
          </w:p>
        </w:tc>
        <w:tc>
          <w:tcPr>
            <w:tcW w:w="0" w:type="auto"/>
            <w:vAlign w:val="center"/>
          </w:tcPr>
          <w:p w:rsidR="002622A8" w:rsidRDefault="00DF40FE">
            <w:pPr>
              <w:jc w:val="right"/>
            </w:pPr>
            <w:r>
              <w:rPr>
                <w:rFonts w:eastAsiaTheme="minorEastAsia"/>
                <w:color w:val="000000" w:themeColor="text1"/>
                <w:szCs w:val="21"/>
              </w:rPr>
              <w:t>1,000,000,000.00</w:t>
            </w:r>
          </w:p>
        </w:tc>
        <w:tc>
          <w:tcPr>
            <w:tcW w:w="0" w:type="auto"/>
            <w:vAlign w:val="center"/>
          </w:tcPr>
          <w:p w:rsidR="002622A8" w:rsidRDefault="00DF40FE">
            <w:pPr>
              <w:jc w:val="right"/>
            </w:pPr>
            <w:r>
              <w:rPr>
                <w:rFonts w:eastAsiaTheme="minorEastAsia"/>
                <w:color w:val="000000" w:themeColor="text1"/>
                <w:szCs w:val="21"/>
              </w:rPr>
              <w:t>4.25%</w:t>
            </w:r>
          </w:p>
        </w:tc>
      </w:tr>
      <w:tr w:rsidR="002622A8">
        <w:tc>
          <w:tcPr>
            <w:tcW w:w="0" w:type="auto"/>
            <w:vAlign w:val="center"/>
          </w:tcPr>
          <w:p w:rsidR="002622A8" w:rsidRDefault="00DF40FE">
            <w:pPr>
              <w:jc w:val="right"/>
            </w:pPr>
            <w:r>
              <w:rPr>
                <w:rFonts w:eastAsiaTheme="minorEastAsia"/>
                <w:color w:val="000000" w:themeColor="text1"/>
                <w:szCs w:val="21"/>
              </w:rPr>
              <w:t>8</w:t>
            </w:r>
          </w:p>
        </w:tc>
        <w:tc>
          <w:tcPr>
            <w:tcW w:w="0" w:type="auto"/>
            <w:vAlign w:val="center"/>
          </w:tcPr>
          <w:p w:rsidR="002622A8" w:rsidRDefault="00DF40FE">
            <w:pPr>
              <w:jc w:val="right"/>
            </w:pPr>
            <w:r>
              <w:rPr>
                <w:rFonts w:eastAsiaTheme="minorEastAsia"/>
                <w:color w:val="000000" w:themeColor="text1"/>
                <w:szCs w:val="21"/>
              </w:rPr>
              <w:t>其他机构</w:t>
            </w:r>
          </w:p>
        </w:tc>
        <w:tc>
          <w:tcPr>
            <w:tcW w:w="0" w:type="auto"/>
            <w:vAlign w:val="center"/>
          </w:tcPr>
          <w:p w:rsidR="002622A8" w:rsidRDefault="00DF40FE">
            <w:pPr>
              <w:jc w:val="right"/>
            </w:pPr>
            <w:r>
              <w:rPr>
                <w:rFonts w:eastAsiaTheme="minorEastAsia"/>
                <w:color w:val="000000" w:themeColor="text1"/>
                <w:szCs w:val="21"/>
              </w:rPr>
              <w:t>960,391,857.70</w:t>
            </w:r>
          </w:p>
        </w:tc>
        <w:tc>
          <w:tcPr>
            <w:tcW w:w="0" w:type="auto"/>
            <w:vAlign w:val="center"/>
          </w:tcPr>
          <w:p w:rsidR="002622A8" w:rsidRDefault="00DF40FE">
            <w:pPr>
              <w:jc w:val="right"/>
            </w:pPr>
            <w:r>
              <w:rPr>
                <w:rFonts w:eastAsiaTheme="minorEastAsia"/>
                <w:color w:val="000000" w:themeColor="text1"/>
                <w:szCs w:val="21"/>
              </w:rPr>
              <w:t>4.08%</w:t>
            </w:r>
          </w:p>
        </w:tc>
      </w:tr>
      <w:tr w:rsidR="002622A8">
        <w:tc>
          <w:tcPr>
            <w:tcW w:w="0" w:type="auto"/>
            <w:vAlign w:val="center"/>
          </w:tcPr>
          <w:p w:rsidR="002622A8" w:rsidRDefault="00DF40FE">
            <w:pPr>
              <w:jc w:val="right"/>
            </w:pPr>
            <w:r>
              <w:rPr>
                <w:rFonts w:eastAsiaTheme="minorEastAsia"/>
                <w:color w:val="000000" w:themeColor="text1"/>
                <w:szCs w:val="21"/>
              </w:rPr>
              <w:t>9</w:t>
            </w:r>
          </w:p>
        </w:tc>
        <w:tc>
          <w:tcPr>
            <w:tcW w:w="0" w:type="auto"/>
            <w:vAlign w:val="center"/>
          </w:tcPr>
          <w:p w:rsidR="002622A8" w:rsidRDefault="00DF40FE">
            <w:pPr>
              <w:jc w:val="right"/>
            </w:pPr>
            <w:r>
              <w:rPr>
                <w:rFonts w:eastAsiaTheme="minorEastAsia"/>
                <w:color w:val="000000" w:themeColor="text1"/>
                <w:szCs w:val="21"/>
              </w:rPr>
              <w:t>银行类机构</w:t>
            </w:r>
          </w:p>
        </w:tc>
        <w:tc>
          <w:tcPr>
            <w:tcW w:w="0" w:type="auto"/>
            <w:vAlign w:val="center"/>
          </w:tcPr>
          <w:p w:rsidR="002622A8" w:rsidRDefault="00DF40FE">
            <w:pPr>
              <w:jc w:val="right"/>
            </w:pPr>
            <w:r>
              <w:rPr>
                <w:rFonts w:eastAsiaTheme="minorEastAsia"/>
                <w:color w:val="000000" w:themeColor="text1"/>
                <w:szCs w:val="21"/>
              </w:rPr>
              <w:t>707,744,635.50</w:t>
            </w:r>
          </w:p>
        </w:tc>
        <w:tc>
          <w:tcPr>
            <w:tcW w:w="0" w:type="auto"/>
            <w:vAlign w:val="center"/>
          </w:tcPr>
          <w:p w:rsidR="002622A8" w:rsidRDefault="00DF40FE">
            <w:pPr>
              <w:jc w:val="right"/>
            </w:pPr>
            <w:r>
              <w:rPr>
                <w:rFonts w:eastAsiaTheme="minorEastAsia"/>
                <w:color w:val="000000" w:themeColor="text1"/>
                <w:szCs w:val="21"/>
              </w:rPr>
              <w:t>3.01%</w:t>
            </w:r>
          </w:p>
        </w:tc>
      </w:tr>
      <w:tr w:rsidR="002622A8">
        <w:tc>
          <w:tcPr>
            <w:tcW w:w="0" w:type="auto"/>
            <w:vAlign w:val="center"/>
          </w:tcPr>
          <w:p w:rsidR="002622A8" w:rsidRDefault="00DF40FE">
            <w:pPr>
              <w:jc w:val="right"/>
            </w:pPr>
            <w:r>
              <w:rPr>
                <w:rFonts w:eastAsiaTheme="minorEastAsia"/>
                <w:color w:val="000000" w:themeColor="text1"/>
                <w:szCs w:val="21"/>
              </w:rPr>
              <w:t>10</w:t>
            </w:r>
          </w:p>
        </w:tc>
        <w:tc>
          <w:tcPr>
            <w:tcW w:w="0" w:type="auto"/>
            <w:vAlign w:val="center"/>
          </w:tcPr>
          <w:p w:rsidR="002622A8" w:rsidRDefault="00DF40FE">
            <w:pPr>
              <w:jc w:val="right"/>
            </w:pPr>
            <w:r>
              <w:rPr>
                <w:rFonts w:eastAsiaTheme="minorEastAsia"/>
                <w:color w:val="000000" w:themeColor="text1"/>
                <w:szCs w:val="21"/>
              </w:rPr>
              <w:t>银行类机构</w:t>
            </w:r>
          </w:p>
        </w:tc>
        <w:tc>
          <w:tcPr>
            <w:tcW w:w="0" w:type="auto"/>
            <w:vAlign w:val="center"/>
          </w:tcPr>
          <w:p w:rsidR="002622A8" w:rsidRDefault="00DF40FE">
            <w:pPr>
              <w:jc w:val="right"/>
            </w:pPr>
            <w:r>
              <w:rPr>
                <w:rFonts w:eastAsiaTheme="minorEastAsia"/>
                <w:color w:val="000000" w:themeColor="text1"/>
                <w:szCs w:val="21"/>
              </w:rPr>
              <w:t>700,833,152.50</w:t>
            </w:r>
          </w:p>
        </w:tc>
        <w:tc>
          <w:tcPr>
            <w:tcW w:w="0" w:type="auto"/>
            <w:vAlign w:val="center"/>
          </w:tcPr>
          <w:p w:rsidR="002622A8" w:rsidRDefault="00DF40FE">
            <w:pPr>
              <w:jc w:val="right"/>
            </w:pPr>
            <w:r>
              <w:rPr>
                <w:rFonts w:eastAsiaTheme="minorEastAsia"/>
                <w:color w:val="000000" w:themeColor="text1"/>
                <w:szCs w:val="21"/>
              </w:rPr>
              <w:t>2.98%</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70" w:name="_Toc331410113"/>
      <w:bookmarkStart w:id="71" w:name="_Toc509581510"/>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70"/>
      <w:bookmarkEnd w:id="7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交银天鑫宝货币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42,444.51</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0.04%</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交银天鑫宝货币</w:t>
            </w:r>
            <w:r>
              <w:rPr>
                <w:rFonts w:hint="eastAsia"/>
                <w:sz w:val="24"/>
              </w:rPr>
              <w:t>E</w:t>
            </w:r>
          </w:p>
        </w:tc>
        <w:tc>
          <w:tcPr>
            <w:tcW w:w="2126" w:type="dxa"/>
            <w:noWrap/>
            <w:vAlign w:val="center"/>
          </w:tcPr>
          <w:p w:rsidR="007917F6" w:rsidRPr="006E3F38" w:rsidRDefault="00A54C25" w:rsidP="00D32085">
            <w:pPr>
              <w:widowControl/>
              <w:spacing w:before="29" w:line="288" w:lineRule="auto"/>
              <w:jc w:val="right"/>
              <w:rPr>
                <w:color w:val="000000"/>
                <w:kern w:val="0"/>
                <w:sz w:val="24"/>
              </w:rPr>
            </w:pPr>
            <w:r>
              <w:rPr>
                <w:sz w:val="24"/>
              </w:rPr>
              <w:t>-</w:t>
            </w:r>
          </w:p>
        </w:tc>
        <w:tc>
          <w:tcPr>
            <w:tcW w:w="1910" w:type="dxa"/>
            <w:noWrap/>
            <w:vAlign w:val="center"/>
          </w:tcPr>
          <w:p w:rsidR="007917F6" w:rsidRPr="006E3F38" w:rsidRDefault="00A54C25" w:rsidP="00D32085">
            <w:pPr>
              <w:widowControl/>
              <w:spacing w:before="29" w:line="288" w:lineRule="auto"/>
              <w:jc w:val="right"/>
              <w:rPr>
                <w:color w:val="000000"/>
                <w:kern w:val="0"/>
                <w:sz w:val="24"/>
              </w:rPr>
            </w:pPr>
            <w:r>
              <w:rPr>
                <w:sz w:val="24"/>
              </w:rPr>
              <w:t>-</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42,444.51</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72" w:name="_Toc509581511"/>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7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73" w:name="_Toc331410115"/>
      <w:bookmarkStart w:id="74" w:name="_Toc225500053"/>
      <w:bookmarkStart w:id="75" w:name="_Toc509581512"/>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73"/>
      <w:bookmarkEnd w:id="74"/>
      <w:bookmarkEnd w:id="75"/>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交银天鑫宝货币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交银天鑫宝货币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230,120.24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200,444,301.68</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717,662,536.30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39,296,512,137.09</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623,175,730.24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16,046,221,564.62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94,716,926.30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23,450,734,874.15</w:t>
            </w:r>
          </w:p>
        </w:tc>
      </w:tr>
    </w:tbl>
    <w:p w:rsidR="002622A8" w:rsidRDefault="00DF40F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w:t>
      </w:r>
      <w:r>
        <w:rPr>
          <w:rFonts w:hint="eastAsia"/>
          <w:kern w:val="0"/>
          <w:sz w:val="24"/>
        </w:rPr>
        <w:lastRenderedPageBreak/>
        <w:t>包含该业务；</w:t>
      </w:r>
      <w:r>
        <w:rPr>
          <w:rFonts w:hint="eastAsia"/>
          <w:kern w:val="0"/>
          <w:sz w:val="24"/>
        </w:rPr>
        <w:t xml:space="preserve"> </w:t>
      </w:r>
    </w:p>
    <w:p w:rsidR="00D03082" w:rsidRDefault="00D03082" w:rsidP="00815D5D">
      <w:pPr>
        <w:tabs>
          <w:tab w:val="left" w:pos="426"/>
        </w:tabs>
        <w:spacing w:before="29" w:line="288" w:lineRule="auto"/>
        <w:jc w:val="left"/>
        <w:rPr>
          <w:kern w:val="0"/>
          <w:sz w:val="24"/>
        </w:rPr>
      </w:pPr>
      <w:r w:rsidRPr="00815D5D">
        <w:rPr>
          <w:rFonts w:hint="eastAsia"/>
          <w:kern w:val="0"/>
          <w:sz w:val="24"/>
        </w:rPr>
        <w:t>2</w:t>
      </w:r>
      <w:r w:rsidRPr="00815D5D">
        <w:rPr>
          <w:rFonts w:hint="eastAsia"/>
          <w:kern w:val="0"/>
          <w:sz w:val="24"/>
        </w:rPr>
        <w:t>、如果本报告期间发生转换出、份额级别调整业务，则总赎回份额中包含该业务。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bookmarkStart w:id="78" w:name="_Toc509581513"/>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76"/>
      <w:bookmarkEnd w:id="77"/>
      <w:bookmarkEnd w:id="78"/>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79" w:name="_Toc331410117"/>
      <w:bookmarkStart w:id="80" w:name="_Toc50958151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79"/>
      <w:bookmarkEnd w:id="80"/>
    </w:p>
    <w:p w:rsidR="006D141C" w:rsidRDefault="006D141C" w:rsidP="00191E1C">
      <w:pPr>
        <w:tabs>
          <w:tab w:val="left" w:pos="426"/>
        </w:tabs>
        <w:spacing w:before="29" w:line="288" w:lineRule="auto"/>
        <w:ind w:firstLineChars="200" w:firstLine="480"/>
        <w:rPr>
          <w:kern w:val="0"/>
          <w:sz w:val="24"/>
        </w:rPr>
      </w:pPr>
      <w:bookmarkStart w:id="81"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82" w:name="_Toc509581515"/>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81"/>
      <w:bookmarkEnd w:id="82"/>
    </w:p>
    <w:p w:rsidR="002622A8" w:rsidRDefault="00DF40FE">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83"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84" w:name="_Toc50958151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83"/>
      <w:bookmarkEnd w:id="84"/>
    </w:p>
    <w:p w:rsidR="006D141C" w:rsidRDefault="006D141C" w:rsidP="00191E1C">
      <w:pPr>
        <w:tabs>
          <w:tab w:val="left" w:pos="426"/>
        </w:tabs>
        <w:spacing w:before="29" w:line="288" w:lineRule="auto"/>
        <w:ind w:firstLineChars="200" w:firstLine="480"/>
        <w:rPr>
          <w:kern w:val="0"/>
          <w:sz w:val="24"/>
        </w:rPr>
      </w:pPr>
      <w:bookmarkStart w:id="85" w:name="_Toc331410120"/>
      <w:r w:rsidRPr="00191E1C">
        <w:rPr>
          <w:rFonts w:hint="eastAsia"/>
          <w:kern w:val="0"/>
          <w:sz w:val="24"/>
        </w:rPr>
        <w:t>本报告期内未发生涉及本基金管理人、基金财产、基金托管业务的诉讼事项。</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86" w:name="_Toc50958151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85"/>
      <w:bookmarkEnd w:id="86"/>
    </w:p>
    <w:p w:rsidR="006D141C" w:rsidRDefault="006D141C" w:rsidP="00191E1C">
      <w:pPr>
        <w:tabs>
          <w:tab w:val="left" w:pos="426"/>
        </w:tabs>
        <w:spacing w:before="29" w:line="288" w:lineRule="auto"/>
        <w:ind w:firstLineChars="200" w:firstLine="480"/>
        <w:rPr>
          <w:kern w:val="0"/>
          <w:sz w:val="24"/>
        </w:rPr>
      </w:pPr>
      <w:bookmarkStart w:id="87" w:name="_Toc331410121"/>
      <w:r w:rsidRPr="00191E1C">
        <w:rPr>
          <w:rFonts w:hint="eastAsia"/>
          <w:kern w:val="0"/>
          <w:sz w:val="24"/>
        </w:rPr>
        <w:t>本基金本报告期内投资策略未发生改变。</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88" w:name="_Toc50958151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87"/>
      <w:r w:rsidR="000716BB" w:rsidRPr="00191E1C">
        <w:rPr>
          <w:rFonts w:ascii="Times New Roman" w:hAnsi="Times New Roman" w:cs="Times New Roman" w:hint="eastAsia"/>
          <w:kern w:val="0"/>
          <w:szCs w:val="24"/>
        </w:rPr>
        <w:t>为基金进行审计的会计师事务所情况</w:t>
      </w:r>
      <w:bookmarkEnd w:id="88"/>
    </w:p>
    <w:p w:rsidR="006D141C" w:rsidRDefault="006D141C" w:rsidP="00191E1C">
      <w:pPr>
        <w:tabs>
          <w:tab w:val="left" w:pos="426"/>
        </w:tabs>
        <w:spacing w:before="29" w:line="288" w:lineRule="auto"/>
        <w:ind w:firstLineChars="200" w:firstLine="480"/>
        <w:rPr>
          <w:kern w:val="0"/>
          <w:sz w:val="24"/>
        </w:rPr>
      </w:pPr>
      <w:bookmarkStart w:id="89" w:name="OLE_LINK3"/>
      <w:bookmarkStart w:id="90" w:name="_Toc331410122"/>
      <w:r w:rsidRPr="00191E1C">
        <w:rPr>
          <w:rFonts w:hint="eastAsia"/>
          <w:kern w:val="0"/>
          <w:sz w:val="24"/>
        </w:rPr>
        <w:t>本报告期内，为本基金提供审计服务的会计师事务所为普华永道中天会计师事务所（特殊普通合伙），本期审计费用为</w:t>
      </w:r>
      <w:r w:rsidRPr="00191E1C">
        <w:rPr>
          <w:rFonts w:hint="eastAsia"/>
          <w:kern w:val="0"/>
          <w:sz w:val="24"/>
        </w:rPr>
        <w:t>100,000</w:t>
      </w:r>
      <w:r w:rsidRPr="00191E1C">
        <w:rPr>
          <w:rFonts w:hint="eastAsia"/>
          <w:kern w:val="0"/>
          <w:sz w:val="24"/>
        </w:rPr>
        <w:t>元，自本基金基金合同生效以来，本基金未改聘为其审计的会计师事务所。</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1" w:name="_Toc509581519"/>
      <w:bookmarkEnd w:id="89"/>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90"/>
      <w:bookmarkEnd w:id="91"/>
    </w:p>
    <w:p w:rsidR="002622A8" w:rsidRDefault="00DF40F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）管理人及其高级管理人员受稽查或处罚等情况</w:t>
      </w:r>
    </w:p>
    <w:p w:rsidR="002622A8" w:rsidRDefault="00DF40FE">
      <w:pPr>
        <w:tabs>
          <w:tab w:val="left" w:pos="426"/>
        </w:tabs>
        <w:spacing w:before="29" w:line="288" w:lineRule="auto"/>
        <w:ind w:firstLineChars="200" w:firstLine="480"/>
        <w:rPr>
          <w:kern w:val="0"/>
          <w:sz w:val="24"/>
        </w:rPr>
      </w:pPr>
      <w:r>
        <w:rPr>
          <w:rFonts w:hint="eastAsia"/>
          <w:kern w:val="0"/>
          <w:sz w:val="24"/>
        </w:rPr>
        <w:t>本报告期内公司收到中国证监会</w:t>
      </w:r>
      <w:r>
        <w:rPr>
          <w:rFonts w:hint="eastAsia"/>
          <w:kern w:val="0"/>
          <w:sz w:val="24"/>
        </w:rPr>
        <w:t>2016</w:t>
      </w:r>
      <w:r>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622A8" w:rsidRDefault="00DF40F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）托管人及其高级管理人员受稽查或处罚等情况</w:t>
      </w:r>
    </w:p>
    <w:p w:rsidR="006D141C" w:rsidRDefault="006D141C" w:rsidP="00191E1C">
      <w:pPr>
        <w:tabs>
          <w:tab w:val="left" w:pos="426"/>
        </w:tabs>
        <w:spacing w:before="29" w:line="288" w:lineRule="auto"/>
        <w:ind w:firstLineChars="200" w:firstLine="480"/>
        <w:rPr>
          <w:kern w:val="0"/>
          <w:sz w:val="24"/>
        </w:rPr>
      </w:pPr>
      <w:bookmarkStart w:id="92" w:name="_Toc331410123"/>
      <w:r w:rsidRPr="00191E1C">
        <w:rPr>
          <w:rFonts w:hint="eastAsia"/>
          <w:kern w:val="0"/>
          <w:sz w:val="24"/>
        </w:rPr>
        <w:t>本报告期内本基金托管人及其相关高级管理人员未受到任何稽查或处罚。</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3" w:name="_Toc509581520"/>
      <w:r w:rsidRPr="00191E1C">
        <w:rPr>
          <w:rFonts w:ascii="Times New Roman" w:hAnsi="Times New Roman" w:cs="Times New Roman" w:hint="eastAsia"/>
          <w:kern w:val="0"/>
          <w:szCs w:val="24"/>
        </w:rPr>
        <w:lastRenderedPageBreak/>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92"/>
      <w:bookmarkEnd w:id="93"/>
    </w:p>
    <w:p w:rsidR="006D141C" w:rsidRPr="005776D9" w:rsidRDefault="00EE1CF9" w:rsidP="005776D9">
      <w:pPr>
        <w:spacing w:before="29" w:line="288" w:lineRule="auto"/>
        <w:rPr>
          <w:b/>
          <w:bCs/>
          <w:sz w:val="24"/>
        </w:rPr>
      </w:pPr>
      <w:bookmarkStart w:id="94"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94"/>
    </w:p>
    <w:p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bookmarkStart w:id="95"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widowControl/>
              <w:spacing w:before="29" w:line="288" w:lineRule="auto"/>
              <w:jc w:val="left"/>
              <w:rPr>
                <w:szCs w:val="21"/>
              </w:rPr>
            </w:pPr>
          </w:p>
        </w:tc>
      </w:tr>
      <w:tr w:rsidR="002622A8">
        <w:tc>
          <w:tcPr>
            <w:tcW w:w="1560" w:type="dxa"/>
            <w:vAlign w:val="center"/>
          </w:tcPr>
          <w:p w:rsidR="002622A8" w:rsidRDefault="00DF40FE">
            <w:pPr>
              <w:jc w:val="center"/>
            </w:pPr>
            <w:r>
              <w:rPr>
                <w:rFonts w:hint="eastAsia"/>
                <w:szCs w:val="21"/>
              </w:rPr>
              <w:t>长江证券股份有限公司</w:t>
            </w:r>
          </w:p>
        </w:tc>
        <w:tc>
          <w:tcPr>
            <w:tcW w:w="780" w:type="dxa"/>
            <w:vAlign w:val="center"/>
          </w:tcPr>
          <w:p w:rsidR="002622A8" w:rsidRDefault="00DF40FE">
            <w:pPr>
              <w:jc w:val="right"/>
            </w:pPr>
            <w:r>
              <w:rPr>
                <w:rFonts w:hint="eastAsia"/>
                <w:szCs w:val="21"/>
              </w:rPr>
              <w:t>2</w:t>
            </w:r>
          </w:p>
        </w:tc>
        <w:tc>
          <w:tcPr>
            <w:tcW w:w="1800" w:type="dxa"/>
            <w:vAlign w:val="center"/>
          </w:tcPr>
          <w:p w:rsidR="002622A8" w:rsidRDefault="00DF40FE">
            <w:pPr>
              <w:jc w:val="right"/>
            </w:pPr>
            <w:r>
              <w:rPr>
                <w:rFonts w:hint="eastAsia"/>
                <w:szCs w:val="21"/>
              </w:rPr>
              <w:t>-</w:t>
            </w:r>
          </w:p>
        </w:tc>
        <w:tc>
          <w:tcPr>
            <w:tcW w:w="1080" w:type="dxa"/>
            <w:vAlign w:val="center"/>
          </w:tcPr>
          <w:p w:rsidR="002622A8" w:rsidRDefault="00DF40FE">
            <w:pPr>
              <w:jc w:val="right"/>
            </w:pPr>
            <w:r>
              <w:rPr>
                <w:rFonts w:hint="eastAsia"/>
                <w:szCs w:val="21"/>
              </w:rPr>
              <w:t>-</w:t>
            </w:r>
          </w:p>
        </w:tc>
        <w:tc>
          <w:tcPr>
            <w:tcW w:w="1620" w:type="dxa"/>
            <w:vAlign w:val="center"/>
          </w:tcPr>
          <w:p w:rsidR="002622A8" w:rsidRDefault="00DF40FE">
            <w:pPr>
              <w:jc w:val="right"/>
            </w:pPr>
            <w:r>
              <w:rPr>
                <w:rFonts w:hint="eastAsia"/>
                <w:szCs w:val="21"/>
              </w:rPr>
              <w:t>-</w:t>
            </w:r>
          </w:p>
        </w:tc>
        <w:tc>
          <w:tcPr>
            <w:tcW w:w="1080" w:type="dxa"/>
            <w:vAlign w:val="center"/>
          </w:tcPr>
          <w:p w:rsidR="002622A8" w:rsidRDefault="00DF40FE">
            <w:pPr>
              <w:jc w:val="right"/>
            </w:pPr>
            <w:r>
              <w:rPr>
                <w:rFonts w:hint="eastAsia"/>
                <w:szCs w:val="21"/>
              </w:rPr>
              <w:t>-</w:t>
            </w:r>
          </w:p>
        </w:tc>
        <w:tc>
          <w:tcPr>
            <w:tcW w:w="1080" w:type="dxa"/>
            <w:vAlign w:val="center"/>
          </w:tcPr>
          <w:p w:rsidR="002622A8" w:rsidRDefault="00DF40FE">
            <w:pPr>
              <w:jc w:val="left"/>
            </w:pPr>
            <w:r>
              <w:rPr>
                <w:rFonts w:hint="eastAsia"/>
                <w:szCs w:val="21"/>
              </w:rPr>
              <w:t>-</w:t>
            </w:r>
          </w:p>
        </w:tc>
      </w:tr>
    </w:tbl>
    <w:p w:rsidR="006D141C" w:rsidRPr="00D0515B" w:rsidRDefault="006D141C" w:rsidP="004B36C2">
      <w:pPr>
        <w:spacing w:line="360" w:lineRule="auto"/>
        <w:rPr>
          <w:rFonts w:asciiTheme="minorEastAsia" w:eastAsiaTheme="minorEastAsia" w:hAnsiTheme="minorEastAsia"/>
          <w:szCs w:val="21"/>
        </w:rPr>
      </w:pPr>
    </w:p>
    <w:p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95"/>
    </w:p>
    <w:p w:rsidR="006D141C" w:rsidRPr="001606C0" w:rsidRDefault="00644AB5" w:rsidP="001606C0">
      <w:pPr>
        <w:spacing w:before="29" w:line="288" w:lineRule="auto"/>
        <w:ind w:firstLine="420"/>
        <w:jc w:val="right"/>
        <w:rPr>
          <w:sz w:val="24"/>
        </w:rPr>
      </w:pPr>
      <w:bookmarkStart w:id="96" w:name="_Toc249707408"/>
      <w:r w:rsidRPr="001606C0">
        <w:rPr>
          <w:rFonts w:hint="eastAsia"/>
          <w:sz w:val="24"/>
        </w:rPr>
        <w:t>金额单位</w:t>
      </w:r>
      <w:r w:rsidR="006D141C" w:rsidRPr="001606C0">
        <w:rPr>
          <w:rFonts w:hint="eastAsia"/>
          <w:sz w:val="24"/>
        </w:rPr>
        <w:t>：人民币元</w:t>
      </w:r>
      <w:bookmarkEnd w:id="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rsidTr="00B22925">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占当期权证成交总额的比例</w:t>
            </w:r>
          </w:p>
        </w:tc>
      </w:tr>
      <w:tr w:rsidR="002622A8">
        <w:tc>
          <w:tcPr>
            <w:tcW w:w="1560" w:type="dxa"/>
            <w:vAlign w:val="center"/>
          </w:tcPr>
          <w:p w:rsidR="002622A8" w:rsidRDefault="00DF40FE">
            <w:pPr>
              <w:jc w:val="left"/>
            </w:pPr>
            <w:r>
              <w:rPr>
                <w:rFonts w:hint="eastAsia"/>
                <w:szCs w:val="21"/>
              </w:rPr>
              <w:t>长江证券股份有限公司</w:t>
            </w:r>
          </w:p>
        </w:tc>
        <w:tc>
          <w:tcPr>
            <w:tcW w:w="1320" w:type="dxa"/>
            <w:vAlign w:val="center"/>
          </w:tcPr>
          <w:p w:rsidR="002622A8" w:rsidRDefault="00DF40FE">
            <w:pPr>
              <w:jc w:val="right"/>
            </w:pPr>
            <w:r>
              <w:rPr>
                <w:rFonts w:hint="eastAsia"/>
                <w:szCs w:val="21"/>
              </w:rPr>
              <w:t>-</w:t>
            </w:r>
          </w:p>
        </w:tc>
        <w:tc>
          <w:tcPr>
            <w:tcW w:w="1080" w:type="dxa"/>
            <w:vAlign w:val="center"/>
          </w:tcPr>
          <w:p w:rsidR="002622A8" w:rsidRDefault="00DF40FE">
            <w:pPr>
              <w:jc w:val="right"/>
            </w:pPr>
            <w:r>
              <w:rPr>
                <w:rFonts w:hint="eastAsia"/>
                <w:szCs w:val="21"/>
              </w:rPr>
              <w:t>-</w:t>
            </w:r>
          </w:p>
        </w:tc>
        <w:tc>
          <w:tcPr>
            <w:tcW w:w="1080" w:type="dxa"/>
            <w:vAlign w:val="center"/>
          </w:tcPr>
          <w:p w:rsidR="002622A8" w:rsidRDefault="00DF40FE">
            <w:pPr>
              <w:jc w:val="right"/>
            </w:pPr>
            <w:r>
              <w:rPr>
                <w:rFonts w:hint="eastAsia"/>
                <w:szCs w:val="21"/>
              </w:rPr>
              <w:t>8,101,000,000.00</w:t>
            </w:r>
          </w:p>
        </w:tc>
        <w:tc>
          <w:tcPr>
            <w:tcW w:w="1260" w:type="dxa"/>
            <w:vAlign w:val="center"/>
          </w:tcPr>
          <w:p w:rsidR="002622A8" w:rsidRDefault="00DF40FE">
            <w:pPr>
              <w:jc w:val="right"/>
            </w:pPr>
            <w:r>
              <w:rPr>
                <w:rFonts w:hint="eastAsia"/>
                <w:szCs w:val="21"/>
              </w:rPr>
              <w:t>100.00%</w:t>
            </w:r>
          </w:p>
        </w:tc>
        <w:tc>
          <w:tcPr>
            <w:tcW w:w="1260" w:type="dxa"/>
            <w:vAlign w:val="center"/>
          </w:tcPr>
          <w:p w:rsidR="002622A8" w:rsidRDefault="00DF40FE">
            <w:pPr>
              <w:jc w:val="right"/>
            </w:pPr>
            <w:r>
              <w:rPr>
                <w:rFonts w:hint="eastAsia"/>
                <w:szCs w:val="21"/>
              </w:rPr>
              <w:t>-</w:t>
            </w:r>
          </w:p>
        </w:tc>
        <w:tc>
          <w:tcPr>
            <w:tcW w:w="1440" w:type="dxa"/>
            <w:vAlign w:val="center"/>
          </w:tcPr>
          <w:p w:rsidR="002622A8" w:rsidRDefault="00DF40FE">
            <w:pPr>
              <w:jc w:val="right"/>
            </w:pPr>
            <w:r>
              <w:rPr>
                <w:rFonts w:hint="eastAsia"/>
                <w:szCs w:val="21"/>
              </w:rPr>
              <w:t>-</w:t>
            </w:r>
          </w:p>
        </w:tc>
      </w:tr>
    </w:tbl>
    <w:p w:rsidR="00B22925" w:rsidRDefault="00B22925" w:rsidP="00B22925">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B22925" w:rsidRDefault="00B22925" w:rsidP="00B22925">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22925" w:rsidRPr="001606C0" w:rsidRDefault="00B22925" w:rsidP="00B22925">
      <w:pPr>
        <w:tabs>
          <w:tab w:val="left" w:pos="426"/>
        </w:tabs>
        <w:spacing w:before="29" w:line="288" w:lineRule="auto"/>
        <w:jc w:val="left"/>
        <w:rPr>
          <w:kern w:val="0"/>
          <w:sz w:val="24"/>
        </w:rPr>
      </w:pPr>
      <w:r w:rsidRPr="001606C0">
        <w:rPr>
          <w:rFonts w:hint="eastAsia"/>
          <w:kern w:val="0"/>
          <w:sz w:val="24"/>
        </w:rPr>
        <w:t xml:space="preserve">    3</w:t>
      </w:r>
      <w:r w:rsidRPr="001606C0">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B22925" w:rsidRDefault="006D141C" w:rsidP="004B36C2">
      <w:pPr>
        <w:spacing w:line="360" w:lineRule="auto"/>
        <w:rPr>
          <w:rFonts w:asciiTheme="minorEastAsia" w:eastAsiaTheme="minorEastAsia" w:hAnsiTheme="minorEastAsia"/>
          <w:szCs w:val="21"/>
        </w:rPr>
      </w:pPr>
    </w:p>
    <w:p w:rsidR="0065332B" w:rsidRPr="00D73BEE" w:rsidRDefault="0065332B" w:rsidP="00D73BEE">
      <w:pPr>
        <w:pStyle w:val="20"/>
        <w:spacing w:before="29" w:after="0" w:line="288" w:lineRule="auto"/>
        <w:rPr>
          <w:rFonts w:ascii="Times New Roman" w:hAnsi="Times New Roman" w:cs="Times New Roman"/>
          <w:szCs w:val="24"/>
        </w:rPr>
      </w:pPr>
      <w:bookmarkStart w:id="97" w:name="_Toc509581521"/>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97"/>
    </w:p>
    <w:p w:rsidR="0065332B" w:rsidRPr="00EF14D4" w:rsidRDefault="00ED3706" w:rsidP="00EF14D4">
      <w:pPr>
        <w:tabs>
          <w:tab w:val="left" w:pos="426"/>
        </w:tabs>
        <w:spacing w:before="29" w:line="288" w:lineRule="auto"/>
        <w:jc w:val="left"/>
        <w:rPr>
          <w:kern w:val="0"/>
          <w:sz w:val="24"/>
        </w:rPr>
      </w:pPr>
      <w:r w:rsidRPr="00EF14D4">
        <w:rPr>
          <w:rFonts w:hint="eastAsia"/>
          <w:kern w:val="0"/>
          <w:sz w:val="24"/>
        </w:rPr>
        <w:t>本基金本报告期内不存在偏离度绝对值超过</w:t>
      </w:r>
      <w:r w:rsidRPr="00EF14D4">
        <w:rPr>
          <w:rFonts w:hint="eastAsia"/>
          <w:kern w:val="0"/>
          <w:sz w:val="24"/>
        </w:rPr>
        <w:t>0.5%</w:t>
      </w:r>
      <w:r w:rsidRPr="00EF14D4">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98" w:name="_Toc331410124"/>
      <w:bookmarkStart w:id="99" w:name="_Toc509581522"/>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98"/>
      <w:bookmarkEnd w:id="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2622A8">
        <w:tc>
          <w:tcPr>
            <w:tcW w:w="720" w:type="dxa"/>
            <w:vAlign w:val="center"/>
          </w:tcPr>
          <w:p w:rsidR="002622A8" w:rsidRDefault="00DF40FE">
            <w:pPr>
              <w:jc w:val="center"/>
            </w:pPr>
            <w:r>
              <w:rPr>
                <w:rFonts w:hint="eastAsia"/>
                <w:sz w:val="24"/>
              </w:rPr>
              <w:t>1</w:t>
            </w:r>
          </w:p>
        </w:tc>
        <w:tc>
          <w:tcPr>
            <w:tcW w:w="4320" w:type="dxa"/>
            <w:vAlign w:val="center"/>
          </w:tcPr>
          <w:p w:rsidR="002622A8" w:rsidRDefault="00DF40FE">
            <w:pPr>
              <w:jc w:val="left"/>
            </w:pPr>
            <w:r>
              <w:rPr>
                <w:rFonts w:hint="eastAsia"/>
                <w:sz w:val="24"/>
              </w:rPr>
              <w:t>交银施罗德基金管理有限公司关于交银施罗德天鑫宝货币市场基金于</w:t>
            </w:r>
            <w:r>
              <w:rPr>
                <w:rFonts w:hint="eastAsia"/>
                <w:sz w:val="24"/>
              </w:rPr>
              <w:t>2017</w:t>
            </w:r>
            <w:r>
              <w:rPr>
                <w:rFonts w:hint="eastAsia"/>
                <w:sz w:val="24"/>
              </w:rPr>
              <w:t>年“春节”假期前暂停及节后恢复大额申购业务的公告</w:t>
            </w:r>
          </w:p>
        </w:tc>
        <w:tc>
          <w:tcPr>
            <w:tcW w:w="2520" w:type="dxa"/>
            <w:vAlign w:val="center"/>
          </w:tcPr>
          <w:p w:rsidR="002622A8" w:rsidRDefault="00DF40FE">
            <w:pPr>
              <w:jc w:val="center"/>
            </w:pPr>
            <w:r>
              <w:rPr>
                <w:rFonts w:hint="eastAsia"/>
                <w:sz w:val="24"/>
              </w:rPr>
              <w:t>中国证券报、上海证券报、证券时报</w:t>
            </w:r>
          </w:p>
        </w:tc>
        <w:tc>
          <w:tcPr>
            <w:tcW w:w="1440" w:type="dxa"/>
            <w:vAlign w:val="center"/>
          </w:tcPr>
          <w:p w:rsidR="002622A8" w:rsidRDefault="00DF40FE">
            <w:pPr>
              <w:jc w:val="center"/>
            </w:pPr>
            <w:r>
              <w:rPr>
                <w:rFonts w:hint="eastAsia"/>
                <w:sz w:val="24"/>
              </w:rPr>
              <w:t>2017-01-23</w:t>
            </w:r>
          </w:p>
        </w:tc>
      </w:tr>
      <w:tr w:rsidR="002622A8">
        <w:tc>
          <w:tcPr>
            <w:tcW w:w="720" w:type="dxa"/>
            <w:vAlign w:val="center"/>
          </w:tcPr>
          <w:p w:rsidR="002622A8" w:rsidRDefault="00DF40FE">
            <w:pPr>
              <w:jc w:val="center"/>
            </w:pPr>
            <w:r>
              <w:rPr>
                <w:rFonts w:hint="eastAsia"/>
                <w:sz w:val="24"/>
              </w:rPr>
              <w:t>2</w:t>
            </w:r>
          </w:p>
        </w:tc>
        <w:tc>
          <w:tcPr>
            <w:tcW w:w="4320" w:type="dxa"/>
            <w:vAlign w:val="center"/>
          </w:tcPr>
          <w:p w:rsidR="002622A8" w:rsidRDefault="00DF40FE">
            <w:pPr>
              <w:jc w:val="left"/>
            </w:pPr>
            <w:r>
              <w:rPr>
                <w:rFonts w:hint="eastAsia"/>
                <w:sz w:val="24"/>
              </w:rPr>
              <w:t>交银施罗德天鑫宝货币市场基金</w:t>
            </w:r>
            <w:r>
              <w:rPr>
                <w:rFonts w:hint="eastAsia"/>
                <w:sz w:val="24"/>
              </w:rPr>
              <w:t>2017</w:t>
            </w:r>
            <w:r>
              <w:rPr>
                <w:rFonts w:hint="eastAsia"/>
                <w:sz w:val="24"/>
              </w:rPr>
              <w:t>年第</w:t>
            </w:r>
            <w:r>
              <w:rPr>
                <w:rFonts w:hint="eastAsia"/>
                <w:sz w:val="24"/>
              </w:rPr>
              <w:t>1</w:t>
            </w:r>
            <w:r>
              <w:rPr>
                <w:rFonts w:hint="eastAsia"/>
                <w:sz w:val="24"/>
              </w:rPr>
              <w:t>季度报告</w:t>
            </w:r>
          </w:p>
        </w:tc>
        <w:tc>
          <w:tcPr>
            <w:tcW w:w="2520" w:type="dxa"/>
            <w:vAlign w:val="center"/>
          </w:tcPr>
          <w:p w:rsidR="002622A8" w:rsidRDefault="00DF40FE">
            <w:pPr>
              <w:jc w:val="center"/>
            </w:pPr>
            <w:r>
              <w:rPr>
                <w:rFonts w:hint="eastAsia"/>
                <w:sz w:val="24"/>
              </w:rPr>
              <w:t>中国证券报、上海证券报、证券时报</w:t>
            </w:r>
          </w:p>
        </w:tc>
        <w:tc>
          <w:tcPr>
            <w:tcW w:w="1440" w:type="dxa"/>
            <w:vAlign w:val="center"/>
          </w:tcPr>
          <w:p w:rsidR="002622A8" w:rsidRDefault="00DF40FE">
            <w:pPr>
              <w:jc w:val="center"/>
            </w:pPr>
            <w:r>
              <w:rPr>
                <w:rFonts w:hint="eastAsia"/>
                <w:sz w:val="24"/>
              </w:rPr>
              <w:t>2017-04-24</w:t>
            </w:r>
          </w:p>
        </w:tc>
      </w:tr>
      <w:tr w:rsidR="002622A8">
        <w:tc>
          <w:tcPr>
            <w:tcW w:w="720" w:type="dxa"/>
            <w:vAlign w:val="center"/>
          </w:tcPr>
          <w:p w:rsidR="002622A8" w:rsidRDefault="00DF40FE">
            <w:pPr>
              <w:jc w:val="center"/>
            </w:pPr>
            <w:r>
              <w:rPr>
                <w:rFonts w:hint="eastAsia"/>
                <w:sz w:val="24"/>
              </w:rPr>
              <w:lastRenderedPageBreak/>
              <w:t>3</w:t>
            </w:r>
          </w:p>
        </w:tc>
        <w:tc>
          <w:tcPr>
            <w:tcW w:w="4320" w:type="dxa"/>
            <w:vAlign w:val="center"/>
          </w:tcPr>
          <w:p w:rsidR="002622A8" w:rsidRDefault="00DF40FE">
            <w:pPr>
              <w:jc w:val="left"/>
            </w:pPr>
            <w:r>
              <w:rPr>
                <w:rFonts w:hint="eastAsia"/>
                <w:sz w:val="24"/>
              </w:rPr>
              <w:t>交银施罗德基金管理有限公司关于增加上海基煜基金销售有限公司为旗下部分基金的场外销售机构的公告</w:t>
            </w:r>
          </w:p>
        </w:tc>
        <w:tc>
          <w:tcPr>
            <w:tcW w:w="2520" w:type="dxa"/>
            <w:vAlign w:val="center"/>
          </w:tcPr>
          <w:p w:rsidR="002622A8" w:rsidRDefault="00DF40FE">
            <w:pPr>
              <w:jc w:val="center"/>
            </w:pPr>
            <w:r>
              <w:rPr>
                <w:rFonts w:hint="eastAsia"/>
                <w:sz w:val="24"/>
              </w:rPr>
              <w:t>中国证券报、上海证券报、证券时报</w:t>
            </w:r>
          </w:p>
        </w:tc>
        <w:tc>
          <w:tcPr>
            <w:tcW w:w="1440" w:type="dxa"/>
            <w:vAlign w:val="center"/>
          </w:tcPr>
          <w:p w:rsidR="002622A8" w:rsidRDefault="00DF40FE">
            <w:pPr>
              <w:jc w:val="center"/>
            </w:pPr>
            <w:r>
              <w:rPr>
                <w:rFonts w:hint="eastAsia"/>
                <w:sz w:val="24"/>
              </w:rPr>
              <w:t>2017-05-26</w:t>
            </w:r>
          </w:p>
        </w:tc>
      </w:tr>
      <w:tr w:rsidR="002622A8">
        <w:tc>
          <w:tcPr>
            <w:tcW w:w="720" w:type="dxa"/>
            <w:vAlign w:val="center"/>
          </w:tcPr>
          <w:p w:rsidR="002622A8" w:rsidRDefault="00DF40FE">
            <w:pPr>
              <w:jc w:val="center"/>
            </w:pPr>
            <w:r>
              <w:rPr>
                <w:rFonts w:hint="eastAsia"/>
                <w:sz w:val="24"/>
              </w:rPr>
              <w:t>4</w:t>
            </w:r>
          </w:p>
        </w:tc>
        <w:tc>
          <w:tcPr>
            <w:tcW w:w="4320" w:type="dxa"/>
            <w:vAlign w:val="center"/>
          </w:tcPr>
          <w:p w:rsidR="002622A8" w:rsidRDefault="00DF40FE">
            <w:pPr>
              <w:jc w:val="left"/>
            </w:pPr>
            <w:r>
              <w:rPr>
                <w:rFonts w:hint="eastAsia"/>
                <w:sz w:val="24"/>
              </w:rPr>
              <w:t>交银施罗德天鑫宝货币市场基金</w:t>
            </w:r>
            <w:r>
              <w:rPr>
                <w:rFonts w:hint="eastAsia"/>
                <w:sz w:val="24"/>
              </w:rPr>
              <w:t>2017</w:t>
            </w:r>
            <w:r>
              <w:rPr>
                <w:rFonts w:hint="eastAsia"/>
                <w:sz w:val="24"/>
              </w:rPr>
              <w:t>年第</w:t>
            </w:r>
            <w:r>
              <w:rPr>
                <w:rFonts w:hint="eastAsia"/>
                <w:sz w:val="24"/>
              </w:rPr>
              <w:t>2</w:t>
            </w:r>
            <w:r>
              <w:rPr>
                <w:rFonts w:hint="eastAsia"/>
                <w:sz w:val="24"/>
              </w:rPr>
              <w:t>季度报告</w:t>
            </w:r>
          </w:p>
        </w:tc>
        <w:tc>
          <w:tcPr>
            <w:tcW w:w="2520" w:type="dxa"/>
            <w:vAlign w:val="center"/>
          </w:tcPr>
          <w:p w:rsidR="002622A8" w:rsidRDefault="00DF40FE">
            <w:pPr>
              <w:jc w:val="center"/>
            </w:pPr>
            <w:r>
              <w:rPr>
                <w:rFonts w:hint="eastAsia"/>
                <w:sz w:val="24"/>
              </w:rPr>
              <w:t>中国证券报、上海证券报、证券时报</w:t>
            </w:r>
          </w:p>
        </w:tc>
        <w:tc>
          <w:tcPr>
            <w:tcW w:w="1440" w:type="dxa"/>
            <w:vAlign w:val="center"/>
          </w:tcPr>
          <w:p w:rsidR="002622A8" w:rsidRDefault="00DF40FE">
            <w:pPr>
              <w:jc w:val="center"/>
            </w:pPr>
            <w:r>
              <w:rPr>
                <w:rFonts w:hint="eastAsia"/>
                <w:sz w:val="24"/>
              </w:rPr>
              <w:t>2017-07-20</w:t>
            </w:r>
          </w:p>
        </w:tc>
      </w:tr>
      <w:tr w:rsidR="002622A8">
        <w:tc>
          <w:tcPr>
            <w:tcW w:w="720" w:type="dxa"/>
            <w:vAlign w:val="center"/>
          </w:tcPr>
          <w:p w:rsidR="002622A8" w:rsidRDefault="00DF40FE">
            <w:pPr>
              <w:jc w:val="center"/>
            </w:pPr>
            <w:r>
              <w:rPr>
                <w:rFonts w:hint="eastAsia"/>
                <w:sz w:val="24"/>
              </w:rPr>
              <w:t>5</w:t>
            </w:r>
          </w:p>
        </w:tc>
        <w:tc>
          <w:tcPr>
            <w:tcW w:w="4320" w:type="dxa"/>
            <w:vAlign w:val="center"/>
          </w:tcPr>
          <w:p w:rsidR="002622A8" w:rsidRDefault="00DF40FE">
            <w:pPr>
              <w:jc w:val="left"/>
            </w:pPr>
            <w:r>
              <w:rPr>
                <w:rFonts w:hint="eastAsia"/>
                <w:sz w:val="24"/>
              </w:rPr>
              <w:t>交银施罗德天鑫宝货币市场基金（更新）招募说明书摘要（</w:t>
            </w:r>
            <w:r>
              <w:rPr>
                <w:rFonts w:hint="eastAsia"/>
                <w:sz w:val="24"/>
              </w:rPr>
              <w:t>2017</w:t>
            </w:r>
            <w:r>
              <w:rPr>
                <w:rFonts w:hint="eastAsia"/>
                <w:sz w:val="24"/>
              </w:rPr>
              <w:t>年第</w:t>
            </w:r>
            <w:r>
              <w:rPr>
                <w:rFonts w:hint="eastAsia"/>
                <w:sz w:val="24"/>
              </w:rPr>
              <w:t>1</w:t>
            </w:r>
            <w:r>
              <w:rPr>
                <w:rFonts w:hint="eastAsia"/>
                <w:sz w:val="24"/>
              </w:rPr>
              <w:t>号）</w:t>
            </w:r>
          </w:p>
        </w:tc>
        <w:tc>
          <w:tcPr>
            <w:tcW w:w="2520" w:type="dxa"/>
            <w:vAlign w:val="center"/>
          </w:tcPr>
          <w:p w:rsidR="002622A8" w:rsidRDefault="00DF40FE">
            <w:pPr>
              <w:jc w:val="center"/>
            </w:pPr>
            <w:r>
              <w:rPr>
                <w:rFonts w:hint="eastAsia"/>
                <w:sz w:val="24"/>
              </w:rPr>
              <w:t>中国证券报、上海证券报、证券时报</w:t>
            </w:r>
          </w:p>
        </w:tc>
        <w:tc>
          <w:tcPr>
            <w:tcW w:w="1440" w:type="dxa"/>
            <w:vAlign w:val="center"/>
          </w:tcPr>
          <w:p w:rsidR="002622A8" w:rsidRDefault="00DF40FE">
            <w:pPr>
              <w:jc w:val="center"/>
            </w:pPr>
            <w:r>
              <w:rPr>
                <w:rFonts w:hint="eastAsia"/>
                <w:sz w:val="24"/>
              </w:rPr>
              <w:t>2017-07-22</w:t>
            </w:r>
          </w:p>
        </w:tc>
      </w:tr>
      <w:tr w:rsidR="002622A8">
        <w:tc>
          <w:tcPr>
            <w:tcW w:w="720" w:type="dxa"/>
            <w:vAlign w:val="center"/>
          </w:tcPr>
          <w:p w:rsidR="002622A8" w:rsidRDefault="00DF40FE">
            <w:pPr>
              <w:jc w:val="center"/>
            </w:pPr>
            <w:r>
              <w:rPr>
                <w:rFonts w:hint="eastAsia"/>
                <w:sz w:val="24"/>
              </w:rPr>
              <w:t>6</w:t>
            </w:r>
          </w:p>
        </w:tc>
        <w:tc>
          <w:tcPr>
            <w:tcW w:w="4320" w:type="dxa"/>
            <w:vAlign w:val="center"/>
          </w:tcPr>
          <w:p w:rsidR="002622A8" w:rsidRDefault="00DF40FE">
            <w:pPr>
              <w:jc w:val="left"/>
            </w:pPr>
            <w:r>
              <w:rPr>
                <w:rFonts w:hint="eastAsia"/>
                <w:sz w:val="24"/>
              </w:rPr>
              <w:t>交银施罗德天鑫宝货币市场基金</w:t>
            </w:r>
            <w:r>
              <w:rPr>
                <w:rFonts w:hint="eastAsia"/>
                <w:sz w:val="24"/>
              </w:rPr>
              <w:t>2017</w:t>
            </w:r>
            <w:r>
              <w:rPr>
                <w:rFonts w:hint="eastAsia"/>
                <w:sz w:val="24"/>
              </w:rPr>
              <w:t>年半年度报告摘要</w:t>
            </w:r>
          </w:p>
        </w:tc>
        <w:tc>
          <w:tcPr>
            <w:tcW w:w="2520" w:type="dxa"/>
            <w:vAlign w:val="center"/>
          </w:tcPr>
          <w:p w:rsidR="002622A8" w:rsidRDefault="00DF40FE">
            <w:pPr>
              <w:jc w:val="center"/>
            </w:pPr>
            <w:r>
              <w:rPr>
                <w:rFonts w:hint="eastAsia"/>
                <w:sz w:val="24"/>
              </w:rPr>
              <w:t>中国证券报、上海证券报、证券时报</w:t>
            </w:r>
          </w:p>
        </w:tc>
        <w:tc>
          <w:tcPr>
            <w:tcW w:w="1440" w:type="dxa"/>
            <w:vAlign w:val="center"/>
          </w:tcPr>
          <w:p w:rsidR="002622A8" w:rsidRDefault="00DF40FE">
            <w:pPr>
              <w:jc w:val="center"/>
            </w:pPr>
            <w:r>
              <w:rPr>
                <w:rFonts w:hint="eastAsia"/>
                <w:sz w:val="24"/>
              </w:rPr>
              <w:t>2017-08-26</w:t>
            </w:r>
          </w:p>
        </w:tc>
      </w:tr>
      <w:tr w:rsidR="002622A8">
        <w:tc>
          <w:tcPr>
            <w:tcW w:w="720" w:type="dxa"/>
            <w:vAlign w:val="center"/>
          </w:tcPr>
          <w:p w:rsidR="002622A8" w:rsidRDefault="00DF40FE">
            <w:pPr>
              <w:jc w:val="center"/>
            </w:pPr>
            <w:r>
              <w:rPr>
                <w:rFonts w:hint="eastAsia"/>
                <w:sz w:val="24"/>
              </w:rPr>
              <w:t>7</w:t>
            </w:r>
          </w:p>
        </w:tc>
        <w:tc>
          <w:tcPr>
            <w:tcW w:w="4320" w:type="dxa"/>
            <w:vAlign w:val="center"/>
          </w:tcPr>
          <w:p w:rsidR="002622A8" w:rsidRDefault="00DF40FE">
            <w:pPr>
              <w:jc w:val="left"/>
            </w:pPr>
            <w:r>
              <w:rPr>
                <w:rFonts w:hint="eastAsia"/>
                <w:sz w:val="24"/>
              </w:rPr>
              <w:t>交银施罗德基金管理有限公司关于交银施罗德天鑫宝货币市场基金于</w:t>
            </w:r>
            <w:r>
              <w:rPr>
                <w:rFonts w:hint="eastAsia"/>
                <w:sz w:val="24"/>
              </w:rPr>
              <w:t>2017</w:t>
            </w:r>
            <w:r>
              <w:rPr>
                <w:rFonts w:hint="eastAsia"/>
                <w:sz w:val="24"/>
              </w:rPr>
              <w:t>年“国庆节”假期前暂停及节后恢复大额申购业务的公告</w:t>
            </w:r>
          </w:p>
        </w:tc>
        <w:tc>
          <w:tcPr>
            <w:tcW w:w="2520" w:type="dxa"/>
            <w:vAlign w:val="center"/>
          </w:tcPr>
          <w:p w:rsidR="002622A8" w:rsidRDefault="00DF40FE">
            <w:pPr>
              <w:jc w:val="center"/>
            </w:pPr>
            <w:r>
              <w:rPr>
                <w:rFonts w:hint="eastAsia"/>
                <w:sz w:val="24"/>
              </w:rPr>
              <w:t>中国证券报、上海证券报、证券时报</w:t>
            </w:r>
          </w:p>
        </w:tc>
        <w:tc>
          <w:tcPr>
            <w:tcW w:w="1440" w:type="dxa"/>
            <w:vAlign w:val="center"/>
          </w:tcPr>
          <w:p w:rsidR="002622A8" w:rsidRDefault="00DF40FE">
            <w:pPr>
              <w:jc w:val="center"/>
            </w:pPr>
            <w:r>
              <w:rPr>
                <w:rFonts w:hint="eastAsia"/>
                <w:sz w:val="24"/>
              </w:rPr>
              <w:t>2017-09-26</w:t>
            </w:r>
          </w:p>
        </w:tc>
      </w:tr>
      <w:tr w:rsidR="002622A8">
        <w:tc>
          <w:tcPr>
            <w:tcW w:w="720" w:type="dxa"/>
            <w:vAlign w:val="center"/>
          </w:tcPr>
          <w:p w:rsidR="002622A8" w:rsidRDefault="00DF40FE">
            <w:pPr>
              <w:jc w:val="center"/>
            </w:pPr>
            <w:r>
              <w:rPr>
                <w:rFonts w:hint="eastAsia"/>
                <w:sz w:val="24"/>
              </w:rPr>
              <w:t>8</w:t>
            </w:r>
          </w:p>
        </w:tc>
        <w:tc>
          <w:tcPr>
            <w:tcW w:w="4320" w:type="dxa"/>
            <w:vAlign w:val="center"/>
          </w:tcPr>
          <w:p w:rsidR="002622A8" w:rsidRDefault="00DF40FE">
            <w:pPr>
              <w:jc w:val="left"/>
            </w:pPr>
            <w:r>
              <w:rPr>
                <w:rFonts w:hint="eastAsia"/>
                <w:sz w:val="24"/>
              </w:rPr>
              <w:t>交银施罗德天鑫宝货币市场基金</w:t>
            </w:r>
            <w:r>
              <w:rPr>
                <w:rFonts w:hint="eastAsia"/>
                <w:sz w:val="24"/>
              </w:rPr>
              <w:t>2017</w:t>
            </w:r>
            <w:r>
              <w:rPr>
                <w:rFonts w:hint="eastAsia"/>
                <w:sz w:val="24"/>
              </w:rPr>
              <w:t>年第</w:t>
            </w:r>
            <w:r>
              <w:rPr>
                <w:rFonts w:hint="eastAsia"/>
                <w:sz w:val="24"/>
              </w:rPr>
              <w:t>3</w:t>
            </w:r>
            <w:r>
              <w:rPr>
                <w:rFonts w:hint="eastAsia"/>
                <w:sz w:val="24"/>
              </w:rPr>
              <w:t>季度报告</w:t>
            </w:r>
          </w:p>
        </w:tc>
        <w:tc>
          <w:tcPr>
            <w:tcW w:w="2520" w:type="dxa"/>
            <w:vAlign w:val="center"/>
          </w:tcPr>
          <w:p w:rsidR="002622A8" w:rsidRDefault="00DF40FE">
            <w:pPr>
              <w:jc w:val="center"/>
            </w:pPr>
            <w:r>
              <w:rPr>
                <w:rFonts w:hint="eastAsia"/>
                <w:sz w:val="24"/>
              </w:rPr>
              <w:t>中国证券报、上海证券报、证券时报</w:t>
            </w:r>
          </w:p>
        </w:tc>
        <w:tc>
          <w:tcPr>
            <w:tcW w:w="1440" w:type="dxa"/>
            <w:vAlign w:val="center"/>
          </w:tcPr>
          <w:p w:rsidR="002622A8" w:rsidRDefault="00DF40FE">
            <w:pPr>
              <w:jc w:val="center"/>
            </w:pPr>
            <w:r>
              <w:rPr>
                <w:rFonts w:hint="eastAsia"/>
                <w:sz w:val="24"/>
              </w:rPr>
              <w:t>2017-10-25</w:t>
            </w:r>
          </w:p>
        </w:tc>
      </w:tr>
    </w:tbl>
    <w:p w:rsidR="00EE746D" w:rsidRPr="00EE746D" w:rsidRDefault="00EE746D" w:rsidP="00EE746D">
      <w:pPr>
        <w:tabs>
          <w:tab w:val="left" w:pos="426"/>
        </w:tabs>
        <w:spacing w:before="29" w:line="288" w:lineRule="auto"/>
        <w:jc w:val="left"/>
        <w:rPr>
          <w:kern w:val="0"/>
          <w:sz w:val="24"/>
        </w:rPr>
      </w:pPr>
    </w:p>
    <w:p w:rsidR="005324CE" w:rsidRPr="0006291C" w:rsidRDefault="005324CE" w:rsidP="001B0E7B">
      <w:pPr>
        <w:pStyle w:val="1"/>
        <w:keepNext/>
        <w:keepLines/>
        <w:widowControl w:val="0"/>
        <w:spacing w:beforeLines="100" w:before="312" w:afterLines="100" w:after="312" w:line="360" w:lineRule="auto"/>
        <w:jc w:val="center"/>
        <w:rPr>
          <w:rFonts w:eastAsiaTheme="minorEastAsia"/>
          <w:b/>
          <w:bCs/>
          <w:szCs w:val="24"/>
          <w:lang w:val="en-US"/>
        </w:rPr>
      </w:pPr>
      <w:bookmarkStart w:id="100" w:name="_Toc374532345"/>
      <w:bookmarkStart w:id="101" w:name="_Toc509581523"/>
      <w:r w:rsidRPr="0006291C">
        <w:rPr>
          <w:rFonts w:eastAsiaTheme="minorEastAsia"/>
          <w:b/>
          <w:bCs/>
          <w:szCs w:val="24"/>
          <w:lang w:val="en-US"/>
        </w:rPr>
        <w:t xml:space="preserve">12  </w:t>
      </w:r>
      <w:r w:rsidRPr="0006291C">
        <w:rPr>
          <w:rFonts w:eastAsiaTheme="minorEastAsia" w:hint="eastAsia"/>
          <w:b/>
          <w:bCs/>
          <w:szCs w:val="24"/>
          <w:lang w:val="en-US"/>
        </w:rPr>
        <w:t>影响投资者决策的其他重要信息</w:t>
      </w:r>
      <w:bookmarkEnd w:id="100"/>
      <w:bookmarkEnd w:id="101"/>
    </w:p>
    <w:p w:rsidR="005324CE" w:rsidRPr="0006291C" w:rsidRDefault="005324CE" w:rsidP="005324CE">
      <w:pPr>
        <w:autoSpaceDE w:val="0"/>
        <w:autoSpaceDN w:val="0"/>
        <w:adjustRightInd w:val="0"/>
        <w:spacing w:line="360" w:lineRule="auto"/>
        <w:jc w:val="left"/>
        <w:rPr>
          <w:b/>
          <w:bCs/>
          <w:color w:val="000000"/>
          <w:kern w:val="0"/>
          <w:sz w:val="24"/>
        </w:rPr>
      </w:pPr>
      <w:r w:rsidRPr="0006291C">
        <w:rPr>
          <w:b/>
          <w:bCs/>
          <w:color w:val="000000"/>
          <w:kern w:val="0"/>
          <w:sz w:val="24"/>
        </w:rPr>
        <w:t xml:space="preserve">12.1 </w:t>
      </w:r>
      <w:r w:rsidRPr="0006291C">
        <w:rPr>
          <w:rFonts w:hint="eastAsia"/>
          <w:b/>
          <w:bCs/>
          <w:color w:val="000000"/>
          <w:kern w:val="0"/>
          <w:sz w:val="24"/>
        </w:rPr>
        <w:t>报告期内单一投资者持有基金份额比例达到或超过</w:t>
      </w:r>
      <w:r w:rsidRPr="0006291C">
        <w:rPr>
          <w:b/>
          <w:bCs/>
          <w:color w:val="000000"/>
          <w:kern w:val="0"/>
          <w:sz w:val="24"/>
        </w:rPr>
        <w:t>20%</w:t>
      </w:r>
      <w:r w:rsidRPr="0006291C">
        <w:rPr>
          <w:rFonts w:hint="eastAsia"/>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B22925" w:rsidTr="008F3A25">
        <w:tc>
          <w:tcPr>
            <w:tcW w:w="993" w:type="dxa"/>
            <w:vMerge w:val="restart"/>
            <w:vAlign w:val="center"/>
          </w:tcPr>
          <w:p w:rsidR="005324CE" w:rsidRPr="0006291C" w:rsidRDefault="005324CE" w:rsidP="008F3A25">
            <w:pPr>
              <w:autoSpaceDE w:val="0"/>
              <w:autoSpaceDN w:val="0"/>
              <w:adjustRightInd w:val="0"/>
              <w:jc w:val="center"/>
              <w:rPr>
                <w:b/>
                <w:bCs/>
                <w:color w:val="000000"/>
                <w:kern w:val="0"/>
                <w:sz w:val="24"/>
              </w:rPr>
            </w:pPr>
            <w:r w:rsidRPr="0006291C">
              <w:rPr>
                <w:rFonts w:hint="eastAsia"/>
                <w:color w:val="000000"/>
                <w:kern w:val="0"/>
                <w:sz w:val="24"/>
              </w:rPr>
              <w:t>投资者类别</w:t>
            </w:r>
            <w:r w:rsidRPr="0006291C">
              <w:rPr>
                <w:color w:val="000000"/>
                <w:kern w:val="0"/>
                <w:sz w:val="24"/>
              </w:rPr>
              <w:t xml:space="preserve">  </w:t>
            </w:r>
          </w:p>
        </w:tc>
        <w:tc>
          <w:tcPr>
            <w:tcW w:w="5670" w:type="dxa"/>
            <w:gridSpan w:val="5"/>
            <w:vAlign w:val="center"/>
          </w:tcPr>
          <w:p w:rsidR="005324CE" w:rsidRPr="0006291C" w:rsidRDefault="005324CE" w:rsidP="008F3A25">
            <w:pPr>
              <w:autoSpaceDE w:val="0"/>
              <w:autoSpaceDN w:val="0"/>
              <w:adjustRightInd w:val="0"/>
              <w:jc w:val="center"/>
              <w:rPr>
                <w:b/>
                <w:bCs/>
                <w:color w:val="000000"/>
                <w:kern w:val="0"/>
                <w:sz w:val="24"/>
              </w:rPr>
            </w:pPr>
            <w:r w:rsidRPr="0006291C">
              <w:rPr>
                <w:rFonts w:hint="eastAsia"/>
                <w:color w:val="000000"/>
                <w:kern w:val="0"/>
                <w:sz w:val="24"/>
              </w:rPr>
              <w:t>报告期内持有基金份额变化情况</w:t>
            </w:r>
          </w:p>
        </w:tc>
        <w:tc>
          <w:tcPr>
            <w:tcW w:w="2549" w:type="dxa"/>
            <w:gridSpan w:val="2"/>
            <w:vAlign w:val="center"/>
          </w:tcPr>
          <w:p w:rsidR="005324CE" w:rsidRPr="0006291C" w:rsidRDefault="005324CE" w:rsidP="008F3A25">
            <w:pPr>
              <w:autoSpaceDE w:val="0"/>
              <w:autoSpaceDN w:val="0"/>
              <w:adjustRightInd w:val="0"/>
              <w:jc w:val="center"/>
              <w:rPr>
                <w:b/>
                <w:bCs/>
                <w:color w:val="000000"/>
                <w:kern w:val="0"/>
                <w:sz w:val="24"/>
              </w:rPr>
            </w:pPr>
            <w:r w:rsidRPr="0006291C">
              <w:rPr>
                <w:rFonts w:hint="eastAsia"/>
                <w:color w:val="000000"/>
                <w:kern w:val="0"/>
                <w:sz w:val="24"/>
              </w:rPr>
              <w:t>报告期末持有基金情况</w:t>
            </w:r>
          </w:p>
        </w:tc>
      </w:tr>
      <w:tr w:rsidR="005324CE" w:rsidRPr="00B22925" w:rsidTr="008F3A25">
        <w:tc>
          <w:tcPr>
            <w:tcW w:w="993" w:type="dxa"/>
            <w:vMerge/>
            <w:vAlign w:val="center"/>
          </w:tcPr>
          <w:p w:rsidR="005324CE" w:rsidRPr="0006291C" w:rsidRDefault="005324CE" w:rsidP="008F3A25">
            <w:pPr>
              <w:autoSpaceDE w:val="0"/>
              <w:autoSpaceDN w:val="0"/>
              <w:adjustRightInd w:val="0"/>
              <w:jc w:val="center"/>
              <w:rPr>
                <w:b/>
                <w:bCs/>
                <w:color w:val="000000"/>
                <w:kern w:val="0"/>
                <w:sz w:val="24"/>
              </w:rPr>
            </w:pPr>
          </w:p>
        </w:tc>
        <w:tc>
          <w:tcPr>
            <w:tcW w:w="992" w:type="dxa"/>
            <w:vAlign w:val="center"/>
          </w:tcPr>
          <w:p w:rsidR="005324CE" w:rsidRPr="0006291C" w:rsidRDefault="005324CE" w:rsidP="008F3A25">
            <w:pPr>
              <w:autoSpaceDE w:val="0"/>
              <w:autoSpaceDN w:val="0"/>
              <w:adjustRightInd w:val="0"/>
              <w:jc w:val="center"/>
              <w:rPr>
                <w:b/>
                <w:bCs/>
                <w:color w:val="000000"/>
                <w:kern w:val="0"/>
                <w:sz w:val="24"/>
              </w:rPr>
            </w:pPr>
            <w:r w:rsidRPr="0006291C">
              <w:rPr>
                <w:rFonts w:hint="eastAsia"/>
                <w:color w:val="000000"/>
                <w:kern w:val="0"/>
                <w:sz w:val="24"/>
              </w:rPr>
              <w:t>序号</w:t>
            </w:r>
          </w:p>
        </w:tc>
        <w:tc>
          <w:tcPr>
            <w:tcW w:w="1843" w:type="dxa"/>
            <w:vAlign w:val="center"/>
          </w:tcPr>
          <w:p w:rsidR="005324CE" w:rsidRPr="0006291C" w:rsidRDefault="005324CE" w:rsidP="008F3A25">
            <w:pPr>
              <w:autoSpaceDE w:val="0"/>
              <w:autoSpaceDN w:val="0"/>
              <w:adjustRightInd w:val="0"/>
              <w:jc w:val="center"/>
              <w:rPr>
                <w:b/>
                <w:bCs/>
                <w:color w:val="000000"/>
                <w:kern w:val="0"/>
                <w:sz w:val="24"/>
              </w:rPr>
            </w:pPr>
            <w:r w:rsidRPr="0006291C">
              <w:rPr>
                <w:rFonts w:hint="eastAsia"/>
                <w:color w:val="000000"/>
                <w:kern w:val="0"/>
                <w:sz w:val="24"/>
              </w:rPr>
              <w:t>持有基金份额比例达到或者超过</w:t>
            </w:r>
            <w:r w:rsidRPr="0006291C">
              <w:rPr>
                <w:color w:val="000000"/>
                <w:kern w:val="0"/>
                <w:sz w:val="24"/>
              </w:rPr>
              <w:t>20%</w:t>
            </w:r>
            <w:r w:rsidRPr="0006291C">
              <w:rPr>
                <w:rFonts w:hint="eastAsia"/>
                <w:color w:val="000000"/>
                <w:kern w:val="0"/>
                <w:sz w:val="24"/>
              </w:rPr>
              <w:t>的时间区间</w:t>
            </w:r>
          </w:p>
        </w:tc>
        <w:tc>
          <w:tcPr>
            <w:tcW w:w="851" w:type="dxa"/>
            <w:vAlign w:val="center"/>
          </w:tcPr>
          <w:p w:rsidR="005324CE" w:rsidRPr="0006291C" w:rsidRDefault="005324CE" w:rsidP="008F3A25">
            <w:pPr>
              <w:widowControl/>
              <w:jc w:val="center"/>
              <w:rPr>
                <w:b/>
                <w:bCs/>
                <w:color w:val="000000"/>
                <w:kern w:val="0"/>
                <w:sz w:val="24"/>
              </w:rPr>
            </w:pPr>
            <w:r w:rsidRPr="0006291C">
              <w:rPr>
                <w:rFonts w:hint="eastAsia"/>
                <w:color w:val="000000"/>
                <w:kern w:val="0"/>
                <w:sz w:val="24"/>
              </w:rPr>
              <w:t>期初份额</w:t>
            </w:r>
          </w:p>
        </w:tc>
        <w:tc>
          <w:tcPr>
            <w:tcW w:w="850" w:type="dxa"/>
            <w:vAlign w:val="center"/>
          </w:tcPr>
          <w:p w:rsidR="005324CE" w:rsidRPr="0006291C" w:rsidRDefault="005324CE" w:rsidP="008F3A25">
            <w:pPr>
              <w:widowControl/>
              <w:jc w:val="center"/>
              <w:rPr>
                <w:b/>
                <w:bCs/>
                <w:color w:val="000000"/>
                <w:kern w:val="0"/>
                <w:sz w:val="24"/>
              </w:rPr>
            </w:pPr>
            <w:r w:rsidRPr="0006291C">
              <w:rPr>
                <w:rFonts w:hint="eastAsia"/>
                <w:color w:val="000000"/>
                <w:kern w:val="0"/>
                <w:sz w:val="24"/>
              </w:rPr>
              <w:t>申购份额</w:t>
            </w:r>
          </w:p>
        </w:tc>
        <w:tc>
          <w:tcPr>
            <w:tcW w:w="1134" w:type="dxa"/>
            <w:vAlign w:val="center"/>
          </w:tcPr>
          <w:p w:rsidR="005324CE" w:rsidRPr="0006291C" w:rsidRDefault="005324CE" w:rsidP="008F3A25">
            <w:pPr>
              <w:widowControl/>
              <w:jc w:val="center"/>
              <w:rPr>
                <w:b/>
                <w:bCs/>
                <w:color w:val="000000"/>
                <w:kern w:val="0"/>
                <w:sz w:val="24"/>
              </w:rPr>
            </w:pPr>
            <w:r w:rsidRPr="0006291C">
              <w:rPr>
                <w:rFonts w:hint="eastAsia"/>
                <w:color w:val="000000"/>
                <w:kern w:val="0"/>
                <w:sz w:val="24"/>
              </w:rPr>
              <w:t>赎回份额</w:t>
            </w:r>
          </w:p>
        </w:tc>
        <w:tc>
          <w:tcPr>
            <w:tcW w:w="1419" w:type="dxa"/>
            <w:vAlign w:val="center"/>
          </w:tcPr>
          <w:p w:rsidR="005324CE" w:rsidRPr="0006291C" w:rsidRDefault="005324CE" w:rsidP="008F3A25">
            <w:pPr>
              <w:autoSpaceDE w:val="0"/>
              <w:autoSpaceDN w:val="0"/>
              <w:adjustRightInd w:val="0"/>
              <w:jc w:val="center"/>
              <w:rPr>
                <w:b/>
                <w:bCs/>
                <w:color w:val="000000"/>
                <w:kern w:val="0"/>
                <w:sz w:val="24"/>
              </w:rPr>
            </w:pPr>
            <w:r w:rsidRPr="0006291C">
              <w:rPr>
                <w:rFonts w:hint="eastAsia"/>
                <w:color w:val="000000"/>
                <w:kern w:val="0"/>
                <w:sz w:val="24"/>
              </w:rPr>
              <w:t>持有份额</w:t>
            </w:r>
          </w:p>
        </w:tc>
        <w:tc>
          <w:tcPr>
            <w:tcW w:w="1130" w:type="dxa"/>
            <w:vAlign w:val="center"/>
          </w:tcPr>
          <w:p w:rsidR="005324CE" w:rsidRPr="0006291C" w:rsidRDefault="005324CE" w:rsidP="008F3A25">
            <w:pPr>
              <w:autoSpaceDE w:val="0"/>
              <w:autoSpaceDN w:val="0"/>
              <w:adjustRightInd w:val="0"/>
              <w:jc w:val="center"/>
              <w:rPr>
                <w:b/>
                <w:bCs/>
                <w:color w:val="000000"/>
                <w:kern w:val="0"/>
                <w:sz w:val="24"/>
              </w:rPr>
            </w:pPr>
            <w:r w:rsidRPr="0006291C">
              <w:rPr>
                <w:rFonts w:hint="eastAsia"/>
                <w:color w:val="000000"/>
                <w:kern w:val="0"/>
                <w:sz w:val="24"/>
              </w:rPr>
              <w:t>份额占比</w:t>
            </w:r>
          </w:p>
        </w:tc>
      </w:tr>
      <w:tr w:rsidR="002622A8" w:rsidRPr="00B22925">
        <w:tc>
          <w:tcPr>
            <w:tcW w:w="993" w:type="dxa"/>
            <w:vMerge w:val="restart"/>
          </w:tcPr>
          <w:p w:rsidR="002622A8" w:rsidRPr="0006291C" w:rsidRDefault="002622A8">
            <w:pPr>
              <w:rPr>
                <w:sz w:val="24"/>
              </w:rPr>
            </w:pPr>
          </w:p>
          <w:p w:rsidR="002622A8" w:rsidRPr="0006291C" w:rsidRDefault="00DF40FE">
            <w:pPr>
              <w:rPr>
                <w:sz w:val="24"/>
              </w:rPr>
            </w:pPr>
            <w:r w:rsidRPr="0006291C">
              <w:rPr>
                <w:rFonts w:hint="eastAsia"/>
                <w:bCs/>
                <w:color w:val="000000"/>
                <w:kern w:val="0"/>
                <w:sz w:val="24"/>
              </w:rPr>
              <w:t>机构</w:t>
            </w:r>
          </w:p>
        </w:tc>
        <w:tc>
          <w:tcPr>
            <w:tcW w:w="992" w:type="dxa"/>
            <w:vAlign w:val="center"/>
          </w:tcPr>
          <w:p w:rsidR="002622A8" w:rsidRPr="0006291C" w:rsidRDefault="00DF40FE">
            <w:pPr>
              <w:jc w:val="center"/>
              <w:rPr>
                <w:sz w:val="24"/>
              </w:rPr>
            </w:pPr>
            <w:r w:rsidRPr="0006291C">
              <w:rPr>
                <w:color w:val="000000"/>
                <w:kern w:val="0"/>
                <w:sz w:val="24"/>
              </w:rPr>
              <w:t>1</w:t>
            </w:r>
          </w:p>
        </w:tc>
        <w:tc>
          <w:tcPr>
            <w:tcW w:w="1843" w:type="dxa"/>
            <w:vAlign w:val="center"/>
          </w:tcPr>
          <w:p w:rsidR="002622A8" w:rsidRPr="0006291C" w:rsidRDefault="00DF40FE">
            <w:pPr>
              <w:jc w:val="center"/>
              <w:rPr>
                <w:sz w:val="24"/>
              </w:rPr>
            </w:pPr>
            <w:r w:rsidRPr="0006291C">
              <w:rPr>
                <w:color w:val="000000"/>
                <w:kern w:val="0"/>
                <w:sz w:val="24"/>
              </w:rPr>
              <w:t>2017/1/1-2017/12/31</w:t>
            </w:r>
          </w:p>
        </w:tc>
        <w:tc>
          <w:tcPr>
            <w:tcW w:w="851" w:type="dxa"/>
            <w:vAlign w:val="center"/>
          </w:tcPr>
          <w:p w:rsidR="002622A8" w:rsidRPr="0006291C" w:rsidRDefault="00DF40FE">
            <w:pPr>
              <w:jc w:val="center"/>
              <w:rPr>
                <w:sz w:val="24"/>
              </w:rPr>
            </w:pPr>
            <w:r w:rsidRPr="0006291C">
              <w:rPr>
                <w:color w:val="000000"/>
                <w:kern w:val="0"/>
                <w:sz w:val="24"/>
              </w:rPr>
              <w:t>-</w:t>
            </w:r>
          </w:p>
        </w:tc>
        <w:tc>
          <w:tcPr>
            <w:tcW w:w="850" w:type="dxa"/>
            <w:vAlign w:val="center"/>
          </w:tcPr>
          <w:p w:rsidR="002622A8" w:rsidRPr="0006291C" w:rsidRDefault="00DF40FE">
            <w:pPr>
              <w:jc w:val="center"/>
              <w:rPr>
                <w:sz w:val="24"/>
              </w:rPr>
            </w:pPr>
            <w:r w:rsidRPr="0006291C">
              <w:rPr>
                <w:color w:val="000000"/>
                <w:kern w:val="0"/>
                <w:sz w:val="24"/>
              </w:rPr>
              <w:t>12,013,313,620.48</w:t>
            </w:r>
          </w:p>
        </w:tc>
        <w:tc>
          <w:tcPr>
            <w:tcW w:w="1134" w:type="dxa"/>
            <w:vAlign w:val="center"/>
          </w:tcPr>
          <w:p w:rsidR="002622A8" w:rsidRPr="0006291C" w:rsidRDefault="00DF40FE">
            <w:pPr>
              <w:jc w:val="center"/>
              <w:rPr>
                <w:sz w:val="24"/>
              </w:rPr>
            </w:pPr>
            <w:r w:rsidRPr="0006291C">
              <w:rPr>
                <w:color w:val="000000"/>
                <w:kern w:val="0"/>
                <w:sz w:val="24"/>
              </w:rPr>
              <w:t>5,005,201,035.27</w:t>
            </w:r>
          </w:p>
        </w:tc>
        <w:tc>
          <w:tcPr>
            <w:tcW w:w="1419" w:type="dxa"/>
            <w:vAlign w:val="center"/>
          </w:tcPr>
          <w:p w:rsidR="002622A8" w:rsidRPr="0006291C" w:rsidRDefault="00DF40FE">
            <w:pPr>
              <w:jc w:val="center"/>
              <w:rPr>
                <w:sz w:val="24"/>
              </w:rPr>
            </w:pPr>
            <w:r w:rsidRPr="0006291C">
              <w:rPr>
                <w:color w:val="000000"/>
                <w:kern w:val="0"/>
                <w:sz w:val="24"/>
              </w:rPr>
              <w:t>7,008,112,585.21</w:t>
            </w:r>
          </w:p>
        </w:tc>
        <w:tc>
          <w:tcPr>
            <w:tcW w:w="1130" w:type="dxa"/>
            <w:vAlign w:val="center"/>
          </w:tcPr>
          <w:p w:rsidR="002622A8" w:rsidRPr="0006291C" w:rsidRDefault="00DF40FE" w:rsidP="00EA67AC">
            <w:pPr>
              <w:jc w:val="center"/>
              <w:rPr>
                <w:sz w:val="24"/>
              </w:rPr>
            </w:pPr>
            <w:r w:rsidRPr="0006291C">
              <w:rPr>
                <w:color w:val="000000"/>
                <w:kern w:val="0"/>
                <w:sz w:val="24"/>
              </w:rPr>
              <w:t>29.7</w:t>
            </w:r>
            <w:r w:rsidR="00EA67AC">
              <w:rPr>
                <w:color w:val="000000"/>
                <w:kern w:val="0"/>
                <w:sz w:val="24"/>
              </w:rPr>
              <w:t>6</w:t>
            </w:r>
            <w:r w:rsidRPr="0006291C">
              <w:rPr>
                <w:color w:val="000000"/>
                <w:kern w:val="0"/>
                <w:sz w:val="24"/>
              </w:rPr>
              <w:t>%</w:t>
            </w:r>
          </w:p>
        </w:tc>
      </w:tr>
      <w:tr w:rsidR="002622A8" w:rsidRPr="00B22925">
        <w:tc>
          <w:tcPr>
            <w:tcW w:w="993" w:type="dxa"/>
            <w:vMerge/>
          </w:tcPr>
          <w:p w:rsidR="002622A8" w:rsidRPr="0006291C" w:rsidRDefault="002622A8">
            <w:pPr>
              <w:rPr>
                <w:sz w:val="24"/>
              </w:rPr>
            </w:pPr>
          </w:p>
        </w:tc>
        <w:tc>
          <w:tcPr>
            <w:tcW w:w="992" w:type="dxa"/>
            <w:vAlign w:val="center"/>
          </w:tcPr>
          <w:p w:rsidR="002622A8" w:rsidRPr="0006291C" w:rsidRDefault="00DF40FE">
            <w:pPr>
              <w:jc w:val="center"/>
              <w:rPr>
                <w:sz w:val="24"/>
              </w:rPr>
            </w:pPr>
            <w:r w:rsidRPr="0006291C">
              <w:rPr>
                <w:color w:val="000000"/>
                <w:kern w:val="0"/>
                <w:sz w:val="24"/>
              </w:rPr>
              <w:t>2</w:t>
            </w:r>
          </w:p>
        </w:tc>
        <w:tc>
          <w:tcPr>
            <w:tcW w:w="1843" w:type="dxa"/>
            <w:vAlign w:val="center"/>
          </w:tcPr>
          <w:p w:rsidR="002622A8" w:rsidRPr="0006291C" w:rsidRDefault="00DF40FE">
            <w:pPr>
              <w:jc w:val="center"/>
              <w:rPr>
                <w:sz w:val="24"/>
              </w:rPr>
            </w:pPr>
            <w:r w:rsidRPr="0006291C">
              <w:rPr>
                <w:color w:val="000000"/>
                <w:kern w:val="0"/>
                <w:sz w:val="24"/>
              </w:rPr>
              <w:t>2017/1/1-2017/12/31</w:t>
            </w:r>
          </w:p>
        </w:tc>
        <w:tc>
          <w:tcPr>
            <w:tcW w:w="851" w:type="dxa"/>
            <w:vAlign w:val="center"/>
          </w:tcPr>
          <w:p w:rsidR="002622A8" w:rsidRPr="0006291C" w:rsidRDefault="00DF40FE">
            <w:pPr>
              <w:jc w:val="center"/>
              <w:rPr>
                <w:sz w:val="24"/>
              </w:rPr>
            </w:pPr>
            <w:r w:rsidRPr="0006291C">
              <w:rPr>
                <w:color w:val="000000"/>
                <w:kern w:val="0"/>
                <w:sz w:val="24"/>
              </w:rPr>
              <w:t>200,423,567.53</w:t>
            </w:r>
          </w:p>
        </w:tc>
        <w:tc>
          <w:tcPr>
            <w:tcW w:w="850" w:type="dxa"/>
            <w:vAlign w:val="center"/>
          </w:tcPr>
          <w:p w:rsidR="002622A8" w:rsidRPr="0006291C" w:rsidRDefault="00DF40FE">
            <w:pPr>
              <w:jc w:val="center"/>
              <w:rPr>
                <w:sz w:val="24"/>
              </w:rPr>
            </w:pPr>
            <w:r w:rsidRPr="0006291C">
              <w:rPr>
                <w:color w:val="000000"/>
                <w:kern w:val="0"/>
                <w:sz w:val="24"/>
              </w:rPr>
              <w:t>1,114,920.64</w:t>
            </w:r>
          </w:p>
        </w:tc>
        <w:tc>
          <w:tcPr>
            <w:tcW w:w="1134" w:type="dxa"/>
            <w:vAlign w:val="center"/>
          </w:tcPr>
          <w:p w:rsidR="002622A8" w:rsidRPr="0006291C" w:rsidRDefault="00DF40FE">
            <w:pPr>
              <w:jc w:val="center"/>
              <w:rPr>
                <w:sz w:val="24"/>
              </w:rPr>
            </w:pPr>
            <w:r w:rsidRPr="0006291C">
              <w:rPr>
                <w:color w:val="000000"/>
                <w:kern w:val="0"/>
                <w:sz w:val="24"/>
              </w:rPr>
              <w:t>201,538,488.17</w:t>
            </w:r>
          </w:p>
        </w:tc>
        <w:tc>
          <w:tcPr>
            <w:tcW w:w="1419" w:type="dxa"/>
            <w:vAlign w:val="center"/>
          </w:tcPr>
          <w:p w:rsidR="002622A8" w:rsidRPr="0006291C" w:rsidRDefault="00DF40FE">
            <w:pPr>
              <w:jc w:val="center"/>
              <w:rPr>
                <w:sz w:val="24"/>
              </w:rPr>
            </w:pPr>
            <w:r w:rsidRPr="0006291C">
              <w:rPr>
                <w:color w:val="000000"/>
                <w:kern w:val="0"/>
                <w:sz w:val="24"/>
              </w:rPr>
              <w:t>-</w:t>
            </w:r>
          </w:p>
        </w:tc>
        <w:tc>
          <w:tcPr>
            <w:tcW w:w="1130" w:type="dxa"/>
            <w:vAlign w:val="center"/>
          </w:tcPr>
          <w:p w:rsidR="002622A8" w:rsidRPr="0006291C" w:rsidRDefault="00DF40FE">
            <w:pPr>
              <w:jc w:val="center"/>
              <w:rPr>
                <w:sz w:val="24"/>
              </w:rPr>
            </w:pPr>
            <w:r w:rsidRPr="0006291C">
              <w:rPr>
                <w:color w:val="000000"/>
                <w:kern w:val="0"/>
                <w:sz w:val="24"/>
              </w:rPr>
              <w:t>-</w:t>
            </w:r>
          </w:p>
        </w:tc>
      </w:tr>
      <w:tr w:rsidR="002622A8" w:rsidRPr="00B22925">
        <w:tc>
          <w:tcPr>
            <w:tcW w:w="993" w:type="dxa"/>
            <w:vMerge/>
          </w:tcPr>
          <w:p w:rsidR="002622A8" w:rsidRPr="0006291C" w:rsidRDefault="002622A8">
            <w:pPr>
              <w:rPr>
                <w:sz w:val="24"/>
              </w:rPr>
            </w:pPr>
          </w:p>
        </w:tc>
        <w:tc>
          <w:tcPr>
            <w:tcW w:w="992" w:type="dxa"/>
            <w:vAlign w:val="center"/>
          </w:tcPr>
          <w:p w:rsidR="002622A8" w:rsidRPr="0006291C" w:rsidRDefault="00DF40FE">
            <w:pPr>
              <w:jc w:val="center"/>
              <w:rPr>
                <w:sz w:val="24"/>
              </w:rPr>
            </w:pPr>
            <w:r w:rsidRPr="0006291C">
              <w:rPr>
                <w:color w:val="000000"/>
                <w:kern w:val="0"/>
                <w:sz w:val="24"/>
              </w:rPr>
              <w:t>3</w:t>
            </w:r>
          </w:p>
        </w:tc>
        <w:tc>
          <w:tcPr>
            <w:tcW w:w="1843" w:type="dxa"/>
            <w:vAlign w:val="center"/>
          </w:tcPr>
          <w:p w:rsidR="002622A8" w:rsidRPr="0006291C" w:rsidRDefault="00DF40FE">
            <w:pPr>
              <w:jc w:val="center"/>
              <w:rPr>
                <w:sz w:val="24"/>
              </w:rPr>
            </w:pPr>
            <w:r w:rsidRPr="0006291C">
              <w:rPr>
                <w:color w:val="000000"/>
                <w:kern w:val="0"/>
                <w:sz w:val="24"/>
              </w:rPr>
              <w:t>2017/1/1-2017/12/31</w:t>
            </w:r>
          </w:p>
        </w:tc>
        <w:tc>
          <w:tcPr>
            <w:tcW w:w="851" w:type="dxa"/>
            <w:vAlign w:val="center"/>
          </w:tcPr>
          <w:p w:rsidR="002622A8" w:rsidRPr="0006291C" w:rsidRDefault="00DF40FE">
            <w:pPr>
              <w:jc w:val="center"/>
              <w:rPr>
                <w:sz w:val="24"/>
              </w:rPr>
            </w:pPr>
            <w:r w:rsidRPr="0006291C">
              <w:rPr>
                <w:color w:val="000000"/>
                <w:kern w:val="0"/>
                <w:sz w:val="24"/>
              </w:rPr>
              <w:t>-</w:t>
            </w:r>
          </w:p>
        </w:tc>
        <w:tc>
          <w:tcPr>
            <w:tcW w:w="850" w:type="dxa"/>
            <w:vAlign w:val="center"/>
          </w:tcPr>
          <w:p w:rsidR="002622A8" w:rsidRPr="0006291C" w:rsidRDefault="00DF40FE">
            <w:pPr>
              <w:jc w:val="center"/>
              <w:rPr>
                <w:sz w:val="24"/>
              </w:rPr>
            </w:pPr>
            <w:r w:rsidRPr="0006291C">
              <w:rPr>
                <w:color w:val="000000"/>
                <w:kern w:val="0"/>
                <w:sz w:val="24"/>
              </w:rPr>
              <w:t>3,773,003,450.53</w:t>
            </w:r>
          </w:p>
        </w:tc>
        <w:tc>
          <w:tcPr>
            <w:tcW w:w="1134" w:type="dxa"/>
            <w:vAlign w:val="center"/>
          </w:tcPr>
          <w:p w:rsidR="002622A8" w:rsidRPr="0006291C" w:rsidRDefault="00DF40FE">
            <w:pPr>
              <w:jc w:val="center"/>
              <w:rPr>
                <w:sz w:val="24"/>
              </w:rPr>
            </w:pPr>
            <w:r w:rsidRPr="0006291C">
              <w:rPr>
                <w:color w:val="000000"/>
                <w:kern w:val="0"/>
                <w:sz w:val="24"/>
              </w:rPr>
              <w:t>700,000,000.00</w:t>
            </w:r>
          </w:p>
        </w:tc>
        <w:tc>
          <w:tcPr>
            <w:tcW w:w="1419" w:type="dxa"/>
            <w:vAlign w:val="center"/>
          </w:tcPr>
          <w:p w:rsidR="002622A8" w:rsidRPr="0006291C" w:rsidRDefault="00DF40FE">
            <w:pPr>
              <w:jc w:val="center"/>
              <w:rPr>
                <w:sz w:val="24"/>
              </w:rPr>
            </w:pPr>
            <w:r w:rsidRPr="0006291C">
              <w:rPr>
                <w:color w:val="000000"/>
                <w:kern w:val="0"/>
                <w:sz w:val="24"/>
              </w:rPr>
              <w:t>3,073,003,450.53</w:t>
            </w:r>
          </w:p>
        </w:tc>
        <w:tc>
          <w:tcPr>
            <w:tcW w:w="1130" w:type="dxa"/>
            <w:vAlign w:val="center"/>
          </w:tcPr>
          <w:p w:rsidR="002622A8" w:rsidRPr="0006291C" w:rsidRDefault="00DF40FE">
            <w:pPr>
              <w:jc w:val="center"/>
              <w:rPr>
                <w:sz w:val="24"/>
              </w:rPr>
            </w:pPr>
            <w:r w:rsidRPr="0006291C">
              <w:rPr>
                <w:color w:val="000000"/>
                <w:kern w:val="0"/>
                <w:sz w:val="24"/>
              </w:rPr>
              <w:t>13.05%</w:t>
            </w:r>
          </w:p>
        </w:tc>
      </w:tr>
      <w:tr w:rsidR="002622A8" w:rsidRPr="00B22925">
        <w:tc>
          <w:tcPr>
            <w:tcW w:w="993" w:type="dxa"/>
            <w:vMerge/>
          </w:tcPr>
          <w:p w:rsidR="002622A8" w:rsidRPr="0006291C" w:rsidRDefault="002622A8">
            <w:pPr>
              <w:rPr>
                <w:sz w:val="24"/>
              </w:rPr>
            </w:pPr>
          </w:p>
        </w:tc>
        <w:tc>
          <w:tcPr>
            <w:tcW w:w="992" w:type="dxa"/>
            <w:vAlign w:val="center"/>
          </w:tcPr>
          <w:p w:rsidR="002622A8" w:rsidRPr="0006291C" w:rsidRDefault="00DF40FE">
            <w:pPr>
              <w:jc w:val="center"/>
              <w:rPr>
                <w:sz w:val="24"/>
              </w:rPr>
            </w:pPr>
            <w:r w:rsidRPr="0006291C">
              <w:rPr>
                <w:color w:val="000000"/>
                <w:kern w:val="0"/>
                <w:sz w:val="24"/>
              </w:rPr>
              <w:t>4</w:t>
            </w:r>
          </w:p>
        </w:tc>
        <w:tc>
          <w:tcPr>
            <w:tcW w:w="1843" w:type="dxa"/>
            <w:vAlign w:val="center"/>
          </w:tcPr>
          <w:p w:rsidR="002622A8" w:rsidRPr="0006291C" w:rsidRDefault="00DF40FE">
            <w:pPr>
              <w:jc w:val="center"/>
              <w:rPr>
                <w:sz w:val="24"/>
              </w:rPr>
            </w:pPr>
            <w:r w:rsidRPr="0006291C">
              <w:rPr>
                <w:color w:val="000000"/>
                <w:kern w:val="0"/>
                <w:sz w:val="24"/>
              </w:rPr>
              <w:t>2017/1/1-2017/12/31</w:t>
            </w:r>
          </w:p>
        </w:tc>
        <w:tc>
          <w:tcPr>
            <w:tcW w:w="851" w:type="dxa"/>
            <w:vAlign w:val="center"/>
          </w:tcPr>
          <w:p w:rsidR="002622A8" w:rsidRPr="0006291C" w:rsidRDefault="00DF40FE">
            <w:pPr>
              <w:jc w:val="center"/>
              <w:rPr>
                <w:sz w:val="24"/>
              </w:rPr>
            </w:pPr>
            <w:r w:rsidRPr="0006291C">
              <w:rPr>
                <w:color w:val="000000"/>
                <w:kern w:val="0"/>
                <w:sz w:val="24"/>
              </w:rPr>
              <w:t>-</w:t>
            </w:r>
          </w:p>
        </w:tc>
        <w:tc>
          <w:tcPr>
            <w:tcW w:w="850" w:type="dxa"/>
            <w:vAlign w:val="center"/>
          </w:tcPr>
          <w:p w:rsidR="002622A8" w:rsidRPr="0006291C" w:rsidRDefault="00DF40FE">
            <w:pPr>
              <w:jc w:val="center"/>
              <w:rPr>
                <w:sz w:val="24"/>
              </w:rPr>
            </w:pPr>
            <w:r w:rsidRPr="0006291C">
              <w:rPr>
                <w:color w:val="000000"/>
                <w:kern w:val="0"/>
                <w:sz w:val="24"/>
              </w:rPr>
              <w:t>3,025,162,545.53</w:t>
            </w:r>
          </w:p>
        </w:tc>
        <w:tc>
          <w:tcPr>
            <w:tcW w:w="1134" w:type="dxa"/>
            <w:vAlign w:val="center"/>
          </w:tcPr>
          <w:p w:rsidR="002622A8" w:rsidRPr="0006291C" w:rsidRDefault="00DF40FE">
            <w:pPr>
              <w:jc w:val="center"/>
              <w:rPr>
                <w:sz w:val="24"/>
              </w:rPr>
            </w:pPr>
            <w:r w:rsidRPr="0006291C">
              <w:rPr>
                <w:color w:val="000000"/>
                <w:kern w:val="0"/>
                <w:sz w:val="24"/>
              </w:rPr>
              <w:t>-</w:t>
            </w:r>
          </w:p>
        </w:tc>
        <w:tc>
          <w:tcPr>
            <w:tcW w:w="1419" w:type="dxa"/>
            <w:vAlign w:val="center"/>
          </w:tcPr>
          <w:p w:rsidR="002622A8" w:rsidRPr="0006291C" w:rsidRDefault="00DF40FE">
            <w:pPr>
              <w:jc w:val="center"/>
              <w:rPr>
                <w:sz w:val="24"/>
              </w:rPr>
            </w:pPr>
            <w:r w:rsidRPr="0006291C">
              <w:rPr>
                <w:color w:val="000000"/>
                <w:kern w:val="0"/>
                <w:sz w:val="24"/>
              </w:rPr>
              <w:t>3,025,162,545.53</w:t>
            </w:r>
          </w:p>
        </w:tc>
        <w:tc>
          <w:tcPr>
            <w:tcW w:w="1130" w:type="dxa"/>
            <w:vAlign w:val="center"/>
          </w:tcPr>
          <w:p w:rsidR="002622A8" w:rsidRPr="0006291C" w:rsidRDefault="00DF40FE">
            <w:pPr>
              <w:jc w:val="center"/>
              <w:rPr>
                <w:sz w:val="24"/>
              </w:rPr>
            </w:pPr>
            <w:r w:rsidRPr="0006291C">
              <w:rPr>
                <w:color w:val="000000"/>
                <w:kern w:val="0"/>
                <w:sz w:val="24"/>
              </w:rPr>
              <w:t>12.85%</w:t>
            </w:r>
          </w:p>
        </w:tc>
      </w:tr>
      <w:tr w:rsidR="002622A8" w:rsidRPr="00B22925">
        <w:tc>
          <w:tcPr>
            <w:tcW w:w="993" w:type="dxa"/>
            <w:vMerge/>
          </w:tcPr>
          <w:p w:rsidR="002622A8" w:rsidRPr="0006291C" w:rsidRDefault="002622A8">
            <w:pPr>
              <w:rPr>
                <w:sz w:val="24"/>
              </w:rPr>
            </w:pPr>
          </w:p>
        </w:tc>
        <w:tc>
          <w:tcPr>
            <w:tcW w:w="992" w:type="dxa"/>
            <w:vAlign w:val="center"/>
          </w:tcPr>
          <w:p w:rsidR="002622A8" w:rsidRPr="0006291C" w:rsidRDefault="00DF40FE">
            <w:pPr>
              <w:jc w:val="center"/>
              <w:rPr>
                <w:sz w:val="24"/>
              </w:rPr>
            </w:pPr>
            <w:r w:rsidRPr="0006291C">
              <w:rPr>
                <w:color w:val="000000"/>
                <w:kern w:val="0"/>
                <w:sz w:val="24"/>
              </w:rPr>
              <w:t>5</w:t>
            </w:r>
          </w:p>
        </w:tc>
        <w:tc>
          <w:tcPr>
            <w:tcW w:w="1843" w:type="dxa"/>
            <w:vAlign w:val="center"/>
          </w:tcPr>
          <w:p w:rsidR="002622A8" w:rsidRPr="0006291C" w:rsidRDefault="00DF40FE">
            <w:pPr>
              <w:jc w:val="center"/>
              <w:rPr>
                <w:sz w:val="24"/>
              </w:rPr>
            </w:pPr>
            <w:r w:rsidRPr="0006291C">
              <w:rPr>
                <w:color w:val="000000"/>
                <w:kern w:val="0"/>
                <w:sz w:val="24"/>
              </w:rPr>
              <w:t>2017/1/1-2017/12/31</w:t>
            </w:r>
          </w:p>
        </w:tc>
        <w:tc>
          <w:tcPr>
            <w:tcW w:w="851" w:type="dxa"/>
            <w:vAlign w:val="center"/>
          </w:tcPr>
          <w:p w:rsidR="002622A8" w:rsidRPr="0006291C" w:rsidRDefault="00DF40FE">
            <w:pPr>
              <w:jc w:val="center"/>
              <w:rPr>
                <w:sz w:val="24"/>
              </w:rPr>
            </w:pPr>
            <w:r w:rsidRPr="0006291C">
              <w:rPr>
                <w:color w:val="000000"/>
                <w:kern w:val="0"/>
                <w:sz w:val="24"/>
              </w:rPr>
              <w:t>-</w:t>
            </w:r>
          </w:p>
        </w:tc>
        <w:tc>
          <w:tcPr>
            <w:tcW w:w="850" w:type="dxa"/>
            <w:vAlign w:val="center"/>
          </w:tcPr>
          <w:p w:rsidR="002622A8" w:rsidRPr="0006291C" w:rsidRDefault="00DF40FE">
            <w:pPr>
              <w:jc w:val="center"/>
              <w:rPr>
                <w:sz w:val="24"/>
              </w:rPr>
            </w:pPr>
            <w:r w:rsidRPr="0006291C">
              <w:rPr>
                <w:color w:val="000000"/>
                <w:kern w:val="0"/>
                <w:sz w:val="24"/>
              </w:rPr>
              <w:t>7,106,745,687.39</w:t>
            </w:r>
          </w:p>
        </w:tc>
        <w:tc>
          <w:tcPr>
            <w:tcW w:w="1134" w:type="dxa"/>
            <w:vAlign w:val="center"/>
          </w:tcPr>
          <w:p w:rsidR="002622A8" w:rsidRPr="0006291C" w:rsidRDefault="00DF40FE">
            <w:pPr>
              <w:jc w:val="center"/>
              <w:rPr>
                <w:sz w:val="24"/>
              </w:rPr>
            </w:pPr>
            <w:r w:rsidRPr="0006291C">
              <w:rPr>
                <w:color w:val="000000"/>
                <w:kern w:val="0"/>
                <w:sz w:val="24"/>
              </w:rPr>
              <w:t>7,106,745,687.39</w:t>
            </w:r>
          </w:p>
        </w:tc>
        <w:tc>
          <w:tcPr>
            <w:tcW w:w="1419" w:type="dxa"/>
            <w:vAlign w:val="center"/>
          </w:tcPr>
          <w:p w:rsidR="002622A8" w:rsidRPr="0006291C" w:rsidRDefault="00DF40FE">
            <w:pPr>
              <w:jc w:val="center"/>
              <w:rPr>
                <w:sz w:val="24"/>
              </w:rPr>
            </w:pPr>
            <w:r w:rsidRPr="0006291C">
              <w:rPr>
                <w:color w:val="000000"/>
                <w:kern w:val="0"/>
                <w:sz w:val="24"/>
              </w:rPr>
              <w:t>-</w:t>
            </w:r>
          </w:p>
        </w:tc>
        <w:tc>
          <w:tcPr>
            <w:tcW w:w="1130" w:type="dxa"/>
            <w:vAlign w:val="center"/>
          </w:tcPr>
          <w:p w:rsidR="002622A8" w:rsidRPr="0006291C" w:rsidRDefault="00DF40FE">
            <w:pPr>
              <w:jc w:val="center"/>
              <w:rPr>
                <w:sz w:val="24"/>
              </w:rPr>
            </w:pPr>
            <w:r w:rsidRPr="0006291C">
              <w:rPr>
                <w:color w:val="000000"/>
                <w:kern w:val="0"/>
                <w:sz w:val="24"/>
              </w:rPr>
              <w:t>-</w:t>
            </w:r>
          </w:p>
        </w:tc>
      </w:tr>
      <w:tr w:rsidR="005324CE" w:rsidRPr="00B22925" w:rsidTr="008F3A25">
        <w:tc>
          <w:tcPr>
            <w:tcW w:w="9212" w:type="dxa"/>
            <w:gridSpan w:val="8"/>
            <w:vAlign w:val="center"/>
          </w:tcPr>
          <w:p w:rsidR="005324CE" w:rsidRPr="0006291C" w:rsidRDefault="005324CE" w:rsidP="008F3A25">
            <w:pPr>
              <w:autoSpaceDE w:val="0"/>
              <w:autoSpaceDN w:val="0"/>
              <w:adjustRightInd w:val="0"/>
              <w:jc w:val="center"/>
              <w:rPr>
                <w:kern w:val="0"/>
                <w:sz w:val="24"/>
              </w:rPr>
            </w:pPr>
            <w:r w:rsidRPr="0006291C">
              <w:rPr>
                <w:color w:val="000000"/>
                <w:kern w:val="0"/>
                <w:sz w:val="24"/>
              </w:rPr>
              <w:t>产品特有风险</w:t>
            </w:r>
          </w:p>
        </w:tc>
      </w:tr>
      <w:tr w:rsidR="005324CE" w:rsidRPr="00B22925" w:rsidTr="008F3A25">
        <w:tc>
          <w:tcPr>
            <w:tcW w:w="9212" w:type="dxa"/>
            <w:gridSpan w:val="8"/>
            <w:vAlign w:val="center"/>
          </w:tcPr>
          <w:p w:rsidR="005324CE" w:rsidRPr="0006291C" w:rsidRDefault="005324CE" w:rsidP="008F3A25">
            <w:pPr>
              <w:autoSpaceDE w:val="0"/>
              <w:autoSpaceDN w:val="0"/>
              <w:adjustRightInd w:val="0"/>
              <w:jc w:val="left"/>
              <w:rPr>
                <w:kern w:val="0"/>
                <w:sz w:val="24"/>
              </w:rPr>
            </w:pPr>
            <w:r w:rsidRPr="0006291C">
              <w:rPr>
                <w:rFonts w:hint="eastAsia"/>
                <w:kern w:val="0"/>
                <w:sz w:val="24"/>
              </w:rPr>
              <w:lastRenderedPageBreak/>
              <w:t>本基金本报告期内出现单一投资者持有基金份额比例超过基金总份额</w:t>
            </w:r>
            <w:r w:rsidRPr="0006291C">
              <w:rPr>
                <w:kern w:val="0"/>
                <w:sz w:val="24"/>
              </w:rPr>
              <w:t>20%</w:t>
            </w:r>
            <w:r w:rsidRPr="0006291C">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rsidR="006D141C" w:rsidRPr="00FB3BC2" w:rsidRDefault="006D141C" w:rsidP="001B0E7B">
      <w:pPr>
        <w:pStyle w:val="1"/>
        <w:keepNext/>
        <w:keepLines/>
        <w:widowControl w:val="0"/>
        <w:spacing w:beforeLines="100" w:before="312" w:afterLines="100" w:after="312" w:line="288" w:lineRule="auto"/>
        <w:jc w:val="center"/>
        <w:rPr>
          <w:b/>
          <w:bCs/>
          <w:szCs w:val="24"/>
        </w:rPr>
      </w:pPr>
      <w:bookmarkStart w:id="102" w:name="_Toc331410126"/>
      <w:bookmarkStart w:id="103" w:name="_Toc225500055"/>
      <w:bookmarkStart w:id="104" w:name="_Toc509581524"/>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02"/>
      <w:bookmarkEnd w:id="103"/>
      <w:bookmarkEnd w:id="104"/>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05" w:name="_Toc331410127"/>
      <w:bookmarkStart w:id="106" w:name="_Toc509581525"/>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05"/>
      <w:bookmarkEnd w:id="106"/>
    </w:p>
    <w:p w:rsidR="002622A8" w:rsidRDefault="00DF40FE">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、中国证监会准予交银施罗德天鑫宝货币市场基金募集注册的文件；</w:t>
      </w:r>
      <w:r>
        <w:rPr>
          <w:rFonts w:hint="eastAsia"/>
          <w:kern w:val="0"/>
          <w:sz w:val="24"/>
        </w:rPr>
        <w:t xml:space="preserve"> </w:t>
      </w:r>
    </w:p>
    <w:p w:rsidR="002622A8" w:rsidRDefault="00DF40FE">
      <w:pPr>
        <w:tabs>
          <w:tab w:val="left" w:pos="426"/>
        </w:tabs>
        <w:spacing w:before="29" w:line="288" w:lineRule="auto"/>
        <w:rPr>
          <w:kern w:val="0"/>
          <w:sz w:val="24"/>
        </w:rPr>
      </w:pPr>
      <w:r>
        <w:rPr>
          <w:rFonts w:hint="eastAsia"/>
          <w:kern w:val="0"/>
          <w:sz w:val="24"/>
        </w:rPr>
        <w:t>2</w:t>
      </w:r>
      <w:r>
        <w:rPr>
          <w:rFonts w:hint="eastAsia"/>
          <w:kern w:val="0"/>
          <w:sz w:val="24"/>
        </w:rPr>
        <w:t>、《交银施罗德天鑫宝货币市场基金基金合同》；</w:t>
      </w:r>
      <w:r>
        <w:rPr>
          <w:rFonts w:hint="eastAsia"/>
          <w:kern w:val="0"/>
          <w:sz w:val="24"/>
        </w:rPr>
        <w:t xml:space="preserve"> </w:t>
      </w:r>
    </w:p>
    <w:p w:rsidR="002622A8" w:rsidRDefault="00DF40FE">
      <w:pPr>
        <w:tabs>
          <w:tab w:val="left" w:pos="426"/>
        </w:tabs>
        <w:spacing w:before="29" w:line="288" w:lineRule="auto"/>
        <w:rPr>
          <w:kern w:val="0"/>
          <w:sz w:val="24"/>
        </w:rPr>
      </w:pPr>
      <w:r>
        <w:rPr>
          <w:rFonts w:hint="eastAsia"/>
          <w:kern w:val="0"/>
          <w:sz w:val="24"/>
        </w:rPr>
        <w:t>3</w:t>
      </w:r>
      <w:r>
        <w:rPr>
          <w:rFonts w:hint="eastAsia"/>
          <w:kern w:val="0"/>
          <w:sz w:val="24"/>
        </w:rPr>
        <w:t>、《交银施罗德天鑫宝货币市场基金招募说明书》；</w:t>
      </w:r>
      <w:r>
        <w:rPr>
          <w:rFonts w:hint="eastAsia"/>
          <w:kern w:val="0"/>
          <w:sz w:val="24"/>
        </w:rPr>
        <w:t xml:space="preserve"> </w:t>
      </w:r>
    </w:p>
    <w:p w:rsidR="002622A8" w:rsidRDefault="00DF40FE">
      <w:pPr>
        <w:tabs>
          <w:tab w:val="left" w:pos="426"/>
        </w:tabs>
        <w:spacing w:before="29" w:line="288" w:lineRule="auto"/>
        <w:rPr>
          <w:kern w:val="0"/>
          <w:sz w:val="24"/>
        </w:rPr>
      </w:pPr>
      <w:r>
        <w:rPr>
          <w:rFonts w:hint="eastAsia"/>
          <w:kern w:val="0"/>
          <w:sz w:val="24"/>
        </w:rPr>
        <w:t>4</w:t>
      </w:r>
      <w:r>
        <w:rPr>
          <w:rFonts w:hint="eastAsia"/>
          <w:kern w:val="0"/>
          <w:sz w:val="24"/>
        </w:rPr>
        <w:t>、《交银施罗德天鑫宝货币市场基金托管协议》；</w:t>
      </w:r>
      <w:r>
        <w:rPr>
          <w:rFonts w:hint="eastAsia"/>
          <w:kern w:val="0"/>
          <w:sz w:val="24"/>
        </w:rPr>
        <w:t xml:space="preserve"> </w:t>
      </w:r>
    </w:p>
    <w:p w:rsidR="002622A8" w:rsidRDefault="00DF40FE">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、关于申请募集注册交银施罗德天鑫宝货币市场基金的法律意见书；</w:t>
      </w:r>
      <w:r>
        <w:rPr>
          <w:rFonts w:hint="eastAsia"/>
          <w:kern w:val="0"/>
          <w:sz w:val="24"/>
        </w:rPr>
        <w:t xml:space="preserve"> </w:t>
      </w:r>
    </w:p>
    <w:p w:rsidR="002622A8" w:rsidRDefault="00DF40FE">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2622A8" w:rsidRDefault="00DF40FE">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、报告期内交银施罗德天鑫宝货币市场基金在指定报刊上各项公告的原稿。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07" w:name="_Toc331410128"/>
      <w:bookmarkStart w:id="108" w:name="_Toc509581526"/>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07"/>
      <w:bookmarkEnd w:id="108"/>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09" w:name="_Toc331410129"/>
      <w:bookmarkStart w:id="110" w:name="_Toc509581527"/>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09"/>
      <w:bookmarkEnd w:id="110"/>
    </w:p>
    <w:p w:rsidR="002622A8" w:rsidRDefault="00DF40FE">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r w:rsidRPr="005F7EA9">
        <w:rPr>
          <w:rFonts w:hint="eastAsia"/>
          <w:kern w:val="0"/>
          <w:sz w:val="24"/>
        </w:rPr>
        <w:t xml:space="preserve"> </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lastRenderedPageBreak/>
        <w:t>二〇一八年三月二十八日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E2" w:rsidRDefault="00E511E2">
      <w:r>
        <w:separator/>
      </w:r>
    </w:p>
  </w:endnote>
  <w:endnote w:type="continuationSeparator" w:id="0">
    <w:p w:rsidR="00E511E2" w:rsidRDefault="00E5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0D1BA5"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0D1BA5">
      <w:rPr>
        <w:kern w:val="0"/>
        <w:szCs w:val="21"/>
      </w:rPr>
      <w:fldChar w:fldCharType="begin"/>
    </w:r>
    <w:r>
      <w:rPr>
        <w:kern w:val="0"/>
        <w:szCs w:val="21"/>
      </w:rPr>
      <w:instrText xml:space="preserve"> PAGE </w:instrText>
    </w:r>
    <w:r w:rsidR="000D1BA5">
      <w:rPr>
        <w:kern w:val="0"/>
        <w:szCs w:val="21"/>
      </w:rPr>
      <w:fldChar w:fldCharType="separate"/>
    </w:r>
    <w:r w:rsidR="007A5808">
      <w:rPr>
        <w:noProof/>
        <w:kern w:val="0"/>
        <w:szCs w:val="21"/>
      </w:rPr>
      <w:t>26</w:t>
    </w:r>
    <w:r w:rsidR="000D1BA5">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0D1BA5">
      <w:rPr>
        <w:kern w:val="0"/>
        <w:szCs w:val="21"/>
      </w:rPr>
      <w:fldChar w:fldCharType="begin"/>
    </w:r>
    <w:r>
      <w:rPr>
        <w:kern w:val="0"/>
        <w:szCs w:val="21"/>
      </w:rPr>
      <w:instrText xml:space="preserve"> NUMPAGES </w:instrText>
    </w:r>
    <w:r w:rsidR="000D1BA5">
      <w:rPr>
        <w:kern w:val="0"/>
        <w:szCs w:val="21"/>
      </w:rPr>
      <w:fldChar w:fldCharType="separate"/>
    </w:r>
    <w:r w:rsidR="007A5808">
      <w:rPr>
        <w:noProof/>
        <w:kern w:val="0"/>
        <w:szCs w:val="21"/>
      </w:rPr>
      <w:t>58</w:t>
    </w:r>
    <w:r w:rsidR="000D1BA5">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E2" w:rsidRDefault="00E511E2">
      <w:r>
        <w:separator/>
      </w:r>
    </w:p>
  </w:footnote>
  <w:footnote w:type="continuationSeparator" w:id="0">
    <w:p w:rsidR="00E511E2" w:rsidRDefault="00E51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F163BF" w:rsidRDefault="00D32085"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A18"/>
    <w:multiLevelType w:val="hybridMultilevel"/>
    <w:tmpl w:val="5680C902"/>
    <w:lvl w:ilvl="0" w:tplc="2EC0D3D4">
      <w:start w:val="1"/>
      <w:numFmt w:val="japaneseCounting"/>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9793D9F"/>
    <w:multiLevelType w:val="multilevel"/>
    <w:tmpl w:val="0409001D"/>
    <w:numStyleLink w:val="3"/>
  </w:abstractNum>
  <w:abstractNum w:abstractNumId="5" w15:restartNumberingAfterBreak="0">
    <w:nsid w:val="2D025416"/>
    <w:multiLevelType w:val="hybridMultilevel"/>
    <w:tmpl w:val="5680C902"/>
    <w:lvl w:ilvl="0" w:tplc="2EC0D3D4">
      <w:start w:val="1"/>
      <w:numFmt w:val="japaneseCounting"/>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E0B3341"/>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start w:val="1"/>
      <w:numFmt w:val="lowerLetter"/>
      <w:lvlText w:val="%2."/>
      <w:lvlJc w:val="left"/>
      <w:pPr>
        <w:ind w:left="3980" w:hanging="360"/>
      </w:pPr>
    </w:lvl>
    <w:lvl w:ilvl="2" w:tplc="0409001B">
      <w:start w:val="1"/>
      <w:numFmt w:val="lowerRoman"/>
      <w:lvlText w:val="%3."/>
      <w:lvlJc w:val="right"/>
      <w:pPr>
        <w:ind w:left="4700" w:hanging="180"/>
      </w:pPr>
    </w:lvl>
    <w:lvl w:ilvl="3" w:tplc="0409000F">
      <w:start w:val="1"/>
      <w:numFmt w:val="decimal"/>
      <w:lvlText w:val="%4."/>
      <w:lvlJc w:val="left"/>
      <w:pPr>
        <w:ind w:left="5420" w:hanging="360"/>
      </w:pPr>
    </w:lvl>
    <w:lvl w:ilvl="4" w:tplc="04090019">
      <w:start w:val="1"/>
      <w:numFmt w:val="lowerLetter"/>
      <w:lvlText w:val="%5."/>
      <w:lvlJc w:val="left"/>
      <w:pPr>
        <w:ind w:left="6140" w:hanging="360"/>
      </w:pPr>
    </w:lvl>
    <w:lvl w:ilvl="5" w:tplc="0409001B">
      <w:start w:val="1"/>
      <w:numFmt w:val="lowerRoman"/>
      <w:lvlText w:val="%6."/>
      <w:lvlJc w:val="right"/>
      <w:pPr>
        <w:ind w:left="6860" w:hanging="180"/>
      </w:pPr>
    </w:lvl>
    <w:lvl w:ilvl="6" w:tplc="0409000F">
      <w:start w:val="1"/>
      <w:numFmt w:val="decimal"/>
      <w:lvlText w:val="%7."/>
      <w:lvlJc w:val="left"/>
      <w:pPr>
        <w:ind w:left="7580" w:hanging="360"/>
      </w:pPr>
    </w:lvl>
    <w:lvl w:ilvl="7" w:tplc="04090019">
      <w:start w:val="1"/>
      <w:numFmt w:val="lowerLetter"/>
      <w:lvlText w:val="%8."/>
      <w:lvlJc w:val="left"/>
      <w:pPr>
        <w:ind w:left="8300" w:hanging="360"/>
      </w:pPr>
    </w:lvl>
    <w:lvl w:ilvl="8" w:tplc="0409001B">
      <w:start w:val="1"/>
      <w:numFmt w:val="lowerRoman"/>
      <w:lvlText w:val="%9."/>
      <w:lvlJc w:val="right"/>
      <w:pPr>
        <w:ind w:left="9020" w:hanging="18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63A33BFA"/>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start w:val="1"/>
      <w:numFmt w:val="lowerLetter"/>
      <w:lvlText w:val="%2."/>
      <w:lvlJc w:val="left"/>
      <w:pPr>
        <w:ind w:left="3980" w:hanging="360"/>
      </w:pPr>
    </w:lvl>
    <w:lvl w:ilvl="2" w:tplc="0409001B">
      <w:start w:val="1"/>
      <w:numFmt w:val="lowerRoman"/>
      <w:lvlText w:val="%3."/>
      <w:lvlJc w:val="right"/>
      <w:pPr>
        <w:ind w:left="4700" w:hanging="180"/>
      </w:pPr>
    </w:lvl>
    <w:lvl w:ilvl="3" w:tplc="0409000F">
      <w:start w:val="1"/>
      <w:numFmt w:val="decimal"/>
      <w:lvlText w:val="%4."/>
      <w:lvlJc w:val="left"/>
      <w:pPr>
        <w:ind w:left="5420" w:hanging="360"/>
      </w:pPr>
    </w:lvl>
    <w:lvl w:ilvl="4" w:tplc="04090019">
      <w:start w:val="1"/>
      <w:numFmt w:val="lowerLetter"/>
      <w:lvlText w:val="%5."/>
      <w:lvlJc w:val="left"/>
      <w:pPr>
        <w:ind w:left="6140" w:hanging="360"/>
      </w:pPr>
    </w:lvl>
    <w:lvl w:ilvl="5" w:tplc="0409001B">
      <w:start w:val="1"/>
      <w:numFmt w:val="lowerRoman"/>
      <w:lvlText w:val="%6."/>
      <w:lvlJc w:val="right"/>
      <w:pPr>
        <w:ind w:left="6860" w:hanging="180"/>
      </w:pPr>
    </w:lvl>
    <w:lvl w:ilvl="6" w:tplc="0409000F">
      <w:start w:val="1"/>
      <w:numFmt w:val="decimal"/>
      <w:lvlText w:val="%7."/>
      <w:lvlJc w:val="left"/>
      <w:pPr>
        <w:ind w:left="7580" w:hanging="360"/>
      </w:pPr>
    </w:lvl>
    <w:lvl w:ilvl="7" w:tplc="04090019">
      <w:start w:val="1"/>
      <w:numFmt w:val="lowerLetter"/>
      <w:lvlText w:val="%8."/>
      <w:lvlJc w:val="left"/>
      <w:pPr>
        <w:ind w:left="8300" w:hanging="360"/>
      </w:pPr>
    </w:lvl>
    <w:lvl w:ilvl="8" w:tplc="0409001B">
      <w:start w:val="1"/>
      <w:numFmt w:val="lowerRoman"/>
      <w:lvlText w:val="%9."/>
      <w:lvlJc w:val="right"/>
      <w:pPr>
        <w:ind w:left="9020" w:hanging="18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10"/>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2"/>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6"/>
  </w:num>
  <w:num w:numId="15">
    <w:abstractNumId w:val="3"/>
  </w:num>
  <w:num w:numId="16">
    <w:abstractNumId w:val="1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653"/>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1C"/>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75E"/>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A7B"/>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5B3"/>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2A8"/>
    <w:rsid w:val="002628CE"/>
    <w:rsid w:val="00262D4E"/>
    <w:rsid w:val="00263BBD"/>
    <w:rsid w:val="00263E11"/>
    <w:rsid w:val="002648D8"/>
    <w:rsid w:val="00264BB4"/>
    <w:rsid w:val="00264C53"/>
    <w:rsid w:val="00265AFB"/>
    <w:rsid w:val="0026623F"/>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0B3F"/>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1BC"/>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04B4"/>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138"/>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692"/>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DE3"/>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6FE7"/>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3EB2"/>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13AB"/>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1F"/>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80E"/>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28D"/>
    <w:rsid w:val="006E440A"/>
    <w:rsid w:val="006E4C40"/>
    <w:rsid w:val="006E5585"/>
    <w:rsid w:val="006E5E32"/>
    <w:rsid w:val="006E5E9C"/>
    <w:rsid w:val="006E6142"/>
    <w:rsid w:val="006E633A"/>
    <w:rsid w:val="006E6A14"/>
    <w:rsid w:val="006E6B16"/>
    <w:rsid w:val="006E6DE8"/>
    <w:rsid w:val="006E7771"/>
    <w:rsid w:val="006E780C"/>
    <w:rsid w:val="006F0637"/>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808"/>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217"/>
    <w:rsid w:val="007D7621"/>
    <w:rsid w:val="007E06E7"/>
    <w:rsid w:val="007E18FB"/>
    <w:rsid w:val="007E1AA2"/>
    <w:rsid w:val="007E1F2C"/>
    <w:rsid w:val="007E279D"/>
    <w:rsid w:val="007E2D69"/>
    <w:rsid w:val="007E3B9A"/>
    <w:rsid w:val="007E3EEF"/>
    <w:rsid w:val="007E42F2"/>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ED8"/>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D46"/>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3EA2"/>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DEA"/>
    <w:rsid w:val="00A03EFB"/>
    <w:rsid w:val="00A04524"/>
    <w:rsid w:val="00A05365"/>
    <w:rsid w:val="00A05ACE"/>
    <w:rsid w:val="00A07036"/>
    <w:rsid w:val="00A07040"/>
    <w:rsid w:val="00A10492"/>
    <w:rsid w:val="00A10D65"/>
    <w:rsid w:val="00A114B9"/>
    <w:rsid w:val="00A11C85"/>
    <w:rsid w:val="00A123B9"/>
    <w:rsid w:val="00A12B50"/>
    <w:rsid w:val="00A12B8C"/>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C25"/>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26E"/>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495"/>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599"/>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925"/>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093"/>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0BE"/>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009C"/>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12DE"/>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5A2"/>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180"/>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14D"/>
    <w:rsid w:val="00CF75A7"/>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05"/>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0FE"/>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1E2"/>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7AC"/>
    <w:rsid w:val="00EA6FA7"/>
    <w:rsid w:val="00EB067F"/>
    <w:rsid w:val="00EB1150"/>
    <w:rsid w:val="00EB17BE"/>
    <w:rsid w:val="00EB1A1B"/>
    <w:rsid w:val="00EB1BE9"/>
    <w:rsid w:val="00EB1F02"/>
    <w:rsid w:val="00EB2419"/>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9FC"/>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594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96C567-F010-4551-850D-824C4883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List Paragraph"/>
    <w:basedOn w:val="a"/>
    <w:uiPriority w:val="34"/>
    <w:qFormat/>
    <w:rsid w:val="0026623F"/>
    <w:pPr>
      <w:widowControl/>
      <w:spacing w:after="160" w:line="256" w:lineRule="auto"/>
      <w:ind w:left="720"/>
      <w:contextualSpacing/>
      <w:jc w:val="left"/>
    </w:pPr>
    <w:rPr>
      <w:rFonts w:ascii="Arial" w:hAnsi="Arial"/>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66362898">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52358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3476629">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2047292">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4401041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98612100">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4733969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CF2C-381D-4EA0-8D01-7AE4AECF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58</Pages>
  <Words>7005</Words>
  <Characters>39933</Characters>
  <Application>Microsoft Office Word</Application>
  <DocSecurity>0</DocSecurity>
  <Lines>332</Lines>
  <Paragraphs>93</Paragraphs>
  <ScaleCrop>false</ScaleCrop>
  <Company/>
  <LinksUpToDate>false</LinksUpToDate>
  <CharactersWithSpaces>46845</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1754</cp:revision>
  <cp:lastPrinted>2007-07-19T00:46:00Z</cp:lastPrinted>
  <dcterms:created xsi:type="dcterms:W3CDTF">2013-06-22T02:32:00Z</dcterms:created>
  <dcterms:modified xsi:type="dcterms:W3CDTF">2018-03-26T11:54:00Z</dcterms:modified>
</cp:coreProperties>
</file>