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D0515B"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D0515B"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A93D4B" w:rsidRDefault="00981242" w:rsidP="00A93D4B">
      <w:pPr>
        <w:spacing w:before="29" w:line="288" w:lineRule="auto"/>
        <w:jc w:val="center"/>
        <w:rPr>
          <w:b/>
          <w:sz w:val="36"/>
          <w:szCs w:val="36"/>
        </w:rPr>
      </w:pPr>
    </w:p>
    <w:p w:rsidR="00223DFB" w:rsidRPr="00A93D4B" w:rsidRDefault="00223DFB" w:rsidP="00A93D4B">
      <w:pPr>
        <w:spacing w:before="29" w:line="288" w:lineRule="auto"/>
        <w:jc w:val="center"/>
        <w:rPr>
          <w:b/>
          <w:sz w:val="36"/>
          <w:szCs w:val="36"/>
        </w:rPr>
      </w:pPr>
      <w:r w:rsidRPr="00A93D4B">
        <w:rPr>
          <w:rFonts w:hint="eastAsia"/>
          <w:b/>
          <w:sz w:val="36"/>
          <w:szCs w:val="36"/>
        </w:rPr>
        <w:t>交银施罗德理财</w:t>
      </w:r>
      <w:r w:rsidRPr="00A93D4B">
        <w:rPr>
          <w:rFonts w:hint="eastAsia"/>
          <w:b/>
          <w:sz w:val="36"/>
          <w:szCs w:val="36"/>
        </w:rPr>
        <w:t>60</w:t>
      </w:r>
      <w:r w:rsidRPr="00A93D4B">
        <w:rPr>
          <w:rFonts w:hint="eastAsia"/>
          <w:b/>
          <w:sz w:val="36"/>
          <w:szCs w:val="36"/>
        </w:rPr>
        <w:t>天债券型证券投资基金</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年年度报告</w:t>
      </w:r>
    </w:p>
    <w:p w:rsidR="00223DFB" w:rsidRPr="00A93D4B" w:rsidRDefault="00223DFB" w:rsidP="00A93D4B">
      <w:pPr>
        <w:spacing w:before="29" w:line="288" w:lineRule="auto"/>
        <w:jc w:val="center"/>
        <w:rPr>
          <w:b/>
          <w:sz w:val="36"/>
          <w:szCs w:val="36"/>
        </w:rPr>
      </w:pPr>
      <w:r w:rsidRPr="00A93D4B">
        <w:rPr>
          <w:rFonts w:hint="eastAsia"/>
          <w:b/>
          <w:sz w:val="36"/>
          <w:szCs w:val="36"/>
        </w:rPr>
        <w:t>2017</w:t>
      </w:r>
      <w:r w:rsidRPr="00A93D4B">
        <w:rPr>
          <w:rFonts w:hint="eastAsia"/>
          <w:b/>
          <w:sz w:val="36"/>
          <w:szCs w:val="36"/>
        </w:rPr>
        <w:t>年</w:t>
      </w:r>
      <w:r w:rsidRPr="00A93D4B">
        <w:rPr>
          <w:rFonts w:hint="eastAsia"/>
          <w:b/>
          <w:sz w:val="36"/>
          <w:szCs w:val="36"/>
        </w:rPr>
        <w:t>12</w:t>
      </w:r>
      <w:r w:rsidRPr="00A93D4B">
        <w:rPr>
          <w:rFonts w:hint="eastAsia"/>
          <w:b/>
          <w:sz w:val="36"/>
          <w:szCs w:val="36"/>
        </w:rPr>
        <w:t>月</w:t>
      </w:r>
      <w:r w:rsidRPr="00A93D4B">
        <w:rPr>
          <w:rFonts w:hint="eastAsia"/>
          <w:b/>
          <w:sz w:val="36"/>
          <w:szCs w:val="36"/>
        </w:rPr>
        <w:t>31</w:t>
      </w:r>
      <w:r w:rsidRPr="00A93D4B">
        <w:rPr>
          <w:rFonts w:hint="eastAsia"/>
          <w:b/>
          <w:sz w:val="36"/>
          <w:szCs w:val="36"/>
        </w:rPr>
        <w:t>日</w:t>
      </w:r>
    </w:p>
    <w:p w:rsidR="00223DFB" w:rsidRPr="00D0515B" w:rsidRDefault="00223DFB" w:rsidP="004B36C2">
      <w:pPr>
        <w:spacing w:line="360" w:lineRule="auto"/>
        <w:jc w:val="center"/>
        <w:rPr>
          <w:rStyle w:val="af8"/>
          <w:rFonts w:asciiTheme="minorEastAsia" w:eastAsiaTheme="minorEastAsia" w:hAnsiTheme="minorEastAsia"/>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D0515B" w:rsidRDefault="00223DFB" w:rsidP="004B36C2">
      <w:pPr>
        <w:spacing w:line="360" w:lineRule="auto"/>
        <w:jc w:val="center"/>
        <w:rPr>
          <w:rFonts w:asciiTheme="minorEastAsia" w:eastAsiaTheme="minorEastAsia" w:hAnsiTheme="minorEastAsia"/>
          <w:b/>
          <w:szCs w:val="21"/>
        </w:rPr>
      </w:pPr>
    </w:p>
    <w:p w:rsidR="00223DFB" w:rsidRPr="0076521B" w:rsidRDefault="00223DFB" w:rsidP="0076521B">
      <w:pPr>
        <w:spacing w:before="29" w:line="288" w:lineRule="auto"/>
        <w:ind w:firstLineChars="900" w:firstLine="2168"/>
        <w:rPr>
          <w:b/>
          <w:color w:val="000000"/>
          <w:sz w:val="24"/>
        </w:rPr>
      </w:pP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基金管理人：交银施罗德基金管理有限公司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基金托管人：中国建设银行股份有限公司</w:t>
      </w:r>
    </w:p>
    <w:p w:rsidR="00223DFB" w:rsidRPr="0076521B" w:rsidRDefault="00223DFB" w:rsidP="0076521B">
      <w:pPr>
        <w:spacing w:before="29" w:line="288" w:lineRule="auto"/>
        <w:ind w:firstLineChars="900" w:firstLine="2168"/>
        <w:rPr>
          <w:b/>
          <w:color w:val="000000"/>
          <w:sz w:val="24"/>
        </w:rPr>
      </w:pPr>
      <w:r w:rsidRPr="0076521B">
        <w:rPr>
          <w:rFonts w:hint="eastAsia"/>
          <w:b/>
          <w:color w:val="000000"/>
          <w:sz w:val="24"/>
        </w:rPr>
        <w:t>报告送出日期：</w:t>
      </w:r>
      <w:r w:rsidR="00112BB2" w:rsidRPr="0076521B">
        <w:rPr>
          <w:rFonts w:hint="eastAsia"/>
          <w:b/>
          <w:color w:val="000000"/>
          <w:sz w:val="24"/>
        </w:rPr>
        <w:t>二〇一八年三月二十八日</w:t>
      </w:r>
    </w:p>
    <w:p w:rsidR="00223DFB" w:rsidRPr="00D0515B" w:rsidRDefault="00223DFB" w:rsidP="0076521B">
      <w:pPr>
        <w:spacing w:before="29" w:line="288" w:lineRule="auto"/>
        <w:ind w:firstLineChars="900" w:firstLine="1890"/>
        <w:rPr>
          <w:rFonts w:asciiTheme="minorEastAsia" w:eastAsiaTheme="minorEastAsia" w:hAnsiTheme="minorEastAsia"/>
          <w:szCs w:val="21"/>
        </w:rPr>
        <w:sectPr w:rsidR="00223DFB" w:rsidRPr="00D0515B">
          <w:headerReference w:type="default" r:id="rId8"/>
          <w:pgSz w:w="11926" w:h="15840"/>
          <w:pgMar w:top="1418" w:right="1418" w:bottom="851" w:left="1418" w:header="851" w:footer="992" w:gutter="0"/>
          <w:cols w:space="720"/>
        </w:sect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 w:name="_Toc509760969"/>
      <w:r w:rsidRPr="00245BFD">
        <w:rPr>
          <w:rFonts w:hint="eastAsia"/>
          <w:b/>
          <w:bCs/>
          <w:szCs w:val="24"/>
          <w:lang w:val="en-US"/>
        </w:rPr>
        <w:lastRenderedPageBreak/>
        <w:t>§</w:t>
      </w:r>
      <w:r w:rsidRPr="00245BFD">
        <w:rPr>
          <w:rFonts w:hint="eastAsia"/>
          <w:b/>
          <w:bCs/>
          <w:szCs w:val="24"/>
          <w:lang w:val="en-US"/>
        </w:rPr>
        <w:t xml:space="preserve">1  </w:t>
      </w:r>
      <w:r w:rsidRPr="00245BFD">
        <w:rPr>
          <w:rFonts w:hint="eastAsia"/>
          <w:b/>
          <w:bCs/>
          <w:szCs w:val="24"/>
          <w:lang w:val="en-US"/>
        </w:rPr>
        <w:t>重要提示及目录</w:t>
      </w:r>
      <w:bookmarkEnd w:id="1"/>
    </w:p>
    <w:p w:rsidR="00FB3BC2" w:rsidRPr="00FB3BC2" w:rsidRDefault="00FB3BC2" w:rsidP="00FB3BC2"/>
    <w:p w:rsidR="00223DFB" w:rsidRPr="00245BFD" w:rsidRDefault="00223DFB" w:rsidP="00245BFD">
      <w:pPr>
        <w:pStyle w:val="20"/>
        <w:spacing w:before="29" w:after="0" w:line="288" w:lineRule="auto"/>
        <w:rPr>
          <w:rFonts w:ascii="Times New Roman" w:hAnsi="Times New Roman" w:cs="Times New Roman"/>
          <w:kern w:val="0"/>
          <w:szCs w:val="24"/>
        </w:rPr>
      </w:pPr>
      <w:bookmarkStart w:id="2" w:name="_Toc509760970"/>
      <w:r w:rsidRPr="00245BFD">
        <w:rPr>
          <w:rFonts w:ascii="Times New Roman" w:hAnsi="Times New Roman" w:cs="Times New Roman" w:hint="eastAsia"/>
          <w:kern w:val="0"/>
          <w:szCs w:val="24"/>
        </w:rPr>
        <w:t xml:space="preserve">1.1 </w:t>
      </w:r>
      <w:r w:rsidRPr="00245BFD">
        <w:rPr>
          <w:rFonts w:ascii="Times New Roman" w:hAnsi="Times New Roman" w:cs="Times New Roman" w:hint="eastAsia"/>
          <w:kern w:val="0"/>
          <w:szCs w:val="24"/>
        </w:rPr>
        <w:t>重要提示</w:t>
      </w:r>
      <w:bookmarkEnd w:id="2"/>
    </w:p>
    <w:p w:rsidR="00B5600D" w:rsidRDefault="00D91A1A">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B5600D" w:rsidRDefault="00D91A1A">
      <w:pPr>
        <w:spacing w:before="29" w:line="288" w:lineRule="auto"/>
        <w:ind w:firstLineChars="200" w:firstLine="480"/>
        <w:rPr>
          <w:sz w:val="24"/>
        </w:rPr>
      </w:pPr>
      <w:r>
        <w:rPr>
          <w:rFonts w:hint="eastAsia"/>
          <w:sz w:val="24"/>
        </w:rPr>
        <w:t>基金托管人中国建设银行股份有限公司根据本基金合同规定，于</w:t>
      </w:r>
      <w:r>
        <w:rPr>
          <w:rFonts w:hint="eastAsia"/>
          <w:sz w:val="24"/>
        </w:rPr>
        <w:t>2018</w:t>
      </w:r>
      <w:r>
        <w:rPr>
          <w:rFonts w:hint="eastAsia"/>
          <w:sz w:val="24"/>
        </w:rPr>
        <w:t>年</w:t>
      </w:r>
      <w:r>
        <w:rPr>
          <w:rFonts w:hint="eastAsia"/>
          <w:sz w:val="24"/>
        </w:rPr>
        <w:t>3</w:t>
      </w:r>
      <w:r>
        <w:rPr>
          <w:rFonts w:hint="eastAsia"/>
          <w:sz w:val="24"/>
        </w:rPr>
        <w:t>月</w:t>
      </w:r>
      <w:r>
        <w:rPr>
          <w:rFonts w:hint="eastAsia"/>
          <w:sz w:val="24"/>
        </w:rPr>
        <w:t>27</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B5600D" w:rsidRDefault="00D91A1A">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B5600D" w:rsidRDefault="00D91A1A">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p>
    <w:p w:rsidR="00223DFB" w:rsidRPr="00245BFD" w:rsidRDefault="00223DFB" w:rsidP="00245BFD">
      <w:pPr>
        <w:spacing w:before="29" w:line="288" w:lineRule="auto"/>
        <w:ind w:firstLineChars="200" w:firstLine="480"/>
        <w:rPr>
          <w:sz w:val="24"/>
        </w:rPr>
      </w:pPr>
      <w:r w:rsidRPr="00245BFD">
        <w:rPr>
          <w:rFonts w:hint="eastAsia"/>
          <w:sz w:val="24"/>
        </w:rPr>
        <w:t>本报告期自</w:t>
      </w:r>
      <w:r w:rsidRPr="00245BFD">
        <w:rPr>
          <w:rFonts w:hint="eastAsia"/>
          <w:sz w:val="24"/>
        </w:rPr>
        <w:t>2017</w:t>
      </w:r>
      <w:r w:rsidRPr="00245BFD">
        <w:rPr>
          <w:rFonts w:hint="eastAsia"/>
          <w:sz w:val="24"/>
        </w:rPr>
        <w:t>年</w:t>
      </w:r>
      <w:r w:rsidRPr="00245BFD">
        <w:rPr>
          <w:rFonts w:hint="eastAsia"/>
          <w:sz w:val="24"/>
        </w:rPr>
        <w:t>1</w:t>
      </w:r>
      <w:r w:rsidRPr="00245BFD">
        <w:rPr>
          <w:rFonts w:hint="eastAsia"/>
          <w:sz w:val="24"/>
        </w:rPr>
        <w:t>月</w:t>
      </w:r>
      <w:r w:rsidRPr="00245BFD">
        <w:rPr>
          <w:rFonts w:hint="eastAsia"/>
          <w:sz w:val="24"/>
        </w:rPr>
        <w:t>1</w:t>
      </w:r>
      <w:r w:rsidRPr="00245BFD">
        <w:rPr>
          <w:rFonts w:hint="eastAsia"/>
          <w:sz w:val="24"/>
        </w:rPr>
        <w:t>日起至</w:t>
      </w:r>
      <w:r w:rsidRPr="00245BFD">
        <w:rPr>
          <w:rFonts w:hint="eastAsia"/>
          <w:sz w:val="24"/>
        </w:rPr>
        <w:t>12</w:t>
      </w:r>
      <w:r w:rsidRPr="00245BFD">
        <w:rPr>
          <w:rFonts w:hint="eastAsia"/>
          <w:sz w:val="24"/>
        </w:rPr>
        <w:t>月</w:t>
      </w:r>
      <w:r w:rsidRPr="00245BFD">
        <w:rPr>
          <w:rFonts w:hint="eastAsia"/>
          <w:sz w:val="24"/>
        </w:rPr>
        <w:t>31</w:t>
      </w:r>
      <w:r w:rsidRPr="00245BFD">
        <w:rPr>
          <w:rFonts w:hint="eastAsia"/>
          <w:sz w:val="24"/>
        </w:rPr>
        <w:t>日止。</w:t>
      </w:r>
    </w:p>
    <w:p w:rsidR="00223DFB" w:rsidRPr="00D0515B" w:rsidRDefault="00223DFB" w:rsidP="00BC5418">
      <w:pPr>
        <w:spacing w:before="29" w:line="288" w:lineRule="auto"/>
        <w:rPr>
          <w:rFonts w:asciiTheme="minorEastAsia" w:eastAsiaTheme="minorEastAsia" w:hAnsiTheme="minorEastAsia"/>
          <w:kern w:val="0"/>
          <w:szCs w:val="21"/>
        </w:rPr>
      </w:pPr>
      <w:r w:rsidRPr="00D0515B">
        <w:rPr>
          <w:rFonts w:asciiTheme="minorEastAsia" w:eastAsiaTheme="minorEastAsia" w:hAnsiTheme="minorEastAsia" w:hint="eastAsia"/>
          <w:szCs w:val="21"/>
        </w:rPr>
        <w:br w:type="page"/>
      </w:r>
      <w:r w:rsidRPr="00BC5418">
        <w:rPr>
          <w:rFonts w:hint="eastAsia"/>
          <w:b/>
          <w:bCs/>
          <w:kern w:val="0"/>
          <w:sz w:val="24"/>
        </w:rPr>
        <w:lastRenderedPageBreak/>
        <w:t xml:space="preserve">1.2 </w:t>
      </w:r>
      <w:r w:rsidRPr="00BC5418">
        <w:rPr>
          <w:rFonts w:hint="eastAsia"/>
          <w:b/>
          <w:bCs/>
          <w:kern w:val="0"/>
          <w:sz w:val="24"/>
        </w:rPr>
        <w:t>目录</w:t>
      </w:r>
    </w:p>
    <w:p w:rsidR="00223DFB" w:rsidRPr="00D0515B" w:rsidRDefault="00223DFB" w:rsidP="001851CC">
      <w:pPr>
        <w:pStyle w:val="22"/>
        <w:spacing w:line="360" w:lineRule="auto"/>
        <w:ind w:left="420"/>
        <w:rPr>
          <w:rFonts w:asciiTheme="minorEastAsia" w:eastAsiaTheme="minorEastAsia" w:hAnsiTheme="minorEastAsia"/>
        </w:rPr>
      </w:pPr>
    </w:p>
    <w:p w:rsidR="00124C6F" w:rsidRDefault="000D1BA5">
      <w:pPr>
        <w:pStyle w:val="11"/>
        <w:rPr>
          <w:rFonts w:asciiTheme="minorHAnsi" w:eastAsiaTheme="minorEastAsia" w:hAnsiTheme="minorHAnsi" w:cstheme="minorBidi"/>
          <w:noProof/>
          <w:szCs w:val="22"/>
        </w:rPr>
      </w:pPr>
      <w:r w:rsidRPr="00B15E11">
        <w:rPr>
          <w:rFonts w:asciiTheme="minorEastAsia" w:eastAsiaTheme="minorEastAsia" w:hAnsiTheme="minorEastAsia"/>
          <w:color w:val="000000"/>
          <w:kern w:val="0"/>
          <w:szCs w:val="21"/>
        </w:rPr>
        <w:fldChar w:fldCharType="begin"/>
      </w:r>
      <w:r w:rsidR="00382195" w:rsidRPr="00B15E11">
        <w:rPr>
          <w:rFonts w:asciiTheme="minorEastAsia" w:eastAsiaTheme="minorEastAsia" w:hAnsiTheme="minorEastAsia"/>
          <w:color w:val="000000"/>
          <w:kern w:val="0"/>
          <w:szCs w:val="21"/>
        </w:rPr>
        <w:instrText xml:space="preserve"> TOC \o "1-3" \h \z \u </w:instrText>
      </w:r>
      <w:r w:rsidRPr="00B15E11">
        <w:rPr>
          <w:rFonts w:asciiTheme="minorEastAsia" w:eastAsiaTheme="minorEastAsia" w:hAnsiTheme="minorEastAsia"/>
          <w:color w:val="000000"/>
          <w:kern w:val="0"/>
          <w:szCs w:val="21"/>
        </w:rPr>
        <w:fldChar w:fldCharType="separate"/>
      </w:r>
      <w:hyperlink w:anchor="_Toc509760969" w:history="1">
        <w:r w:rsidR="00124C6F" w:rsidRPr="005C2F77">
          <w:rPr>
            <w:rStyle w:val="a8"/>
            <w:b/>
            <w:bCs/>
            <w:noProof/>
          </w:rPr>
          <w:t xml:space="preserve">§1  </w:t>
        </w:r>
        <w:r w:rsidR="00124C6F" w:rsidRPr="005C2F77">
          <w:rPr>
            <w:rStyle w:val="a8"/>
            <w:rFonts w:hint="eastAsia"/>
            <w:b/>
            <w:bCs/>
            <w:noProof/>
          </w:rPr>
          <w:t>重要提示及目录</w:t>
        </w:r>
        <w:r w:rsidR="00124C6F">
          <w:rPr>
            <w:noProof/>
            <w:webHidden/>
          </w:rPr>
          <w:tab/>
        </w:r>
        <w:r w:rsidR="00124C6F">
          <w:rPr>
            <w:noProof/>
            <w:webHidden/>
          </w:rPr>
          <w:fldChar w:fldCharType="begin"/>
        </w:r>
        <w:r w:rsidR="00124C6F">
          <w:rPr>
            <w:noProof/>
            <w:webHidden/>
          </w:rPr>
          <w:instrText xml:space="preserve"> PAGEREF _Toc509760969 \h </w:instrText>
        </w:r>
        <w:r w:rsidR="00124C6F">
          <w:rPr>
            <w:noProof/>
            <w:webHidden/>
          </w:rPr>
        </w:r>
        <w:r w:rsidR="00124C6F">
          <w:rPr>
            <w:noProof/>
            <w:webHidden/>
          </w:rPr>
          <w:fldChar w:fldCharType="separate"/>
        </w:r>
        <w:r w:rsidR="00124C6F">
          <w:rPr>
            <w:noProof/>
            <w:webHidden/>
          </w:rPr>
          <w:t>2</w:t>
        </w:r>
        <w:r w:rsidR="00124C6F">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0970" w:history="1">
        <w:r w:rsidRPr="005C2F77">
          <w:rPr>
            <w:rStyle w:val="a8"/>
            <w:noProof/>
          </w:rPr>
          <w:t xml:space="preserve">1.1 </w:t>
        </w:r>
        <w:r w:rsidRPr="005C2F77">
          <w:rPr>
            <w:rStyle w:val="a8"/>
            <w:rFonts w:hint="eastAsia"/>
            <w:noProof/>
          </w:rPr>
          <w:t>重要提示</w:t>
        </w:r>
        <w:r>
          <w:rPr>
            <w:noProof/>
            <w:webHidden/>
          </w:rPr>
          <w:tab/>
        </w:r>
        <w:r>
          <w:rPr>
            <w:noProof/>
            <w:webHidden/>
          </w:rPr>
          <w:fldChar w:fldCharType="begin"/>
        </w:r>
        <w:r>
          <w:rPr>
            <w:noProof/>
            <w:webHidden/>
          </w:rPr>
          <w:instrText xml:space="preserve"> PAGEREF _Toc509760970 \h </w:instrText>
        </w:r>
        <w:r>
          <w:rPr>
            <w:noProof/>
            <w:webHidden/>
          </w:rPr>
        </w:r>
        <w:r>
          <w:rPr>
            <w:noProof/>
            <w:webHidden/>
          </w:rPr>
          <w:fldChar w:fldCharType="separate"/>
        </w:r>
        <w:r>
          <w:rPr>
            <w:noProof/>
            <w:webHidden/>
          </w:rPr>
          <w:t>2</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0971" w:history="1">
        <w:r w:rsidRPr="005C2F77">
          <w:rPr>
            <w:rStyle w:val="a8"/>
            <w:b/>
            <w:bCs/>
            <w:noProof/>
          </w:rPr>
          <w:t xml:space="preserve">§2  </w:t>
        </w:r>
        <w:r w:rsidRPr="005C2F77">
          <w:rPr>
            <w:rStyle w:val="a8"/>
            <w:rFonts w:hint="eastAsia"/>
            <w:b/>
            <w:bCs/>
            <w:noProof/>
          </w:rPr>
          <w:t>基金简介</w:t>
        </w:r>
        <w:r>
          <w:rPr>
            <w:noProof/>
            <w:webHidden/>
          </w:rPr>
          <w:tab/>
        </w:r>
        <w:r>
          <w:rPr>
            <w:noProof/>
            <w:webHidden/>
          </w:rPr>
          <w:fldChar w:fldCharType="begin"/>
        </w:r>
        <w:r>
          <w:rPr>
            <w:noProof/>
            <w:webHidden/>
          </w:rPr>
          <w:instrText xml:space="preserve"> PAGEREF _Toc509760971 \h </w:instrText>
        </w:r>
        <w:r>
          <w:rPr>
            <w:noProof/>
            <w:webHidden/>
          </w:rPr>
        </w:r>
        <w:r>
          <w:rPr>
            <w:noProof/>
            <w:webHidden/>
          </w:rPr>
          <w:fldChar w:fldCharType="separate"/>
        </w:r>
        <w:r>
          <w:rPr>
            <w:noProof/>
            <w:webHidden/>
          </w:rPr>
          <w:t>5</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0972" w:history="1">
        <w:r w:rsidRPr="005C2F77">
          <w:rPr>
            <w:rStyle w:val="a8"/>
            <w:noProof/>
          </w:rPr>
          <w:t xml:space="preserve">2.1 </w:t>
        </w:r>
        <w:r w:rsidRPr="005C2F77">
          <w:rPr>
            <w:rStyle w:val="a8"/>
            <w:rFonts w:hint="eastAsia"/>
            <w:noProof/>
          </w:rPr>
          <w:t>基金基本情况</w:t>
        </w:r>
        <w:r>
          <w:rPr>
            <w:noProof/>
            <w:webHidden/>
          </w:rPr>
          <w:tab/>
        </w:r>
        <w:r>
          <w:rPr>
            <w:noProof/>
            <w:webHidden/>
          </w:rPr>
          <w:fldChar w:fldCharType="begin"/>
        </w:r>
        <w:r>
          <w:rPr>
            <w:noProof/>
            <w:webHidden/>
          </w:rPr>
          <w:instrText xml:space="preserve"> PAGEREF _Toc509760972 \h </w:instrText>
        </w:r>
        <w:r>
          <w:rPr>
            <w:noProof/>
            <w:webHidden/>
          </w:rPr>
        </w:r>
        <w:r>
          <w:rPr>
            <w:noProof/>
            <w:webHidden/>
          </w:rPr>
          <w:fldChar w:fldCharType="separate"/>
        </w:r>
        <w:r>
          <w:rPr>
            <w:noProof/>
            <w:webHidden/>
          </w:rPr>
          <w:t>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73" w:history="1">
        <w:r w:rsidRPr="005C2F77">
          <w:rPr>
            <w:rStyle w:val="a8"/>
            <w:noProof/>
          </w:rPr>
          <w:t xml:space="preserve">2.2 </w:t>
        </w:r>
        <w:r w:rsidRPr="005C2F77">
          <w:rPr>
            <w:rStyle w:val="a8"/>
            <w:rFonts w:hint="eastAsia"/>
            <w:noProof/>
          </w:rPr>
          <w:t>基金产品说明</w:t>
        </w:r>
        <w:r>
          <w:rPr>
            <w:noProof/>
            <w:webHidden/>
          </w:rPr>
          <w:tab/>
        </w:r>
        <w:r>
          <w:rPr>
            <w:noProof/>
            <w:webHidden/>
          </w:rPr>
          <w:fldChar w:fldCharType="begin"/>
        </w:r>
        <w:r>
          <w:rPr>
            <w:noProof/>
            <w:webHidden/>
          </w:rPr>
          <w:instrText xml:space="preserve"> PAGEREF _Toc509760973 \h </w:instrText>
        </w:r>
        <w:r>
          <w:rPr>
            <w:noProof/>
            <w:webHidden/>
          </w:rPr>
        </w:r>
        <w:r>
          <w:rPr>
            <w:noProof/>
            <w:webHidden/>
          </w:rPr>
          <w:fldChar w:fldCharType="separate"/>
        </w:r>
        <w:r>
          <w:rPr>
            <w:noProof/>
            <w:webHidden/>
          </w:rPr>
          <w:t>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74" w:history="1">
        <w:r w:rsidRPr="005C2F77">
          <w:rPr>
            <w:rStyle w:val="a8"/>
            <w:noProof/>
          </w:rPr>
          <w:t xml:space="preserve">2.3 </w:t>
        </w:r>
        <w:r w:rsidRPr="005C2F77">
          <w:rPr>
            <w:rStyle w:val="a8"/>
            <w:rFonts w:hint="eastAsia"/>
            <w:noProof/>
          </w:rPr>
          <w:t>基金管理人和基金托管人</w:t>
        </w:r>
        <w:r>
          <w:rPr>
            <w:noProof/>
            <w:webHidden/>
          </w:rPr>
          <w:tab/>
        </w:r>
        <w:r>
          <w:rPr>
            <w:noProof/>
            <w:webHidden/>
          </w:rPr>
          <w:fldChar w:fldCharType="begin"/>
        </w:r>
        <w:r>
          <w:rPr>
            <w:noProof/>
            <w:webHidden/>
          </w:rPr>
          <w:instrText xml:space="preserve"> PAGEREF _Toc509760974 \h </w:instrText>
        </w:r>
        <w:r>
          <w:rPr>
            <w:noProof/>
            <w:webHidden/>
          </w:rPr>
        </w:r>
        <w:r>
          <w:rPr>
            <w:noProof/>
            <w:webHidden/>
          </w:rPr>
          <w:fldChar w:fldCharType="separate"/>
        </w:r>
        <w:r>
          <w:rPr>
            <w:noProof/>
            <w:webHidden/>
          </w:rPr>
          <w:t>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75" w:history="1">
        <w:r w:rsidRPr="005C2F77">
          <w:rPr>
            <w:rStyle w:val="a8"/>
            <w:noProof/>
          </w:rPr>
          <w:t xml:space="preserve">2.4 </w:t>
        </w:r>
        <w:r w:rsidRPr="005C2F77">
          <w:rPr>
            <w:rStyle w:val="a8"/>
            <w:rFonts w:hint="eastAsia"/>
            <w:noProof/>
          </w:rPr>
          <w:t>信息披露方式</w:t>
        </w:r>
        <w:r>
          <w:rPr>
            <w:noProof/>
            <w:webHidden/>
          </w:rPr>
          <w:tab/>
        </w:r>
        <w:r>
          <w:rPr>
            <w:noProof/>
            <w:webHidden/>
          </w:rPr>
          <w:fldChar w:fldCharType="begin"/>
        </w:r>
        <w:r>
          <w:rPr>
            <w:noProof/>
            <w:webHidden/>
          </w:rPr>
          <w:instrText xml:space="preserve"> PAGEREF _Toc509760975 \h </w:instrText>
        </w:r>
        <w:r>
          <w:rPr>
            <w:noProof/>
            <w:webHidden/>
          </w:rPr>
        </w:r>
        <w:r>
          <w:rPr>
            <w:noProof/>
            <w:webHidden/>
          </w:rPr>
          <w:fldChar w:fldCharType="separate"/>
        </w:r>
        <w:r>
          <w:rPr>
            <w:noProof/>
            <w:webHidden/>
          </w:rPr>
          <w:t>6</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76" w:history="1">
        <w:r w:rsidRPr="005C2F77">
          <w:rPr>
            <w:rStyle w:val="a8"/>
            <w:noProof/>
          </w:rPr>
          <w:t xml:space="preserve">2.5 </w:t>
        </w:r>
        <w:r w:rsidRPr="005C2F77">
          <w:rPr>
            <w:rStyle w:val="a8"/>
            <w:rFonts w:hint="eastAsia"/>
            <w:noProof/>
          </w:rPr>
          <w:t>其他相关资料</w:t>
        </w:r>
        <w:r>
          <w:rPr>
            <w:noProof/>
            <w:webHidden/>
          </w:rPr>
          <w:tab/>
        </w:r>
        <w:r>
          <w:rPr>
            <w:noProof/>
            <w:webHidden/>
          </w:rPr>
          <w:fldChar w:fldCharType="begin"/>
        </w:r>
        <w:r>
          <w:rPr>
            <w:noProof/>
            <w:webHidden/>
          </w:rPr>
          <w:instrText xml:space="preserve"> PAGEREF _Toc509760976 \h </w:instrText>
        </w:r>
        <w:r>
          <w:rPr>
            <w:noProof/>
            <w:webHidden/>
          </w:rPr>
        </w:r>
        <w:r>
          <w:rPr>
            <w:noProof/>
            <w:webHidden/>
          </w:rPr>
          <w:fldChar w:fldCharType="separate"/>
        </w:r>
        <w:r>
          <w:rPr>
            <w:noProof/>
            <w:webHidden/>
          </w:rPr>
          <w:t>6</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0977" w:history="1">
        <w:r w:rsidRPr="005C2F77">
          <w:rPr>
            <w:rStyle w:val="a8"/>
            <w:b/>
            <w:bCs/>
            <w:noProof/>
          </w:rPr>
          <w:t xml:space="preserve">§3  </w:t>
        </w:r>
        <w:r w:rsidRPr="005C2F77">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_Toc509760977 \h </w:instrText>
        </w:r>
        <w:r>
          <w:rPr>
            <w:noProof/>
            <w:webHidden/>
          </w:rPr>
        </w:r>
        <w:r>
          <w:rPr>
            <w:noProof/>
            <w:webHidden/>
          </w:rPr>
          <w:fldChar w:fldCharType="separate"/>
        </w:r>
        <w:r>
          <w:rPr>
            <w:noProof/>
            <w:webHidden/>
          </w:rPr>
          <w:t>6</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0978" w:history="1">
        <w:r w:rsidRPr="005C2F77">
          <w:rPr>
            <w:rStyle w:val="a8"/>
            <w:noProof/>
          </w:rPr>
          <w:t xml:space="preserve">3.1 </w:t>
        </w:r>
        <w:r w:rsidRPr="005C2F77">
          <w:rPr>
            <w:rStyle w:val="a8"/>
            <w:rFonts w:hint="eastAsia"/>
            <w:noProof/>
          </w:rPr>
          <w:t>主要会计数据和财务指标</w:t>
        </w:r>
        <w:r>
          <w:rPr>
            <w:noProof/>
            <w:webHidden/>
          </w:rPr>
          <w:tab/>
        </w:r>
        <w:r>
          <w:rPr>
            <w:noProof/>
            <w:webHidden/>
          </w:rPr>
          <w:fldChar w:fldCharType="begin"/>
        </w:r>
        <w:r>
          <w:rPr>
            <w:noProof/>
            <w:webHidden/>
          </w:rPr>
          <w:instrText xml:space="preserve"> PAGEREF _Toc509760978 \h </w:instrText>
        </w:r>
        <w:r>
          <w:rPr>
            <w:noProof/>
            <w:webHidden/>
          </w:rPr>
        </w:r>
        <w:r>
          <w:rPr>
            <w:noProof/>
            <w:webHidden/>
          </w:rPr>
          <w:fldChar w:fldCharType="separate"/>
        </w:r>
        <w:r>
          <w:rPr>
            <w:noProof/>
            <w:webHidden/>
          </w:rPr>
          <w:t>6</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79" w:history="1">
        <w:r w:rsidRPr="005C2F77">
          <w:rPr>
            <w:rStyle w:val="a8"/>
            <w:noProof/>
          </w:rPr>
          <w:t xml:space="preserve">3.2 </w:t>
        </w:r>
        <w:r w:rsidRPr="005C2F77">
          <w:rPr>
            <w:rStyle w:val="a8"/>
            <w:rFonts w:hint="eastAsia"/>
            <w:noProof/>
          </w:rPr>
          <w:t>基金净值表现</w:t>
        </w:r>
        <w:r>
          <w:rPr>
            <w:noProof/>
            <w:webHidden/>
          </w:rPr>
          <w:tab/>
        </w:r>
        <w:r>
          <w:rPr>
            <w:noProof/>
            <w:webHidden/>
          </w:rPr>
          <w:fldChar w:fldCharType="begin"/>
        </w:r>
        <w:r>
          <w:rPr>
            <w:noProof/>
            <w:webHidden/>
          </w:rPr>
          <w:instrText xml:space="preserve"> PAGEREF _Toc509760979 \h </w:instrText>
        </w:r>
        <w:r>
          <w:rPr>
            <w:noProof/>
            <w:webHidden/>
          </w:rPr>
        </w:r>
        <w:r>
          <w:rPr>
            <w:noProof/>
            <w:webHidden/>
          </w:rPr>
          <w:fldChar w:fldCharType="separate"/>
        </w:r>
        <w:r>
          <w:rPr>
            <w:noProof/>
            <w:webHidden/>
          </w:rPr>
          <w:t>7</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0" w:history="1">
        <w:r w:rsidRPr="005C2F77">
          <w:rPr>
            <w:rStyle w:val="a8"/>
            <w:noProof/>
          </w:rPr>
          <w:t>3.3</w:t>
        </w:r>
        <w:r w:rsidRPr="005C2F77">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_Toc509760980 \h </w:instrText>
        </w:r>
        <w:r>
          <w:rPr>
            <w:noProof/>
            <w:webHidden/>
          </w:rPr>
        </w:r>
        <w:r>
          <w:rPr>
            <w:noProof/>
            <w:webHidden/>
          </w:rPr>
          <w:fldChar w:fldCharType="separate"/>
        </w:r>
        <w:r>
          <w:rPr>
            <w:noProof/>
            <w:webHidden/>
          </w:rPr>
          <w:t>11</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0981" w:history="1">
        <w:r w:rsidRPr="005C2F77">
          <w:rPr>
            <w:rStyle w:val="a8"/>
            <w:b/>
            <w:bCs/>
            <w:noProof/>
          </w:rPr>
          <w:t xml:space="preserve">§4  </w:t>
        </w:r>
        <w:r w:rsidRPr="005C2F77">
          <w:rPr>
            <w:rStyle w:val="a8"/>
            <w:rFonts w:hint="eastAsia"/>
            <w:b/>
            <w:bCs/>
            <w:noProof/>
          </w:rPr>
          <w:t>管理人报告</w:t>
        </w:r>
        <w:r>
          <w:rPr>
            <w:noProof/>
            <w:webHidden/>
          </w:rPr>
          <w:tab/>
        </w:r>
        <w:r>
          <w:rPr>
            <w:noProof/>
            <w:webHidden/>
          </w:rPr>
          <w:fldChar w:fldCharType="begin"/>
        </w:r>
        <w:r>
          <w:rPr>
            <w:noProof/>
            <w:webHidden/>
          </w:rPr>
          <w:instrText xml:space="preserve"> PAGEREF _Toc509760981 \h </w:instrText>
        </w:r>
        <w:r>
          <w:rPr>
            <w:noProof/>
            <w:webHidden/>
          </w:rPr>
        </w:r>
        <w:r>
          <w:rPr>
            <w:noProof/>
            <w:webHidden/>
          </w:rPr>
          <w:fldChar w:fldCharType="separate"/>
        </w:r>
        <w:r>
          <w:rPr>
            <w:noProof/>
            <w:webHidden/>
          </w:rPr>
          <w:t>11</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0982" w:history="1">
        <w:r w:rsidRPr="005C2F77">
          <w:rPr>
            <w:rStyle w:val="a8"/>
            <w:noProof/>
          </w:rPr>
          <w:t xml:space="preserve">4.1 </w:t>
        </w:r>
        <w:r w:rsidRPr="005C2F77">
          <w:rPr>
            <w:rStyle w:val="a8"/>
            <w:rFonts w:hint="eastAsia"/>
            <w:noProof/>
          </w:rPr>
          <w:t>基金管理人及基金经理情况</w:t>
        </w:r>
        <w:r>
          <w:rPr>
            <w:noProof/>
            <w:webHidden/>
          </w:rPr>
          <w:tab/>
        </w:r>
        <w:r>
          <w:rPr>
            <w:noProof/>
            <w:webHidden/>
          </w:rPr>
          <w:fldChar w:fldCharType="begin"/>
        </w:r>
        <w:r>
          <w:rPr>
            <w:noProof/>
            <w:webHidden/>
          </w:rPr>
          <w:instrText xml:space="preserve"> PAGEREF _Toc509760982 \h </w:instrText>
        </w:r>
        <w:r>
          <w:rPr>
            <w:noProof/>
            <w:webHidden/>
          </w:rPr>
        </w:r>
        <w:r>
          <w:rPr>
            <w:noProof/>
            <w:webHidden/>
          </w:rPr>
          <w:fldChar w:fldCharType="separate"/>
        </w:r>
        <w:r>
          <w:rPr>
            <w:noProof/>
            <w:webHidden/>
          </w:rPr>
          <w:t>11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3" w:history="1">
        <w:r w:rsidRPr="005C2F77">
          <w:rPr>
            <w:rStyle w:val="a8"/>
            <w:noProof/>
          </w:rPr>
          <w:t xml:space="preserve">4.2 </w:t>
        </w:r>
        <w:r w:rsidRPr="005C2F77">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_Toc509760983 \h </w:instrText>
        </w:r>
        <w:r>
          <w:rPr>
            <w:noProof/>
            <w:webHidden/>
          </w:rPr>
        </w:r>
        <w:r>
          <w:rPr>
            <w:noProof/>
            <w:webHidden/>
          </w:rPr>
          <w:fldChar w:fldCharType="separate"/>
        </w:r>
        <w:r>
          <w:rPr>
            <w:noProof/>
            <w:webHidden/>
          </w:rPr>
          <w:t>13</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4" w:history="1">
        <w:r w:rsidRPr="005C2F77">
          <w:rPr>
            <w:rStyle w:val="a8"/>
            <w:noProof/>
          </w:rPr>
          <w:t xml:space="preserve">4.3 </w:t>
        </w:r>
        <w:r w:rsidRPr="005C2F77">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_Toc509760984 \h </w:instrText>
        </w:r>
        <w:r>
          <w:rPr>
            <w:noProof/>
            <w:webHidden/>
          </w:rPr>
        </w:r>
        <w:r>
          <w:rPr>
            <w:noProof/>
            <w:webHidden/>
          </w:rPr>
          <w:fldChar w:fldCharType="separate"/>
        </w:r>
        <w:r>
          <w:rPr>
            <w:noProof/>
            <w:webHidden/>
          </w:rPr>
          <w:t>13</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5" w:history="1">
        <w:r w:rsidRPr="005C2F77">
          <w:rPr>
            <w:rStyle w:val="a8"/>
            <w:noProof/>
          </w:rPr>
          <w:t xml:space="preserve">4.4 </w:t>
        </w:r>
        <w:r w:rsidRPr="005C2F77">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_Toc509760985 \h </w:instrText>
        </w:r>
        <w:r>
          <w:rPr>
            <w:noProof/>
            <w:webHidden/>
          </w:rPr>
        </w:r>
        <w:r>
          <w:rPr>
            <w:noProof/>
            <w:webHidden/>
          </w:rPr>
          <w:fldChar w:fldCharType="separate"/>
        </w:r>
        <w:r>
          <w:rPr>
            <w:noProof/>
            <w:webHidden/>
          </w:rPr>
          <w:t>14</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6" w:history="1">
        <w:r w:rsidRPr="005C2F77">
          <w:rPr>
            <w:rStyle w:val="a8"/>
            <w:noProof/>
          </w:rPr>
          <w:t xml:space="preserve">4.5 </w:t>
        </w:r>
        <w:r w:rsidRPr="005C2F77">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_Toc509760986 \h </w:instrText>
        </w:r>
        <w:r>
          <w:rPr>
            <w:noProof/>
            <w:webHidden/>
          </w:rPr>
        </w:r>
        <w:r>
          <w:rPr>
            <w:noProof/>
            <w:webHidden/>
          </w:rPr>
          <w:fldChar w:fldCharType="separate"/>
        </w:r>
        <w:r>
          <w:rPr>
            <w:noProof/>
            <w:webHidden/>
          </w:rPr>
          <w:t>15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7" w:history="1">
        <w:r w:rsidRPr="005C2F77">
          <w:rPr>
            <w:rStyle w:val="a8"/>
            <w:noProof/>
          </w:rPr>
          <w:t xml:space="preserve">4.6 </w:t>
        </w:r>
        <w:r w:rsidRPr="005C2F77">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_Toc509760987 \h </w:instrText>
        </w:r>
        <w:r>
          <w:rPr>
            <w:noProof/>
            <w:webHidden/>
          </w:rPr>
        </w:r>
        <w:r>
          <w:rPr>
            <w:noProof/>
            <w:webHidden/>
          </w:rPr>
          <w:fldChar w:fldCharType="separate"/>
        </w:r>
        <w:r>
          <w:rPr>
            <w:noProof/>
            <w:webHidden/>
          </w:rPr>
          <w:t>15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8" w:history="1">
        <w:r w:rsidRPr="005C2F77">
          <w:rPr>
            <w:rStyle w:val="a8"/>
            <w:noProof/>
          </w:rPr>
          <w:t xml:space="preserve">4.7 </w:t>
        </w:r>
        <w:r w:rsidRPr="005C2F77">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_Toc509760988 \h </w:instrText>
        </w:r>
        <w:r>
          <w:rPr>
            <w:noProof/>
            <w:webHidden/>
          </w:rPr>
        </w:r>
        <w:r>
          <w:rPr>
            <w:noProof/>
            <w:webHidden/>
          </w:rPr>
          <w:fldChar w:fldCharType="separate"/>
        </w:r>
        <w:r>
          <w:rPr>
            <w:noProof/>
            <w:webHidden/>
          </w:rPr>
          <w:t>16</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89" w:history="1">
        <w:r w:rsidRPr="005C2F77">
          <w:rPr>
            <w:rStyle w:val="a8"/>
            <w:noProof/>
          </w:rPr>
          <w:t xml:space="preserve">4.8 </w:t>
        </w:r>
        <w:r w:rsidRPr="005C2F77">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_Toc509760989 \h </w:instrText>
        </w:r>
        <w:r>
          <w:rPr>
            <w:noProof/>
            <w:webHidden/>
          </w:rPr>
        </w:r>
        <w:r>
          <w:rPr>
            <w:noProof/>
            <w:webHidden/>
          </w:rPr>
          <w:fldChar w:fldCharType="separate"/>
        </w:r>
        <w:r>
          <w:rPr>
            <w:noProof/>
            <w:webHidden/>
          </w:rPr>
          <w:t>16</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90" w:history="1">
        <w:r w:rsidRPr="005C2F77">
          <w:rPr>
            <w:rStyle w:val="a8"/>
            <w:noProof/>
          </w:rPr>
          <w:t xml:space="preserve">4.9 </w:t>
        </w:r>
        <w:r w:rsidRPr="005C2F77">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_Toc509760990 \h </w:instrText>
        </w:r>
        <w:r>
          <w:rPr>
            <w:noProof/>
            <w:webHidden/>
          </w:rPr>
        </w:r>
        <w:r>
          <w:rPr>
            <w:noProof/>
            <w:webHidden/>
          </w:rPr>
          <w:fldChar w:fldCharType="separate"/>
        </w:r>
        <w:r>
          <w:rPr>
            <w:noProof/>
            <w:webHidden/>
          </w:rPr>
          <w:t>16</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0991" w:history="1">
        <w:r w:rsidRPr="005C2F77">
          <w:rPr>
            <w:rStyle w:val="a8"/>
            <w:b/>
            <w:bCs/>
            <w:noProof/>
          </w:rPr>
          <w:t xml:space="preserve">§5  </w:t>
        </w:r>
        <w:r w:rsidRPr="005C2F77">
          <w:rPr>
            <w:rStyle w:val="a8"/>
            <w:rFonts w:hint="eastAsia"/>
            <w:b/>
            <w:bCs/>
            <w:noProof/>
          </w:rPr>
          <w:t>托管人报告</w:t>
        </w:r>
        <w:r>
          <w:rPr>
            <w:noProof/>
            <w:webHidden/>
          </w:rPr>
          <w:tab/>
        </w:r>
        <w:r>
          <w:rPr>
            <w:noProof/>
            <w:webHidden/>
          </w:rPr>
          <w:fldChar w:fldCharType="begin"/>
        </w:r>
        <w:r>
          <w:rPr>
            <w:noProof/>
            <w:webHidden/>
          </w:rPr>
          <w:instrText xml:space="preserve"> PAGEREF _Toc509760991 \h </w:instrText>
        </w:r>
        <w:r>
          <w:rPr>
            <w:noProof/>
            <w:webHidden/>
          </w:rPr>
        </w:r>
        <w:r>
          <w:rPr>
            <w:noProof/>
            <w:webHidden/>
          </w:rPr>
          <w:fldChar w:fldCharType="separate"/>
        </w:r>
        <w:r>
          <w:rPr>
            <w:noProof/>
            <w:webHidden/>
          </w:rPr>
          <w:t>16</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0992" w:history="1">
        <w:r w:rsidRPr="005C2F77">
          <w:rPr>
            <w:rStyle w:val="a8"/>
            <w:noProof/>
          </w:rPr>
          <w:t xml:space="preserve">5.1 </w:t>
        </w:r>
        <w:r w:rsidRPr="005C2F77">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_Toc509760992 \h </w:instrText>
        </w:r>
        <w:r>
          <w:rPr>
            <w:noProof/>
            <w:webHidden/>
          </w:rPr>
        </w:r>
        <w:r>
          <w:rPr>
            <w:noProof/>
            <w:webHidden/>
          </w:rPr>
          <w:fldChar w:fldCharType="separate"/>
        </w:r>
        <w:r>
          <w:rPr>
            <w:noProof/>
            <w:webHidden/>
          </w:rPr>
          <w:t>17</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93" w:history="1">
        <w:r w:rsidRPr="005C2F77">
          <w:rPr>
            <w:rStyle w:val="a8"/>
            <w:noProof/>
          </w:rPr>
          <w:t xml:space="preserve">5.2 </w:t>
        </w:r>
        <w:r w:rsidRPr="005C2F77">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_Toc509760993 \h </w:instrText>
        </w:r>
        <w:r>
          <w:rPr>
            <w:noProof/>
            <w:webHidden/>
          </w:rPr>
        </w:r>
        <w:r>
          <w:rPr>
            <w:noProof/>
            <w:webHidden/>
          </w:rPr>
          <w:fldChar w:fldCharType="separate"/>
        </w:r>
        <w:r>
          <w:rPr>
            <w:noProof/>
            <w:webHidden/>
          </w:rPr>
          <w:t>17</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0994" w:history="1">
        <w:r w:rsidRPr="005C2F77">
          <w:rPr>
            <w:rStyle w:val="a8"/>
            <w:noProof/>
          </w:rPr>
          <w:t xml:space="preserve">5.3 </w:t>
        </w:r>
        <w:r w:rsidRPr="005C2F77">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_Toc509760994 \h </w:instrText>
        </w:r>
        <w:r>
          <w:rPr>
            <w:noProof/>
            <w:webHidden/>
          </w:rPr>
        </w:r>
        <w:r>
          <w:rPr>
            <w:noProof/>
            <w:webHidden/>
          </w:rPr>
          <w:fldChar w:fldCharType="separate"/>
        </w:r>
        <w:r>
          <w:rPr>
            <w:noProof/>
            <w:webHidden/>
          </w:rPr>
          <w:t>17</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0995" w:history="1">
        <w:r w:rsidRPr="005C2F77">
          <w:rPr>
            <w:rStyle w:val="a8"/>
            <w:b/>
            <w:bCs/>
            <w:noProof/>
          </w:rPr>
          <w:t xml:space="preserve">§6  </w:t>
        </w:r>
        <w:r w:rsidRPr="005C2F77">
          <w:rPr>
            <w:rStyle w:val="a8"/>
            <w:rFonts w:hint="eastAsia"/>
            <w:b/>
            <w:bCs/>
            <w:noProof/>
          </w:rPr>
          <w:t>审计报告</w:t>
        </w:r>
        <w:r>
          <w:rPr>
            <w:noProof/>
            <w:webHidden/>
          </w:rPr>
          <w:tab/>
        </w:r>
        <w:r>
          <w:rPr>
            <w:noProof/>
            <w:webHidden/>
          </w:rPr>
          <w:fldChar w:fldCharType="begin"/>
        </w:r>
        <w:r>
          <w:rPr>
            <w:noProof/>
            <w:webHidden/>
          </w:rPr>
          <w:instrText xml:space="preserve"> PAGEREF _Toc509760995 \h </w:instrText>
        </w:r>
        <w:r>
          <w:rPr>
            <w:noProof/>
            <w:webHidden/>
          </w:rPr>
        </w:r>
        <w:r>
          <w:rPr>
            <w:noProof/>
            <w:webHidden/>
          </w:rPr>
          <w:fldChar w:fldCharType="separate"/>
        </w:r>
        <w:r>
          <w:rPr>
            <w:noProof/>
            <w:webHidden/>
          </w:rPr>
          <w:t>17</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00" w:history="1">
        <w:r w:rsidRPr="005C2F77">
          <w:rPr>
            <w:rStyle w:val="a8"/>
            <w:b/>
            <w:bCs/>
            <w:noProof/>
          </w:rPr>
          <w:t xml:space="preserve">§7  </w:t>
        </w:r>
        <w:r w:rsidRPr="005C2F77">
          <w:rPr>
            <w:rStyle w:val="a8"/>
            <w:rFonts w:hint="eastAsia"/>
            <w:b/>
            <w:bCs/>
            <w:noProof/>
          </w:rPr>
          <w:t>年度财务报表</w:t>
        </w:r>
        <w:r>
          <w:rPr>
            <w:noProof/>
            <w:webHidden/>
          </w:rPr>
          <w:tab/>
        </w:r>
        <w:r>
          <w:rPr>
            <w:noProof/>
            <w:webHidden/>
          </w:rPr>
          <w:fldChar w:fldCharType="begin"/>
        </w:r>
        <w:r>
          <w:rPr>
            <w:noProof/>
            <w:webHidden/>
          </w:rPr>
          <w:instrText xml:space="preserve"> PAGEREF _Toc509761000 \h </w:instrText>
        </w:r>
        <w:r>
          <w:rPr>
            <w:noProof/>
            <w:webHidden/>
          </w:rPr>
        </w:r>
        <w:r>
          <w:rPr>
            <w:noProof/>
            <w:webHidden/>
          </w:rPr>
          <w:fldChar w:fldCharType="separate"/>
        </w:r>
        <w:r>
          <w:rPr>
            <w:noProof/>
            <w:webHidden/>
          </w:rPr>
          <w:t>19</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1001" w:history="1">
        <w:r w:rsidRPr="005C2F77">
          <w:rPr>
            <w:rStyle w:val="a8"/>
            <w:noProof/>
          </w:rPr>
          <w:t xml:space="preserve">7.1 </w:t>
        </w:r>
        <w:r w:rsidRPr="005C2F77">
          <w:rPr>
            <w:rStyle w:val="a8"/>
            <w:rFonts w:hint="eastAsia"/>
            <w:noProof/>
          </w:rPr>
          <w:t>资产负债表</w:t>
        </w:r>
        <w:r>
          <w:rPr>
            <w:noProof/>
            <w:webHidden/>
          </w:rPr>
          <w:tab/>
        </w:r>
        <w:r>
          <w:rPr>
            <w:noProof/>
            <w:webHidden/>
          </w:rPr>
          <w:fldChar w:fldCharType="begin"/>
        </w:r>
        <w:r>
          <w:rPr>
            <w:noProof/>
            <w:webHidden/>
          </w:rPr>
          <w:instrText xml:space="preserve"> PAGEREF _Toc509761001 \h </w:instrText>
        </w:r>
        <w:r>
          <w:rPr>
            <w:noProof/>
            <w:webHidden/>
          </w:rPr>
        </w:r>
        <w:r>
          <w:rPr>
            <w:noProof/>
            <w:webHidden/>
          </w:rPr>
          <w:fldChar w:fldCharType="separate"/>
        </w:r>
        <w:r>
          <w:rPr>
            <w:noProof/>
            <w:webHidden/>
          </w:rPr>
          <w:t>19</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2" w:history="1">
        <w:r w:rsidRPr="005C2F77">
          <w:rPr>
            <w:rStyle w:val="a8"/>
            <w:noProof/>
          </w:rPr>
          <w:t xml:space="preserve">7.2 </w:t>
        </w:r>
        <w:r w:rsidRPr="005C2F77">
          <w:rPr>
            <w:rStyle w:val="a8"/>
            <w:rFonts w:hint="eastAsia"/>
            <w:noProof/>
          </w:rPr>
          <w:t>利润表</w:t>
        </w:r>
        <w:r>
          <w:rPr>
            <w:noProof/>
            <w:webHidden/>
          </w:rPr>
          <w:tab/>
        </w:r>
        <w:r>
          <w:rPr>
            <w:noProof/>
            <w:webHidden/>
          </w:rPr>
          <w:fldChar w:fldCharType="begin"/>
        </w:r>
        <w:r>
          <w:rPr>
            <w:noProof/>
            <w:webHidden/>
          </w:rPr>
          <w:instrText xml:space="preserve"> PAGEREF _Toc509761002 \h </w:instrText>
        </w:r>
        <w:r>
          <w:rPr>
            <w:noProof/>
            <w:webHidden/>
          </w:rPr>
        </w:r>
        <w:r>
          <w:rPr>
            <w:noProof/>
            <w:webHidden/>
          </w:rPr>
          <w:fldChar w:fldCharType="separate"/>
        </w:r>
        <w:r>
          <w:rPr>
            <w:noProof/>
            <w:webHidden/>
          </w:rPr>
          <w:t>21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3" w:history="1">
        <w:r w:rsidRPr="005C2F77">
          <w:rPr>
            <w:rStyle w:val="a8"/>
            <w:noProof/>
          </w:rPr>
          <w:t xml:space="preserve">7.3 </w:t>
        </w:r>
        <w:r w:rsidRPr="005C2F77">
          <w:rPr>
            <w:rStyle w:val="a8"/>
            <w:rFonts w:hint="eastAsia"/>
            <w:noProof/>
          </w:rPr>
          <w:t>所有者权益（基金净值）变动表</w:t>
        </w:r>
        <w:r>
          <w:rPr>
            <w:noProof/>
            <w:webHidden/>
          </w:rPr>
          <w:tab/>
        </w:r>
        <w:r>
          <w:rPr>
            <w:noProof/>
            <w:webHidden/>
          </w:rPr>
          <w:fldChar w:fldCharType="begin"/>
        </w:r>
        <w:r>
          <w:rPr>
            <w:noProof/>
            <w:webHidden/>
          </w:rPr>
          <w:instrText xml:space="preserve"> PAGEREF _Toc509761003 \h </w:instrText>
        </w:r>
        <w:r>
          <w:rPr>
            <w:noProof/>
            <w:webHidden/>
          </w:rPr>
        </w:r>
        <w:r>
          <w:rPr>
            <w:noProof/>
            <w:webHidden/>
          </w:rPr>
          <w:fldChar w:fldCharType="separate"/>
        </w:r>
        <w:r>
          <w:rPr>
            <w:noProof/>
            <w:webHidden/>
          </w:rPr>
          <w:t>22</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4" w:history="1">
        <w:r w:rsidRPr="005C2F77">
          <w:rPr>
            <w:rStyle w:val="a8"/>
            <w:noProof/>
          </w:rPr>
          <w:t xml:space="preserve">7.4 </w:t>
        </w:r>
        <w:r w:rsidRPr="005C2F77">
          <w:rPr>
            <w:rStyle w:val="a8"/>
            <w:rFonts w:hint="eastAsia"/>
            <w:noProof/>
          </w:rPr>
          <w:t>报表附注</w:t>
        </w:r>
        <w:r>
          <w:rPr>
            <w:noProof/>
            <w:webHidden/>
          </w:rPr>
          <w:tab/>
        </w:r>
        <w:r>
          <w:rPr>
            <w:noProof/>
            <w:webHidden/>
          </w:rPr>
          <w:fldChar w:fldCharType="begin"/>
        </w:r>
        <w:r>
          <w:rPr>
            <w:noProof/>
            <w:webHidden/>
          </w:rPr>
          <w:instrText xml:space="preserve"> PAGEREF _Toc509761004 \h </w:instrText>
        </w:r>
        <w:r>
          <w:rPr>
            <w:noProof/>
            <w:webHidden/>
          </w:rPr>
        </w:r>
        <w:r>
          <w:rPr>
            <w:noProof/>
            <w:webHidden/>
          </w:rPr>
          <w:fldChar w:fldCharType="separate"/>
        </w:r>
        <w:r>
          <w:rPr>
            <w:noProof/>
            <w:webHidden/>
          </w:rPr>
          <w:t>23</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05" w:history="1">
        <w:r w:rsidRPr="005C2F77">
          <w:rPr>
            <w:rStyle w:val="a8"/>
            <w:b/>
            <w:bCs/>
            <w:noProof/>
          </w:rPr>
          <w:t xml:space="preserve">§8  </w:t>
        </w:r>
        <w:r w:rsidRPr="005C2F77">
          <w:rPr>
            <w:rStyle w:val="a8"/>
            <w:rFonts w:hint="eastAsia"/>
            <w:b/>
            <w:bCs/>
            <w:noProof/>
          </w:rPr>
          <w:t>投资组合报告</w:t>
        </w:r>
        <w:r>
          <w:rPr>
            <w:noProof/>
            <w:webHidden/>
          </w:rPr>
          <w:tab/>
        </w:r>
        <w:r>
          <w:rPr>
            <w:noProof/>
            <w:webHidden/>
          </w:rPr>
          <w:fldChar w:fldCharType="begin"/>
        </w:r>
        <w:r>
          <w:rPr>
            <w:noProof/>
            <w:webHidden/>
          </w:rPr>
          <w:instrText xml:space="preserve"> PAGEREF _Toc509761005 \h </w:instrText>
        </w:r>
        <w:r>
          <w:rPr>
            <w:noProof/>
            <w:webHidden/>
          </w:rPr>
        </w:r>
        <w:r>
          <w:rPr>
            <w:noProof/>
            <w:webHidden/>
          </w:rPr>
          <w:fldChar w:fldCharType="separate"/>
        </w:r>
        <w:r>
          <w:rPr>
            <w:noProof/>
            <w:webHidden/>
          </w:rPr>
          <w:t>45</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1006" w:history="1">
        <w:r w:rsidRPr="005C2F77">
          <w:rPr>
            <w:rStyle w:val="a8"/>
            <w:noProof/>
          </w:rPr>
          <w:t>8.1</w:t>
        </w:r>
        <w:r w:rsidRPr="005C2F77">
          <w:rPr>
            <w:rStyle w:val="a8"/>
            <w:rFonts w:hint="eastAsia"/>
            <w:noProof/>
          </w:rPr>
          <w:t>期末基金资产组合情况</w:t>
        </w:r>
        <w:r>
          <w:rPr>
            <w:noProof/>
            <w:webHidden/>
          </w:rPr>
          <w:tab/>
        </w:r>
        <w:r>
          <w:rPr>
            <w:noProof/>
            <w:webHidden/>
          </w:rPr>
          <w:fldChar w:fldCharType="begin"/>
        </w:r>
        <w:r>
          <w:rPr>
            <w:noProof/>
            <w:webHidden/>
          </w:rPr>
          <w:instrText xml:space="preserve"> PAGEREF _Toc509761006 \h </w:instrText>
        </w:r>
        <w:r>
          <w:rPr>
            <w:noProof/>
            <w:webHidden/>
          </w:rPr>
        </w:r>
        <w:r>
          <w:rPr>
            <w:noProof/>
            <w:webHidden/>
          </w:rPr>
          <w:fldChar w:fldCharType="separate"/>
        </w:r>
        <w:r>
          <w:rPr>
            <w:noProof/>
            <w:webHidden/>
          </w:rPr>
          <w:t>45</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7" w:history="1">
        <w:r w:rsidRPr="005C2F77">
          <w:rPr>
            <w:rStyle w:val="a8"/>
            <w:noProof/>
          </w:rPr>
          <w:t>8.2</w:t>
        </w:r>
        <w:r w:rsidRPr="005C2F77">
          <w:rPr>
            <w:rStyle w:val="a8"/>
            <w:rFonts w:hint="eastAsia"/>
            <w:noProof/>
          </w:rPr>
          <w:t>债券回购融资情况</w:t>
        </w:r>
        <w:r>
          <w:rPr>
            <w:noProof/>
            <w:webHidden/>
          </w:rPr>
          <w:tab/>
        </w:r>
        <w:r>
          <w:rPr>
            <w:noProof/>
            <w:webHidden/>
          </w:rPr>
          <w:fldChar w:fldCharType="begin"/>
        </w:r>
        <w:r>
          <w:rPr>
            <w:noProof/>
            <w:webHidden/>
          </w:rPr>
          <w:instrText xml:space="preserve"> PAGEREF _Toc509761007 \h </w:instrText>
        </w:r>
        <w:r>
          <w:rPr>
            <w:noProof/>
            <w:webHidden/>
          </w:rPr>
        </w:r>
        <w:r>
          <w:rPr>
            <w:noProof/>
            <w:webHidden/>
          </w:rPr>
          <w:fldChar w:fldCharType="separate"/>
        </w:r>
        <w:r>
          <w:rPr>
            <w:noProof/>
            <w:webHidden/>
          </w:rPr>
          <w:t>46</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8" w:history="1">
        <w:r w:rsidRPr="005C2F77">
          <w:rPr>
            <w:rStyle w:val="a8"/>
            <w:noProof/>
          </w:rPr>
          <w:t>8.4</w:t>
        </w:r>
        <w:r w:rsidRPr="005C2F77">
          <w:rPr>
            <w:rStyle w:val="a8"/>
            <w:rFonts w:hint="eastAsia"/>
            <w:noProof/>
          </w:rPr>
          <w:t>报告期内投资组合平均剩余存续期超过</w:t>
        </w:r>
        <w:r w:rsidRPr="005C2F77">
          <w:rPr>
            <w:rStyle w:val="a8"/>
            <w:noProof/>
          </w:rPr>
          <w:t>240</w:t>
        </w:r>
        <w:r w:rsidRPr="005C2F77">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_Toc509761008 \h </w:instrText>
        </w:r>
        <w:r>
          <w:rPr>
            <w:noProof/>
            <w:webHidden/>
          </w:rPr>
        </w:r>
        <w:r>
          <w:rPr>
            <w:noProof/>
            <w:webHidden/>
          </w:rPr>
          <w:fldChar w:fldCharType="separate"/>
        </w:r>
        <w:r>
          <w:rPr>
            <w:noProof/>
            <w:webHidden/>
          </w:rPr>
          <w:t>47</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09" w:history="1">
        <w:r w:rsidRPr="005C2F77">
          <w:rPr>
            <w:rStyle w:val="a8"/>
            <w:noProof/>
          </w:rPr>
          <w:t>8.5</w:t>
        </w:r>
        <w:r w:rsidRPr="005C2F77">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_Toc509761009 \h </w:instrText>
        </w:r>
        <w:r>
          <w:rPr>
            <w:noProof/>
            <w:webHidden/>
          </w:rPr>
        </w:r>
        <w:r>
          <w:rPr>
            <w:noProof/>
            <w:webHidden/>
          </w:rPr>
          <w:fldChar w:fldCharType="separate"/>
        </w:r>
        <w:r>
          <w:rPr>
            <w:noProof/>
            <w:webHidden/>
          </w:rPr>
          <w:t>47</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0" w:history="1">
        <w:r w:rsidRPr="005C2F77">
          <w:rPr>
            <w:rStyle w:val="a8"/>
            <w:noProof/>
          </w:rPr>
          <w:t>8.6</w:t>
        </w:r>
        <w:r w:rsidRPr="005C2F77">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_Toc509761010 \h </w:instrText>
        </w:r>
        <w:r>
          <w:rPr>
            <w:noProof/>
            <w:webHidden/>
          </w:rPr>
        </w:r>
        <w:r>
          <w:rPr>
            <w:noProof/>
            <w:webHidden/>
          </w:rPr>
          <w:fldChar w:fldCharType="separate"/>
        </w:r>
        <w:r>
          <w:rPr>
            <w:noProof/>
            <w:webHidden/>
          </w:rPr>
          <w:t>48</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1" w:history="1">
        <w:r w:rsidRPr="005C2F77">
          <w:rPr>
            <w:rStyle w:val="a8"/>
            <w:noProof/>
          </w:rPr>
          <w:t>8.7“</w:t>
        </w:r>
        <w:r w:rsidRPr="005C2F77">
          <w:rPr>
            <w:rStyle w:val="a8"/>
            <w:rFonts w:hint="eastAsia"/>
            <w:noProof/>
          </w:rPr>
          <w:t>影子定价</w:t>
        </w:r>
        <w:r w:rsidRPr="005C2F77">
          <w:rPr>
            <w:rStyle w:val="a8"/>
            <w:noProof/>
          </w:rPr>
          <w:t>”</w:t>
        </w:r>
        <w:r w:rsidRPr="005C2F77">
          <w:rPr>
            <w:rStyle w:val="a8"/>
            <w:rFonts w:hint="eastAsia"/>
            <w:noProof/>
          </w:rPr>
          <w:t>与</w:t>
        </w:r>
        <w:r w:rsidRPr="005C2F77">
          <w:rPr>
            <w:rStyle w:val="a8"/>
            <w:noProof/>
          </w:rPr>
          <w:t>“</w:t>
        </w:r>
        <w:r w:rsidRPr="005C2F77">
          <w:rPr>
            <w:rStyle w:val="a8"/>
            <w:rFonts w:hint="eastAsia"/>
            <w:noProof/>
          </w:rPr>
          <w:t>摊余成本法</w:t>
        </w:r>
        <w:r w:rsidRPr="005C2F77">
          <w:rPr>
            <w:rStyle w:val="a8"/>
            <w:noProof/>
          </w:rPr>
          <w:t>”</w:t>
        </w:r>
        <w:r w:rsidRPr="005C2F77">
          <w:rPr>
            <w:rStyle w:val="a8"/>
            <w:rFonts w:hint="eastAsia"/>
            <w:noProof/>
          </w:rPr>
          <w:t>确定的基金资产净值的偏离</w:t>
        </w:r>
        <w:r>
          <w:rPr>
            <w:noProof/>
            <w:webHidden/>
          </w:rPr>
          <w:tab/>
        </w:r>
        <w:r>
          <w:rPr>
            <w:noProof/>
            <w:webHidden/>
          </w:rPr>
          <w:fldChar w:fldCharType="begin"/>
        </w:r>
        <w:r>
          <w:rPr>
            <w:noProof/>
            <w:webHidden/>
          </w:rPr>
          <w:instrText xml:space="preserve"> PAGEREF _Toc509761011 \h </w:instrText>
        </w:r>
        <w:r>
          <w:rPr>
            <w:noProof/>
            <w:webHidden/>
          </w:rPr>
        </w:r>
        <w:r>
          <w:rPr>
            <w:noProof/>
            <w:webHidden/>
          </w:rPr>
          <w:fldChar w:fldCharType="separate"/>
        </w:r>
        <w:r>
          <w:rPr>
            <w:noProof/>
            <w:webHidden/>
          </w:rPr>
          <w:t>48</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2" w:history="1">
        <w:r w:rsidRPr="005C2F77">
          <w:rPr>
            <w:rStyle w:val="a8"/>
            <w:noProof/>
          </w:rPr>
          <w:t>8.8</w:t>
        </w:r>
        <w:r w:rsidRPr="005C2F77">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_Toc509761012 \h </w:instrText>
        </w:r>
        <w:r>
          <w:rPr>
            <w:noProof/>
            <w:webHidden/>
          </w:rPr>
        </w:r>
        <w:r>
          <w:rPr>
            <w:noProof/>
            <w:webHidden/>
          </w:rPr>
          <w:fldChar w:fldCharType="separate"/>
        </w:r>
        <w:r>
          <w:rPr>
            <w:noProof/>
            <w:webHidden/>
          </w:rPr>
          <w:t>49</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3" w:history="1">
        <w:r w:rsidRPr="005C2F77">
          <w:rPr>
            <w:rStyle w:val="a8"/>
            <w:noProof/>
          </w:rPr>
          <w:t xml:space="preserve">8.9 </w:t>
        </w:r>
        <w:r w:rsidRPr="005C2F77">
          <w:rPr>
            <w:rStyle w:val="a8"/>
            <w:rFonts w:hint="eastAsia"/>
            <w:noProof/>
          </w:rPr>
          <w:t>投资组合报告附注</w:t>
        </w:r>
        <w:r>
          <w:rPr>
            <w:noProof/>
            <w:webHidden/>
          </w:rPr>
          <w:tab/>
        </w:r>
        <w:r>
          <w:rPr>
            <w:noProof/>
            <w:webHidden/>
          </w:rPr>
          <w:fldChar w:fldCharType="begin"/>
        </w:r>
        <w:r>
          <w:rPr>
            <w:noProof/>
            <w:webHidden/>
          </w:rPr>
          <w:instrText xml:space="preserve"> PAGEREF _Toc509761013 \h </w:instrText>
        </w:r>
        <w:r>
          <w:rPr>
            <w:noProof/>
            <w:webHidden/>
          </w:rPr>
        </w:r>
        <w:r>
          <w:rPr>
            <w:noProof/>
            <w:webHidden/>
          </w:rPr>
          <w:fldChar w:fldCharType="separate"/>
        </w:r>
        <w:r>
          <w:rPr>
            <w:noProof/>
            <w:webHidden/>
          </w:rPr>
          <w:t>49</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14" w:history="1">
        <w:r w:rsidRPr="005C2F77">
          <w:rPr>
            <w:rStyle w:val="a8"/>
            <w:b/>
            <w:bCs/>
            <w:noProof/>
          </w:rPr>
          <w:t xml:space="preserve">§9  </w:t>
        </w:r>
        <w:r w:rsidRPr="005C2F77">
          <w:rPr>
            <w:rStyle w:val="a8"/>
            <w:rFonts w:hint="eastAsia"/>
            <w:b/>
            <w:bCs/>
            <w:noProof/>
          </w:rPr>
          <w:t>基金份额持有人信息</w:t>
        </w:r>
        <w:r>
          <w:rPr>
            <w:noProof/>
            <w:webHidden/>
          </w:rPr>
          <w:tab/>
        </w:r>
        <w:r>
          <w:rPr>
            <w:noProof/>
            <w:webHidden/>
          </w:rPr>
          <w:fldChar w:fldCharType="begin"/>
        </w:r>
        <w:r>
          <w:rPr>
            <w:noProof/>
            <w:webHidden/>
          </w:rPr>
          <w:instrText xml:space="preserve"> PAGEREF _Toc509761014 \h </w:instrText>
        </w:r>
        <w:r>
          <w:rPr>
            <w:noProof/>
            <w:webHidden/>
          </w:rPr>
        </w:r>
        <w:r>
          <w:rPr>
            <w:noProof/>
            <w:webHidden/>
          </w:rPr>
          <w:fldChar w:fldCharType="separate"/>
        </w:r>
        <w:r>
          <w:rPr>
            <w:noProof/>
            <w:webHidden/>
          </w:rPr>
          <w:t>49</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1015" w:history="1">
        <w:r w:rsidRPr="005C2F77">
          <w:rPr>
            <w:rStyle w:val="a8"/>
            <w:noProof/>
          </w:rPr>
          <w:t xml:space="preserve">9.1 </w:t>
        </w:r>
        <w:r w:rsidRPr="005C2F77">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_Toc509761015 \h </w:instrText>
        </w:r>
        <w:r>
          <w:rPr>
            <w:noProof/>
            <w:webHidden/>
          </w:rPr>
        </w:r>
        <w:r>
          <w:rPr>
            <w:noProof/>
            <w:webHidden/>
          </w:rPr>
          <w:fldChar w:fldCharType="separate"/>
        </w:r>
        <w:r>
          <w:rPr>
            <w:noProof/>
            <w:webHidden/>
          </w:rPr>
          <w:t>49</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6" w:history="1">
        <w:r w:rsidRPr="005C2F77">
          <w:rPr>
            <w:rStyle w:val="a8"/>
            <w:noProof/>
          </w:rPr>
          <w:t>9.2</w:t>
        </w:r>
        <w:r w:rsidRPr="005C2F77">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_Toc509761016 \h </w:instrText>
        </w:r>
        <w:r>
          <w:rPr>
            <w:noProof/>
            <w:webHidden/>
          </w:rPr>
        </w:r>
        <w:r>
          <w:rPr>
            <w:noProof/>
            <w:webHidden/>
          </w:rPr>
          <w:fldChar w:fldCharType="separate"/>
        </w:r>
        <w:r>
          <w:rPr>
            <w:noProof/>
            <w:webHidden/>
          </w:rPr>
          <w:t>50</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17" w:history="1">
        <w:r w:rsidRPr="005C2F77">
          <w:rPr>
            <w:rStyle w:val="a8"/>
            <w:noProof/>
          </w:rPr>
          <w:t>9.3</w:t>
        </w:r>
        <w:r w:rsidRPr="005C2F77">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_Toc509761017 \h </w:instrText>
        </w:r>
        <w:r>
          <w:rPr>
            <w:noProof/>
            <w:webHidden/>
          </w:rPr>
        </w:r>
        <w:r>
          <w:rPr>
            <w:noProof/>
            <w:webHidden/>
          </w:rPr>
          <w:fldChar w:fldCharType="separate"/>
        </w:r>
        <w:r>
          <w:rPr>
            <w:noProof/>
            <w:webHidden/>
          </w:rPr>
          <w:t>50</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18" w:history="1">
        <w:r w:rsidRPr="005C2F77">
          <w:rPr>
            <w:rStyle w:val="a8"/>
            <w:b/>
            <w:bCs/>
            <w:noProof/>
          </w:rPr>
          <w:t xml:space="preserve">§10  </w:t>
        </w:r>
        <w:r w:rsidRPr="005C2F77">
          <w:rPr>
            <w:rStyle w:val="a8"/>
            <w:rFonts w:hint="eastAsia"/>
            <w:b/>
            <w:bCs/>
            <w:noProof/>
          </w:rPr>
          <w:t>开放式基金份额变动</w:t>
        </w:r>
        <w:r>
          <w:rPr>
            <w:noProof/>
            <w:webHidden/>
          </w:rPr>
          <w:tab/>
        </w:r>
        <w:r>
          <w:rPr>
            <w:noProof/>
            <w:webHidden/>
          </w:rPr>
          <w:fldChar w:fldCharType="begin"/>
        </w:r>
        <w:r>
          <w:rPr>
            <w:noProof/>
            <w:webHidden/>
          </w:rPr>
          <w:instrText xml:space="preserve"> PAGEREF _Toc509761018 \h </w:instrText>
        </w:r>
        <w:r>
          <w:rPr>
            <w:noProof/>
            <w:webHidden/>
          </w:rPr>
        </w:r>
        <w:r>
          <w:rPr>
            <w:noProof/>
            <w:webHidden/>
          </w:rPr>
          <w:fldChar w:fldCharType="separate"/>
        </w:r>
        <w:r>
          <w:rPr>
            <w:noProof/>
            <w:webHidden/>
          </w:rPr>
          <w:t>50</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19" w:history="1">
        <w:r w:rsidRPr="005C2F77">
          <w:rPr>
            <w:rStyle w:val="a8"/>
            <w:b/>
            <w:bCs/>
            <w:noProof/>
          </w:rPr>
          <w:t xml:space="preserve">§11  </w:t>
        </w:r>
        <w:r w:rsidRPr="005C2F77">
          <w:rPr>
            <w:rStyle w:val="a8"/>
            <w:rFonts w:hint="eastAsia"/>
            <w:b/>
            <w:bCs/>
            <w:noProof/>
          </w:rPr>
          <w:t>重大事件揭示</w:t>
        </w:r>
        <w:r>
          <w:rPr>
            <w:noProof/>
            <w:webHidden/>
          </w:rPr>
          <w:tab/>
        </w:r>
        <w:r>
          <w:rPr>
            <w:noProof/>
            <w:webHidden/>
          </w:rPr>
          <w:fldChar w:fldCharType="begin"/>
        </w:r>
        <w:r>
          <w:rPr>
            <w:noProof/>
            <w:webHidden/>
          </w:rPr>
          <w:instrText xml:space="preserve"> PAGEREF _Toc509761019 \h </w:instrText>
        </w:r>
        <w:r>
          <w:rPr>
            <w:noProof/>
            <w:webHidden/>
          </w:rPr>
        </w:r>
        <w:r>
          <w:rPr>
            <w:noProof/>
            <w:webHidden/>
          </w:rPr>
          <w:fldChar w:fldCharType="separate"/>
        </w:r>
        <w:r>
          <w:rPr>
            <w:noProof/>
            <w:webHidden/>
          </w:rPr>
          <w:t>51</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1020" w:history="1">
        <w:r w:rsidRPr="005C2F77">
          <w:rPr>
            <w:rStyle w:val="a8"/>
            <w:noProof/>
          </w:rPr>
          <w:t>11.1</w:t>
        </w:r>
        <w:r w:rsidRPr="005C2F77">
          <w:rPr>
            <w:rStyle w:val="a8"/>
            <w:rFonts w:hint="eastAsia"/>
            <w:noProof/>
          </w:rPr>
          <w:t>基金份额持有人大会决议</w:t>
        </w:r>
        <w:r>
          <w:rPr>
            <w:noProof/>
            <w:webHidden/>
          </w:rPr>
          <w:tab/>
        </w:r>
        <w:r>
          <w:rPr>
            <w:noProof/>
            <w:webHidden/>
          </w:rPr>
          <w:fldChar w:fldCharType="begin"/>
        </w:r>
        <w:r>
          <w:rPr>
            <w:noProof/>
            <w:webHidden/>
          </w:rPr>
          <w:instrText xml:space="preserve"> PAGEREF _Toc509761020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1" w:history="1">
        <w:r w:rsidRPr="005C2F77">
          <w:rPr>
            <w:rStyle w:val="a8"/>
            <w:noProof/>
          </w:rPr>
          <w:t>11.2</w:t>
        </w:r>
        <w:r w:rsidRPr="005C2F77">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_Toc509761021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2" w:history="1">
        <w:r w:rsidRPr="005C2F77">
          <w:rPr>
            <w:rStyle w:val="a8"/>
            <w:noProof/>
          </w:rPr>
          <w:t xml:space="preserve">11.3 </w:t>
        </w:r>
        <w:r w:rsidRPr="005C2F77">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_Toc509761022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3" w:history="1">
        <w:r w:rsidRPr="005C2F77">
          <w:rPr>
            <w:rStyle w:val="a8"/>
            <w:noProof/>
          </w:rPr>
          <w:t xml:space="preserve">11.4 </w:t>
        </w:r>
        <w:r w:rsidRPr="005C2F77">
          <w:rPr>
            <w:rStyle w:val="a8"/>
            <w:rFonts w:hint="eastAsia"/>
            <w:noProof/>
          </w:rPr>
          <w:t>基金投资策略的改变</w:t>
        </w:r>
        <w:r>
          <w:rPr>
            <w:noProof/>
            <w:webHidden/>
          </w:rPr>
          <w:tab/>
        </w:r>
        <w:r>
          <w:rPr>
            <w:noProof/>
            <w:webHidden/>
          </w:rPr>
          <w:fldChar w:fldCharType="begin"/>
        </w:r>
        <w:r>
          <w:rPr>
            <w:noProof/>
            <w:webHidden/>
          </w:rPr>
          <w:instrText xml:space="preserve"> PAGEREF _Toc509761023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4" w:history="1">
        <w:r w:rsidRPr="005C2F77">
          <w:rPr>
            <w:rStyle w:val="a8"/>
            <w:noProof/>
          </w:rPr>
          <w:t>11.5</w:t>
        </w:r>
        <w:r w:rsidRPr="005C2F77">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_Toc509761024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5" w:history="1">
        <w:r w:rsidRPr="005C2F77">
          <w:rPr>
            <w:rStyle w:val="a8"/>
            <w:noProof/>
          </w:rPr>
          <w:t xml:space="preserve">11.6 </w:t>
        </w:r>
        <w:r w:rsidRPr="005C2F77">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_Toc509761025 \h </w:instrText>
        </w:r>
        <w:r>
          <w:rPr>
            <w:noProof/>
            <w:webHidden/>
          </w:rPr>
        </w:r>
        <w:r>
          <w:rPr>
            <w:noProof/>
            <w:webHidden/>
          </w:rPr>
          <w:fldChar w:fldCharType="separate"/>
        </w:r>
        <w:r>
          <w:rPr>
            <w:noProof/>
            <w:webHidden/>
          </w:rPr>
          <w:t>51</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6" w:history="1">
        <w:r w:rsidRPr="005C2F77">
          <w:rPr>
            <w:rStyle w:val="a8"/>
            <w:noProof/>
          </w:rPr>
          <w:t xml:space="preserve">11.7 </w:t>
        </w:r>
        <w:r w:rsidRPr="005C2F77">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_Toc509761026 \h </w:instrText>
        </w:r>
        <w:r>
          <w:rPr>
            <w:noProof/>
            <w:webHidden/>
          </w:rPr>
        </w:r>
        <w:r>
          <w:rPr>
            <w:noProof/>
            <w:webHidden/>
          </w:rPr>
          <w:fldChar w:fldCharType="separate"/>
        </w:r>
        <w:r>
          <w:rPr>
            <w:noProof/>
            <w:webHidden/>
          </w:rPr>
          <w:t>52</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7" w:history="1">
        <w:r w:rsidRPr="005C2F77">
          <w:rPr>
            <w:rStyle w:val="a8"/>
            <w:noProof/>
          </w:rPr>
          <w:t>11.8</w:t>
        </w:r>
        <w:r w:rsidRPr="005C2F77">
          <w:rPr>
            <w:rStyle w:val="a8"/>
            <w:rFonts w:hint="eastAsia"/>
            <w:noProof/>
          </w:rPr>
          <w:t>偏离度绝对值超过</w:t>
        </w:r>
        <w:r w:rsidRPr="005C2F77">
          <w:rPr>
            <w:rStyle w:val="a8"/>
            <w:noProof/>
          </w:rPr>
          <w:t>0.5%</w:t>
        </w:r>
        <w:r w:rsidRPr="005C2F77">
          <w:rPr>
            <w:rStyle w:val="a8"/>
            <w:rFonts w:hint="eastAsia"/>
            <w:noProof/>
          </w:rPr>
          <w:t>的情况</w:t>
        </w:r>
        <w:r>
          <w:rPr>
            <w:noProof/>
            <w:webHidden/>
          </w:rPr>
          <w:tab/>
        </w:r>
        <w:r>
          <w:rPr>
            <w:noProof/>
            <w:webHidden/>
          </w:rPr>
          <w:fldChar w:fldCharType="begin"/>
        </w:r>
        <w:r>
          <w:rPr>
            <w:noProof/>
            <w:webHidden/>
          </w:rPr>
          <w:instrText xml:space="preserve"> PAGEREF _Toc509761027 \h </w:instrText>
        </w:r>
        <w:r>
          <w:rPr>
            <w:noProof/>
            <w:webHidden/>
          </w:rPr>
        </w:r>
        <w:r>
          <w:rPr>
            <w:noProof/>
            <w:webHidden/>
          </w:rPr>
          <w:fldChar w:fldCharType="separate"/>
        </w:r>
        <w:r>
          <w:rPr>
            <w:noProof/>
            <w:webHidden/>
          </w:rPr>
          <w:t>52</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28" w:history="1">
        <w:r w:rsidRPr="005C2F77">
          <w:rPr>
            <w:rStyle w:val="a8"/>
            <w:noProof/>
          </w:rPr>
          <w:t>11.9</w:t>
        </w:r>
        <w:r w:rsidRPr="005C2F77">
          <w:rPr>
            <w:rStyle w:val="a8"/>
            <w:rFonts w:hint="eastAsia"/>
            <w:noProof/>
          </w:rPr>
          <w:t>其他重大事件</w:t>
        </w:r>
        <w:r>
          <w:rPr>
            <w:noProof/>
            <w:webHidden/>
          </w:rPr>
          <w:tab/>
        </w:r>
        <w:r>
          <w:rPr>
            <w:noProof/>
            <w:webHidden/>
          </w:rPr>
          <w:fldChar w:fldCharType="begin"/>
        </w:r>
        <w:r>
          <w:rPr>
            <w:noProof/>
            <w:webHidden/>
          </w:rPr>
          <w:instrText xml:space="preserve"> PAGEREF _Toc509761028 \h </w:instrText>
        </w:r>
        <w:r>
          <w:rPr>
            <w:noProof/>
            <w:webHidden/>
          </w:rPr>
        </w:r>
        <w:r>
          <w:rPr>
            <w:noProof/>
            <w:webHidden/>
          </w:rPr>
          <w:fldChar w:fldCharType="separate"/>
        </w:r>
        <w:r>
          <w:rPr>
            <w:noProof/>
            <w:webHidden/>
          </w:rPr>
          <w:t>53</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29" w:history="1">
        <w:r w:rsidRPr="005C2F77">
          <w:rPr>
            <w:rStyle w:val="a8"/>
            <w:b/>
            <w:bCs/>
            <w:noProof/>
          </w:rPr>
          <w:t xml:space="preserve">12  </w:t>
        </w:r>
        <w:r w:rsidRPr="005C2F77">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_Toc509761029 \h </w:instrText>
        </w:r>
        <w:r>
          <w:rPr>
            <w:noProof/>
            <w:webHidden/>
          </w:rPr>
        </w:r>
        <w:r>
          <w:rPr>
            <w:noProof/>
            <w:webHidden/>
          </w:rPr>
          <w:fldChar w:fldCharType="separate"/>
        </w:r>
        <w:r>
          <w:rPr>
            <w:noProof/>
            <w:webHidden/>
          </w:rPr>
          <w:t>53</w:t>
        </w:r>
        <w:r>
          <w:rPr>
            <w:noProof/>
            <w:webHidden/>
          </w:rPr>
          <w:fldChar w:fldCharType="end"/>
        </w:r>
      </w:hyperlink>
    </w:p>
    <w:p w:rsidR="00124C6F" w:rsidRDefault="00124C6F">
      <w:pPr>
        <w:pStyle w:val="11"/>
        <w:rPr>
          <w:rFonts w:asciiTheme="minorHAnsi" w:eastAsiaTheme="minorEastAsia" w:hAnsiTheme="minorHAnsi" w:cstheme="minorBidi"/>
          <w:noProof/>
          <w:szCs w:val="22"/>
        </w:rPr>
      </w:pPr>
      <w:hyperlink w:anchor="_Toc509761030" w:history="1">
        <w:r w:rsidRPr="005C2F77">
          <w:rPr>
            <w:rStyle w:val="a8"/>
            <w:b/>
            <w:bCs/>
            <w:noProof/>
          </w:rPr>
          <w:t xml:space="preserve">§13  </w:t>
        </w:r>
        <w:r w:rsidRPr="005C2F77">
          <w:rPr>
            <w:rStyle w:val="a8"/>
            <w:rFonts w:hint="eastAsia"/>
            <w:b/>
            <w:bCs/>
            <w:noProof/>
          </w:rPr>
          <w:t>备查文件目录</w:t>
        </w:r>
        <w:r>
          <w:rPr>
            <w:noProof/>
            <w:webHidden/>
          </w:rPr>
          <w:tab/>
        </w:r>
        <w:r>
          <w:rPr>
            <w:noProof/>
            <w:webHidden/>
          </w:rPr>
          <w:fldChar w:fldCharType="begin"/>
        </w:r>
        <w:r>
          <w:rPr>
            <w:noProof/>
            <w:webHidden/>
          </w:rPr>
          <w:instrText xml:space="preserve"> PAGEREF _Toc509761030 \h </w:instrText>
        </w:r>
        <w:r>
          <w:rPr>
            <w:noProof/>
            <w:webHidden/>
          </w:rPr>
        </w:r>
        <w:r>
          <w:rPr>
            <w:noProof/>
            <w:webHidden/>
          </w:rPr>
          <w:fldChar w:fldCharType="separate"/>
        </w:r>
        <w:r>
          <w:rPr>
            <w:noProof/>
            <w:webHidden/>
          </w:rPr>
          <w:t>54</w:t>
        </w:r>
        <w:r>
          <w:rPr>
            <w:noProof/>
            <w:webHidden/>
          </w:rPr>
          <w:fldChar w:fldCharType="end"/>
        </w:r>
      </w:hyperlink>
    </w:p>
    <w:p w:rsidR="00124C6F" w:rsidRDefault="00124C6F" w:rsidP="00124C6F">
      <w:pPr>
        <w:pStyle w:val="22"/>
        <w:ind w:left="420"/>
        <w:rPr>
          <w:rFonts w:asciiTheme="minorHAnsi" w:eastAsiaTheme="minorEastAsia" w:hAnsiTheme="minorHAnsi" w:cstheme="minorBidi"/>
          <w:noProof/>
          <w:kern w:val="2"/>
          <w:szCs w:val="22"/>
        </w:rPr>
      </w:pPr>
      <w:hyperlink w:anchor="_Toc509761031" w:history="1">
        <w:r w:rsidRPr="005C2F77">
          <w:rPr>
            <w:rStyle w:val="a8"/>
            <w:noProof/>
          </w:rPr>
          <w:t>13.1</w:t>
        </w:r>
        <w:r w:rsidRPr="005C2F77">
          <w:rPr>
            <w:rStyle w:val="a8"/>
            <w:rFonts w:hint="eastAsia"/>
            <w:noProof/>
          </w:rPr>
          <w:t>备查文件目录</w:t>
        </w:r>
        <w:r>
          <w:rPr>
            <w:noProof/>
            <w:webHidden/>
          </w:rPr>
          <w:tab/>
        </w:r>
        <w:r>
          <w:rPr>
            <w:noProof/>
            <w:webHidden/>
          </w:rPr>
          <w:fldChar w:fldCharType="begin"/>
        </w:r>
        <w:r>
          <w:rPr>
            <w:noProof/>
            <w:webHidden/>
          </w:rPr>
          <w:instrText xml:space="preserve"> PAGEREF _Toc509761031 \h </w:instrText>
        </w:r>
        <w:r>
          <w:rPr>
            <w:noProof/>
            <w:webHidden/>
          </w:rPr>
        </w:r>
        <w:r>
          <w:rPr>
            <w:noProof/>
            <w:webHidden/>
          </w:rPr>
          <w:fldChar w:fldCharType="separate"/>
        </w:r>
        <w:r>
          <w:rPr>
            <w:noProof/>
            <w:webHidden/>
          </w:rPr>
          <w:t>54</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32" w:history="1">
        <w:r w:rsidRPr="005C2F77">
          <w:rPr>
            <w:rStyle w:val="a8"/>
            <w:noProof/>
          </w:rPr>
          <w:t>13.2</w:t>
        </w:r>
        <w:r w:rsidRPr="005C2F77">
          <w:rPr>
            <w:rStyle w:val="a8"/>
            <w:rFonts w:hint="eastAsia"/>
            <w:noProof/>
          </w:rPr>
          <w:t>存放地点</w:t>
        </w:r>
        <w:r>
          <w:rPr>
            <w:noProof/>
            <w:webHidden/>
          </w:rPr>
          <w:tab/>
        </w:r>
        <w:r>
          <w:rPr>
            <w:noProof/>
            <w:webHidden/>
          </w:rPr>
          <w:fldChar w:fldCharType="begin"/>
        </w:r>
        <w:r>
          <w:rPr>
            <w:noProof/>
            <w:webHidden/>
          </w:rPr>
          <w:instrText xml:space="preserve"> PAGEREF _Toc509761032 \h </w:instrText>
        </w:r>
        <w:r>
          <w:rPr>
            <w:noProof/>
            <w:webHidden/>
          </w:rPr>
        </w:r>
        <w:r>
          <w:rPr>
            <w:noProof/>
            <w:webHidden/>
          </w:rPr>
          <w:fldChar w:fldCharType="separate"/>
        </w:r>
        <w:r>
          <w:rPr>
            <w:noProof/>
            <w:webHidden/>
          </w:rPr>
          <w:t>54</w:t>
        </w:r>
        <w:r>
          <w:rPr>
            <w:noProof/>
            <w:webHidden/>
          </w:rPr>
          <w:fldChar w:fldCharType="end"/>
        </w:r>
      </w:hyperlink>
    </w:p>
    <w:p w:rsidR="00124C6F" w:rsidRDefault="00124C6F">
      <w:pPr>
        <w:pStyle w:val="22"/>
        <w:ind w:left="420"/>
        <w:rPr>
          <w:rFonts w:asciiTheme="minorHAnsi" w:eastAsiaTheme="minorEastAsia" w:hAnsiTheme="minorHAnsi" w:cstheme="minorBidi"/>
          <w:noProof/>
          <w:kern w:val="2"/>
          <w:szCs w:val="22"/>
        </w:rPr>
      </w:pPr>
      <w:hyperlink w:anchor="_Toc509761033" w:history="1">
        <w:r w:rsidRPr="005C2F77">
          <w:rPr>
            <w:rStyle w:val="a8"/>
            <w:noProof/>
          </w:rPr>
          <w:t>13.3</w:t>
        </w:r>
        <w:r w:rsidRPr="005C2F77">
          <w:rPr>
            <w:rStyle w:val="a8"/>
            <w:rFonts w:hint="eastAsia"/>
            <w:noProof/>
          </w:rPr>
          <w:t>查阅方式</w:t>
        </w:r>
        <w:r>
          <w:rPr>
            <w:noProof/>
            <w:webHidden/>
          </w:rPr>
          <w:tab/>
        </w:r>
        <w:r>
          <w:rPr>
            <w:noProof/>
            <w:webHidden/>
          </w:rPr>
          <w:fldChar w:fldCharType="begin"/>
        </w:r>
        <w:r>
          <w:rPr>
            <w:noProof/>
            <w:webHidden/>
          </w:rPr>
          <w:instrText xml:space="preserve"> PAGEREF _Toc509761033 \h </w:instrText>
        </w:r>
        <w:r>
          <w:rPr>
            <w:noProof/>
            <w:webHidden/>
          </w:rPr>
        </w:r>
        <w:r>
          <w:rPr>
            <w:noProof/>
            <w:webHidden/>
          </w:rPr>
          <w:fldChar w:fldCharType="separate"/>
        </w:r>
        <w:r>
          <w:rPr>
            <w:noProof/>
            <w:webHidden/>
          </w:rPr>
          <w:t>54</w:t>
        </w:r>
        <w:r>
          <w:rPr>
            <w:noProof/>
            <w:webHidden/>
          </w:rPr>
          <w:fldChar w:fldCharType="end"/>
        </w:r>
      </w:hyperlink>
    </w:p>
    <w:p w:rsidR="00223DFB" w:rsidRPr="00D0515B" w:rsidRDefault="000D1BA5"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B15E11">
        <w:rPr>
          <w:rFonts w:asciiTheme="minorEastAsia" w:eastAsiaTheme="minorEastAsia" w:hAnsiTheme="minorEastAsia"/>
          <w:color w:val="000000"/>
          <w:kern w:val="0"/>
          <w:szCs w:val="21"/>
        </w:rPr>
        <w:fldChar w:fldCharType="end"/>
      </w: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D0515B"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r w:rsidRPr="00D0515B">
        <w:rPr>
          <w:rFonts w:asciiTheme="minorEastAsia" w:eastAsiaTheme="minorEastAsia" w:hAnsiTheme="minorEastAsia" w:hint="eastAsia"/>
          <w:sz w:val="21"/>
          <w:szCs w:val="21"/>
        </w:rPr>
        <w:br w:type="page"/>
      </w:r>
      <w:bookmarkStart w:id="3" w:name="_Toc509760971"/>
      <w:r w:rsidRPr="00293518">
        <w:rPr>
          <w:rFonts w:hint="eastAsia"/>
          <w:b/>
          <w:bCs/>
          <w:szCs w:val="24"/>
          <w:lang w:val="en-US"/>
        </w:rPr>
        <w:t>§</w:t>
      </w:r>
      <w:r w:rsidRPr="00293518">
        <w:rPr>
          <w:rFonts w:hint="eastAsia"/>
          <w:b/>
          <w:bCs/>
          <w:szCs w:val="24"/>
          <w:lang w:val="en-US"/>
        </w:rPr>
        <w:t xml:space="preserve">2  </w:t>
      </w:r>
      <w:r w:rsidRPr="00293518">
        <w:rPr>
          <w:rFonts w:hint="eastAsia"/>
          <w:b/>
          <w:bCs/>
          <w:szCs w:val="24"/>
          <w:lang w:val="en-US"/>
        </w:rPr>
        <w:t>基金简介</w:t>
      </w:r>
      <w:bookmarkEnd w:id="3"/>
    </w:p>
    <w:p w:rsidR="00FB3BC2" w:rsidRPr="00FB3BC2" w:rsidRDefault="00FB3BC2" w:rsidP="00FB3BC2"/>
    <w:p w:rsidR="00223DFB" w:rsidRPr="00293518" w:rsidRDefault="00223DFB" w:rsidP="00293518">
      <w:pPr>
        <w:pStyle w:val="20"/>
        <w:spacing w:before="29" w:after="0" w:line="288" w:lineRule="auto"/>
        <w:rPr>
          <w:rFonts w:ascii="Times New Roman" w:hAnsi="Times New Roman" w:cs="Times New Roman"/>
          <w:kern w:val="0"/>
          <w:szCs w:val="24"/>
        </w:rPr>
      </w:pPr>
      <w:bookmarkStart w:id="4" w:name="_Toc509760972"/>
      <w:r w:rsidRPr="00293518">
        <w:rPr>
          <w:rFonts w:ascii="Times New Roman" w:hAnsi="Times New Roman" w:cs="Times New Roman" w:hint="eastAsia"/>
          <w:kern w:val="0"/>
          <w:szCs w:val="24"/>
        </w:rPr>
        <w:t>2.1</w:t>
      </w:r>
      <w:r w:rsidR="009D7C40" w:rsidRPr="00293518">
        <w:rPr>
          <w:rFonts w:ascii="Times New Roman" w:hAnsi="Times New Roman" w:cs="Times New Roman" w:hint="eastAsia"/>
          <w:kern w:val="0"/>
          <w:szCs w:val="24"/>
        </w:rPr>
        <w:t xml:space="preserve"> </w:t>
      </w:r>
      <w:r w:rsidRPr="00293518">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交银施罗德理财</w:t>
            </w:r>
            <w:r w:rsidRPr="004563BB">
              <w:rPr>
                <w:rFonts w:hint="eastAsia"/>
                <w:sz w:val="24"/>
              </w:rPr>
              <w:t>60</w:t>
            </w:r>
            <w:r w:rsidRPr="004563BB">
              <w:rPr>
                <w:rFonts w:hint="eastAsia"/>
                <w:sz w:val="24"/>
              </w:rPr>
              <w:t>天债券型证券投资基金</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563BB" w:rsidRDefault="00223DFB" w:rsidP="008A0836">
            <w:pPr>
              <w:spacing w:before="29" w:line="288" w:lineRule="auto"/>
              <w:jc w:val="center"/>
              <w:rPr>
                <w:sz w:val="24"/>
              </w:rPr>
            </w:pPr>
            <w:r w:rsidRPr="004563BB">
              <w:rPr>
                <w:rFonts w:hint="eastAsia"/>
                <w:sz w:val="24"/>
              </w:rPr>
              <w:t>交银理财</w:t>
            </w:r>
            <w:r w:rsidRPr="004563BB">
              <w:rPr>
                <w:rFonts w:hint="eastAsia"/>
                <w:sz w:val="24"/>
              </w:rPr>
              <w:t>60</w:t>
            </w:r>
            <w:r w:rsidRPr="004563BB">
              <w:rPr>
                <w:rFonts w:hint="eastAsia"/>
                <w:sz w:val="24"/>
              </w:rPr>
              <w:t>天债券</w:t>
            </w:r>
          </w:p>
        </w:tc>
      </w:tr>
      <w:tr w:rsidR="002C233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293518" w:rsidRDefault="00223DFB" w:rsidP="0000174C">
            <w:pPr>
              <w:spacing w:before="29" w:line="288" w:lineRule="auto"/>
              <w:rPr>
                <w:sz w:val="24"/>
              </w:rPr>
            </w:pPr>
            <w:r w:rsidRPr="00293518">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143EB4" w:rsidRDefault="00223DFB" w:rsidP="008A0836">
            <w:pPr>
              <w:spacing w:before="29" w:line="288" w:lineRule="auto"/>
              <w:jc w:val="center"/>
              <w:rPr>
                <w:sz w:val="24"/>
              </w:rPr>
            </w:pPr>
            <w:r w:rsidRPr="00143EB4">
              <w:rPr>
                <w:rFonts w:hint="eastAsia"/>
                <w:sz w:val="24"/>
              </w:rPr>
              <w:t>519721</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契约型开放式</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sz w:val="24"/>
              </w:rPr>
              <w:t>2013</w:t>
            </w:r>
            <w:r w:rsidRPr="00143EB4">
              <w:rPr>
                <w:sz w:val="24"/>
              </w:rPr>
              <w:t>年</w:t>
            </w:r>
            <w:r w:rsidRPr="00143EB4">
              <w:rPr>
                <w:sz w:val="24"/>
              </w:rPr>
              <w:t>3</w:t>
            </w:r>
            <w:r w:rsidRPr="00143EB4">
              <w:rPr>
                <w:sz w:val="24"/>
              </w:rPr>
              <w:t>月</w:t>
            </w:r>
            <w:r w:rsidRPr="00143EB4">
              <w:rPr>
                <w:sz w:val="24"/>
              </w:rPr>
              <w:t>13</w:t>
            </w:r>
            <w:r w:rsidRPr="00143EB4">
              <w:rPr>
                <w:sz w:val="24"/>
              </w:rPr>
              <w:t>日</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交银施罗德基金管理有限公司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中国建设银行股份有限公司</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4,956,910,670.56</w:t>
            </w:r>
            <w:r w:rsidRPr="00143EB4">
              <w:rPr>
                <w:rFonts w:hint="eastAsia"/>
                <w:sz w:val="24"/>
              </w:rPr>
              <w:t>份</w:t>
            </w:r>
          </w:p>
        </w:tc>
      </w:tr>
      <w:tr w:rsidR="0003080F" w:rsidRPr="00D0515B"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不定期</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交银理财</w:t>
            </w:r>
            <w:r w:rsidRPr="00143EB4">
              <w:rPr>
                <w:rFonts w:hint="eastAsia"/>
                <w:sz w:val="24"/>
              </w:rPr>
              <w:t>60</w:t>
            </w:r>
            <w:r w:rsidRPr="00143EB4">
              <w:rPr>
                <w:rFonts w:hint="eastAsia"/>
                <w:sz w:val="24"/>
              </w:rPr>
              <w:t>天债券</w:t>
            </w:r>
            <w:r w:rsidRPr="00143EB4">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519721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519722</w:t>
            </w:r>
          </w:p>
        </w:tc>
      </w:tr>
      <w:tr w:rsidR="0003080F" w:rsidRPr="00D0515B"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293518" w:rsidRDefault="0003080F" w:rsidP="0000174C">
            <w:pPr>
              <w:spacing w:before="29" w:line="288" w:lineRule="auto"/>
              <w:rPr>
                <w:sz w:val="24"/>
              </w:rPr>
            </w:pPr>
            <w:r w:rsidRPr="00293518">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03080F" w:rsidP="008A0836">
            <w:pPr>
              <w:spacing w:before="29" w:line="288" w:lineRule="auto"/>
              <w:jc w:val="center"/>
              <w:rPr>
                <w:sz w:val="24"/>
              </w:rPr>
            </w:pPr>
            <w:r w:rsidRPr="00143EB4">
              <w:rPr>
                <w:rFonts w:hint="eastAsia"/>
                <w:sz w:val="24"/>
              </w:rPr>
              <w:t>9,650,918.64</w:t>
            </w:r>
            <w:r w:rsidRPr="00143EB4">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143EB4" w:rsidRDefault="00D32085" w:rsidP="008A0836">
            <w:pPr>
              <w:spacing w:before="29" w:line="288" w:lineRule="auto"/>
              <w:jc w:val="center"/>
              <w:rPr>
                <w:sz w:val="24"/>
              </w:rPr>
            </w:pPr>
            <w:r>
              <w:rPr>
                <w:rFonts w:hint="eastAsia"/>
                <w:sz w:val="24"/>
              </w:rPr>
              <w:t>4,947,259,751.92</w:t>
            </w:r>
            <w:r w:rsidR="0003080F" w:rsidRPr="00143EB4">
              <w:rPr>
                <w:rFonts w:hint="eastAsia"/>
                <w:sz w:val="24"/>
              </w:rPr>
              <w:t>份</w:t>
            </w:r>
          </w:p>
        </w:tc>
      </w:tr>
    </w:tbl>
    <w:p w:rsidR="00223DFB" w:rsidRPr="00A82131"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BC7ABD" w:rsidRDefault="00223DFB" w:rsidP="00BC7ABD">
      <w:pPr>
        <w:pStyle w:val="20"/>
        <w:spacing w:before="29" w:after="0" w:line="288" w:lineRule="auto"/>
        <w:rPr>
          <w:rFonts w:ascii="Times New Roman" w:hAnsi="Times New Roman" w:cs="Times New Roman"/>
          <w:kern w:val="0"/>
          <w:szCs w:val="24"/>
        </w:rPr>
      </w:pPr>
      <w:bookmarkStart w:id="5" w:name="_Toc509760973"/>
      <w:r w:rsidRPr="00BC7ABD">
        <w:rPr>
          <w:rFonts w:ascii="Times New Roman" w:hAnsi="Times New Roman" w:cs="Times New Roman" w:hint="eastAsia"/>
          <w:kern w:val="0"/>
          <w:szCs w:val="24"/>
        </w:rPr>
        <w:t xml:space="preserve">2.2 </w:t>
      </w:r>
      <w:r w:rsidRPr="00BC7ABD">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本基金在追求本金安全、保持资产流动性的基础上，努力追求绝对收益，为基金份额持有人谋求资产的稳定增值。</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人民币七天通知存款税后利率</w:t>
            </w:r>
          </w:p>
        </w:tc>
      </w:tr>
      <w:tr w:rsidR="002C233F" w:rsidRPr="00D0515B"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8455D" w:rsidRDefault="00223DFB" w:rsidP="00B92FCC">
            <w:pPr>
              <w:spacing w:before="29" w:line="288" w:lineRule="auto"/>
              <w:rPr>
                <w:sz w:val="24"/>
              </w:rPr>
            </w:pPr>
            <w:r w:rsidRPr="0038455D">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38455D" w:rsidRDefault="00223DFB" w:rsidP="0038455D">
            <w:pPr>
              <w:spacing w:before="29" w:line="288" w:lineRule="auto"/>
              <w:rPr>
                <w:sz w:val="24"/>
              </w:rPr>
            </w:pPr>
            <w:r w:rsidRPr="0038455D">
              <w:rPr>
                <w:rFonts w:hint="eastAsia"/>
                <w:sz w:val="24"/>
              </w:rPr>
              <w:t>本基金属于短期理财债券型证券投资基金，长期风险收益水平低于股票型基金、混合型基金及普通债券型基金，高于货币市场型证券投资基金。</w:t>
            </w:r>
          </w:p>
        </w:tc>
      </w:tr>
    </w:tbl>
    <w:p w:rsidR="00223DFB" w:rsidRPr="00D0515B"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D73721" w:rsidRDefault="00223DFB" w:rsidP="00D73721">
      <w:pPr>
        <w:pStyle w:val="20"/>
        <w:spacing w:before="29" w:after="0" w:line="288" w:lineRule="auto"/>
        <w:rPr>
          <w:rFonts w:ascii="Times New Roman" w:hAnsi="Times New Roman" w:cs="Times New Roman"/>
          <w:kern w:val="0"/>
          <w:szCs w:val="24"/>
        </w:rPr>
      </w:pPr>
      <w:bookmarkStart w:id="6" w:name="_Toc509760974"/>
      <w:r w:rsidRPr="00D73721">
        <w:rPr>
          <w:rFonts w:ascii="Times New Roman" w:hAnsi="Times New Roman" w:cs="Times New Roman" w:hint="eastAsia"/>
          <w:kern w:val="0"/>
          <w:szCs w:val="24"/>
        </w:rPr>
        <w:t xml:space="preserve">2.3 </w:t>
      </w:r>
      <w:r w:rsidRPr="00D73721">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autoSpaceDE w:val="0"/>
              <w:autoSpaceDN w:val="0"/>
              <w:adjustRightInd w:val="0"/>
              <w:spacing w:before="29" w:line="288" w:lineRule="auto"/>
              <w:ind w:left="15"/>
              <w:jc w:val="center"/>
              <w:rPr>
                <w:kern w:val="0"/>
                <w:sz w:val="24"/>
              </w:rPr>
            </w:pPr>
            <w:r w:rsidRPr="008B1AD3">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B1AD3" w:rsidRDefault="00223DFB" w:rsidP="008B1AD3">
            <w:pPr>
              <w:spacing w:line="288" w:lineRule="auto"/>
              <w:jc w:val="center"/>
              <w:rPr>
                <w:kern w:val="0"/>
                <w:sz w:val="24"/>
              </w:rPr>
            </w:pPr>
            <w:r w:rsidRPr="008B1AD3">
              <w:rPr>
                <w:rFonts w:hint="eastAsia"/>
                <w:kern w:val="0"/>
                <w:sz w:val="24"/>
              </w:rPr>
              <w:t>基金托管人</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中国建设银行股份有限公司</w:t>
            </w:r>
          </w:p>
        </w:tc>
      </w:tr>
      <w:tr w:rsidR="002C233F" w:rsidRPr="00D0515B"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spacing w:line="288" w:lineRule="auto"/>
              <w:jc w:val="center"/>
              <w:rPr>
                <w:kern w:val="0"/>
                <w:sz w:val="24"/>
              </w:rPr>
            </w:pPr>
            <w:r w:rsidRPr="00EB1150">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田青</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tianqing1.zh@ccb.com</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400-700-5000</w:t>
            </w:r>
            <w:r w:rsidRPr="00EB1150">
              <w:rPr>
                <w:rFonts w:hint="eastAsia"/>
                <w:kern w:val="0"/>
                <w:sz w:val="24"/>
              </w:rPr>
              <w:t>，</w:t>
            </w:r>
            <w:r w:rsidRPr="00EB1150">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010-67595096</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w:t>
            </w:r>
            <w:r w:rsidRPr="00EB1150">
              <w:rPr>
                <w:rFonts w:hint="eastAsia"/>
                <w:kern w:val="0"/>
                <w:sz w:val="24"/>
              </w:rPr>
              <w:t>021</w:t>
            </w:r>
            <w:r w:rsidRPr="00EB1150">
              <w:rPr>
                <w:rFonts w:hint="eastAsia"/>
                <w:kern w:val="0"/>
                <w:sz w:val="24"/>
              </w:rPr>
              <w:t>）</w:t>
            </w:r>
            <w:r w:rsidRPr="00EB1150">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010-66275853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上海市浦东新区银城中路</w:t>
            </w:r>
            <w:r w:rsidRPr="00EB1150">
              <w:rPr>
                <w:rFonts w:hint="eastAsia"/>
                <w:kern w:val="0"/>
                <w:sz w:val="24"/>
              </w:rPr>
              <w:t>188</w:t>
            </w:r>
            <w:r w:rsidRPr="00EB1150">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北京市西城区金融大街</w:t>
            </w:r>
            <w:r w:rsidRPr="00EB1150">
              <w:rPr>
                <w:rFonts w:hint="eastAsia"/>
                <w:kern w:val="0"/>
                <w:sz w:val="24"/>
              </w:rPr>
              <w:t>25</w:t>
            </w:r>
            <w:r w:rsidRPr="00EB1150">
              <w:rPr>
                <w:rFonts w:hint="eastAsia"/>
                <w:kern w:val="0"/>
                <w:sz w:val="24"/>
              </w:rPr>
              <w:t>号</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上海市浦东新区世纪大道</w:t>
            </w:r>
            <w:r w:rsidRPr="00EB1150">
              <w:rPr>
                <w:rFonts w:hint="eastAsia"/>
                <w:kern w:val="0"/>
                <w:sz w:val="24"/>
              </w:rPr>
              <w:t>8</w:t>
            </w:r>
            <w:r w:rsidRPr="00EB1150">
              <w:rPr>
                <w:rFonts w:hint="eastAsia"/>
                <w:kern w:val="0"/>
                <w:sz w:val="24"/>
              </w:rPr>
              <w:t>号国金中心二期</w:t>
            </w:r>
            <w:r w:rsidRPr="00EB1150">
              <w:rPr>
                <w:rFonts w:hint="eastAsia"/>
                <w:kern w:val="0"/>
                <w:sz w:val="24"/>
              </w:rPr>
              <w:t>21-22</w:t>
            </w:r>
            <w:r w:rsidRPr="00EB1150">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北京市西城区闹市口大街</w:t>
            </w:r>
            <w:r w:rsidRPr="00EB1150">
              <w:rPr>
                <w:rFonts w:hint="eastAsia"/>
                <w:kern w:val="0"/>
                <w:sz w:val="24"/>
              </w:rPr>
              <w:t>1</w:t>
            </w:r>
            <w:r w:rsidRPr="00EB1150">
              <w:rPr>
                <w:rFonts w:hint="eastAsia"/>
                <w:kern w:val="0"/>
                <w:sz w:val="24"/>
              </w:rPr>
              <w:t>号院</w:t>
            </w:r>
            <w:r w:rsidRPr="00EB1150">
              <w:rPr>
                <w:rFonts w:hint="eastAsia"/>
                <w:kern w:val="0"/>
                <w:sz w:val="24"/>
              </w:rPr>
              <w:t>1</w:t>
            </w:r>
            <w:r w:rsidRPr="00EB1150">
              <w:rPr>
                <w:rFonts w:hint="eastAsia"/>
                <w:kern w:val="0"/>
                <w:sz w:val="24"/>
              </w:rPr>
              <w:t>号楼</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100033</w:t>
            </w:r>
          </w:p>
        </w:tc>
      </w:tr>
      <w:tr w:rsidR="002C233F" w:rsidRPr="00D0515B"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B1150" w:rsidRDefault="00223DFB" w:rsidP="00EB1150">
            <w:pPr>
              <w:autoSpaceDE w:val="0"/>
              <w:autoSpaceDN w:val="0"/>
              <w:adjustRightInd w:val="0"/>
              <w:spacing w:before="29" w:line="288" w:lineRule="auto"/>
              <w:ind w:left="15"/>
              <w:rPr>
                <w:kern w:val="0"/>
                <w:sz w:val="24"/>
              </w:rPr>
            </w:pPr>
            <w:r w:rsidRPr="00EB1150">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223DFB" w:rsidP="00EB1150">
            <w:pPr>
              <w:autoSpaceDE w:val="0"/>
              <w:autoSpaceDN w:val="0"/>
              <w:adjustRightInd w:val="0"/>
              <w:spacing w:before="29" w:line="288" w:lineRule="auto"/>
              <w:ind w:left="15"/>
              <w:jc w:val="center"/>
              <w:rPr>
                <w:kern w:val="0"/>
                <w:sz w:val="24"/>
              </w:rPr>
            </w:pPr>
            <w:r w:rsidRPr="00EB1150">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B1150" w:rsidRDefault="005D6523" w:rsidP="00EB1150">
            <w:pPr>
              <w:autoSpaceDE w:val="0"/>
              <w:autoSpaceDN w:val="0"/>
              <w:adjustRightInd w:val="0"/>
              <w:spacing w:before="29" w:line="288" w:lineRule="auto"/>
              <w:ind w:left="15"/>
              <w:jc w:val="center"/>
              <w:rPr>
                <w:kern w:val="0"/>
                <w:sz w:val="24"/>
              </w:rPr>
            </w:pPr>
            <w:r>
              <w:rPr>
                <w:rFonts w:hint="eastAsia"/>
                <w:kern w:val="0"/>
                <w:sz w:val="24"/>
              </w:rPr>
              <w:t>田国</w:t>
            </w:r>
            <w:r>
              <w:rPr>
                <w:kern w:val="0"/>
                <w:sz w:val="24"/>
              </w:rPr>
              <w:t>立</w:t>
            </w:r>
          </w:p>
        </w:tc>
      </w:tr>
    </w:tbl>
    <w:p w:rsidR="00223DFB" w:rsidRPr="00D0515B" w:rsidRDefault="00223DFB" w:rsidP="004B36C2">
      <w:pPr>
        <w:tabs>
          <w:tab w:val="left" w:pos="1740"/>
        </w:tabs>
        <w:spacing w:line="360" w:lineRule="auto"/>
        <w:rPr>
          <w:rFonts w:asciiTheme="minorEastAsia" w:eastAsiaTheme="minorEastAsia" w:hAnsiTheme="minorEastAsia"/>
          <w:szCs w:val="21"/>
        </w:rPr>
      </w:pPr>
    </w:p>
    <w:p w:rsidR="00223DFB" w:rsidRPr="00EA3281" w:rsidRDefault="00223DFB" w:rsidP="00EA3281">
      <w:pPr>
        <w:pStyle w:val="20"/>
        <w:spacing w:before="29" w:after="0" w:line="288" w:lineRule="auto"/>
        <w:rPr>
          <w:rFonts w:ascii="Times New Roman" w:hAnsi="Times New Roman" w:cs="Times New Roman"/>
          <w:kern w:val="0"/>
          <w:szCs w:val="24"/>
        </w:rPr>
      </w:pPr>
      <w:bookmarkStart w:id="7" w:name="_Toc509760975"/>
      <w:r w:rsidRPr="00EA3281">
        <w:rPr>
          <w:rFonts w:ascii="Times New Roman" w:hAnsi="Times New Roman" w:cs="Times New Roman" w:hint="eastAsia"/>
          <w:kern w:val="0"/>
          <w:szCs w:val="24"/>
        </w:rPr>
        <w:t xml:space="preserve">2.4 </w:t>
      </w:r>
      <w:r w:rsidRPr="00EA3281">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《中国证券报》、《上海证券报》和《证券时报》</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www.fund001.com</w:t>
            </w:r>
            <w:r w:rsidRPr="00EA3281">
              <w:rPr>
                <w:rFonts w:hint="eastAsia"/>
                <w:sz w:val="24"/>
              </w:rPr>
              <w:t>，</w:t>
            </w:r>
            <w:r w:rsidRPr="00EA3281">
              <w:rPr>
                <w:rFonts w:hint="eastAsia"/>
                <w:sz w:val="24"/>
              </w:rPr>
              <w:t>www.bocomschroder.com</w:t>
            </w:r>
          </w:p>
        </w:tc>
      </w:tr>
      <w:tr w:rsidR="002C233F" w:rsidRPr="00D0515B"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D17944">
            <w:pPr>
              <w:tabs>
                <w:tab w:val="left" w:pos="1740"/>
              </w:tabs>
              <w:spacing w:before="29" w:line="288" w:lineRule="auto"/>
              <w:rPr>
                <w:sz w:val="24"/>
              </w:rPr>
            </w:pPr>
            <w:r w:rsidRPr="00EA3281">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A3281" w:rsidRDefault="00223DFB" w:rsidP="00EA3281">
            <w:pPr>
              <w:tabs>
                <w:tab w:val="left" w:pos="1740"/>
              </w:tabs>
              <w:spacing w:before="29" w:line="288" w:lineRule="auto"/>
              <w:jc w:val="left"/>
              <w:rPr>
                <w:sz w:val="24"/>
              </w:rPr>
            </w:pPr>
            <w:r w:rsidRPr="00EA3281">
              <w:rPr>
                <w:rFonts w:hint="eastAsia"/>
                <w:sz w:val="24"/>
              </w:rPr>
              <w:t>基金管理人的办公场所</w:t>
            </w:r>
          </w:p>
        </w:tc>
      </w:tr>
    </w:tbl>
    <w:p w:rsidR="00223DFB" w:rsidRPr="00D0515B" w:rsidRDefault="00223DFB" w:rsidP="004B36C2">
      <w:pPr>
        <w:spacing w:line="360" w:lineRule="auto"/>
        <w:rPr>
          <w:rFonts w:asciiTheme="minorEastAsia" w:eastAsiaTheme="minorEastAsia" w:hAnsiTheme="minorEastAsia"/>
          <w:szCs w:val="21"/>
        </w:rPr>
      </w:pPr>
    </w:p>
    <w:p w:rsidR="00223DFB" w:rsidRPr="00F555A5" w:rsidRDefault="00223DFB" w:rsidP="00F555A5">
      <w:pPr>
        <w:pStyle w:val="20"/>
        <w:spacing w:before="29" w:after="0" w:line="288" w:lineRule="auto"/>
        <w:rPr>
          <w:rFonts w:ascii="Times New Roman" w:hAnsi="Times New Roman" w:cs="Times New Roman"/>
          <w:kern w:val="0"/>
          <w:szCs w:val="24"/>
        </w:rPr>
      </w:pPr>
      <w:bookmarkStart w:id="8" w:name="_Toc509760976"/>
      <w:r w:rsidRPr="00F555A5">
        <w:rPr>
          <w:rFonts w:ascii="Times New Roman" w:hAnsi="Times New Roman" w:cs="Times New Roman" w:hint="eastAsia"/>
          <w:kern w:val="0"/>
          <w:szCs w:val="24"/>
        </w:rPr>
        <w:t xml:space="preserve">2.5 </w:t>
      </w:r>
      <w:r w:rsidRPr="00F555A5">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1300D" w:rsidRPr="00D0515B" w:rsidTr="0002542D">
        <w:tc>
          <w:tcPr>
            <w:tcW w:w="1951" w:type="dxa"/>
          </w:tcPr>
          <w:p w:rsidR="0071300D" w:rsidRPr="00F555A5" w:rsidRDefault="0071300D" w:rsidP="00F555A5">
            <w:pPr>
              <w:tabs>
                <w:tab w:val="left" w:pos="1740"/>
              </w:tabs>
              <w:spacing w:before="29" w:line="288" w:lineRule="auto"/>
              <w:jc w:val="center"/>
              <w:rPr>
                <w:sz w:val="24"/>
              </w:rPr>
            </w:pPr>
            <w:r w:rsidRPr="00F555A5">
              <w:rPr>
                <w:rFonts w:hint="eastAsia"/>
                <w:sz w:val="24"/>
              </w:rPr>
              <w:t>项目</w:t>
            </w:r>
          </w:p>
        </w:tc>
        <w:tc>
          <w:tcPr>
            <w:tcW w:w="3260" w:type="dxa"/>
          </w:tcPr>
          <w:p w:rsidR="0071300D" w:rsidRPr="00F555A5" w:rsidRDefault="0071300D" w:rsidP="00F555A5">
            <w:pPr>
              <w:tabs>
                <w:tab w:val="left" w:pos="1740"/>
              </w:tabs>
              <w:spacing w:before="29" w:line="288" w:lineRule="auto"/>
              <w:jc w:val="center"/>
              <w:rPr>
                <w:sz w:val="24"/>
              </w:rPr>
            </w:pPr>
            <w:r w:rsidRPr="00F555A5">
              <w:rPr>
                <w:rFonts w:hint="eastAsia"/>
                <w:sz w:val="24"/>
              </w:rPr>
              <w:t>名称</w:t>
            </w:r>
          </w:p>
        </w:tc>
        <w:tc>
          <w:tcPr>
            <w:tcW w:w="4075" w:type="dxa"/>
          </w:tcPr>
          <w:p w:rsidR="0071300D" w:rsidRPr="00F555A5" w:rsidRDefault="0071300D" w:rsidP="00F555A5">
            <w:pPr>
              <w:tabs>
                <w:tab w:val="left" w:pos="1740"/>
              </w:tabs>
              <w:spacing w:before="29" w:line="288" w:lineRule="auto"/>
              <w:jc w:val="center"/>
              <w:rPr>
                <w:sz w:val="24"/>
              </w:rPr>
            </w:pPr>
            <w:r w:rsidRPr="00F555A5">
              <w:rPr>
                <w:rFonts w:hint="eastAsia"/>
                <w:sz w:val="24"/>
              </w:rPr>
              <w:t>办公地址</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会计师事务所</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普华永道中天会计师事务所（特殊普通合伙）</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上海市湖滨路</w:t>
            </w:r>
            <w:r w:rsidRPr="00F555A5">
              <w:rPr>
                <w:sz w:val="24"/>
              </w:rPr>
              <w:t>202</w:t>
            </w:r>
            <w:r w:rsidRPr="00F555A5">
              <w:rPr>
                <w:sz w:val="24"/>
              </w:rPr>
              <w:t>号普华永道中心</w:t>
            </w:r>
            <w:r w:rsidRPr="00F555A5">
              <w:rPr>
                <w:sz w:val="24"/>
              </w:rPr>
              <w:t>11</w:t>
            </w:r>
            <w:r w:rsidRPr="00F555A5">
              <w:rPr>
                <w:sz w:val="24"/>
              </w:rPr>
              <w:t>楼</w:t>
            </w:r>
          </w:p>
        </w:tc>
      </w:tr>
      <w:tr w:rsidR="0071300D" w:rsidRPr="00D0515B" w:rsidTr="00824DEC">
        <w:tc>
          <w:tcPr>
            <w:tcW w:w="1951" w:type="dxa"/>
            <w:vAlign w:val="center"/>
          </w:tcPr>
          <w:p w:rsidR="0071300D" w:rsidRPr="00F555A5" w:rsidRDefault="0071300D" w:rsidP="00F555A5">
            <w:pPr>
              <w:tabs>
                <w:tab w:val="left" w:pos="1740"/>
              </w:tabs>
              <w:spacing w:before="29" w:line="288" w:lineRule="auto"/>
              <w:rPr>
                <w:sz w:val="24"/>
              </w:rPr>
            </w:pPr>
            <w:r w:rsidRPr="00F555A5">
              <w:rPr>
                <w:rFonts w:hint="eastAsia"/>
                <w:sz w:val="24"/>
              </w:rPr>
              <w:t>注册登记机构</w:t>
            </w:r>
          </w:p>
        </w:tc>
        <w:tc>
          <w:tcPr>
            <w:tcW w:w="3260" w:type="dxa"/>
            <w:vAlign w:val="center"/>
          </w:tcPr>
          <w:p w:rsidR="0071300D" w:rsidRPr="00F555A5" w:rsidRDefault="0071300D" w:rsidP="00F555A5">
            <w:pPr>
              <w:tabs>
                <w:tab w:val="left" w:pos="1740"/>
              </w:tabs>
              <w:spacing w:before="29" w:line="288" w:lineRule="auto"/>
              <w:rPr>
                <w:sz w:val="24"/>
              </w:rPr>
            </w:pPr>
            <w:r w:rsidRPr="00F555A5">
              <w:rPr>
                <w:sz w:val="24"/>
              </w:rPr>
              <w:t>中国证券登记结算有限责任公司</w:t>
            </w:r>
          </w:p>
        </w:tc>
        <w:tc>
          <w:tcPr>
            <w:tcW w:w="4075" w:type="dxa"/>
            <w:vAlign w:val="center"/>
          </w:tcPr>
          <w:p w:rsidR="0071300D" w:rsidRPr="00F555A5" w:rsidRDefault="0071300D" w:rsidP="00F555A5">
            <w:pPr>
              <w:tabs>
                <w:tab w:val="left" w:pos="1740"/>
              </w:tabs>
              <w:spacing w:before="29" w:line="288" w:lineRule="auto"/>
              <w:rPr>
                <w:sz w:val="24"/>
              </w:rPr>
            </w:pPr>
            <w:r w:rsidRPr="00F555A5">
              <w:rPr>
                <w:sz w:val="24"/>
              </w:rPr>
              <w:t>北京市西城区太平桥大街</w:t>
            </w:r>
            <w:r w:rsidRPr="00F555A5">
              <w:rPr>
                <w:sz w:val="24"/>
              </w:rPr>
              <w:t>17</w:t>
            </w:r>
            <w:r w:rsidRPr="00F555A5">
              <w:rPr>
                <w:sz w:val="24"/>
              </w:rPr>
              <w:t>号</w:t>
            </w:r>
          </w:p>
        </w:tc>
      </w:tr>
    </w:tbl>
    <w:p w:rsidR="00206249" w:rsidRPr="00F555A5" w:rsidRDefault="00206249" w:rsidP="00F555A5">
      <w:pPr>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9" w:name="_Toc509760977"/>
      <w:r w:rsidRPr="00206249">
        <w:rPr>
          <w:rFonts w:hint="eastAsia"/>
          <w:b/>
          <w:bCs/>
          <w:szCs w:val="24"/>
          <w:lang w:val="en-US"/>
        </w:rPr>
        <w:t>§</w:t>
      </w:r>
      <w:r w:rsidRPr="00206249">
        <w:rPr>
          <w:rFonts w:hint="eastAsia"/>
          <w:b/>
          <w:bCs/>
          <w:szCs w:val="24"/>
          <w:lang w:val="en-US"/>
        </w:rPr>
        <w:t xml:space="preserve">3 </w:t>
      </w:r>
      <w:r w:rsidR="00D03D28" w:rsidRPr="00206249">
        <w:rPr>
          <w:rFonts w:hint="eastAsia"/>
          <w:b/>
          <w:bCs/>
          <w:szCs w:val="24"/>
          <w:lang w:val="en-US"/>
        </w:rPr>
        <w:t xml:space="preserve"> </w:t>
      </w:r>
      <w:r w:rsidRPr="00206249">
        <w:rPr>
          <w:rFonts w:hint="eastAsia"/>
          <w:b/>
          <w:bCs/>
          <w:szCs w:val="24"/>
          <w:lang w:val="en-US"/>
        </w:rPr>
        <w:t>主要财务指标、基金净值表现及利润分配情况</w:t>
      </w:r>
      <w:bookmarkEnd w:id="9"/>
    </w:p>
    <w:p w:rsidR="00FB3BC2" w:rsidRPr="00FB3BC2" w:rsidRDefault="00FB3BC2" w:rsidP="00FB3BC2"/>
    <w:p w:rsidR="00223DFB" w:rsidRPr="00686A49" w:rsidRDefault="00223DFB" w:rsidP="00686A49">
      <w:pPr>
        <w:pStyle w:val="20"/>
        <w:spacing w:before="29" w:after="0" w:line="288" w:lineRule="auto"/>
        <w:rPr>
          <w:rFonts w:ascii="Times New Roman" w:hAnsi="Times New Roman" w:cs="Times New Roman"/>
          <w:kern w:val="0"/>
          <w:szCs w:val="24"/>
        </w:rPr>
      </w:pPr>
      <w:bookmarkStart w:id="10" w:name="_Toc509760978"/>
      <w:r w:rsidRPr="00686A49">
        <w:rPr>
          <w:rFonts w:ascii="Times New Roman" w:hAnsi="Times New Roman" w:cs="Times New Roman" w:hint="eastAsia"/>
          <w:kern w:val="0"/>
          <w:szCs w:val="24"/>
        </w:rPr>
        <w:t xml:space="preserve">3.1 </w:t>
      </w:r>
      <w:r w:rsidRPr="00686A49">
        <w:rPr>
          <w:rFonts w:ascii="Times New Roman" w:hAnsi="Times New Roman" w:cs="Times New Roman" w:hint="eastAsia"/>
          <w:kern w:val="0"/>
          <w:szCs w:val="24"/>
        </w:rPr>
        <w:t>主要会计数据和财务指标</w:t>
      </w:r>
      <w:bookmarkEnd w:id="10"/>
    </w:p>
    <w:p w:rsidR="00223DFB" w:rsidRPr="00E15A05" w:rsidRDefault="00223DFB" w:rsidP="00E15A05">
      <w:pPr>
        <w:autoSpaceDE w:val="0"/>
        <w:autoSpaceDN w:val="0"/>
        <w:adjustRightInd w:val="0"/>
        <w:spacing w:before="29" w:line="288" w:lineRule="auto"/>
        <w:ind w:left="15"/>
        <w:jc w:val="right"/>
        <w:rPr>
          <w:sz w:val="24"/>
        </w:rPr>
      </w:pPr>
      <w:r w:rsidRPr="00E15A05">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2C233F" w:rsidRPr="00506D23"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506D23">
              <w:rPr>
                <w:rFonts w:hint="eastAsia"/>
                <w:b/>
                <w:szCs w:val="21"/>
              </w:rPr>
              <w:t>3.1.1</w:t>
            </w:r>
            <w:r w:rsidRPr="00506D23">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b/>
                <w:szCs w:val="21"/>
              </w:rPr>
              <w:t>2017</w:t>
            </w:r>
            <w:r w:rsidRPr="00506D23">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2016</w:t>
            </w:r>
            <w:r w:rsidRPr="00506D23">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jc w:val="center"/>
              <w:rPr>
                <w:b/>
                <w:szCs w:val="21"/>
              </w:rPr>
            </w:pPr>
            <w:r w:rsidRPr="00506D23">
              <w:rPr>
                <w:rFonts w:hint="eastAsia"/>
                <w:b/>
                <w:szCs w:val="21"/>
              </w:rPr>
              <w:t>2015</w:t>
            </w:r>
            <w:r w:rsidRPr="00506D23">
              <w:rPr>
                <w:rFonts w:hint="eastAsia"/>
                <w:b/>
                <w:szCs w:val="21"/>
              </w:rPr>
              <w:t>年</w:t>
            </w:r>
          </w:p>
        </w:tc>
      </w:tr>
      <w:tr w:rsidR="00CD4B1D" w:rsidRPr="00506D23"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6356E6"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6356E6" w:rsidRPr="00506D23" w:rsidRDefault="006356E6" w:rsidP="006356E6">
            <w:pPr>
              <w:spacing w:before="29" w:line="288" w:lineRule="auto"/>
              <w:rPr>
                <w:szCs w:val="21"/>
              </w:rPr>
            </w:pPr>
            <w:r w:rsidRPr="00506D23">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356E6" w:rsidRPr="00506D23" w:rsidRDefault="006356E6" w:rsidP="006356E6">
            <w:pPr>
              <w:spacing w:before="29" w:line="288" w:lineRule="auto"/>
              <w:jc w:val="right"/>
              <w:rPr>
                <w:szCs w:val="21"/>
              </w:rPr>
            </w:pPr>
            <w:r w:rsidRPr="00506D23">
              <w:rPr>
                <w:rFonts w:hint="eastAsia"/>
                <w:szCs w:val="21"/>
              </w:rPr>
              <w:t>329,460.77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356E6" w:rsidRPr="00506D23" w:rsidRDefault="006356E6" w:rsidP="006356E6">
            <w:pPr>
              <w:spacing w:before="29" w:line="288" w:lineRule="auto"/>
              <w:jc w:val="right"/>
              <w:rPr>
                <w:szCs w:val="21"/>
              </w:rPr>
            </w:pPr>
            <w:r>
              <w:rPr>
                <w:rFonts w:hint="eastAsia"/>
                <w:szCs w:val="21"/>
              </w:rPr>
              <w:t>108,319,174.48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6356E6" w:rsidRPr="00506D23" w:rsidRDefault="006356E6" w:rsidP="006356E6">
            <w:pPr>
              <w:spacing w:before="29" w:line="288" w:lineRule="auto"/>
              <w:jc w:val="right"/>
              <w:rPr>
                <w:szCs w:val="21"/>
              </w:rPr>
            </w:pPr>
            <w:r w:rsidRPr="00506D23">
              <w:rPr>
                <w:rFonts w:hint="eastAsia"/>
                <w:szCs w:val="21"/>
              </w:rPr>
              <w:t>162,423.86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6356E6" w:rsidRPr="00506D23" w:rsidRDefault="006356E6" w:rsidP="006356E6">
            <w:pPr>
              <w:spacing w:before="29" w:line="288" w:lineRule="auto"/>
              <w:jc w:val="right"/>
              <w:rPr>
                <w:szCs w:val="21"/>
              </w:rPr>
            </w:pPr>
            <w:r w:rsidRPr="00506D23">
              <w:rPr>
                <w:rFonts w:hint="eastAsia"/>
                <w:szCs w:val="21"/>
              </w:rPr>
              <w:t>12,302,367.51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6356E6" w:rsidRPr="006356E6" w:rsidRDefault="006356E6" w:rsidP="006356E6">
            <w:pPr>
              <w:spacing w:before="29" w:line="288" w:lineRule="auto"/>
              <w:jc w:val="right"/>
              <w:rPr>
                <w:szCs w:val="21"/>
              </w:rPr>
            </w:pPr>
            <w:r w:rsidRPr="00504C53">
              <w:t>412,238.86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6356E6" w:rsidRPr="006356E6" w:rsidRDefault="006356E6" w:rsidP="006356E6">
            <w:pPr>
              <w:spacing w:before="29" w:line="288" w:lineRule="auto"/>
              <w:jc w:val="right"/>
              <w:rPr>
                <w:szCs w:val="21"/>
              </w:rPr>
            </w:pPr>
            <w:r w:rsidRPr="00504C53">
              <w:t>9,995,241.58</w:t>
            </w:r>
          </w:p>
        </w:tc>
      </w:tr>
      <w:tr w:rsidR="00CD4B1D" w:rsidRPr="00506D23"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329,460.77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108,319,174.48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162,423.86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12,302,367.51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412,238.86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9,995,241.58</w:t>
            </w:r>
          </w:p>
        </w:tc>
      </w:tr>
      <w:tr w:rsidR="00CD4B1D"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1271C4">
            <w:pPr>
              <w:spacing w:before="29" w:line="288" w:lineRule="auto"/>
              <w:rPr>
                <w:szCs w:val="21"/>
              </w:rPr>
            </w:pPr>
            <w:r w:rsidRPr="00506D23">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4.02%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4.32%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1.78%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1.54%</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3.40%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3.70%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517197">
            <w:pPr>
              <w:spacing w:before="29" w:line="288" w:lineRule="auto"/>
              <w:ind w:leftChars="-51" w:left="-107" w:rightChars="-51" w:right="-107"/>
              <w:rPr>
                <w:rFonts w:asciiTheme="minorEastAsia" w:eastAsiaTheme="minorEastAsia" w:hAnsiTheme="minorEastAsia"/>
                <w:b/>
                <w:szCs w:val="21"/>
              </w:rPr>
            </w:pPr>
            <w:r w:rsidRPr="00506D23">
              <w:rPr>
                <w:rFonts w:hint="eastAsia"/>
                <w:b/>
                <w:szCs w:val="21"/>
              </w:rPr>
              <w:t>3.1.2</w:t>
            </w:r>
            <w:r w:rsidRPr="00506D23">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2016</w:t>
            </w:r>
            <w:r w:rsidR="004A7307" w:rsidRPr="00506D23">
              <w:rPr>
                <w:rFonts w:hint="eastAsia"/>
                <w:b/>
                <w:szCs w:val="21"/>
              </w:rPr>
              <w:t>年</w:t>
            </w:r>
            <w:r w:rsidRPr="00506D23">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335056">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335056">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9,650,918.64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4,947,259,751.92</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8,491,238.98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2,000,366,524.38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11,104,428.92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30,352,509.92</w:t>
            </w:r>
          </w:p>
        </w:tc>
      </w:tr>
      <w:tr w:rsidR="002C233F" w:rsidRPr="00506D23"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825793">
            <w:pPr>
              <w:spacing w:before="29" w:line="288" w:lineRule="auto"/>
              <w:rPr>
                <w:szCs w:val="21"/>
              </w:rPr>
            </w:pPr>
            <w:r w:rsidRPr="00506D23">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F0BBC">
            <w:pPr>
              <w:spacing w:before="29" w:line="288" w:lineRule="auto"/>
              <w:jc w:val="right"/>
              <w:rPr>
                <w:szCs w:val="21"/>
              </w:rPr>
            </w:pPr>
            <w:r w:rsidRPr="00506D23">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F0BBC">
            <w:pPr>
              <w:spacing w:before="29" w:line="288" w:lineRule="auto"/>
              <w:jc w:val="right"/>
              <w:rPr>
                <w:szCs w:val="21"/>
              </w:rPr>
            </w:pPr>
            <w:r>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F0BBC">
            <w:pPr>
              <w:spacing w:before="29" w:line="288" w:lineRule="auto"/>
              <w:jc w:val="right"/>
              <w:rPr>
                <w:szCs w:val="21"/>
              </w:rPr>
            </w:pPr>
            <w:r w:rsidRPr="00506D23">
              <w:rPr>
                <w:rFonts w:hint="eastAsia"/>
                <w:szCs w:val="21"/>
              </w:rPr>
              <w:t>1.0000</w:t>
            </w:r>
          </w:p>
        </w:tc>
      </w:tr>
      <w:tr w:rsidR="008336E4" w:rsidRPr="00506D23"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ind w:leftChars="-51" w:left="-107" w:rightChars="-51" w:right="-107"/>
              <w:rPr>
                <w:rFonts w:asciiTheme="minorEastAsia" w:eastAsiaTheme="minorEastAsia" w:hAnsiTheme="minorEastAsia"/>
                <w:b/>
                <w:szCs w:val="21"/>
              </w:rPr>
            </w:pPr>
            <w:r w:rsidRPr="00506D23">
              <w:rPr>
                <w:rFonts w:hint="eastAsia"/>
                <w:b/>
                <w:szCs w:val="21"/>
              </w:rPr>
              <w:t>3.1.3</w:t>
            </w:r>
            <w:r w:rsidRPr="00506D23">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335056">
            <w:pPr>
              <w:spacing w:before="29" w:line="288" w:lineRule="auto"/>
              <w:jc w:val="center"/>
              <w:rPr>
                <w:b/>
                <w:szCs w:val="21"/>
              </w:rPr>
            </w:pPr>
            <w:r w:rsidRPr="00506D23">
              <w:rPr>
                <w:b/>
                <w:szCs w:val="21"/>
              </w:rPr>
              <w:t>2017</w:t>
            </w:r>
            <w:r w:rsidR="004A7307" w:rsidRPr="00506D23">
              <w:rPr>
                <w:rFonts w:hint="eastAsia"/>
                <w:b/>
                <w:szCs w:val="21"/>
              </w:rPr>
              <w:t>年</w:t>
            </w:r>
            <w:r w:rsidRPr="00506D23">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19415A" w:rsidP="004B36C2">
            <w:pPr>
              <w:spacing w:line="360" w:lineRule="auto"/>
              <w:jc w:val="center"/>
              <w:rPr>
                <w:b/>
                <w:szCs w:val="21"/>
              </w:rPr>
            </w:pPr>
            <w:r w:rsidRPr="00506D23">
              <w:rPr>
                <w:b/>
                <w:szCs w:val="21"/>
              </w:rPr>
              <w:t>2016</w:t>
            </w:r>
            <w:r w:rsidRPr="00506D23">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506D23" w:rsidRDefault="008336E4" w:rsidP="004B36C2">
            <w:pPr>
              <w:spacing w:line="360" w:lineRule="auto"/>
              <w:jc w:val="center"/>
              <w:rPr>
                <w:b/>
                <w:szCs w:val="21"/>
              </w:rPr>
            </w:pPr>
            <w:r w:rsidRPr="00506D23">
              <w:rPr>
                <w:b/>
                <w:szCs w:val="21"/>
              </w:rPr>
              <w:t>2015</w:t>
            </w:r>
            <w:r w:rsidR="004A7307" w:rsidRPr="00506D23">
              <w:rPr>
                <w:rFonts w:hint="eastAsia"/>
                <w:b/>
                <w:szCs w:val="21"/>
              </w:rPr>
              <w:t>年</w:t>
            </w:r>
            <w:r w:rsidRPr="00506D23">
              <w:rPr>
                <w:rFonts w:hint="eastAsia"/>
                <w:b/>
                <w:szCs w:val="21"/>
              </w:rPr>
              <w:t>末</w:t>
            </w:r>
          </w:p>
        </w:tc>
      </w:tr>
      <w:tr w:rsidR="002C233F" w:rsidRPr="00506D23"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CE020F">
            <w:pPr>
              <w:spacing w:before="29" w:line="288" w:lineRule="auto"/>
              <w:rPr>
                <w:szCs w:val="21"/>
              </w:rPr>
            </w:pPr>
            <w:r w:rsidRPr="00506D23">
              <w:rPr>
                <w:rFonts w:hint="eastAsia"/>
                <w:szCs w:val="21"/>
              </w:rPr>
              <w:t>交银理财</w:t>
            </w:r>
            <w:r w:rsidRPr="00506D23">
              <w:rPr>
                <w:rFonts w:hint="eastAsia"/>
                <w:szCs w:val="21"/>
              </w:rPr>
              <w:t>60</w:t>
            </w:r>
            <w:r w:rsidRPr="00506D23">
              <w:rPr>
                <w:rFonts w:hint="eastAsia"/>
                <w:szCs w:val="21"/>
              </w:rPr>
              <w:t>天债券</w:t>
            </w:r>
            <w:r w:rsidRPr="00506D23">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CE020F">
            <w:pPr>
              <w:spacing w:before="29" w:line="288" w:lineRule="auto"/>
              <w:rPr>
                <w:szCs w:val="21"/>
              </w:rPr>
            </w:pPr>
            <w:r>
              <w:rPr>
                <w:rFonts w:hint="eastAsia"/>
                <w:szCs w:val="21"/>
              </w:rPr>
              <w:t>交银理财</w:t>
            </w:r>
            <w:r>
              <w:rPr>
                <w:rFonts w:hint="eastAsia"/>
                <w:szCs w:val="21"/>
              </w:rPr>
              <w:t>60</w:t>
            </w:r>
            <w:r>
              <w:rPr>
                <w:rFonts w:hint="eastAsia"/>
                <w:szCs w:val="21"/>
              </w:rPr>
              <w:t>天债券</w:t>
            </w:r>
            <w:r>
              <w:rPr>
                <w:rFonts w:hint="eastAsia"/>
                <w:szCs w:val="21"/>
              </w:rPr>
              <w:t>B</w:t>
            </w:r>
          </w:p>
        </w:tc>
      </w:tr>
      <w:tr w:rsidR="002C233F" w:rsidRPr="00506D23"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050F5F">
            <w:pPr>
              <w:spacing w:before="29" w:line="288" w:lineRule="auto"/>
              <w:rPr>
                <w:rFonts w:asciiTheme="minorEastAsia" w:eastAsiaTheme="minorEastAsia" w:hAnsiTheme="minorEastAsia"/>
                <w:szCs w:val="21"/>
              </w:rPr>
            </w:pPr>
            <w:r w:rsidRPr="00506D23">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223DFB" w:rsidP="00E469D8">
            <w:pPr>
              <w:spacing w:before="29" w:line="288" w:lineRule="auto"/>
              <w:jc w:val="right"/>
              <w:rPr>
                <w:szCs w:val="21"/>
              </w:rPr>
            </w:pPr>
            <w:r w:rsidRPr="00506D23">
              <w:rPr>
                <w:rFonts w:hint="eastAsia"/>
                <w:szCs w:val="21"/>
              </w:rPr>
              <w:t>17.10%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D32085" w:rsidP="00E469D8">
            <w:pPr>
              <w:spacing w:before="29" w:line="288" w:lineRule="auto"/>
              <w:jc w:val="right"/>
              <w:rPr>
                <w:szCs w:val="21"/>
              </w:rPr>
            </w:pPr>
            <w:r>
              <w:rPr>
                <w:rFonts w:hint="eastAsia"/>
                <w:szCs w:val="21"/>
              </w:rPr>
              <w:t>15.17%</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12.58%</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10.41%</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10.61%</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506D23" w:rsidRDefault="006538FD" w:rsidP="00E469D8">
            <w:pPr>
              <w:spacing w:before="29" w:line="288" w:lineRule="auto"/>
              <w:jc w:val="right"/>
              <w:rPr>
                <w:szCs w:val="21"/>
              </w:rPr>
            </w:pPr>
            <w:r w:rsidRPr="00506D23">
              <w:rPr>
                <w:rFonts w:hint="eastAsia"/>
                <w:szCs w:val="21"/>
              </w:rPr>
              <w:t>8.73%</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B5600D" w:rsidRDefault="00D91A1A">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、本基金收益分配按运作期结转份额。</w:t>
      </w:r>
    </w:p>
    <w:p w:rsidR="00B5600D" w:rsidRDefault="00D91A1A">
      <w:pPr>
        <w:tabs>
          <w:tab w:val="left" w:pos="426"/>
        </w:tabs>
        <w:spacing w:before="29" w:line="288" w:lineRule="auto"/>
        <w:jc w:val="left"/>
        <w:rPr>
          <w:kern w:val="0"/>
          <w:sz w:val="24"/>
        </w:rPr>
      </w:pPr>
      <w:r>
        <w:rPr>
          <w:rFonts w:hint="eastAsia"/>
          <w:kern w:val="0"/>
          <w:sz w:val="24"/>
        </w:rPr>
        <w:t xml:space="preserve">    3</w:t>
      </w:r>
      <w:r>
        <w:rPr>
          <w:rFonts w:hint="eastAsia"/>
          <w:kern w:val="0"/>
          <w:sz w:val="24"/>
        </w:rPr>
        <w:t>、自合同生效日起，本基金实行销售服务费分类收费方式，分设两类基金份额：</w:t>
      </w:r>
      <w:r>
        <w:rPr>
          <w:rFonts w:hint="eastAsia"/>
          <w:kern w:val="0"/>
          <w:sz w:val="24"/>
        </w:rPr>
        <w:t>A</w:t>
      </w:r>
      <w:r>
        <w:rPr>
          <w:rFonts w:hint="eastAsia"/>
          <w:kern w:val="0"/>
          <w:sz w:val="24"/>
        </w:rPr>
        <w:t>类基金份额和</w:t>
      </w:r>
      <w:r>
        <w:rPr>
          <w:rFonts w:hint="eastAsia"/>
          <w:kern w:val="0"/>
          <w:sz w:val="24"/>
        </w:rPr>
        <w:t>B</w:t>
      </w:r>
      <w:r>
        <w:rPr>
          <w:rFonts w:hint="eastAsia"/>
          <w:kern w:val="0"/>
          <w:sz w:val="24"/>
        </w:rPr>
        <w:t>类基金份额。</w:t>
      </w:r>
      <w:r>
        <w:rPr>
          <w:rFonts w:hint="eastAsia"/>
          <w:kern w:val="0"/>
          <w:sz w:val="24"/>
        </w:rPr>
        <w:t>A</w:t>
      </w:r>
      <w:r>
        <w:rPr>
          <w:rFonts w:hint="eastAsia"/>
          <w:kern w:val="0"/>
          <w:sz w:val="24"/>
        </w:rPr>
        <w:t>类基金份额与</w:t>
      </w:r>
      <w:r>
        <w:rPr>
          <w:rFonts w:hint="eastAsia"/>
          <w:kern w:val="0"/>
          <w:sz w:val="24"/>
        </w:rPr>
        <w:t>B</w:t>
      </w:r>
      <w:r>
        <w:rPr>
          <w:rFonts w:hint="eastAsia"/>
          <w:kern w:val="0"/>
          <w:sz w:val="24"/>
        </w:rPr>
        <w:t>类基金份额的管理费、托管费相同，</w:t>
      </w:r>
      <w:r>
        <w:rPr>
          <w:rFonts w:hint="eastAsia"/>
          <w:kern w:val="0"/>
          <w:sz w:val="24"/>
        </w:rPr>
        <w:t>A</w:t>
      </w:r>
      <w:r>
        <w:rPr>
          <w:rFonts w:hint="eastAsia"/>
          <w:kern w:val="0"/>
          <w:sz w:val="24"/>
        </w:rPr>
        <w:t>类基金份额按照</w:t>
      </w:r>
      <w:r>
        <w:rPr>
          <w:rFonts w:hint="eastAsia"/>
          <w:kern w:val="0"/>
          <w:sz w:val="24"/>
        </w:rPr>
        <w:t>0.30%</w:t>
      </w:r>
      <w:r>
        <w:rPr>
          <w:rFonts w:hint="eastAsia"/>
          <w:kern w:val="0"/>
          <w:sz w:val="24"/>
        </w:rPr>
        <w:t>的年费率计提销售服务费，</w:t>
      </w:r>
      <w:r>
        <w:rPr>
          <w:rFonts w:hint="eastAsia"/>
          <w:kern w:val="0"/>
          <w:sz w:val="24"/>
        </w:rPr>
        <w:t>B</w:t>
      </w:r>
      <w:r>
        <w:rPr>
          <w:rFonts w:hint="eastAsia"/>
          <w:kern w:val="0"/>
          <w:sz w:val="24"/>
        </w:rPr>
        <w:t>类基金份额按照</w:t>
      </w:r>
      <w:r>
        <w:rPr>
          <w:rFonts w:hint="eastAsia"/>
          <w:kern w:val="0"/>
          <w:sz w:val="24"/>
        </w:rPr>
        <w:t>0.01%</w:t>
      </w:r>
      <w:r>
        <w:rPr>
          <w:rFonts w:hint="eastAsia"/>
          <w:kern w:val="0"/>
          <w:sz w:val="24"/>
        </w:rPr>
        <w:t>的年费率计提销售服务费。</w:t>
      </w:r>
    </w:p>
    <w:p w:rsidR="00FF3081" w:rsidRPr="00A25EDA" w:rsidRDefault="00FF3081" w:rsidP="00A25EDA">
      <w:pPr>
        <w:tabs>
          <w:tab w:val="left" w:pos="426"/>
        </w:tabs>
        <w:spacing w:before="29" w:line="288" w:lineRule="auto"/>
        <w:jc w:val="left"/>
        <w:rPr>
          <w:kern w:val="0"/>
          <w:sz w:val="24"/>
        </w:rPr>
      </w:pPr>
      <w:r w:rsidRPr="00A25EDA">
        <w:rPr>
          <w:rFonts w:hint="eastAsia"/>
          <w:kern w:val="0"/>
          <w:sz w:val="24"/>
        </w:rPr>
        <w:t xml:space="preserve">    4</w:t>
      </w:r>
      <w:r w:rsidRPr="00A25EDA">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A25EDA">
        <w:rPr>
          <w:rFonts w:hint="eastAsia"/>
          <w:kern w:val="0"/>
          <w:sz w:val="24"/>
        </w:rPr>
        <w:t xml:space="preserve"> </w:t>
      </w:r>
    </w:p>
    <w:p w:rsidR="00223DFB" w:rsidRPr="00D0515B" w:rsidRDefault="00223DFB" w:rsidP="004B36C2">
      <w:pPr>
        <w:spacing w:line="360" w:lineRule="auto"/>
        <w:rPr>
          <w:rFonts w:asciiTheme="minorEastAsia" w:eastAsiaTheme="minorEastAsia" w:hAnsiTheme="minorEastAsia"/>
          <w:szCs w:val="21"/>
        </w:rPr>
      </w:pPr>
    </w:p>
    <w:p w:rsidR="00223DFB" w:rsidRPr="005307D5" w:rsidRDefault="00223DFB" w:rsidP="005307D5">
      <w:pPr>
        <w:pStyle w:val="20"/>
        <w:spacing w:before="29" w:after="0" w:line="288" w:lineRule="auto"/>
        <w:rPr>
          <w:rFonts w:ascii="Times New Roman" w:hAnsi="Times New Roman" w:cs="Times New Roman"/>
          <w:kern w:val="0"/>
          <w:szCs w:val="24"/>
        </w:rPr>
      </w:pPr>
      <w:bookmarkStart w:id="11" w:name="_Toc509760979"/>
      <w:r w:rsidRPr="005307D5">
        <w:rPr>
          <w:rFonts w:ascii="Times New Roman" w:hAnsi="Times New Roman" w:cs="Times New Roman" w:hint="eastAsia"/>
          <w:kern w:val="0"/>
          <w:szCs w:val="24"/>
        </w:rPr>
        <w:t xml:space="preserve">3.2 </w:t>
      </w:r>
      <w:r w:rsidRPr="005307D5">
        <w:rPr>
          <w:rFonts w:ascii="Times New Roman" w:hAnsi="Times New Roman" w:cs="Times New Roman" w:hint="eastAsia"/>
          <w:kern w:val="0"/>
          <w:szCs w:val="24"/>
        </w:rPr>
        <w:t>基金净值表现</w:t>
      </w:r>
      <w:bookmarkEnd w:id="11"/>
    </w:p>
    <w:p w:rsidR="00063497" w:rsidRPr="00D0515B"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5307D5">
        <w:rPr>
          <w:rFonts w:hint="eastAsia"/>
          <w:b/>
          <w:kern w:val="0"/>
          <w:sz w:val="24"/>
        </w:rPr>
        <w:t xml:space="preserve">3.2.1 </w:t>
      </w:r>
      <w:r w:rsidRPr="005307D5">
        <w:rPr>
          <w:rFonts w:hint="eastAsia"/>
          <w:b/>
          <w:kern w:val="0"/>
          <w:sz w:val="24"/>
        </w:rPr>
        <w:t>基金份额净值收益率及其与同期业绩比较基准收益率的比较</w:t>
      </w:r>
    </w:p>
    <w:p w:rsidR="00063497" w:rsidRPr="00E33C4A" w:rsidRDefault="00063497" w:rsidP="00E33C4A">
      <w:pPr>
        <w:pStyle w:val="21"/>
        <w:spacing w:before="29" w:line="288" w:lineRule="auto"/>
        <w:ind w:firstLineChars="0" w:firstLine="420"/>
        <w:rPr>
          <w:rFonts w:ascii="Times New Roman" w:hAnsi="Times New Roman"/>
          <w:b/>
          <w:color w:val="auto"/>
        </w:rPr>
      </w:pPr>
      <w:r w:rsidRPr="00E33C4A">
        <w:rPr>
          <w:rFonts w:ascii="Times New Roman" w:hAnsi="Times New Roman" w:hint="eastAsia"/>
          <w:b/>
          <w:color w:val="auto"/>
        </w:rPr>
        <w:t>1</w:t>
      </w:r>
      <w:r w:rsidRPr="00E33C4A">
        <w:rPr>
          <w:rFonts w:ascii="Times New Roman" w:hAnsi="Times New Roman" w:hint="eastAsia"/>
          <w:b/>
          <w:color w:val="auto"/>
        </w:rPr>
        <w:t>．交银理财</w:t>
      </w:r>
      <w:r w:rsidRPr="00E33C4A">
        <w:rPr>
          <w:rFonts w:ascii="Times New Roman" w:hAnsi="Times New Roman" w:hint="eastAsia"/>
          <w:b/>
          <w:color w:val="auto"/>
        </w:rPr>
        <w:t>60</w:t>
      </w:r>
      <w:r w:rsidRPr="00E33C4A">
        <w:rPr>
          <w:rFonts w:ascii="Times New Roman" w:hAnsi="Times New Roman" w:hint="eastAsia"/>
          <w:b/>
          <w:color w:val="auto"/>
        </w:rPr>
        <w:t>天债券</w:t>
      </w:r>
      <w:r w:rsidRPr="00E33C4A">
        <w:rPr>
          <w:rFonts w:ascii="Times New Roman" w:hAnsi="Times New Roman" w:hint="eastAsia"/>
          <w:b/>
          <w:color w:val="auto"/>
        </w:rPr>
        <w:t>A</w:t>
      </w:r>
      <w:r w:rsidRPr="00E33C4A">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阶段</w:t>
            </w:r>
          </w:p>
        </w:tc>
        <w:tc>
          <w:tcPr>
            <w:tcW w:w="1326" w:type="dxa"/>
            <w:shd w:val="clear" w:color="auto" w:fill="auto"/>
            <w:vAlign w:val="center"/>
          </w:tcPr>
          <w:p w:rsidR="00063497" w:rsidRPr="00E33C4A"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净值收益率①</w:t>
            </w:r>
          </w:p>
        </w:tc>
        <w:tc>
          <w:tcPr>
            <w:tcW w:w="1327" w:type="dxa"/>
            <w:shd w:val="clear" w:color="auto" w:fill="auto"/>
            <w:vAlign w:val="center"/>
          </w:tcPr>
          <w:p w:rsidR="00063497" w:rsidRPr="00E33C4A"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份额</w:t>
            </w:r>
            <w:r w:rsidR="00063497" w:rsidRPr="00E33C4A">
              <w:rPr>
                <w:rFonts w:ascii="Times New Roman" w:hAnsi="Times New Roman" w:hint="eastAsia"/>
                <w:kern w:val="2"/>
              </w:rPr>
              <w:t>净值收益率标准差②</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业绩比较基准收益率③</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业绩比较基准收益率标准差④</w:t>
            </w:r>
          </w:p>
        </w:tc>
        <w:tc>
          <w:tcPr>
            <w:tcW w:w="1327" w:type="dxa"/>
            <w:shd w:val="clear" w:color="auto" w:fill="auto"/>
            <w:vAlign w:val="center"/>
          </w:tcPr>
          <w:p w:rsidR="00063497" w:rsidRPr="00E33C4A"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33C4A">
              <w:rPr>
                <w:rFonts w:ascii="Times New Roman" w:hAnsi="Times New Roman" w:hint="eastAsia"/>
                <w:kern w:val="2"/>
              </w:rPr>
              <w:t>①</w:t>
            </w:r>
            <w:r w:rsidRPr="00E33C4A">
              <w:rPr>
                <w:rFonts w:ascii="Times New Roman" w:hAnsi="Times New Roman" w:hint="eastAsia"/>
                <w:kern w:val="2"/>
              </w:rPr>
              <w:t>-</w:t>
            </w:r>
            <w:r w:rsidRPr="00E33C4A">
              <w:rPr>
                <w:rFonts w:ascii="Times New Roman" w:hAnsi="Times New Roman" w:hint="eastAsia"/>
                <w:kern w:val="2"/>
              </w:rPr>
              <w:t>③</w:t>
            </w:r>
          </w:p>
        </w:tc>
        <w:tc>
          <w:tcPr>
            <w:tcW w:w="1327" w:type="dxa"/>
            <w:shd w:val="clear" w:color="auto" w:fill="auto"/>
            <w:vAlign w:val="center"/>
          </w:tcPr>
          <w:p w:rsidR="00063497" w:rsidRPr="00D0515B"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D0515B">
              <w:rPr>
                <w:rFonts w:asciiTheme="minorEastAsia" w:eastAsiaTheme="minorEastAsia" w:hAnsiTheme="minorEastAsia" w:hint="eastAsia"/>
                <w:kern w:val="2"/>
                <w:sz w:val="21"/>
                <w:szCs w:val="21"/>
              </w:rPr>
              <w:t>②-④</w:t>
            </w:r>
          </w:p>
        </w:tc>
      </w:tr>
      <w:tr w:rsidR="00B5600D">
        <w:tc>
          <w:tcPr>
            <w:tcW w:w="1600" w:type="dxa"/>
            <w:vAlign w:val="center"/>
          </w:tcPr>
          <w:p w:rsidR="00B5600D" w:rsidRDefault="00D91A1A">
            <w:pPr>
              <w:jc w:val="left"/>
            </w:pPr>
            <w:r>
              <w:rPr>
                <w:sz w:val="24"/>
              </w:rPr>
              <w:t>过去三个月</w:t>
            </w:r>
          </w:p>
        </w:tc>
        <w:tc>
          <w:tcPr>
            <w:tcW w:w="1233" w:type="dxa"/>
            <w:vAlign w:val="center"/>
          </w:tcPr>
          <w:p w:rsidR="00B5600D" w:rsidRDefault="00D91A1A">
            <w:pPr>
              <w:jc w:val="center"/>
            </w:pPr>
            <w:r>
              <w:rPr>
                <w:sz w:val="24"/>
              </w:rPr>
              <w:t>1.0646%</w:t>
            </w:r>
          </w:p>
        </w:tc>
        <w:tc>
          <w:tcPr>
            <w:tcW w:w="1233" w:type="dxa"/>
            <w:vAlign w:val="center"/>
          </w:tcPr>
          <w:p w:rsidR="00B5600D" w:rsidRDefault="00D91A1A">
            <w:pPr>
              <w:jc w:val="center"/>
            </w:pPr>
            <w:r>
              <w:rPr>
                <w:sz w:val="24"/>
              </w:rPr>
              <w:t>0.0007%</w:t>
            </w:r>
          </w:p>
        </w:tc>
        <w:tc>
          <w:tcPr>
            <w:tcW w:w="1233" w:type="dxa"/>
            <w:vAlign w:val="center"/>
          </w:tcPr>
          <w:p w:rsidR="00B5600D" w:rsidRDefault="00D91A1A">
            <w:pPr>
              <w:jc w:val="center"/>
            </w:pPr>
            <w:r>
              <w:rPr>
                <w:sz w:val="24"/>
              </w:rPr>
              <w:t>0.3403%</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0.7243%</w:t>
            </w:r>
          </w:p>
        </w:tc>
        <w:tc>
          <w:tcPr>
            <w:tcW w:w="1233" w:type="dxa"/>
            <w:vAlign w:val="center"/>
          </w:tcPr>
          <w:p w:rsidR="00B5600D" w:rsidRDefault="00D91A1A">
            <w:pPr>
              <w:jc w:val="center"/>
            </w:pPr>
            <w:r>
              <w:rPr>
                <w:sz w:val="24"/>
              </w:rPr>
              <w:t>0.0007%</w:t>
            </w:r>
          </w:p>
        </w:tc>
      </w:tr>
      <w:tr w:rsidR="00B5600D">
        <w:tc>
          <w:tcPr>
            <w:tcW w:w="1600" w:type="dxa"/>
            <w:vAlign w:val="center"/>
          </w:tcPr>
          <w:p w:rsidR="00B5600D" w:rsidRDefault="00D91A1A">
            <w:pPr>
              <w:jc w:val="left"/>
            </w:pPr>
            <w:r>
              <w:rPr>
                <w:sz w:val="24"/>
              </w:rPr>
              <w:t>过去六个月</w:t>
            </w:r>
          </w:p>
        </w:tc>
        <w:tc>
          <w:tcPr>
            <w:tcW w:w="1233" w:type="dxa"/>
            <w:vAlign w:val="center"/>
          </w:tcPr>
          <w:p w:rsidR="00B5600D" w:rsidRDefault="00D91A1A">
            <w:pPr>
              <w:jc w:val="center"/>
            </w:pPr>
            <w:r>
              <w:rPr>
                <w:sz w:val="24"/>
              </w:rPr>
              <w:t>2.0942%</w:t>
            </w:r>
          </w:p>
        </w:tc>
        <w:tc>
          <w:tcPr>
            <w:tcW w:w="1233" w:type="dxa"/>
            <w:vAlign w:val="center"/>
          </w:tcPr>
          <w:p w:rsidR="00B5600D" w:rsidRDefault="00D91A1A">
            <w:pPr>
              <w:jc w:val="center"/>
            </w:pPr>
            <w:r>
              <w:rPr>
                <w:sz w:val="24"/>
              </w:rPr>
              <w:t>0.0007%</w:t>
            </w:r>
          </w:p>
        </w:tc>
        <w:tc>
          <w:tcPr>
            <w:tcW w:w="1233" w:type="dxa"/>
            <w:vAlign w:val="center"/>
          </w:tcPr>
          <w:p w:rsidR="00B5600D" w:rsidRDefault="00D91A1A">
            <w:pPr>
              <w:jc w:val="center"/>
            </w:pPr>
            <w:r>
              <w:rPr>
                <w:sz w:val="24"/>
              </w:rPr>
              <w:t>0.6805%</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1.4137%</w:t>
            </w:r>
          </w:p>
        </w:tc>
        <w:tc>
          <w:tcPr>
            <w:tcW w:w="1233" w:type="dxa"/>
            <w:vAlign w:val="center"/>
          </w:tcPr>
          <w:p w:rsidR="00B5600D" w:rsidRDefault="00D91A1A">
            <w:pPr>
              <w:jc w:val="center"/>
            </w:pPr>
            <w:r>
              <w:rPr>
                <w:sz w:val="24"/>
              </w:rPr>
              <w:t>0.0007%</w:t>
            </w:r>
          </w:p>
        </w:tc>
      </w:tr>
      <w:tr w:rsidR="00B5600D">
        <w:tc>
          <w:tcPr>
            <w:tcW w:w="1600" w:type="dxa"/>
            <w:vAlign w:val="center"/>
          </w:tcPr>
          <w:p w:rsidR="00B5600D" w:rsidRDefault="00D91A1A">
            <w:pPr>
              <w:jc w:val="left"/>
            </w:pPr>
            <w:r>
              <w:rPr>
                <w:sz w:val="24"/>
              </w:rPr>
              <w:t>过去一年</w:t>
            </w:r>
          </w:p>
        </w:tc>
        <w:tc>
          <w:tcPr>
            <w:tcW w:w="1233" w:type="dxa"/>
            <w:vAlign w:val="center"/>
          </w:tcPr>
          <w:p w:rsidR="00B5600D" w:rsidRDefault="00D91A1A">
            <w:pPr>
              <w:jc w:val="center"/>
            </w:pPr>
            <w:r>
              <w:rPr>
                <w:sz w:val="24"/>
              </w:rPr>
              <w:t>4.0180%</w:t>
            </w:r>
          </w:p>
        </w:tc>
        <w:tc>
          <w:tcPr>
            <w:tcW w:w="1233" w:type="dxa"/>
            <w:vAlign w:val="center"/>
          </w:tcPr>
          <w:p w:rsidR="00B5600D" w:rsidRDefault="00D91A1A">
            <w:pPr>
              <w:jc w:val="center"/>
            </w:pPr>
            <w:r>
              <w:rPr>
                <w:sz w:val="24"/>
              </w:rPr>
              <w:t>0.0010%</w:t>
            </w:r>
          </w:p>
        </w:tc>
        <w:tc>
          <w:tcPr>
            <w:tcW w:w="1233" w:type="dxa"/>
            <w:vAlign w:val="center"/>
          </w:tcPr>
          <w:p w:rsidR="00B5600D" w:rsidRDefault="00D91A1A">
            <w:pPr>
              <w:jc w:val="center"/>
            </w:pPr>
            <w:r>
              <w:rPr>
                <w:sz w:val="24"/>
              </w:rPr>
              <w:t>1.3500%</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2.6680%</w:t>
            </w:r>
          </w:p>
        </w:tc>
        <w:tc>
          <w:tcPr>
            <w:tcW w:w="1233" w:type="dxa"/>
            <w:vAlign w:val="center"/>
          </w:tcPr>
          <w:p w:rsidR="00B5600D" w:rsidRDefault="00D91A1A">
            <w:pPr>
              <w:jc w:val="center"/>
            </w:pPr>
            <w:r>
              <w:rPr>
                <w:sz w:val="24"/>
              </w:rPr>
              <w:t>0.0010%</w:t>
            </w:r>
          </w:p>
        </w:tc>
      </w:tr>
      <w:tr w:rsidR="00B5600D">
        <w:tc>
          <w:tcPr>
            <w:tcW w:w="1600" w:type="dxa"/>
            <w:vAlign w:val="center"/>
          </w:tcPr>
          <w:p w:rsidR="00B5600D" w:rsidRDefault="00D91A1A">
            <w:pPr>
              <w:jc w:val="left"/>
            </w:pPr>
            <w:r>
              <w:rPr>
                <w:sz w:val="24"/>
              </w:rPr>
              <w:t>过去三年</w:t>
            </w:r>
          </w:p>
        </w:tc>
        <w:tc>
          <w:tcPr>
            <w:tcW w:w="1233" w:type="dxa"/>
            <w:vAlign w:val="center"/>
          </w:tcPr>
          <w:p w:rsidR="00B5600D" w:rsidRDefault="00D91A1A">
            <w:pPr>
              <w:jc w:val="center"/>
            </w:pPr>
            <w:r>
              <w:rPr>
                <w:sz w:val="24"/>
              </w:rPr>
              <w:t>9.4707%</w:t>
            </w:r>
          </w:p>
        </w:tc>
        <w:tc>
          <w:tcPr>
            <w:tcW w:w="1233" w:type="dxa"/>
            <w:vAlign w:val="center"/>
          </w:tcPr>
          <w:p w:rsidR="00B5600D" w:rsidRDefault="00D91A1A">
            <w:pPr>
              <w:jc w:val="center"/>
            </w:pPr>
            <w:r>
              <w:rPr>
                <w:sz w:val="24"/>
              </w:rPr>
              <w:t>0.0085%</w:t>
            </w:r>
          </w:p>
        </w:tc>
        <w:tc>
          <w:tcPr>
            <w:tcW w:w="1233" w:type="dxa"/>
            <w:vAlign w:val="center"/>
          </w:tcPr>
          <w:p w:rsidR="00B5600D" w:rsidRDefault="00D91A1A">
            <w:pPr>
              <w:jc w:val="center"/>
            </w:pPr>
            <w:r>
              <w:rPr>
                <w:sz w:val="24"/>
              </w:rPr>
              <w:t>4.0537%</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5.4170%</w:t>
            </w:r>
          </w:p>
        </w:tc>
        <w:tc>
          <w:tcPr>
            <w:tcW w:w="1233" w:type="dxa"/>
            <w:vAlign w:val="center"/>
          </w:tcPr>
          <w:p w:rsidR="00B5600D" w:rsidRDefault="00D91A1A">
            <w:pPr>
              <w:jc w:val="center"/>
            </w:pPr>
            <w:r>
              <w:rPr>
                <w:sz w:val="24"/>
              </w:rPr>
              <w:t>0.0085%</w:t>
            </w:r>
          </w:p>
        </w:tc>
      </w:tr>
      <w:tr w:rsidR="00B5600D">
        <w:tc>
          <w:tcPr>
            <w:tcW w:w="1600" w:type="dxa"/>
            <w:vAlign w:val="center"/>
          </w:tcPr>
          <w:p w:rsidR="00B5600D" w:rsidRDefault="00D91A1A">
            <w:pPr>
              <w:jc w:val="left"/>
            </w:pPr>
            <w:r>
              <w:rPr>
                <w:sz w:val="24"/>
              </w:rPr>
              <w:t>自基金合同生效起至今</w:t>
            </w:r>
          </w:p>
        </w:tc>
        <w:tc>
          <w:tcPr>
            <w:tcW w:w="1233" w:type="dxa"/>
            <w:vAlign w:val="center"/>
          </w:tcPr>
          <w:p w:rsidR="00B5600D" w:rsidRDefault="00D91A1A">
            <w:pPr>
              <w:jc w:val="center"/>
            </w:pPr>
            <w:r>
              <w:rPr>
                <w:sz w:val="24"/>
              </w:rPr>
              <w:t>17.1046%</w:t>
            </w:r>
          </w:p>
        </w:tc>
        <w:tc>
          <w:tcPr>
            <w:tcW w:w="1233" w:type="dxa"/>
            <w:vAlign w:val="center"/>
          </w:tcPr>
          <w:p w:rsidR="00B5600D" w:rsidRDefault="00D91A1A">
            <w:pPr>
              <w:jc w:val="center"/>
            </w:pPr>
            <w:r>
              <w:rPr>
                <w:sz w:val="24"/>
              </w:rPr>
              <w:t>0.0081%</w:t>
            </w:r>
          </w:p>
        </w:tc>
        <w:tc>
          <w:tcPr>
            <w:tcW w:w="1233" w:type="dxa"/>
            <w:vAlign w:val="center"/>
          </w:tcPr>
          <w:p w:rsidR="00B5600D" w:rsidRDefault="00D91A1A">
            <w:pPr>
              <w:jc w:val="center"/>
            </w:pPr>
            <w:r>
              <w:rPr>
                <w:sz w:val="24"/>
              </w:rPr>
              <w:t>6.4911%</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10.6135%</w:t>
            </w:r>
          </w:p>
        </w:tc>
        <w:tc>
          <w:tcPr>
            <w:tcW w:w="1233" w:type="dxa"/>
            <w:vAlign w:val="center"/>
          </w:tcPr>
          <w:p w:rsidR="00B5600D" w:rsidRDefault="00D91A1A">
            <w:pPr>
              <w:jc w:val="center"/>
            </w:pPr>
            <w:r>
              <w:rPr>
                <w:sz w:val="24"/>
              </w:rPr>
              <w:t>0.0081%</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B5600D" w:rsidRDefault="00D91A1A">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Default="00063497" w:rsidP="00E83006">
      <w:pPr>
        <w:tabs>
          <w:tab w:val="left" w:pos="426"/>
        </w:tabs>
        <w:spacing w:before="29" w:line="288" w:lineRule="auto"/>
        <w:jc w:val="left"/>
        <w:rPr>
          <w:kern w:val="0"/>
          <w:sz w:val="24"/>
        </w:rPr>
      </w:pPr>
      <w:r w:rsidRPr="00E83006">
        <w:rPr>
          <w:rFonts w:hint="eastAsia"/>
          <w:kern w:val="0"/>
          <w:sz w:val="24"/>
        </w:rPr>
        <w:t xml:space="preserve">    3</w:t>
      </w:r>
      <w:r w:rsidRPr="00E83006">
        <w:rPr>
          <w:rFonts w:hint="eastAsia"/>
          <w:kern w:val="0"/>
          <w:sz w:val="24"/>
        </w:rPr>
        <w:t>、本基金的业绩比较基准为人民币七天通知存款税后利率。</w:t>
      </w:r>
    </w:p>
    <w:p w:rsidR="00FE34B9" w:rsidRPr="00274ECB" w:rsidRDefault="00FE34B9" w:rsidP="00274ECB">
      <w:pPr>
        <w:pStyle w:val="21"/>
        <w:spacing w:before="29" w:line="288" w:lineRule="auto"/>
        <w:ind w:firstLineChars="0" w:firstLine="420"/>
        <w:rPr>
          <w:rFonts w:ascii="Times New Roman" w:hAnsi="Times New Roman"/>
          <w:b/>
          <w:color w:val="auto"/>
        </w:rPr>
      </w:pPr>
    </w:p>
    <w:p w:rsidR="00063497" w:rsidRPr="00274ECB" w:rsidRDefault="00063497" w:rsidP="00274ECB">
      <w:pPr>
        <w:pStyle w:val="21"/>
        <w:spacing w:before="29" w:line="288" w:lineRule="auto"/>
        <w:ind w:firstLineChars="0" w:firstLine="420"/>
        <w:rPr>
          <w:rFonts w:ascii="Times New Roman" w:hAnsi="Times New Roman"/>
          <w:b/>
          <w:color w:val="auto"/>
        </w:rPr>
      </w:pPr>
      <w:r w:rsidRPr="00274ECB">
        <w:rPr>
          <w:rFonts w:ascii="Times New Roman" w:hAnsi="Times New Roman" w:hint="eastAsia"/>
          <w:b/>
          <w:color w:val="auto"/>
        </w:rPr>
        <w:t>2</w:t>
      </w:r>
      <w:r w:rsidRPr="00274ECB">
        <w:rPr>
          <w:rFonts w:ascii="Times New Roman" w:hAnsi="Times New Roman" w:hint="eastAsia"/>
          <w:b/>
          <w:color w:val="auto"/>
        </w:rPr>
        <w:t>．</w:t>
      </w:r>
      <w:r w:rsidR="00D32085">
        <w:rPr>
          <w:rFonts w:ascii="Times New Roman" w:hAnsi="Times New Roman" w:hint="eastAsia"/>
          <w:b/>
          <w:color w:val="auto"/>
        </w:rPr>
        <w:t>交银理财</w:t>
      </w:r>
      <w:r w:rsidR="00D32085">
        <w:rPr>
          <w:rFonts w:ascii="Times New Roman" w:hAnsi="Times New Roman" w:hint="eastAsia"/>
          <w:b/>
          <w:color w:val="auto"/>
        </w:rPr>
        <w:t>60</w:t>
      </w:r>
      <w:r w:rsidR="00D32085">
        <w:rPr>
          <w:rFonts w:ascii="Times New Roman" w:hAnsi="Times New Roman" w:hint="eastAsia"/>
          <w:b/>
          <w:color w:val="auto"/>
        </w:rPr>
        <w:t>天债券</w:t>
      </w:r>
      <w:r w:rsidR="00D32085">
        <w:rPr>
          <w:rFonts w:ascii="Times New Roman" w:hAnsi="Times New Roman" w:hint="eastAsia"/>
          <w:b/>
          <w:color w:val="auto"/>
        </w:rPr>
        <w:t>B</w:t>
      </w:r>
      <w:r w:rsidRPr="00274ECB">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D0515B" w:rsidTr="00023CE7">
        <w:tc>
          <w:tcPr>
            <w:tcW w:w="17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阶段</w:t>
            </w:r>
          </w:p>
        </w:tc>
        <w:tc>
          <w:tcPr>
            <w:tcW w:w="1326" w:type="dxa"/>
            <w:shd w:val="clear" w:color="auto" w:fill="auto"/>
            <w:vAlign w:val="center"/>
          </w:tcPr>
          <w:p w:rsidR="00063497" w:rsidRPr="00274ECB"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净值收益率①</w:t>
            </w:r>
          </w:p>
        </w:tc>
        <w:tc>
          <w:tcPr>
            <w:tcW w:w="1327" w:type="dxa"/>
            <w:shd w:val="clear" w:color="auto" w:fill="auto"/>
            <w:vAlign w:val="center"/>
          </w:tcPr>
          <w:p w:rsidR="00063497" w:rsidRPr="00274ECB"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份额</w:t>
            </w:r>
            <w:r w:rsidR="00063497" w:rsidRPr="00274ECB">
              <w:rPr>
                <w:rFonts w:ascii="Times New Roman" w:hAnsi="Times New Roman" w:hint="eastAsia"/>
                <w:kern w:val="2"/>
              </w:rPr>
              <w:t>净值收益率标准差②</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业绩比较基准收益率标准差④</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①</w:t>
            </w:r>
            <w:r w:rsidRPr="00274ECB">
              <w:rPr>
                <w:rFonts w:ascii="Times New Roman" w:hAnsi="Times New Roman" w:hint="eastAsia"/>
                <w:kern w:val="2"/>
              </w:rPr>
              <w:t>-</w:t>
            </w:r>
            <w:r w:rsidRPr="00274ECB">
              <w:rPr>
                <w:rFonts w:ascii="Times New Roman" w:hAnsi="Times New Roman" w:hint="eastAsia"/>
                <w:kern w:val="2"/>
              </w:rPr>
              <w:t>③</w:t>
            </w:r>
          </w:p>
        </w:tc>
        <w:tc>
          <w:tcPr>
            <w:tcW w:w="1327" w:type="dxa"/>
            <w:shd w:val="clear" w:color="auto" w:fill="auto"/>
            <w:vAlign w:val="center"/>
          </w:tcPr>
          <w:p w:rsidR="00063497" w:rsidRPr="00274ECB"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274ECB">
              <w:rPr>
                <w:rFonts w:ascii="Times New Roman" w:hAnsi="Times New Roman" w:hint="eastAsia"/>
                <w:kern w:val="2"/>
              </w:rPr>
              <w:t>②</w:t>
            </w:r>
            <w:r w:rsidRPr="00274ECB">
              <w:rPr>
                <w:rFonts w:ascii="Times New Roman" w:hAnsi="Times New Roman" w:hint="eastAsia"/>
                <w:kern w:val="2"/>
              </w:rPr>
              <w:t>-</w:t>
            </w:r>
            <w:r w:rsidRPr="00274ECB">
              <w:rPr>
                <w:rFonts w:ascii="Times New Roman" w:hAnsi="Times New Roman" w:hint="eastAsia"/>
                <w:kern w:val="2"/>
              </w:rPr>
              <w:t>④</w:t>
            </w:r>
          </w:p>
        </w:tc>
      </w:tr>
      <w:tr w:rsidR="00B5600D">
        <w:tc>
          <w:tcPr>
            <w:tcW w:w="1600" w:type="dxa"/>
            <w:vAlign w:val="center"/>
          </w:tcPr>
          <w:p w:rsidR="00B5600D" w:rsidRDefault="00D91A1A">
            <w:pPr>
              <w:jc w:val="left"/>
            </w:pPr>
            <w:r>
              <w:rPr>
                <w:sz w:val="24"/>
              </w:rPr>
              <w:t>过去三个月</w:t>
            </w:r>
          </w:p>
        </w:tc>
        <w:tc>
          <w:tcPr>
            <w:tcW w:w="1233" w:type="dxa"/>
            <w:vAlign w:val="center"/>
          </w:tcPr>
          <w:p w:rsidR="00B5600D" w:rsidRDefault="00D91A1A">
            <w:pPr>
              <w:jc w:val="center"/>
            </w:pPr>
            <w:r>
              <w:rPr>
                <w:sz w:val="24"/>
              </w:rPr>
              <w:t>1.1379%</w:t>
            </w:r>
          </w:p>
        </w:tc>
        <w:tc>
          <w:tcPr>
            <w:tcW w:w="1233" w:type="dxa"/>
            <w:vAlign w:val="center"/>
          </w:tcPr>
          <w:p w:rsidR="00B5600D" w:rsidRDefault="00D91A1A">
            <w:pPr>
              <w:jc w:val="center"/>
            </w:pPr>
            <w:r>
              <w:rPr>
                <w:sz w:val="24"/>
              </w:rPr>
              <w:t>0.0007%</w:t>
            </w:r>
          </w:p>
        </w:tc>
        <w:tc>
          <w:tcPr>
            <w:tcW w:w="1233" w:type="dxa"/>
            <w:vAlign w:val="center"/>
          </w:tcPr>
          <w:p w:rsidR="00B5600D" w:rsidRDefault="00D91A1A">
            <w:pPr>
              <w:jc w:val="center"/>
            </w:pPr>
            <w:r>
              <w:rPr>
                <w:sz w:val="24"/>
              </w:rPr>
              <w:t>0.3403%</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0.7976%</w:t>
            </w:r>
          </w:p>
        </w:tc>
        <w:tc>
          <w:tcPr>
            <w:tcW w:w="1233" w:type="dxa"/>
            <w:vAlign w:val="center"/>
          </w:tcPr>
          <w:p w:rsidR="00B5600D" w:rsidRDefault="00D91A1A">
            <w:pPr>
              <w:jc w:val="center"/>
            </w:pPr>
            <w:r>
              <w:rPr>
                <w:sz w:val="24"/>
              </w:rPr>
              <w:t>0.0007%</w:t>
            </w:r>
          </w:p>
        </w:tc>
      </w:tr>
      <w:tr w:rsidR="00B5600D">
        <w:tc>
          <w:tcPr>
            <w:tcW w:w="1600" w:type="dxa"/>
            <w:vAlign w:val="center"/>
          </w:tcPr>
          <w:p w:rsidR="00B5600D" w:rsidRDefault="00D91A1A">
            <w:pPr>
              <w:jc w:val="left"/>
            </w:pPr>
            <w:r>
              <w:rPr>
                <w:sz w:val="24"/>
              </w:rPr>
              <w:t>过去六个月</w:t>
            </w:r>
          </w:p>
        </w:tc>
        <w:tc>
          <w:tcPr>
            <w:tcW w:w="1233" w:type="dxa"/>
            <w:vAlign w:val="center"/>
          </w:tcPr>
          <w:p w:rsidR="00B5600D" w:rsidRDefault="00D91A1A">
            <w:pPr>
              <w:jc w:val="center"/>
            </w:pPr>
            <w:r>
              <w:rPr>
                <w:sz w:val="24"/>
              </w:rPr>
              <w:t>2.2425%</w:t>
            </w:r>
          </w:p>
        </w:tc>
        <w:tc>
          <w:tcPr>
            <w:tcW w:w="1233" w:type="dxa"/>
            <w:vAlign w:val="center"/>
          </w:tcPr>
          <w:p w:rsidR="00B5600D" w:rsidRDefault="00D91A1A">
            <w:pPr>
              <w:jc w:val="center"/>
            </w:pPr>
            <w:r>
              <w:rPr>
                <w:sz w:val="24"/>
              </w:rPr>
              <w:t>0.0007%</w:t>
            </w:r>
          </w:p>
        </w:tc>
        <w:tc>
          <w:tcPr>
            <w:tcW w:w="1233" w:type="dxa"/>
            <w:vAlign w:val="center"/>
          </w:tcPr>
          <w:p w:rsidR="00B5600D" w:rsidRDefault="00D91A1A">
            <w:pPr>
              <w:jc w:val="center"/>
            </w:pPr>
            <w:r>
              <w:rPr>
                <w:sz w:val="24"/>
              </w:rPr>
              <w:t>0.6805%</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1.5620%</w:t>
            </w:r>
          </w:p>
        </w:tc>
        <w:tc>
          <w:tcPr>
            <w:tcW w:w="1233" w:type="dxa"/>
            <w:vAlign w:val="center"/>
          </w:tcPr>
          <w:p w:rsidR="00B5600D" w:rsidRDefault="00D91A1A">
            <w:pPr>
              <w:jc w:val="center"/>
            </w:pPr>
            <w:r>
              <w:rPr>
                <w:sz w:val="24"/>
              </w:rPr>
              <w:t>0.0007%</w:t>
            </w:r>
          </w:p>
        </w:tc>
      </w:tr>
      <w:tr w:rsidR="00B5600D">
        <w:tc>
          <w:tcPr>
            <w:tcW w:w="1600" w:type="dxa"/>
            <w:vAlign w:val="center"/>
          </w:tcPr>
          <w:p w:rsidR="00B5600D" w:rsidRDefault="00D91A1A">
            <w:pPr>
              <w:jc w:val="left"/>
            </w:pPr>
            <w:r>
              <w:rPr>
                <w:sz w:val="24"/>
              </w:rPr>
              <w:t>过去一年</w:t>
            </w:r>
          </w:p>
        </w:tc>
        <w:tc>
          <w:tcPr>
            <w:tcW w:w="1233" w:type="dxa"/>
            <w:vAlign w:val="center"/>
          </w:tcPr>
          <w:p w:rsidR="00B5600D" w:rsidRDefault="00D91A1A">
            <w:pPr>
              <w:jc w:val="center"/>
            </w:pPr>
            <w:r>
              <w:rPr>
                <w:sz w:val="24"/>
              </w:rPr>
              <w:t>4.3180%</w:t>
            </w:r>
          </w:p>
        </w:tc>
        <w:tc>
          <w:tcPr>
            <w:tcW w:w="1233" w:type="dxa"/>
            <w:vAlign w:val="center"/>
          </w:tcPr>
          <w:p w:rsidR="00B5600D" w:rsidRDefault="00D91A1A">
            <w:pPr>
              <w:jc w:val="center"/>
            </w:pPr>
            <w:r>
              <w:rPr>
                <w:sz w:val="24"/>
              </w:rPr>
              <w:t>0.0010%</w:t>
            </w:r>
          </w:p>
        </w:tc>
        <w:tc>
          <w:tcPr>
            <w:tcW w:w="1233" w:type="dxa"/>
            <w:vAlign w:val="center"/>
          </w:tcPr>
          <w:p w:rsidR="00B5600D" w:rsidRDefault="00D91A1A">
            <w:pPr>
              <w:jc w:val="center"/>
            </w:pPr>
            <w:r>
              <w:rPr>
                <w:sz w:val="24"/>
              </w:rPr>
              <w:t>1.3500%</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2.9680%</w:t>
            </w:r>
          </w:p>
        </w:tc>
        <w:tc>
          <w:tcPr>
            <w:tcW w:w="1233" w:type="dxa"/>
            <w:vAlign w:val="center"/>
          </w:tcPr>
          <w:p w:rsidR="00B5600D" w:rsidRDefault="00D91A1A">
            <w:pPr>
              <w:jc w:val="center"/>
            </w:pPr>
            <w:r>
              <w:rPr>
                <w:sz w:val="24"/>
              </w:rPr>
              <w:t>0.0010%</w:t>
            </w:r>
          </w:p>
        </w:tc>
      </w:tr>
      <w:tr w:rsidR="00B5600D">
        <w:tc>
          <w:tcPr>
            <w:tcW w:w="1600" w:type="dxa"/>
            <w:vAlign w:val="center"/>
          </w:tcPr>
          <w:p w:rsidR="00B5600D" w:rsidRDefault="00D91A1A">
            <w:pPr>
              <w:jc w:val="left"/>
            </w:pPr>
            <w:r>
              <w:rPr>
                <w:sz w:val="24"/>
              </w:rPr>
              <w:t>过去三年</w:t>
            </w:r>
          </w:p>
        </w:tc>
        <w:tc>
          <w:tcPr>
            <w:tcW w:w="1233" w:type="dxa"/>
            <w:vAlign w:val="center"/>
          </w:tcPr>
          <w:p w:rsidR="00B5600D" w:rsidRDefault="00D91A1A">
            <w:pPr>
              <w:jc w:val="center"/>
            </w:pPr>
            <w:r>
              <w:rPr>
                <w:sz w:val="24"/>
              </w:rPr>
              <w:t>9.8426%</w:t>
            </w:r>
          </w:p>
        </w:tc>
        <w:tc>
          <w:tcPr>
            <w:tcW w:w="1233" w:type="dxa"/>
            <w:vAlign w:val="center"/>
          </w:tcPr>
          <w:p w:rsidR="00B5600D" w:rsidRDefault="00D91A1A">
            <w:pPr>
              <w:jc w:val="center"/>
            </w:pPr>
            <w:r>
              <w:rPr>
                <w:sz w:val="24"/>
              </w:rPr>
              <w:t>0.0088%</w:t>
            </w:r>
          </w:p>
        </w:tc>
        <w:tc>
          <w:tcPr>
            <w:tcW w:w="1233" w:type="dxa"/>
            <w:vAlign w:val="center"/>
          </w:tcPr>
          <w:p w:rsidR="00B5600D" w:rsidRDefault="00D91A1A">
            <w:pPr>
              <w:jc w:val="center"/>
            </w:pPr>
            <w:r>
              <w:rPr>
                <w:sz w:val="24"/>
              </w:rPr>
              <w:t>4.0537%</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5.7889%</w:t>
            </w:r>
          </w:p>
        </w:tc>
        <w:tc>
          <w:tcPr>
            <w:tcW w:w="1233" w:type="dxa"/>
            <w:vAlign w:val="center"/>
          </w:tcPr>
          <w:p w:rsidR="00B5600D" w:rsidRDefault="00D91A1A">
            <w:pPr>
              <w:jc w:val="center"/>
            </w:pPr>
            <w:r>
              <w:rPr>
                <w:sz w:val="24"/>
              </w:rPr>
              <w:t>0.0088%</w:t>
            </w:r>
          </w:p>
        </w:tc>
      </w:tr>
      <w:tr w:rsidR="00B5600D">
        <w:tc>
          <w:tcPr>
            <w:tcW w:w="1600" w:type="dxa"/>
            <w:vAlign w:val="center"/>
          </w:tcPr>
          <w:p w:rsidR="00B5600D" w:rsidRDefault="00D91A1A">
            <w:pPr>
              <w:jc w:val="left"/>
            </w:pPr>
            <w:r>
              <w:rPr>
                <w:sz w:val="24"/>
              </w:rPr>
              <w:t>自基金合同生效起至今</w:t>
            </w:r>
          </w:p>
        </w:tc>
        <w:tc>
          <w:tcPr>
            <w:tcW w:w="1233" w:type="dxa"/>
            <w:vAlign w:val="center"/>
          </w:tcPr>
          <w:p w:rsidR="00B5600D" w:rsidRDefault="00D91A1A">
            <w:pPr>
              <w:jc w:val="center"/>
            </w:pPr>
            <w:r>
              <w:rPr>
                <w:sz w:val="24"/>
              </w:rPr>
              <w:t>15.1749%</w:t>
            </w:r>
          </w:p>
        </w:tc>
        <w:tc>
          <w:tcPr>
            <w:tcW w:w="1233" w:type="dxa"/>
            <w:vAlign w:val="center"/>
          </w:tcPr>
          <w:p w:rsidR="00B5600D" w:rsidRDefault="00D91A1A">
            <w:pPr>
              <w:jc w:val="center"/>
            </w:pPr>
            <w:r>
              <w:rPr>
                <w:sz w:val="24"/>
              </w:rPr>
              <w:t>0.0083%</w:t>
            </w:r>
          </w:p>
        </w:tc>
        <w:tc>
          <w:tcPr>
            <w:tcW w:w="1233" w:type="dxa"/>
            <w:vAlign w:val="center"/>
          </w:tcPr>
          <w:p w:rsidR="00B5600D" w:rsidRDefault="00D91A1A">
            <w:pPr>
              <w:jc w:val="center"/>
            </w:pPr>
            <w:r>
              <w:rPr>
                <w:sz w:val="24"/>
              </w:rPr>
              <w:t>6.4911%</w:t>
            </w:r>
          </w:p>
        </w:tc>
        <w:tc>
          <w:tcPr>
            <w:tcW w:w="1233" w:type="dxa"/>
            <w:vAlign w:val="center"/>
          </w:tcPr>
          <w:p w:rsidR="00B5600D" w:rsidRDefault="00D91A1A">
            <w:pPr>
              <w:jc w:val="center"/>
            </w:pPr>
            <w:r>
              <w:rPr>
                <w:sz w:val="24"/>
              </w:rPr>
              <w:t>0.0000%</w:t>
            </w:r>
          </w:p>
        </w:tc>
        <w:tc>
          <w:tcPr>
            <w:tcW w:w="1233" w:type="dxa"/>
            <w:vAlign w:val="center"/>
          </w:tcPr>
          <w:p w:rsidR="00B5600D" w:rsidRDefault="00D91A1A">
            <w:pPr>
              <w:jc w:val="center"/>
            </w:pPr>
            <w:r>
              <w:rPr>
                <w:sz w:val="24"/>
              </w:rPr>
              <w:t>8.6838%</w:t>
            </w:r>
          </w:p>
        </w:tc>
        <w:tc>
          <w:tcPr>
            <w:tcW w:w="1233" w:type="dxa"/>
            <w:vAlign w:val="center"/>
          </w:tcPr>
          <w:p w:rsidR="00B5600D" w:rsidRDefault="00D91A1A">
            <w:pPr>
              <w:jc w:val="center"/>
            </w:pPr>
            <w:r>
              <w:rPr>
                <w:sz w:val="24"/>
              </w:rPr>
              <w:t>0.0083%</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、本表净值收益率数据所取的基金运作周期为基金合同生效日为起始日的运作周期。</w:t>
      </w:r>
    </w:p>
    <w:p w:rsidR="00B5600D" w:rsidRDefault="00D91A1A">
      <w:pPr>
        <w:tabs>
          <w:tab w:val="left" w:pos="426"/>
        </w:tabs>
        <w:spacing w:before="29" w:line="288" w:lineRule="auto"/>
        <w:jc w:val="left"/>
        <w:rPr>
          <w:kern w:val="0"/>
          <w:sz w:val="24"/>
        </w:rPr>
      </w:pPr>
      <w:r>
        <w:rPr>
          <w:rFonts w:hint="eastAsia"/>
          <w:kern w:val="0"/>
          <w:sz w:val="24"/>
        </w:rPr>
        <w:t xml:space="preserve">    2</w:t>
      </w:r>
      <w:r>
        <w:rPr>
          <w:rFonts w:hint="eastAsia"/>
          <w:kern w:val="0"/>
          <w:sz w:val="24"/>
        </w:rPr>
        <w:t>、本基金每日计算当日收益并分配，并在运作期期末集中支付。</w:t>
      </w:r>
    </w:p>
    <w:p w:rsidR="00063497" w:rsidRPr="00274ECB" w:rsidRDefault="00D32085" w:rsidP="00274ECB">
      <w:pPr>
        <w:tabs>
          <w:tab w:val="left" w:pos="426"/>
        </w:tabs>
        <w:spacing w:before="29" w:line="288" w:lineRule="auto"/>
        <w:jc w:val="left"/>
        <w:rPr>
          <w:kern w:val="0"/>
          <w:sz w:val="24"/>
        </w:rPr>
      </w:pPr>
      <w:r>
        <w:rPr>
          <w:rFonts w:hint="eastAsia"/>
          <w:kern w:val="0"/>
          <w:sz w:val="24"/>
        </w:rPr>
        <w:t xml:space="preserve">    3</w:t>
      </w:r>
      <w:r>
        <w:rPr>
          <w:rFonts w:hint="eastAsia"/>
          <w:kern w:val="0"/>
          <w:sz w:val="24"/>
        </w:rPr>
        <w:t>、本基金的业绩比较基准为人民币七天通知存款税后利率。</w:t>
      </w:r>
    </w:p>
    <w:p w:rsidR="00B64D02" w:rsidRPr="00D0515B" w:rsidRDefault="00B64D02" w:rsidP="00F14B96">
      <w:pPr>
        <w:tabs>
          <w:tab w:val="left" w:pos="426"/>
        </w:tabs>
        <w:spacing w:before="29" w:line="288" w:lineRule="auto"/>
        <w:jc w:val="left"/>
        <w:rPr>
          <w:rFonts w:asciiTheme="minorEastAsia" w:eastAsiaTheme="minorEastAsia" w:hAnsiTheme="minorEastAsia"/>
          <w:szCs w:val="21"/>
        </w:rPr>
      </w:pPr>
    </w:p>
    <w:p w:rsidR="00C071A4" w:rsidRPr="004D7955" w:rsidRDefault="00C071A4" w:rsidP="004D7955">
      <w:pPr>
        <w:spacing w:before="29" w:line="288" w:lineRule="auto"/>
        <w:rPr>
          <w:b/>
          <w:kern w:val="0"/>
          <w:sz w:val="24"/>
        </w:rPr>
      </w:pPr>
      <w:r w:rsidRPr="004D7955">
        <w:rPr>
          <w:rFonts w:hint="eastAsia"/>
          <w:b/>
          <w:kern w:val="0"/>
          <w:sz w:val="24"/>
        </w:rPr>
        <w:t>3.2.2</w:t>
      </w:r>
      <w:r w:rsidR="00111305">
        <w:rPr>
          <w:rFonts w:hint="eastAsia"/>
          <w:b/>
          <w:kern w:val="0"/>
          <w:sz w:val="24"/>
        </w:rPr>
        <w:t xml:space="preserve"> </w:t>
      </w:r>
      <w:r w:rsidR="00111305" w:rsidRPr="00F0306B">
        <w:rPr>
          <w:b/>
          <w:kern w:val="0"/>
          <w:sz w:val="24"/>
        </w:rPr>
        <w:t>自基金合同生效以来</w:t>
      </w:r>
      <w:r w:rsidRPr="004D7955">
        <w:rPr>
          <w:b/>
          <w:kern w:val="0"/>
          <w:sz w:val="24"/>
        </w:rPr>
        <w:t>基金</w:t>
      </w:r>
      <w:r w:rsidR="009945D1" w:rsidRPr="004D7955">
        <w:rPr>
          <w:rFonts w:hint="eastAsia"/>
          <w:b/>
          <w:kern w:val="0"/>
          <w:sz w:val="24"/>
        </w:rPr>
        <w:t>份额</w:t>
      </w:r>
      <w:r w:rsidRPr="004D7955">
        <w:rPr>
          <w:b/>
          <w:kern w:val="0"/>
          <w:sz w:val="24"/>
        </w:rPr>
        <w:t>累计净值收益率变动及其与同期业绩比较基准收益率变动的比较</w:t>
      </w:r>
      <w:r w:rsidRPr="004D7955">
        <w:rPr>
          <w:b/>
          <w:kern w:val="0"/>
          <w:sz w:val="24"/>
        </w:rPr>
        <w:t xml:space="preserve"> </w:t>
      </w:r>
    </w:p>
    <w:p w:rsidR="00223DFB" w:rsidRPr="004D7955" w:rsidRDefault="00223DFB" w:rsidP="004D7955">
      <w:pPr>
        <w:snapToGrid w:val="0"/>
        <w:spacing w:before="29" w:line="288" w:lineRule="auto"/>
        <w:ind w:firstLine="420"/>
        <w:rPr>
          <w:sz w:val="24"/>
        </w:rPr>
      </w:pPr>
      <w:r w:rsidRPr="004D7955">
        <w:rPr>
          <w:rFonts w:hint="eastAsia"/>
          <w:sz w:val="24"/>
        </w:rPr>
        <w:t>1</w:t>
      </w:r>
      <w:r w:rsidRPr="004D7955">
        <w:rPr>
          <w:rFonts w:hint="eastAsia"/>
          <w:sz w:val="24"/>
        </w:rPr>
        <w:t>、交银理财</w:t>
      </w:r>
      <w:r w:rsidRPr="004D7955">
        <w:rPr>
          <w:rFonts w:hint="eastAsia"/>
          <w:sz w:val="24"/>
        </w:rPr>
        <w:t>60</w:t>
      </w:r>
      <w:r w:rsidRPr="004D7955">
        <w:rPr>
          <w:rFonts w:hint="eastAsia"/>
          <w:sz w:val="24"/>
        </w:rPr>
        <w:t>天债券</w:t>
      </w:r>
      <w:r w:rsidRPr="004D7955">
        <w:rPr>
          <w:rFonts w:hint="eastAsia"/>
          <w:sz w:val="24"/>
        </w:rPr>
        <w:t>A</w:t>
      </w:r>
    </w:p>
    <w:p w:rsidR="00223DFB" w:rsidRPr="00D0515B"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4D7955" w:rsidRDefault="00223DFB" w:rsidP="004D7955">
      <w:pPr>
        <w:spacing w:before="29" w:line="288" w:lineRule="auto"/>
        <w:rPr>
          <w:kern w:val="0"/>
          <w:sz w:val="24"/>
        </w:rPr>
      </w:pPr>
      <w:r w:rsidRPr="004D7955">
        <w:rPr>
          <w:rFonts w:hint="eastAsia"/>
          <w:kern w:val="0"/>
          <w:sz w:val="24"/>
        </w:rPr>
        <w:t>注：本基金建仓期为自基金合同生效日起的</w:t>
      </w:r>
      <w:r w:rsidRPr="004D7955">
        <w:rPr>
          <w:rFonts w:hint="eastAsia"/>
          <w:kern w:val="0"/>
          <w:sz w:val="24"/>
        </w:rPr>
        <w:t>2</w:t>
      </w:r>
      <w:r w:rsidRPr="004D7955">
        <w:rPr>
          <w:rFonts w:hint="eastAsia"/>
          <w:kern w:val="0"/>
          <w:sz w:val="24"/>
        </w:rPr>
        <w:t>个月。截至建仓期结束，本基金各项资产配置比例符合基金合同及招募说明书有关投资比例的约定。</w:t>
      </w:r>
    </w:p>
    <w:p w:rsidR="00223DFB" w:rsidRPr="004D7955" w:rsidRDefault="00223DFB" w:rsidP="004D7955">
      <w:pPr>
        <w:snapToGrid w:val="0"/>
        <w:spacing w:before="29" w:line="288" w:lineRule="auto"/>
        <w:ind w:firstLine="420"/>
        <w:rPr>
          <w:sz w:val="24"/>
        </w:rPr>
      </w:pPr>
      <w:r w:rsidRPr="004D7955">
        <w:rPr>
          <w:rFonts w:hint="eastAsia"/>
          <w:sz w:val="24"/>
        </w:rPr>
        <w:t>2</w:t>
      </w:r>
      <w:r w:rsidRPr="004D795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672F1E"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注：本基金建仓期为自基金合同生效日起的</w:t>
      </w:r>
      <w:r>
        <w:rPr>
          <w:rFonts w:eastAsiaTheme="minorEastAsia" w:hint="eastAsia"/>
          <w:kern w:val="0"/>
          <w:sz w:val="24"/>
        </w:rPr>
        <w:t>2</w:t>
      </w:r>
      <w:r>
        <w:rPr>
          <w:rFonts w:eastAsiaTheme="minorEastAsia" w:hint="eastAsia"/>
          <w:kern w:val="0"/>
          <w:sz w:val="24"/>
        </w:rPr>
        <w:t>个月。截至建仓期结束，本基金各项资产配置比例符合基金合同及招募说明书有关投资比例的约定。</w:t>
      </w:r>
    </w:p>
    <w:p w:rsidR="00A5153D" w:rsidRPr="00A74F64" w:rsidRDefault="00A5153D" w:rsidP="00A74F64">
      <w:pPr>
        <w:tabs>
          <w:tab w:val="left" w:pos="426"/>
        </w:tabs>
        <w:spacing w:before="29" w:line="288" w:lineRule="auto"/>
        <w:jc w:val="left"/>
        <w:rPr>
          <w:rFonts w:eastAsiaTheme="minorEastAsia"/>
          <w:kern w:val="0"/>
          <w:sz w:val="24"/>
        </w:rPr>
      </w:pPr>
    </w:p>
    <w:p w:rsidR="00223DFB" w:rsidRPr="00D0515B" w:rsidRDefault="00223DFB" w:rsidP="004B36C2">
      <w:pPr>
        <w:spacing w:line="360" w:lineRule="auto"/>
        <w:rPr>
          <w:rFonts w:asciiTheme="minorEastAsia" w:eastAsiaTheme="minorEastAsia" w:hAnsiTheme="minorEastAsia"/>
          <w:szCs w:val="21"/>
        </w:rPr>
      </w:pPr>
    </w:p>
    <w:p w:rsidR="00223DFB" w:rsidRPr="00A74F64" w:rsidRDefault="00223DFB" w:rsidP="00A74F64">
      <w:pPr>
        <w:spacing w:before="29" w:line="288" w:lineRule="auto"/>
        <w:rPr>
          <w:b/>
          <w:kern w:val="0"/>
          <w:sz w:val="24"/>
        </w:rPr>
      </w:pPr>
      <w:r w:rsidRPr="00A74F64">
        <w:rPr>
          <w:rFonts w:hint="eastAsia"/>
          <w:b/>
          <w:kern w:val="0"/>
          <w:sz w:val="24"/>
        </w:rPr>
        <w:t xml:space="preserve">3.2.3 </w:t>
      </w:r>
      <w:r w:rsidR="00161E5F" w:rsidRPr="00A74F64">
        <w:rPr>
          <w:rFonts w:hint="eastAsia"/>
          <w:b/>
          <w:kern w:val="0"/>
          <w:sz w:val="24"/>
        </w:rPr>
        <w:t>自基金合同生效以来</w:t>
      </w:r>
      <w:r w:rsidR="005671B8" w:rsidRPr="00A74F64">
        <w:rPr>
          <w:rFonts w:hint="eastAsia"/>
          <w:b/>
          <w:kern w:val="0"/>
          <w:sz w:val="24"/>
        </w:rPr>
        <w:t>基金每年净值收益</w:t>
      </w:r>
      <w:r w:rsidRPr="00A74F64">
        <w:rPr>
          <w:rFonts w:hint="eastAsia"/>
          <w:b/>
          <w:kern w:val="0"/>
          <w:sz w:val="24"/>
        </w:rPr>
        <w:t>率及其与同期业绩比较基准收益率的比较</w:t>
      </w:r>
    </w:p>
    <w:p w:rsidR="00223DFB" w:rsidRPr="00A74F64" w:rsidRDefault="00912C8C" w:rsidP="00A74F64">
      <w:pPr>
        <w:snapToGrid w:val="0"/>
        <w:spacing w:before="29" w:line="288" w:lineRule="auto"/>
        <w:ind w:firstLine="420"/>
        <w:rPr>
          <w:sz w:val="24"/>
        </w:rPr>
      </w:pPr>
      <w:r w:rsidRPr="00A74F64">
        <w:rPr>
          <w:rFonts w:hint="eastAsia"/>
          <w:sz w:val="24"/>
        </w:rPr>
        <w:t>1</w:t>
      </w:r>
      <w:r w:rsidRPr="00A74F64">
        <w:rPr>
          <w:rFonts w:hint="eastAsia"/>
          <w:sz w:val="24"/>
        </w:rPr>
        <w:t>、</w:t>
      </w:r>
      <w:r w:rsidR="00223DFB" w:rsidRPr="00A74F64">
        <w:rPr>
          <w:rFonts w:hint="eastAsia"/>
          <w:sz w:val="24"/>
        </w:rPr>
        <w:t>交银理财</w:t>
      </w:r>
      <w:r w:rsidR="00223DFB" w:rsidRPr="00A74F64">
        <w:rPr>
          <w:rFonts w:hint="eastAsia"/>
          <w:sz w:val="24"/>
        </w:rPr>
        <w:t>60</w:t>
      </w:r>
      <w:r w:rsidR="00223DFB" w:rsidRPr="00A74F64">
        <w:rPr>
          <w:rFonts w:hint="eastAsia"/>
          <w:sz w:val="24"/>
        </w:rPr>
        <w:t>天债券</w:t>
      </w:r>
      <w:r w:rsidR="00223DFB" w:rsidRPr="00A74F64">
        <w:rPr>
          <w:rFonts w:hint="eastAsia"/>
          <w:sz w:val="24"/>
        </w:rPr>
        <w:t>A</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223DFB" w:rsidP="00A74F64">
      <w:pPr>
        <w:spacing w:before="29" w:line="288" w:lineRule="auto"/>
        <w:rPr>
          <w:kern w:val="0"/>
          <w:sz w:val="24"/>
        </w:rPr>
      </w:pPr>
      <w:r w:rsidRPr="00A74F64">
        <w:rPr>
          <w:rFonts w:hint="eastAsia"/>
          <w:kern w:val="0"/>
          <w:sz w:val="24"/>
        </w:rPr>
        <w:t>注：图示日期为</w:t>
      </w:r>
      <w:r w:rsidRPr="00A74F64">
        <w:rPr>
          <w:rFonts w:hint="eastAsia"/>
          <w:kern w:val="0"/>
          <w:sz w:val="24"/>
        </w:rPr>
        <w:t>2013</w:t>
      </w:r>
      <w:r w:rsidRPr="00A74F64">
        <w:rPr>
          <w:rFonts w:hint="eastAsia"/>
          <w:kern w:val="0"/>
          <w:sz w:val="24"/>
        </w:rPr>
        <w:t>年</w:t>
      </w:r>
      <w:r w:rsidRPr="00A74F64">
        <w:rPr>
          <w:rFonts w:hint="eastAsia"/>
          <w:kern w:val="0"/>
          <w:sz w:val="24"/>
        </w:rPr>
        <w:t>3</w:t>
      </w:r>
      <w:r w:rsidRPr="00A74F64">
        <w:rPr>
          <w:rFonts w:hint="eastAsia"/>
          <w:kern w:val="0"/>
          <w:sz w:val="24"/>
        </w:rPr>
        <w:t>月</w:t>
      </w:r>
      <w:r w:rsidRPr="00A74F64">
        <w:rPr>
          <w:rFonts w:hint="eastAsia"/>
          <w:kern w:val="0"/>
          <w:sz w:val="24"/>
        </w:rPr>
        <w:t>13</w:t>
      </w:r>
      <w:r w:rsidRPr="00A74F64">
        <w:rPr>
          <w:rFonts w:hint="eastAsia"/>
          <w:kern w:val="0"/>
          <w:sz w:val="24"/>
        </w:rPr>
        <w:t>日至</w:t>
      </w:r>
      <w:r w:rsidRPr="00A74F64">
        <w:rPr>
          <w:rFonts w:hint="eastAsia"/>
          <w:kern w:val="0"/>
          <w:sz w:val="24"/>
        </w:rPr>
        <w:t>2017</w:t>
      </w:r>
      <w:r w:rsidRPr="00A74F64">
        <w:rPr>
          <w:rFonts w:hint="eastAsia"/>
          <w:kern w:val="0"/>
          <w:sz w:val="24"/>
        </w:rPr>
        <w:t>年</w:t>
      </w:r>
      <w:r w:rsidRPr="00A74F64">
        <w:rPr>
          <w:rFonts w:hint="eastAsia"/>
          <w:kern w:val="0"/>
          <w:sz w:val="24"/>
        </w:rPr>
        <w:t>12</w:t>
      </w:r>
      <w:r w:rsidRPr="00A74F64">
        <w:rPr>
          <w:rFonts w:hint="eastAsia"/>
          <w:kern w:val="0"/>
          <w:sz w:val="24"/>
        </w:rPr>
        <w:t>月</w:t>
      </w:r>
      <w:r w:rsidRPr="00A74F64">
        <w:rPr>
          <w:rFonts w:hint="eastAsia"/>
          <w:kern w:val="0"/>
          <w:sz w:val="24"/>
        </w:rPr>
        <w:t>31</w:t>
      </w:r>
      <w:r w:rsidRPr="00A74F64">
        <w:rPr>
          <w:rFonts w:hint="eastAsia"/>
          <w:kern w:val="0"/>
          <w:sz w:val="24"/>
        </w:rPr>
        <w:t>日。基金合同生效当年的净值增长率按照当年实际存续期计算。</w:t>
      </w:r>
    </w:p>
    <w:p w:rsidR="00223DFB" w:rsidRPr="00A74F64" w:rsidRDefault="00223DFB" w:rsidP="00A74F64">
      <w:pPr>
        <w:snapToGrid w:val="0"/>
        <w:spacing w:before="29" w:line="288" w:lineRule="auto"/>
        <w:ind w:firstLine="420"/>
        <w:rPr>
          <w:sz w:val="24"/>
        </w:rPr>
      </w:pPr>
      <w:r w:rsidRPr="00A74F64">
        <w:rPr>
          <w:rFonts w:hint="eastAsia"/>
          <w:sz w:val="24"/>
        </w:rPr>
        <w:t>2</w:t>
      </w:r>
      <w:r w:rsidRPr="00A74F64">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223DFB" w:rsidRPr="00D0515B"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A74F64" w:rsidRDefault="00D32085" w:rsidP="00A74F64">
      <w:pPr>
        <w:tabs>
          <w:tab w:val="left" w:pos="426"/>
        </w:tabs>
        <w:spacing w:line="288" w:lineRule="auto"/>
        <w:jc w:val="left"/>
        <w:rPr>
          <w:rFonts w:eastAsiaTheme="minorEastAsia"/>
          <w:kern w:val="0"/>
          <w:sz w:val="24"/>
        </w:rPr>
      </w:pPr>
      <w:r>
        <w:rPr>
          <w:rFonts w:eastAsiaTheme="minorEastAsia" w:hint="eastAsia"/>
          <w:kern w:val="0"/>
          <w:sz w:val="24"/>
        </w:rPr>
        <w:t>注：图示日期为</w:t>
      </w:r>
      <w:r>
        <w:rPr>
          <w:rFonts w:eastAsiaTheme="minorEastAsia" w:hint="eastAsia"/>
          <w:kern w:val="0"/>
          <w:sz w:val="24"/>
        </w:rPr>
        <w:t>2013</w:t>
      </w:r>
      <w:r>
        <w:rPr>
          <w:rFonts w:eastAsiaTheme="minorEastAsia" w:hint="eastAsia"/>
          <w:kern w:val="0"/>
          <w:sz w:val="24"/>
        </w:rPr>
        <w:t>年</w:t>
      </w:r>
      <w:r>
        <w:rPr>
          <w:rFonts w:eastAsiaTheme="minorEastAsia" w:hint="eastAsia"/>
          <w:kern w:val="0"/>
          <w:sz w:val="24"/>
        </w:rPr>
        <w:t>3</w:t>
      </w:r>
      <w:r>
        <w:rPr>
          <w:rFonts w:eastAsiaTheme="minorEastAsia" w:hint="eastAsia"/>
          <w:kern w:val="0"/>
          <w:sz w:val="24"/>
        </w:rPr>
        <w:t>月</w:t>
      </w:r>
      <w:r>
        <w:rPr>
          <w:rFonts w:eastAsiaTheme="minorEastAsia" w:hint="eastAsia"/>
          <w:kern w:val="0"/>
          <w:sz w:val="24"/>
        </w:rPr>
        <w:t>13</w:t>
      </w:r>
      <w:r>
        <w:rPr>
          <w:rFonts w:eastAsiaTheme="minorEastAsia" w:hint="eastAsia"/>
          <w:kern w:val="0"/>
          <w:sz w:val="24"/>
        </w:rPr>
        <w:t>日至</w:t>
      </w:r>
      <w:r>
        <w:rPr>
          <w:rFonts w:eastAsiaTheme="minorEastAsia" w:hint="eastAsia"/>
          <w:kern w:val="0"/>
          <w:sz w:val="24"/>
        </w:rPr>
        <w:t>2017</w:t>
      </w:r>
      <w:r>
        <w:rPr>
          <w:rFonts w:eastAsiaTheme="minorEastAsia" w:hint="eastAsia"/>
          <w:kern w:val="0"/>
          <w:sz w:val="24"/>
        </w:rPr>
        <w:t>年</w:t>
      </w:r>
      <w:r>
        <w:rPr>
          <w:rFonts w:eastAsiaTheme="minorEastAsia" w:hint="eastAsia"/>
          <w:kern w:val="0"/>
          <w:sz w:val="24"/>
        </w:rPr>
        <w:t>12</w:t>
      </w:r>
      <w:r>
        <w:rPr>
          <w:rFonts w:eastAsiaTheme="minorEastAsia" w:hint="eastAsia"/>
          <w:kern w:val="0"/>
          <w:sz w:val="24"/>
        </w:rPr>
        <w:t>月</w:t>
      </w:r>
      <w:r>
        <w:rPr>
          <w:rFonts w:eastAsiaTheme="minorEastAsia" w:hint="eastAsia"/>
          <w:kern w:val="0"/>
          <w:sz w:val="24"/>
        </w:rPr>
        <w:t>31</w:t>
      </w:r>
      <w:r>
        <w:rPr>
          <w:rFonts w:eastAsiaTheme="minorEastAsia" w:hint="eastAsia"/>
          <w:kern w:val="0"/>
          <w:sz w:val="24"/>
        </w:rPr>
        <w:t>日。基金合同生效当年的净值增长率按照当年实际存续期计算。</w:t>
      </w:r>
    </w:p>
    <w:p w:rsidR="009A1191" w:rsidRPr="00A74F64" w:rsidRDefault="009A1191" w:rsidP="00A74F64">
      <w:pPr>
        <w:tabs>
          <w:tab w:val="left" w:pos="426"/>
        </w:tabs>
        <w:spacing w:line="288" w:lineRule="auto"/>
        <w:jc w:val="left"/>
        <w:rPr>
          <w:rFonts w:eastAsiaTheme="minorEastAsia"/>
          <w:kern w:val="0"/>
          <w:sz w:val="24"/>
        </w:rPr>
      </w:pPr>
    </w:p>
    <w:p w:rsidR="009A1191" w:rsidRPr="00D0515B"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AC6B46" w:rsidRDefault="00223DFB" w:rsidP="00504C53">
      <w:pPr>
        <w:pStyle w:val="20"/>
        <w:spacing w:before="29" w:after="0" w:line="288" w:lineRule="auto"/>
        <w:rPr>
          <w:kern w:val="0"/>
        </w:rPr>
      </w:pPr>
      <w:bookmarkStart w:id="12" w:name="_Toc509760980"/>
      <w:r w:rsidRPr="00041788">
        <w:rPr>
          <w:rFonts w:ascii="Times New Roman" w:hAnsi="Times New Roman" w:cs="Times New Roman"/>
          <w:kern w:val="0"/>
          <w:szCs w:val="24"/>
        </w:rPr>
        <w:t>3.3</w:t>
      </w:r>
      <w:r w:rsidRPr="00041788">
        <w:rPr>
          <w:rFonts w:ascii="Times New Roman" w:hAnsi="Times New Roman" w:cs="Times New Roman" w:hint="eastAsia"/>
          <w:kern w:val="0"/>
          <w:szCs w:val="24"/>
        </w:rPr>
        <w:t>过去三年基金的利润分配情况</w:t>
      </w:r>
      <w:bookmarkEnd w:id="12"/>
    </w:p>
    <w:p w:rsidR="00223DFB" w:rsidRPr="002B2C3B" w:rsidRDefault="00223DFB" w:rsidP="002B2C3B">
      <w:pPr>
        <w:pStyle w:val="21"/>
        <w:spacing w:before="29" w:line="288" w:lineRule="auto"/>
        <w:ind w:firstLineChars="0" w:firstLine="420"/>
        <w:rPr>
          <w:rFonts w:ascii="Times New Roman" w:hAnsi="Times New Roman"/>
          <w:b/>
          <w:color w:val="auto"/>
        </w:rPr>
      </w:pPr>
      <w:r w:rsidRPr="002B2C3B">
        <w:rPr>
          <w:rFonts w:ascii="Times New Roman" w:hAnsi="Times New Roman" w:hint="eastAsia"/>
          <w:b/>
          <w:color w:val="auto"/>
        </w:rPr>
        <w:t>交银理财</w:t>
      </w:r>
      <w:r w:rsidRPr="002B2C3B">
        <w:rPr>
          <w:rFonts w:ascii="Times New Roman" w:hAnsi="Times New Roman" w:hint="eastAsia"/>
          <w:b/>
          <w:color w:val="auto"/>
        </w:rPr>
        <w:t>60</w:t>
      </w:r>
      <w:r w:rsidRPr="002B2C3B">
        <w:rPr>
          <w:rFonts w:ascii="Times New Roman" w:hAnsi="Times New Roman" w:hint="eastAsia"/>
          <w:b/>
          <w:color w:val="auto"/>
        </w:rPr>
        <w:t>天债券</w:t>
      </w:r>
      <w:r w:rsidRPr="002B2C3B">
        <w:rPr>
          <w:rFonts w:ascii="Times New Roman" w:hAnsi="Times New Roman" w:hint="eastAsia"/>
          <w:b/>
          <w:color w:val="auto"/>
        </w:rPr>
        <w:t>A</w:t>
      </w:r>
      <w:r w:rsidRPr="002B2C3B">
        <w:rPr>
          <w:rFonts w:ascii="Times New Roman" w:hAnsi="Times New Roman" w:hint="eastAsia"/>
          <w:b/>
          <w:color w:val="auto"/>
        </w:rPr>
        <w:t>：</w:t>
      </w:r>
    </w:p>
    <w:p w:rsidR="00223DFB" w:rsidRPr="002B2C3B" w:rsidRDefault="00223DFB" w:rsidP="002B2C3B">
      <w:pPr>
        <w:autoSpaceDE w:val="0"/>
        <w:autoSpaceDN w:val="0"/>
        <w:adjustRightInd w:val="0"/>
        <w:spacing w:before="29" w:line="288" w:lineRule="auto"/>
        <w:ind w:left="15"/>
        <w:jc w:val="right"/>
        <w:rPr>
          <w:bCs/>
          <w:sz w:val="24"/>
        </w:rPr>
      </w:pPr>
      <w:r w:rsidRPr="002B2C3B">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已按</w:t>
            </w:r>
            <w:r w:rsidRPr="002B2C3B">
              <w:rPr>
                <w:kern w:val="0"/>
                <w:sz w:val="24"/>
              </w:rPr>
              <w:t>再投资形式</w:t>
            </w:r>
            <w:r w:rsidRPr="002B2C3B">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2B2C3B" w:rsidRDefault="000D2491" w:rsidP="002B2C3B">
            <w:pPr>
              <w:spacing w:before="29" w:line="288" w:lineRule="auto"/>
              <w:jc w:val="center"/>
              <w:rPr>
                <w:kern w:val="0"/>
                <w:sz w:val="24"/>
              </w:rPr>
            </w:pPr>
            <w:r w:rsidRPr="002B2C3B">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年度利润分配</w:t>
            </w:r>
            <w:r w:rsidRPr="002B2C3B">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2B2C3B" w:rsidRDefault="000D2491" w:rsidP="002B2C3B">
            <w:pPr>
              <w:spacing w:before="29" w:line="288" w:lineRule="auto"/>
              <w:jc w:val="center"/>
              <w:rPr>
                <w:kern w:val="0"/>
                <w:sz w:val="24"/>
              </w:rPr>
            </w:pPr>
            <w:r w:rsidRPr="002B2C3B">
              <w:rPr>
                <w:rFonts w:hint="eastAsia"/>
                <w:kern w:val="0"/>
                <w:sz w:val="24"/>
              </w:rPr>
              <w:t>备注</w:t>
            </w:r>
          </w:p>
        </w:tc>
      </w:tr>
      <w:tr w:rsidR="00B5600D">
        <w:trPr>
          <w:jc w:val="center"/>
        </w:trPr>
        <w:tc>
          <w:tcPr>
            <w:tcW w:w="1157" w:type="dxa"/>
            <w:vAlign w:val="center"/>
          </w:tcPr>
          <w:p w:rsidR="00B5600D" w:rsidRDefault="00D91A1A">
            <w:pPr>
              <w:jc w:val="center"/>
            </w:pPr>
            <w:r>
              <w:rPr>
                <w:rFonts w:hint="eastAsia"/>
                <w:color w:val="000000"/>
                <w:sz w:val="24"/>
              </w:rPr>
              <w:t>2017</w:t>
            </w:r>
            <w:r>
              <w:rPr>
                <w:rFonts w:hint="eastAsia"/>
                <w:color w:val="000000"/>
                <w:sz w:val="24"/>
              </w:rPr>
              <w:t>年</w:t>
            </w:r>
          </w:p>
        </w:tc>
        <w:tc>
          <w:tcPr>
            <w:tcW w:w="1786" w:type="dxa"/>
            <w:vAlign w:val="center"/>
          </w:tcPr>
          <w:p w:rsidR="00B5600D" w:rsidRDefault="00D91A1A">
            <w:pPr>
              <w:jc w:val="right"/>
            </w:pPr>
            <w:r>
              <w:rPr>
                <w:rFonts w:hint="eastAsia"/>
                <w:color w:val="000000"/>
                <w:sz w:val="24"/>
              </w:rPr>
              <w:t>308,243.10</w:t>
            </w:r>
          </w:p>
        </w:tc>
        <w:tc>
          <w:tcPr>
            <w:tcW w:w="1701" w:type="dxa"/>
            <w:vAlign w:val="center"/>
          </w:tcPr>
          <w:p w:rsidR="00B5600D" w:rsidRDefault="00D91A1A">
            <w:pPr>
              <w:jc w:val="right"/>
            </w:pPr>
            <w:r>
              <w:rPr>
                <w:rFonts w:hint="eastAsia"/>
                <w:color w:val="000000"/>
                <w:sz w:val="24"/>
              </w:rPr>
              <w:t>9,804.09</w:t>
            </w:r>
          </w:p>
        </w:tc>
        <w:tc>
          <w:tcPr>
            <w:tcW w:w="1680" w:type="dxa"/>
            <w:vAlign w:val="center"/>
          </w:tcPr>
          <w:p w:rsidR="00B5600D" w:rsidRDefault="00D91A1A">
            <w:pPr>
              <w:jc w:val="right"/>
            </w:pPr>
            <w:r>
              <w:rPr>
                <w:rFonts w:hint="eastAsia"/>
                <w:color w:val="000000"/>
                <w:sz w:val="24"/>
              </w:rPr>
              <w:t>11,413.58</w:t>
            </w:r>
          </w:p>
        </w:tc>
        <w:tc>
          <w:tcPr>
            <w:tcW w:w="1894" w:type="dxa"/>
            <w:vAlign w:val="center"/>
          </w:tcPr>
          <w:p w:rsidR="00B5600D" w:rsidRDefault="00D91A1A">
            <w:pPr>
              <w:jc w:val="right"/>
            </w:pPr>
            <w:r>
              <w:rPr>
                <w:rFonts w:hint="eastAsia"/>
                <w:color w:val="000000"/>
                <w:sz w:val="24"/>
              </w:rPr>
              <w:t>329,460.77</w:t>
            </w:r>
          </w:p>
        </w:tc>
        <w:tc>
          <w:tcPr>
            <w:tcW w:w="1068" w:type="dxa"/>
            <w:vAlign w:val="center"/>
          </w:tcPr>
          <w:p w:rsidR="00B5600D" w:rsidRDefault="00D91A1A">
            <w:pPr>
              <w:jc w:val="left"/>
            </w:pPr>
            <w:r>
              <w:rPr>
                <w:rFonts w:hint="eastAsia"/>
                <w:color w:val="000000"/>
                <w:sz w:val="24"/>
              </w:rPr>
              <w:t>-</w:t>
            </w:r>
          </w:p>
        </w:tc>
      </w:tr>
      <w:tr w:rsidR="00B5600D">
        <w:trPr>
          <w:jc w:val="center"/>
        </w:trPr>
        <w:tc>
          <w:tcPr>
            <w:tcW w:w="1157" w:type="dxa"/>
            <w:vAlign w:val="center"/>
          </w:tcPr>
          <w:p w:rsidR="00B5600D" w:rsidRDefault="00D91A1A">
            <w:pPr>
              <w:jc w:val="center"/>
            </w:pPr>
            <w:r>
              <w:rPr>
                <w:rFonts w:hint="eastAsia"/>
                <w:color w:val="000000"/>
                <w:sz w:val="24"/>
              </w:rPr>
              <w:t>2016</w:t>
            </w:r>
            <w:r>
              <w:rPr>
                <w:rFonts w:hint="eastAsia"/>
                <w:color w:val="000000"/>
                <w:sz w:val="24"/>
              </w:rPr>
              <w:t>年</w:t>
            </w:r>
          </w:p>
        </w:tc>
        <w:tc>
          <w:tcPr>
            <w:tcW w:w="1786" w:type="dxa"/>
            <w:vAlign w:val="center"/>
          </w:tcPr>
          <w:p w:rsidR="00B5600D" w:rsidRDefault="00D91A1A">
            <w:pPr>
              <w:jc w:val="right"/>
            </w:pPr>
            <w:r>
              <w:rPr>
                <w:rFonts w:hint="eastAsia"/>
                <w:color w:val="000000"/>
                <w:sz w:val="24"/>
              </w:rPr>
              <w:t>148,340.75</w:t>
            </w:r>
          </w:p>
        </w:tc>
        <w:tc>
          <w:tcPr>
            <w:tcW w:w="1701" w:type="dxa"/>
            <w:vAlign w:val="center"/>
          </w:tcPr>
          <w:p w:rsidR="00B5600D" w:rsidRDefault="00D91A1A">
            <w:pPr>
              <w:jc w:val="right"/>
            </w:pPr>
            <w:r>
              <w:rPr>
                <w:rFonts w:hint="eastAsia"/>
                <w:color w:val="000000"/>
                <w:sz w:val="24"/>
              </w:rPr>
              <w:t>10,364.44</w:t>
            </w:r>
          </w:p>
        </w:tc>
        <w:tc>
          <w:tcPr>
            <w:tcW w:w="1680" w:type="dxa"/>
            <w:vAlign w:val="center"/>
          </w:tcPr>
          <w:p w:rsidR="00B5600D" w:rsidRDefault="00D91A1A">
            <w:pPr>
              <w:jc w:val="right"/>
            </w:pPr>
            <w:r>
              <w:rPr>
                <w:rFonts w:hint="eastAsia"/>
                <w:color w:val="000000"/>
                <w:sz w:val="24"/>
              </w:rPr>
              <w:t>3,718.67</w:t>
            </w:r>
          </w:p>
        </w:tc>
        <w:tc>
          <w:tcPr>
            <w:tcW w:w="1894" w:type="dxa"/>
            <w:vAlign w:val="center"/>
          </w:tcPr>
          <w:p w:rsidR="00B5600D" w:rsidRDefault="00D91A1A">
            <w:pPr>
              <w:jc w:val="right"/>
            </w:pPr>
            <w:r>
              <w:rPr>
                <w:rFonts w:hint="eastAsia"/>
                <w:color w:val="000000"/>
                <w:sz w:val="24"/>
              </w:rPr>
              <w:t>162,423.86</w:t>
            </w:r>
          </w:p>
        </w:tc>
        <w:tc>
          <w:tcPr>
            <w:tcW w:w="1068" w:type="dxa"/>
            <w:vAlign w:val="center"/>
          </w:tcPr>
          <w:p w:rsidR="00B5600D" w:rsidRDefault="00D91A1A">
            <w:pPr>
              <w:jc w:val="left"/>
            </w:pPr>
            <w:r>
              <w:rPr>
                <w:rFonts w:hint="eastAsia"/>
                <w:color w:val="000000"/>
                <w:sz w:val="24"/>
              </w:rPr>
              <w:t>-</w:t>
            </w:r>
          </w:p>
        </w:tc>
      </w:tr>
      <w:tr w:rsidR="00B5600D">
        <w:trPr>
          <w:jc w:val="center"/>
        </w:trPr>
        <w:tc>
          <w:tcPr>
            <w:tcW w:w="1157" w:type="dxa"/>
            <w:vAlign w:val="center"/>
          </w:tcPr>
          <w:p w:rsidR="00B5600D" w:rsidRDefault="00D91A1A">
            <w:pPr>
              <w:jc w:val="center"/>
            </w:pPr>
            <w:r>
              <w:rPr>
                <w:rFonts w:hint="eastAsia"/>
                <w:color w:val="000000"/>
                <w:sz w:val="24"/>
              </w:rPr>
              <w:t>2015</w:t>
            </w:r>
            <w:r>
              <w:rPr>
                <w:rFonts w:hint="eastAsia"/>
                <w:color w:val="000000"/>
                <w:sz w:val="24"/>
              </w:rPr>
              <w:t>年</w:t>
            </w:r>
          </w:p>
        </w:tc>
        <w:tc>
          <w:tcPr>
            <w:tcW w:w="1786" w:type="dxa"/>
            <w:vAlign w:val="center"/>
          </w:tcPr>
          <w:p w:rsidR="00B5600D" w:rsidRDefault="00D91A1A">
            <w:pPr>
              <w:jc w:val="right"/>
            </w:pPr>
            <w:r>
              <w:rPr>
                <w:rFonts w:hint="eastAsia"/>
                <w:color w:val="000000"/>
                <w:sz w:val="24"/>
              </w:rPr>
              <w:t>381,615.91</w:t>
            </w:r>
          </w:p>
        </w:tc>
        <w:tc>
          <w:tcPr>
            <w:tcW w:w="1701" w:type="dxa"/>
            <w:vAlign w:val="center"/>
          </w:tcPr>
          <w:p w:rsidR="00B5600D" w:rsidRDefault="00D91A1A">
            <w:pPr>
              <w:jc w:val="right"/>
            </w:pPr>
            <w:r>
              <w:rPr>
                <w:rFonts w:hint="eastAsia"/>
                <w:color w:val="000000"/>
                <w:sz w:val="24"/>
              </w:rPr>
              <w:t>82,329.40</w:t>
            </w:r>
          </w:p>
        </w:tc>
        <w:tc>
          <w:tcPr>
            <w:tcW w:w="1680" w:type="dxa"/>
            <w:vAlign w:val="center"/>
          </w:tcPr>
          <w:p w:rsidR="00B5600D" w:rsidRDefault="00D91A1A">
            <w:pPr>
              <w:jc w:val="right"/>
            </w:pPr>
            <w:r>
              <w:rPr>
                <w:rFonts w:hint="eastAsia"/>
                <w:color w:val="000000"/>
                <w:sz w:val="24"/>
              </w:rPr>
              <w:t>-51,706.45</w:t>
            </w:r>
          </w:p>
        </w:tc>
        <w:tc>
          <w:tcPr>
            <w:tcW w:w="1894" w:type="dxa"/>
            <w:vAlign w:val="center"/>
          </w:tcPr>
          <w:p w:rsidR="00B5600D" w:rsidRDefault="00D91A1A">
            <w:pPr>
              <w:jc w:val="right"/>
            </w:pPr>
            <w:r>
              <w:rPr>
                <w:rFonts w:hint="eastAsia"/>
                <w:color w:val="000000"/>
                <w:sz w:val="24"/>
              </w:rPr>
              <w:t>412,238.86</w:t>
            </w:r>
          </w:p>
        </w:tc>
        <w:tc>
          <w:tcPr>
            <w:tcW w:w="1068" w:type="dxa"/>
            <w:vAlign w:val="center"/>
          </w:tcPr>
          <w:p w:rsidR="00B5600D" w:rsidRDefault="00D91A1A">
            <w:pPr>
              <w:jc w:val="left"/>
            </w:pPr>
            <w:r>
              <w:rPr>
                <w:rFonts w:hint="eastAsia"/>
                <w:color w:val="000000"/>
                <w:sz w:val="24"/>
              </w:rPr>
              <w:t>-</w:t>
            </w:r>
          </w:p>
        </w:tc>
      </w:tr>
      <w:tr w:rsidR="002C233F" w:rsidRPr="00D0515B"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2B2C3B">
            <w:pPr>
              <w:spacing w:before="29" w:line="288" w:lineRule="auto"/>
              <w:jc w:val="center"/>
              <w:rPr>
                <w:rFonts w:asciiTheme="minorEastAsia" w:eastAsiaTheme="minorEastAsia" w:hAnsiTheme="minorEastAsia"/>
                <w:szCs w:val="21"/>
              </w:rPr>
            </w:pPr>
            <w:r w:rsidRPr="002B2C3B">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838,199.76</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102,497.93</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-36,574.20</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904,123.49</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2B2C3B" w:rsidRDefault="00223DFB" w:rsidP="007008A7">
            <w:pPr>
              <w:spacing w:before="29" w:line="288" w:lineRule="auto"/>
              <w:jc w:val="right"/>
              <w:rPr>
                <w:sz w:val="24"/>
              </w:rPr>
            </w:pPr>
            <w:r w:rsidRPr="002B2C3B">
              <w:rPr>
                <w:rFonts w:hint="eastAsia"/>
                <w:sz w:val="24"/>
              </w:rPr>
              <w:t>-</w:t>
            </w:r>
          </w:p>
        </w:tc>
      </w:tr>
    </w:tbl>
    <w:p w:rsidR="00DB128A" w:rsidRDefault="00DB128A" w:rsidP="00C114E5">
      <w:pPr>
        <w:tabs>
          <w:tab w:val="left" w:pos="426"/>
        </w:tabs>
        <w:spacing w:before="29" w:line="288" w:lineRule="auto"/>
        <w:jc w:val="left"/>
        <w:rPr>
          <w:kern w:val="0"/>
          <w:sz w:val="24"/>
        </w:rPr>
      </w:pPr>
    </w:p>
    <w:p w:rsidR="00223DFB" w:rsidRPr="002B2C3B" w:rsidRDefault="00D32085" w:rsidP="002B2C3B">
      <w:pPr>
        <w:pStyle w:val="21"/>
        <w:spacing w:before="29" w:line="288" w:lineRule="auto"/>
        <w:ind w:firstLineChars="0" w:firstLine="420"/>
        <w:rPr>
          <w:rFonts w:ascii="Times New Roman" w:hAnsi="Times New Roman"/>
          <w:b/>
          <w:color w:val="auto"/>
        </w:rPr>
      </w:pPr>
      <w:r>
        <w:rPr>
          <w:rFonts w:ascii="Times New Roman" w:hAnsi="Times New Roman" w:hint="eastAsia"/>
          <w:b/>
          <w:color w:val="auto"/>
        </w:rPr>
        <w:t>交银理财</w:t>
      </w:r>
      <w:r>
        <w:rPr>
          <w:rFonts w:ascii="Times New Roman" w:hAnsi="Times New Roman" w:hint="eastAsia"/>
          <w:b/>
          <w:color w:val="auto"/>
        </w:rPr>
        <w:t>60</w:t>
      </w:r>
      <w:r>
        <w:rPr>
          <w:rFonts w:ascii="Times New Roman" w:hAnsi="Times New Roman" w:hint="eastAsia"/>
          <w:b/>
          <w:color w:val="auto"/>
        </w:rPr>
        <w:t>天债券</w:t>
      </w:r>
      <w:r>
        <w:rPr>
          <w:rFonts w:ascii="Times New Roman" w:hAnsi="Times New Roman" w:hint="eastAsia"/>
          <w:b/>
          <w:color w:val="auto"/>
        </w:rPr>
        <w:t>B</w:t>
      </w:r>
      <w:r w:rsidR="00223DFB" w:rsidRPr="002B2C3B">
        <w:rPr>
          <w:rFonts w:ascii="Times New Roman" w:hAnsi="Times New Roman" w:hint="eastAsia"/>
          <w:b/>
          <w:color w:val="auto"/>
        </w:rPr>
        <w:t>：</w:t>
      </w:r>
    </w:p>
    <w:p w:rsidR="00223DFB" w:rsidRPr="00EA66AA" w:rsidRDefault="00223DFB" w:rsidP="00EA66AA">
      <w:pPr>
        <w:autoSpaceDE w:val="0"/>
        <w:autoSpaceDN w:val="0"/>
        <w:adjustRightInd w:val="0"/>
        <w:spacing w:before="29" w:line="288" w:lineRule="auto"/>
        <w:ind w:left="15"/>
        <w:jc w:val="right"/>
        <w:rPr>
          <w:bCs/>
          <w:sz w:val="24"/>
        </w:rPr>
      </w:pPr>
      <w:r w:rsidRPr="00EA66AA">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已按</w:t>
            </w:r>
            <w:r w:rsidRPr="00EA66AA">
              <w:rPr>
                <w:kern w:val="0"/>
                <w:sz w:val="24"/>
              </w:rPr>
              <w:t>再投资形式</w:t>
            </w:r>
            <w:r w:rsidRPr="00EA66AA">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A66AA" w:rsidRDefault="000D2491" w:rsidP="00EA66AA">
            <w:pPr>
              <w:spacing w:before="29" w:line="288" w:lineRule="auto"/>
              <w:jc w:val="center"/>
              <w:rPr>
                <w:kern w:val="0"/>
                <w:sz w:val="24"/>
              </w:rPr>
            </w:pPr>
            <w:r w:rsidRPr="00EA66AA">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年度利润分配</w:t>
            </w:r>
            <w:r w:rsidRPr="00EA66AA">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A66AA" w:rsidRDefault="000D2491" w:rsidP="00EA66AA">
            <w:pPr>
              <w:spacing w:before="29" w:line="288" w:lineRule="auto"/>
              <w:jc w:val="center"/>
              <w:rPr>
                <w:kern w:val="0"/>
                <w:sz w:val="24"/>
              </w:rPr>
            </w:pPr>
            <w:r w:rsidRPr="00EA66AA">
              <w:rPr>
                <w:rFonts w:hint="eastAsia"/>
                <w:kern w:val="0"/>
                <w:sz w:val="24"/>
              </w:rPr>
              <w:t>备注</w:t>
            </w:r>
          </w:p>
        </w:tc>
      </w:tr>
      <w:tr w:rsidR="00B5600D">
        <w:trPr>
          <w:jc w:val="center"/>
        </w:trPr>
        <w:tc>
          <w:tcPr>
            <w:tcW w:w="1157" w:type="dxa"/>
            <w:vAlign w:val="center"/>
          </w:tcPr>
          <w:p w:rsidR="00B5600D" w:rsidRDefault="00D91A1A">
            <w:pPr>
              <w:jc w:val="center"/>
            </w:pPr>
            <w:r>
              <w:rPr>
                <w:rFonts w:hint="eastAsia"/>
                <w:color w:val="000000"/>
                <w:sz w:val="24"/>
              </w:rPr>
              <w:t>2017</w:t>
            </w:r>
            <w:r>
              <w:rPr>
                <w:rFonts w:hint="eastAsia"/>
                <w:color w:val="000000"/>
                <w:sz w:val="24"/>
              </w:rPr>
              <w:t>年</w:t>
            </w:r>
          </w:p>
        </w:tc>
        <w:tc>
          <w:tcPr>
            <w:tcW w:w="1786" w:type="dxa"/>
            <w:vAlign w:val="center"/>
          </w:tcPr>
          <w:p w:rsidR="00B5600D" w:rsidRDefault="00D91A1A">
            <w:pPr>
              <w:jc w:val="right"/>
            </w:pPr>
            <w:r>
              <w:rPr>
                <w:rFonts w:hint="eastAsia"/>
                <w:color w:val="000000"/>
                <w:sz w:val="24"/>
              </w:rPr>
              <w:t>100,893,227.54</w:t>
            </w:r>
          </w:p>
        </w:tc>
        <w:tc>
          <w:tcPr>
            <w:tcW w:w="1701" w:type="dxa"/>
            <w:vAlign w:val="center"/>
          </w:tcPr>
          <w:p w:rsidR="00B5600D" w:rsidRDefault="00D91A1A">
            <w:pPr>
              <w:jc w:val="right"/>
            </w:pPr>
            <w:r>
              <w:rPr>
                <w:rFonts w:hint="eastAsia"/>
                <w:color w:val="000000"/>
                <w:sz w:val="24"/>
              </w:rPr>
              <w:t>732,802.59</w:t>
            </w:r>
          </w:p>
        </w:tc>
        <w:tc>
          <w:tcPr>
            <w:tcW w:w="1680" w:type="dxa"/>
            <w:vAlign w:val="center"/>
          </w:tcPr>
          <w:p w:rsidR="00B5600D" w:rsidRDefault="00D91A1A">
            <w:pPr>
              <w:jc w:val="right"/>
            </w:pPr>
            <w:r>
              <w:rPr>
                <w:rFonts w:hint="eastAsia"/>
                <w:color w:val="000000"/>
                <w:sz w:val="24"/>
              </w:rPr>
              <w:t>6,693,144.35</w:t>
            </w:r>
          </w:p>
        </w:tc>
        <w:tc>
          <w:tcPr>
            <w:tcW w:w="1894" w:type="dxa"/>
            <w:vAlign w:val="center"/>
          </w:tcPr>
          <w:p w:rsidR="00B5600D" w:rsidRDefault="00D91A1A">
            <w:pPr>
              <w:jc w:val="right"/>
            </w:pPr>
            <w:r>
              <w:rPr>
                <w:rFonts w:hint="eastAsia"/>
                <w:color w:val="000000"/>
                <w:sz w:val="24"/>
              </w:rPr>
              <w:t>108,319,174.48</w:t>
            </w:r>
          </w:p>
        </w:tc>
        <w:tc>
          <w:tcPr>
            <w:tcW w:w="1068" w:type="dxa"/>
            <w:vAlign w:val="center"/>
          </w:tcPr>
          <w:p w:rsidR="00B5600D" w:rsidRDefault="00D91A1A">
            <w:pPr>
              <w:jc w:val="left"/>
            </w:pPr>
            <w:r>
              <w:rPr>
                <w:rFonts w:hint="eastAsia"/>
                <w:color w:val="000000"/>
                <w:sz w:val="24"/>
              </w:rPr>
              <w:t>-</w:t>
            </w:r>
          </w:p>
        </w:tc>
      </w:tr>
      <w:tr w:rsidR="00B5600D">
        <w:trPr>
          <w:jc w:val="center"/>
        </w:trPr>
        <w:tc>
          <w:tcPr>
            <w:tcW w:w="1157" w:type="dxa"/>
            <w:vAlign w:val="center"/>
          </w:tcPr>
          <w:p w:rsidR="00B5600D" w:rsidRDefault="00D91A1A">
            <w:pPr>
              <w:jc w:val="center"/>
            </w:pPr>
            <w:r>
              <w:rPr>
                <w:rFonts w:hint="eastAsia"/>
                <w:color w:val="000000"/>
                <w:sz w:val="24"/>
              </w:rPr>
              <w:t>2016</w:t>
            </w:r>
            <w:r>
              <w:rPr>
                <w:rFonts w:hint="eastAsia"/>
                <w:color w:val="000000"/>
                <w:sz w:val="24"/>
              </w:rPr>
              <w:t>年</w:t>
            </w:r>
          </w:p>
        </w:tc>
        <w:tc>
          <w:tcPr>
            <w:tcW w:w="1786" w:type="dxa"/>
            <w:vAlign w:val="center"/>
          </w:tcPr>
          <w:p w:rsidR="00B5600D" w:rsidRDefault="00D91A1A">
            <w:pPr>
              <w:jc w:val="right"/>
            </w:pPr>
            <w:r>
              <w:rPr>
                <w:rFonts w:hint="eastAsia"/>
                <w:color w:val="000000"/>
                <w:sz w:val="24"/>
              </w:rPr>
              <w:t>8,477,941.14</w:t>
            </w:r>
          </w:p>
        </w:tc>
        <w:tc>
          <w:tcPr>
            <w:tcW w:w="1701" w:type="dxa"/>
            <w:vAlign w:val="center"/>
          </w:tcPr>
          <w:p w:rsidR="00B5600D" w:rsidRDefault="00D91A1A">
            <w:pPr>
              <w:jc w:val="right"/>
            </w:pPr>
            <w:r>
              <w:rPr>
                <w:rFonts w:hint="eastAsia"/>
                <w:color w:val="000000"/>
                <w:sz w:val="24"/>
              </w:rPr>
              <w:t>110,073.18</w:t>
            </w:r>
          </w:p>
        </w:tc>
        <w:tc>
          <w:tcPr>
            <w:tcW w:w="1680" w:type="dxa"/>
            <w:vAlign w:val="center"/>
          </w:tcPr>
          <w:p w:rsidR="00B5600D" w:rsidRDefault="00D91A1A">
            <w:pPr>
              <w:jc w:val="right"/>
            </w:pPr>
            <w:r>
              <w:rPr>
                <w:rFonts w:hint="eastAsia"/>
                <w:color w:val="000000"/>
                <w:sz w:val="24"/>
              </w:rPr>
              <w:t>3,714,353.19</w:t>
            </w:r>
          </w:p>
        </w:tc>
        <w:tc>
          <w:tcPr>
            <w:tcW w:w="1894" w:type="dxa"/>
            <w:vAlign w:val="center"/>
          </w:tcPr>
          <w:p w:rsidR="00B5600D" w:rsidRDefault="00D91A1A">
            <w:pPr>
              <w:jc w:val="right"/>
            </w:pPr>
            <w:r>
              <w:rPr>
                <w:rFonts w:hint="eastAsia"/>
                <w:color w:val="000000"/>
                <w:sz w:val="24"/>
              </w:rPr>
              <w:t>12,302,367.51</w:t>
            </w:r>
          </w:p>
        </w:tc>
        <w:tc>
          <w:tcPr>
            <w:tcW w:w="1068" w:type="dxa"/>
            <w:vAlign w:val="center"/>
          </w:tcPr>
          <w:p w:rsidR="00B5600D" w:rsidRDefault="00D91A1A">
            <w:pPr>
              <w:jc w:val="left"/>
            </w:pPr>
            <w:r>
              <w:rPr>
                <w:rFonts w:hint="eastAsia"/>
                <w:color w:val="000000"/>
                <w:sz w:val="24"/>
              </w:rPr>
              <w:t>-</w:t>
            </w:r>
          </w:p>
        </w:tc>
      </w:tr>
      <w:tr w:rsidR="00B5600D">
        <w:trPr>
          <w:jc w:val="center"/>
        </w:trPr>
        <w:tc>
          <w:tcPr>
            <w:tcW w:w="1157" w:type="dxa"/>
            <w:vAlign w:val="center"/>
          </w:tcPr>
          <w:p w:rsidR="00B5600D" w:rsidRDefault="00D91A1A">
            <w:pPr>
              <w:jc w:val="center"/>
            </w:pPr>
            <w:r>
              <w:rPr>
                <w:rFonts w:hint="eastAsia"/>
                <w:color w:val="000000"/>
                <w:sz w:val="24"/>
              </w:rPr>
              <w:t>2015</w:t>
            </w:r>
            <w:r>
              <w:rPr>
                <w:rFonts w:hint="eastAsia"/>
                <w:color w:val="000000"/>
                <w:sz w:val="24"/>
              </w:rPr>
              <w:t>年</w:t>
            </w:r>
          </w:p>
        </w:tc>
        <w:tc>
          <w:tcPr>
            <w:tcW w:w="1786" w:type="dxa"/>
            <w:vAlign w:val="center"/>
          </w:tcPr>
          <w:p w:rsidR="00B5600D" w:rsidRDefault="00D91A1A">
            <w:pPr>
              <w:jc w:val="right"/>
            </w:pPr>
            <w:r>
              <w:rPr>
                <w:rFonts w:hint="eastAsia"/>
                <w:color w:val="000000"/>
                <w:sz w:val="24"/>
              </w:rPr>
              <w:t>4,632,403.22</w:t>
            </w:r>
          </w:p>
        </w:tc>
        <w:tc>
          <w:tcPr>
            <w:tcW w:w="1701" w:type="dxa"/>
            <w:vAlign w:val="center"/>
          </w:tcPr>
          <w:p w:rsidR="00B5600D" w:rsidRDefault="00D91A1A">
            <w:pPr>
              <w:jc w:val="right"/>
            </w:pPr>
            <w:r>
              <w:rPr>
                <w:rFonts w:hint="eastAsia"/>
                <w:color w:val="000000"/>
                <w:sz w:val="24"/>
              </w:rPr>
              <w:t>5,352,747.51</w:t>
            </w:r>
          </w:p>
        </w:tc>
        <w:tc>
          <w:tcPr>
            <w:tcW w:w="1680" w:type="dxa"/>
            <w:vAlign w:val="center"/>
          </w:tcPr>
          <w:p w:rsidR="00B5600D" w:rsidRDefault="00D91A1A">
            <w:pPr>
              <w:jc w:val="right"/>
            </w:pPr>
            <w:r>
              <w:rPr>
                <w:rFonts w:hint="eastAsia"/>
                <w:color w:val="000000"/>
                <w:sz w:val="24"/>
              </w:rPr>
              <w:t>10,090.85</w:t>
            </w:r>
          </w:p>
        </w:tc>
        <w:tc>
          <w:tcPr>
            <w:tcW w:w="1894" w:type="dxa"/>
            <w:vAlign w:val="center"/>
          </w:tcPr>
          <w:p w:rsidR="00B5600D" w:rsidRDefault="00D91A1A">
            <w:pPr>
              <w:jc w:val="right"/>
            </w:pPr>
            <w:r>
              <w:rPr>
                <w:rFonts w:hint="eastAsia"/>
                <w:color w:val="000000"/>
                <w:sz w:val="24"/>
              </w:rPr>
              <w:t>9,995,241.58</w:t>
            </w:r>
          </w:p>
        </w:tc>
        <w:tc>
          <w:tcPr>
            <w:tcW w:w="1068" w:type="dxa"/>
            <w:vAlign w:val="center"/>
          </w:tcPr>
          <w:p w:rsidR="00B5600D" w:rsidRDefault="00D91A1A">
            <w:pPr>
              <w:jc w:val="left"/>
            </w:pPr>
            <w:r>
              <w:rPr>
                <w:rFonts w:hint="eastAsia"/>
                <w:color w:val="000000"/>
                <w:sz w:val="24"/>
              </w:rPr>
              <w:t>-</w:t>
            </w:r>
          </w:p>
        </w:tc>
      </w:tr>
      <w:tr w:rsidR="002C233F" w:rsidRPr="00D0515B"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EA66AA">
            <w:pPr>
              <w:spacing w:before="29" w:line="288" w:lineRule="auto"/>
              <w:jc w:val="center"/>
              <w:rPr>
                <w:rFonts w:asciiTheme="minorEastAsia" w:eastAsiaTheme="minorEastAsia" w:hAnsiTheme="minorEastAsia"/>
                <w:szCs w:val="21"/>
              </w:rPr>
            </w:pPr>
            <w:r w:rsidRPr="00EA66AA">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114,003,571.90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6,195,623.28</w:t>
            </w:r>
          </w:p>
        </w:tc>
        <w:tc>
          <w:tcPr>
            <w:tcW w:w="1680"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10,417,588.39</w:t>
            </w:r>
          </w:p>
        </w:tc>
        <w:tc>
          <w:tcPr>
            <w:tcW w:w="1894"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130,616,783.57</w:t>
            </w:r>
          </w:p>
        </w:tc>
        <w:tc>
          <w:tcPr>
            <w:tcW w:w="1068" w:type="dxa"/>
            <w:tcBorders>
              <w:top w:val="single" w:sz="4" w:space="0" w:color="auto"/>
              <w:left w:val="single" w:sz="4" w:space="0" w:color="auto"/>
              <w:bottom w:val="single" w:sz="4" w:space="0" w:color="auto"/>
              <w:right w:val="single" w:sz="4" w:space="0" w:color="auto"/>
            </w:tcBorders>
            <w:vAlign w:val="center"/>
            <w:hideMark/>
          </w:tcPr>
          <w:p w:rsidR="00223DFB" w:rsidRPr="00EA66AA" w:rsidRDefault="00D32085" w:rsidP="00D356BB">
            <w:pPr>
              <w:spacing w:before="29" w:line="288" w:lineRule="auto"/>
              <w:jc w:val="right"/>
              <w:rPr>
                <w:sz w:val="24"/>
              </w:rPr>
            </w:pPr>
            <w:r>
              <w:rPr>
                <w:rFonts w:hint="eastAsia"/>
                <w:sz w:val="24"/>
              </w:rPr>
              <w:t>-</w:t>
            </w:r>
          </w:p>
        </w:tc>
      </w:tr>
    </w:tbl>
    <w:p w:rsidR="0024602B" w:rsidRPr="001F04B9" w:rsidRDefault="0024602B" w:rsidP="001F04B9">
      <w:pPr>
        <w:tabs>
          <w:tab w:val="left" w:pos="426"/>
        </w:tabs>
        <w:spacing w:before="29" w:line="288" w:lineRule="auto"/>
        <w:jc w:val="left"/>
        <w:rPr>
          <w:kern w:val="0"/>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13" w:name="_Toc509760981"/>
      <w:r w:rsidRPr="0024602B">
        <w:rPr>
          <w:rFonts w:hint="eastAsia"/>
          <w:b/>
          <w:bCs/>
          <w:szCs w:val="24"/>
          <w:lang w:val="en-US"/>
        </w:rPr>
        <w:t>§</w:t>
      </w:r>
      <w:r w:rsidRPr="0024602B">
        <w:rPr>
          <w:rFonts w:hint="eastAsia"/>
          <w:b/>
          <w:bCs/>
          <w:szCs w:val="24"/>
          <w:lang w:val="en-US"/>
        </w:rPr>
        <w:t xml:space="preserve">4  </w:t>
      </w:r>
      <w:r w:rsidRPr="0024602B">
        <w:rPr>
          <w:rFonts w:hint="eastAsia"/>
          <w:b/>
          <w:bCs/>
          <w:szCs w:val="24"/>
          <w:lang w:val="en-US"/>
        </w:rPr>
        <w:t>管理人报告</w:t>
      </w:r>
      <w:bookmarkEnd w:id="13"/>
    </w:p>
    <w:p w:rsidR="00FB3BC2" w:rsidRPr="00FB3BC2" w:rsidRDefault="00FB3BC2" w:rsidP="00FB3BC2"/>
    <w:p w:rsidR="00223DFB" w:rsidRPr="003275B4" w:rsidRDefault="00223DFB" w:rsidP="003275B4">
      <w:pPr>
        <w:pStyle w:val="20"/>
        <w:spacing w:before="29" w:after="0" w:line="288" w:lineRule="auto"/>
        <w:rPr>
          <w:rFonts w:ascii="Times New Roman" w:hAnsi="Times New Roman" w:cs="Times New Roman"/>
          <w:kern w:val="0"/>
          <w:szCs w:val="24"/>
        </w:rPr>
      </w:pPr>
      <w:bookmarkStart w:id="14" w:name="_Toc509760982"/>
      <w:r w:rsidRPr="003275B4">
        <w:rPr>
          <w:rFonts w:ascii="Times New Roman" w:hAnsi="Times New Roman" w:cs="Times New Roman" w:hint="eastAsia"/>
          <w:kern w:val="0"/>
          <w:szCs w:val="24"/>
        </w:rPr>
        <w:t xml:space="preserve">4.1 </w:t>
      </w:r>
      <w:r w:rsidRPr="003275B4">
        <w:rPr>
          <w:rFonts w:ascii="Times New Roman" w:hAnsi="Times New Roman" w:cs="Times New Roman" w:hint="eastAsia"/>
          <w:kern w:val="0"/>
          <w:szCs w:val="24"/>
        </w:rPr>
        <w:t>基金管理人及基金经理情况</w:t>
      </w:r>
      <w:bookmarkEnd w:id="14"/>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4.1.1</w:t>
      </w:r>
      <w:r w:rsidRPr="003275B4">
        <w:rPr>
          <w:rFonts w:hint="eastAsia"/>
          <w:b/>
          <w:kern w:val="0"/>
          <w:sz w:val="24"/>
        </w:rPr>
        <w:t>基金管理人及其管理基金的经验</w:t>
      </w:r>
    </w:p>
    <w:p w:rsidR="00B5600D" w:rsidRDefault="00D91A1A">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Pr="003275B4" w:rsidRDefault="00223DFB" w:rsidP="003275B4">
      <w:pPr>
        <w:tabs>
          <w:tab w:val="left" w:pos="426"/>
        </w:tabs>
        <w:spacing w:before="29" w:line="288" w:lineRule="auto"/>
        <w:ind w:firstLineChars="200" w:firstLine="480"/>
        <w:rPr>
          <w:kern w:val="0"/>
          <w:sz w:val="24"/>
        </w:rPr>
      </w:pPr>
      <w:r w:rsidRPr="003275B4">
        <w:rPr>
          <w:rFonts w:hint="eastAsia"/>
          <w:kern w:val="0"/>
          <w:sz w:val="24"/>
        </w:rPr>
        <w:t>截至报告期末，公司管理了包括货币型、债券型、保本混合型、普通混合型和股票型在内的</w:t>
      </w:r>
      <w:r w:rsidRPr="003275B4">
        <w:rPr>
          <w:rFonts w:hint="eastAsia"/>
          <w:kern w:val="0"/>
          <w:sz w:val="24"/>
        </w:rPr>
        <w:t>78</w:t>
      </w:r>
      <w:r w:rsidRPr="003275B4">
        <w:rPr>
          <w:rFonts w:hint="eastAsia"/>
          <w:kern w:val="0"/>
          <w:sz w:val="24"/>
        </w:rPr>
        <w:t>只基金，其中股票型涵盖普通指数型、交易型开放式（</w:t>
      </w:r>
      <w:r w:rsidRPr="003275B4">
        <w:rPr>
          <w:rFonts w:hint="eastAsia"/>
          <w:kern w:val="0"/>
          <w:sz w:val="24"/>
        </w:rPr>
        <w:t>ETF</w:t>
      </w:r>
      <w:r w:rsidRPr="003275B4">
        <w:rPr>
          <w:rFonts w:hint="eastAsia"/>
          <w:kern w:val="0"/>
          <w:sz w:val="24"/>
        </w:rPr>
        <w:t>）、</w:t>
      </w:r>
      <w:r w:rsidRPr="003275B4">
        <w:rPr>
          <w:rFonts w:hint="eastAsia"/>
          <w:kern w:val="0"/>
          <w:sz w:val="24"/>
        </w:rPr>
        <w:t>QDII</w:t>
      </w:r>
      <w:r w:rsidRPr="003275B4">
        <w:rPr>
          <w:rFonts w:hint="eastAsia"/>
          <w:kern w:val="0"/>
          <w:sz w:val="24"/>
        </w:rPr>
        <w:t>等不同类型基金。</w:t>
      </w:r>
    </w:p>
    <w:p w:rsidR="00223DFB" w:rsidRPr="00D0515B" w:rsidRDefault="00223DFB" w:rsidP="008C5150">
      <w:pPr>
        <w:spacing w:line="360" w:lineRule="auto"/>
        <w:ind w:firstLineChars="200" w:firstLine="420"/>
        <w:rPr>
          <w:rFonts w:asciiTheme="minorEastAsia" w:eastAsiaTheme="minorEastAsia" w:hAnsiTheme="minorEastAsia"/>
          <w:kern w:val="0"/>
          <w:szCs w:val="21"/>
        </w:rPr>
      </w:pPr>
    </w:p>
    <w:p w:rsidR="00223DFB" w:rsidRPr="003275B4" w:rsidRDefault="00223DFB" w:rsidP="003275B4">
      <w:pPr>
        <w:autoSpaceDE w:val="0"/>
        <w:autoSpaceDN w:val="0"/>
        <w:adjustRightInd w:val="0"/>
        <w:spacing w:before="29" w:line="288" w:lineRule="auto"/>
        <w:jc w:val="left"/>
        <w:rPr>
          <w:b/>
          <w:kern w:val="0"/>
          <w:sz w:val="24"/>
        </w:rPr>
      </w:pPr>
      <w:r w:rsidRPr="003275B4">
        <w:rPr>
          <w:rFonts w:hint="eastAsia"/>
          <w:b/>
          <w:kern w:val="0"/>
          <w:sz w:val="24"/>
        </w:rPr>
        <w:t>4.1.2</w:t>
      </w:r>
      <w:r w:rsidRPr="003275B4">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2C233F" w:rsidRPr="00D0515B"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3275B4" w:rsidRDefault="00872DF5" w:rsidP="003275B4">
            <w:pPr>
              <w:spacing w:before="29" w:line="288" w:lineRule="auto"/>
              <w:jc w:val="center"/>
              <w:rPr>
                <w:sz w:val="24"/>
              </w:rPr>
            </w:pPr>
            <w:r w:rsidRPr="003275B4">
              <w:rPr>
                <w:rFonts w:hint="eastAsia"/>
                <w:sz w:val="24"/>
              </w:rPr>
              <w:t>任本基金的基金经理</w:t>
            </w:r>
          </w:p>
          <w:p w:rsidR="00223DFB" w:rsidRPr="003275B4" w:rsidRDefault="00872DF5" w:rsidP="003275B4">
            <w:pPr>
              <w:spacing w:before="29" w:line="288" w:lineRule="auto"/>
              <w:jc w:val="center"/>
              <w:rPr>
                <w:sz w:val="24"/>
              </w:rPr>
            </w:pPr>
            <w:r w:rsidRPr="003275B4">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说明</w:t>
            </w:r>
          </w:p>
        </w:tc>
      </w:tr>
      <w:tr w:rsidR="002C233F" w:rsidRPr="00D0515B"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3275B4" w:rsidRDefault="00223DFB" w:rsidP="003275B4">
            <w:pPr>
              <w:spacing w:before="29" w:line="288" w:lineRule="auto"/>
              <w:jc w:val="center"/>
              <w:rPr>
                <w:sz w:val="24"/>
              </w:rPr>
            </w:pPr>
            <w:r w:rsidRPr="003275B4">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r>
      <w:tr w:rsidR="00B5600D">
        <w:tc>
          <w:tcPr>
            <w:tcW w:w="1090" w:type="dxa"/>
            <w:vAlign w:val="center"/>
          </w:tcPr>
          <w:p w:rsidR="00B5600D" w:rsidRDefault="00D91A1A">
            <w:pPr>
              <w:jc w:val="center"/>
            </w:pPr>
            <w:r>
              <w:rPr>
                <w:rFonts w:hint="eastAsia"/>
                <w:sz w:val="24"/>
              </w:rPr>
              <w:t>连端清</w:t>
            </w:r>
          </w:p>
        </w:tc>
        <w:tc>
          <w:tcPr>
            <w:tcW w:w="1075" w:type="dxa"/>
            <w:vAlign w:val="center"/>
          </w:tcPr>
          <w:p w:rsidR="00B5600D" w:rsidRDefault="00D91A1A">
            <w:pPr>
              <w:jc w:val="center"/>
            </w:pPr>
            <w:r>
              <w:rPr>
                <w:rFonts w:hint="eastAsia"/>
                <w:sz w:val="24"/>
              </w:rPr>
              <w:t>交银货币、交银理财</w:t>
            </w:r>
            <w:r>
              <w:rPr>
                <w:rFonts w:hint="eastAsia"/>
                <w:sz w:val="24"/>
              </w:rPr>
              <w:t>60</w:t>
            </w:r>
            <w:r>
              <w:rPr>
                <w:rFonts w:hint="eastAsia"/>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615" w:type="dxa"/>
            <w:vAlign w:val="center"/>
          </w:tcPr>
          <w:p w:rsidR="00B5600D" w:rsidRDefault="00D91A1A">
            <w:pPr>
              <w:jc w:val="center"/>
            </w:pPr>
            <w:r>
              <w:rPr>
                <w:rFonts w:hint="eastAsia"/>
                <w:sz w:val="24"/>
              </w:rPr>
              <w:t>2015-10-16</w:t>
            </w:r>
          </w:p>
        </w:tc>
        <w:tc>
          <w:tcPr>
            <w:tcW w:w="1260" w:type="dxa"/>
            <w:vAlign w:val="center"/>
          </w:tcPr>
          <w:p w:rsidR="00B5600D" w:rsidRDefault="00D91A1A">
            <w:pPr>
              <w:jc w:val="center"/>
            </w:pPr>
            <w:r>
              <w:rPr>
                <w:rFonts w:hint="eastAsia"/>
                <w:sz w:val="24"/>
              </w:rPr>
              <w:t>-</w:t>
            </w:r>
          </w:p>
        </w:tc>
        <w:tc>
          <w:tcPr>
            <w:tcW w:w="1094" w:type="dxa"/>
            <w:vAlign w:val="center"/>
          </w:tcPr>
          <w:p w:rsidR="00B5600D" w:rsidRDefault="00D91A1A">
            <w:pPr>
              <w:jc w:val="center"/>
            </w:pPr>
            <w:r>
              <w:rPr>
                <w:rFonts w:hint="eastAsia"/>
                <w:sz w:val="24"/>
              </w:rPr>
              <w:t>4</w:t>
            </w:r>
            <w:r>
              <w:rPr>
                <w:rFonts w:hint="eastAsia"/>
                <w:sz w:val="24"/>
              </w:rPr>
              <w:t>年</w:t>
            </w:r>
          </w:p>
        </w:tc>
        <w:tc>
          <w:tcPr>
            <w:tcW w:w="3406" w:type="dxa"/>
            <w:vAlign w:val="center"/>
          </w:tcPr>
          <w:p w:rsidR="00B5600D" w:rsidRDefault="00D91A1A">
            <w:r>
              <w:rPr>
                <w:rFonts w:hint="eastAsia"/>
                <w:sz w:val="24"/>
              </w:rPr>
              <w:t>连端清先生，复旦大学经济学博士。历任交通银行总行金融市场部、湘财证券研究所研究员、中航信托资产管理部投资经理。</w:t>
            </w:r>
            <w:r>
              <w:rPr>
                <w:rFonts w:hint="eastAsia"/>
                <w:sz w:val="24"/>
              </w:rPr>
              <w:t>2015</w:t>
            </w:r>
            <w:r>
              <w:rPr>
                <w:rFonts w:hint="eastAsia"/>
                <w:sz w:val="24"/>
              </w:rPr>
              <w:t>年加入交银施罗德基金管理有限公司。</w:t>
            </w:r>
          </w:p>
          <w:p w:rsidR="00B5600D" w:rsidRDefault="00B5600D"/>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p>
    <w:p w:rsidR="00B5600D" w:rsidRDefault="00D91A1A">
      <w:pPr>
        <w:tabs>
          <w:tab w:val="left" w:pos="426"/>
        </w:tabs>
        <w:spacing w:before="29" w:line="288" w:lineRule="auto"/>
        <w:jc w:val="left"/>
        <w:rPr>
          <w:kern w:val="0"/>
          <w:sz w:val="24"/>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Pr>
          <w:rFonts w:hint="eastAsia"/>
          <w:kern w:val="0"/>
          <w:sz w:val="24"/>
        </w:rPr>
        <w:t xml:space="preserve"> </w:t>
      </w:r>
    </w:p>
    <w:p w:rsidR="00223DFB" w:rsidRPr="000171BE" w:rsidRDefault="00223DFB" w:rsidP="000171BE">
      <w:pPr>
        <w:tabs>
          <w:tab w:val="left" w:pos="426"/>
        </w:tabs>
        <w:spacing w:before="29" w:line="288" w:lineRule="auto"/>
        <w:jc w:val="left"/>
        <w:rPr>
          <w:kern w:val="0"/>
          <w:sz w:val="24"/>
        </w:rPr>
      </w:pPr>
      <w:r w:rsidRPr="000171BE">
        <w:rPr>
          <w:rFonts w:hint="eastAsia"/>
          <w:kern w:val="0"/>
          <w:sz w:val="24"/>
        </w:rPr>
        <w:t>3</w:t>
      </w:r>
      <w:r w:rsidRPr="000171BE">
        <w:rPr>
          <w:rFonts w:hint="eastAsia"/>
          <w:kern w:val="0"/>
          <w:sz w:val="24"/>
        </w:rPr>
        <w:t>、基金经理（或基金经理小组）期后变动（如有）敬请关注基金管理人发布的相关公告。</w:t>
      </w:r>
    </w:p>
    <w:p w:rsidR="00223DFB" w:rsidRPr="00D0515B" w:rsidRDefault="00223DFB" w:rsidP="004B36C2">
      <w:pPr>
        <w:spacing w:line="360" w:lineRule="auto"/>
        <w:rPr>
          <w:rFonts w:asciiTheme="minorEastAsia" w:eastAsiaTheme="minorEastAsia" w:hAnsiTheme="minorEastAsia"/>
          <w:szCs w:val="21"/>
        </w:rPr>
      </w:pPr>
    </w:p>
    <w:p w:rsidR="00223DFB" w:rsidRPr="00BD14C0" w:rsidRDefault="00223DFB" w:rsidP="00BD14C0">
      <w:pPr>
        <w:pStyle w:val="20"/>
        <w:spacing w:before="29" w:after="0" w:line="288" w:lineRule="auto"/>
        <w:rPr>
          <w:rFonts w:ascii="Times New Roman" w:hAnsi="Times New Roman" w:cs="Times New Roman"/>
          <w:kern w:val="0"/>
          <w:szCs w:val="24"/>
        </w:rPr>
      </w:pPr>
      <w:bookmarkStart w:id="15" w:name="_Toc509760983"/>
      <w:r w:rsidRPr="00BD14C0">
        <w:rPr>
          <w:rFonts w:ascii="Times New Roman" w:hAnsi="Times New Roman" w:cs="Times New Roman" w:hint="eastAsia"/>
          <w:kern w:val="0"/>
          <w:szCs w:val="24"/>
        </w:rPr>
        <w:t xml:space="preserve">4.2 </w:t>
      </w:r>
      <w:r w:rsidRPr="00BD14C0">
        <w:rPr>
          <w:rFonts w:ascii="Times New Roman" w:hAnsi="Times New Roman" w:cs="Times New Roman" w:hint="eastAsia"/>
          <w:kern w:val="0"/>
          <w:szCs w:val="24"/>
        </w:rPr>
        <w:t>管理人对报告期内本基金运作遵规守信情况的说明</w:t>
      </w:r>
      <w:bookmarkEnd w:id="15"/>
    </w:p>
    <w:p w:rsidR="00B5600D" w:rsidRDefault="00D91A1A">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BD14C0" w:rsidRDefault="00223DFB" w:rsidP="00BD14C0">
      <w:pPr>
        <w:tabs>
          <w:tab w:val="left" w:pos="426"/>
        </w:tabs>
        <w:spacing w:before="29" w:line="288" w:lineRule="auto"/>
        <w:ind w:firstLineChars="200" w:firstLine="480"/>
        <w:rPr>
          <w:kern w:val="0"/>
          <w:sz w:val="24"/>
        </w:rPr>
      </w:pPr>
      <w:r w:rsidRPr="00BD14C0">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pStyle w:val="20"/>
        <w:spacing w:before="29" w:after="0" w:line="288" w:lineRule="auto"/>
        <w:rPr>
          <w:rFonts w:ascii="Times New Roman" w:hAnsi="Times New Roman" w:cs="Times New Roman"/>
          <w:kern w:val="0"/>
          <w:szCs w:val="24"/>
        </w:rPr>
      </w:pPr>
      <w:bookmarkStart w:id="16" w:name="_Toc509760984"/>
      <w:r w:rsidRPr="00B50462">
        <w:rPr>
          <w:rFonts w:ascii="Times New Roman" w:hAnsi="Times New Roman" w:cs="Times New Roman" w:hint="eastAsia"/>
          <w:kern w:val="0"/>
          <w:szCs w:val="24"/>
        </w:rPr>
        <w:t xml:space="preserve">4.3 </w:t>
      </w:r>
      <w:r w:rsidRPr="00B50462">
        <w:rPr>
          <w:rFonts w:ascii="Times New Roman" w:hAnsi="Times New Roman" w:cs="Times New Roman" w:hint="eastAsia"/>
          <w:kern w:val="0"/>
          <w:szCs w:val="24"/>
        </w:rPr>
        <w:t>管理人对报告期内公平交易情况的专项说明</w:t>
      </w:r>
      <w:bookmarkEnd w:id="16"/>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4.3.1</w:t>
      </w:r>
      <w:r w:rsidRPr="00B50462">
        <w:rPr>
          <w:rFonts w:hint="eastAsia"/>
          <w:b/>
          <w:kern w:val="0"/>
          <w:sz w:val="24"/>
        </w:rPr>
        <w:t>公平交易制度和控制方法</w:t>
      </w:r>
    </w:p>
    <w:p w:rsidR="00B5600D" w:rsidRDefault="00D91A1A">
      <w:pPr>
        <w:tabs>
          <w:tab w:val="left" w:pos="426"/>
        </w:tabs>
        <w:spacing w:before="29" w:line="288" w:lineRule="auto"/>
        <w:ind w:firstLineChars="200" w:firstLine="480"/>
        <w:rPr>
          <w:kern w:val="0"/>
          <w:sz w:val="24"/>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w:t>
      </w:r>
      <w:r w:rsidRPr="00EB7915">
        <w:rPr>
          <w:rFonts w:hint="eastAsia"/>
          <w:kern w:val="0"/>
          <w:sz w:val="24"/>
        </w:rPr>
        <w:t>5</w:t>
      </w:r>
      <w:r w:rsidRPr="00EB7915">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4.3.2</w:t>
      </w:r>
      <w:r w:rsidRPr="00B50462">
        <w:rPr>
          <w:rFonts w:hint="eastAsia"/>
          <w:b/>
          <w:kern w:val="0"/>
          <w:sz w:val="24"/>
        </w:rPr>
        <w:t>公平交易制度的执行情况</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D0515B" w:rsidRDefault="00223DFB" w:rsidP="006B6A5D">
      <w:pPr>
        <w:spacing w:line="360" w:lineRule="auto"/>
        <w:jc w:val="left"/>
        <w:rPr>
          <w:rFonts w:asciiTheme="minorEastAsia" w:eastAsiaTheme="minorEastAsia" w:hAnsiTheme="minorEastAsia"/>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4.3.3</w:t>
      </w:r>
      <w:r w:rsidRPr="00B50462">
        <w:rPr>
          <w:rFonts w:hint="eastAsia"/>
          <w:b/>
          <w:kern w:val="0"/>
          <w:sz w:val="24"/>
        </w:rPr>
        <w:t>异常交易行为的专项说明</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sidRPr="00EB7915">
        <w:rPr>
          <w:rFonts w:hint="eastAsia"/>
          <w:kern w:val="0"/>
          <w:sz w:val="24"/>
        </w:rPr>
        <w:t>5%</w:t>
      </w:r>
      <w:r w:rsidRPr="00EB7915">
        <w:rPr>
          <w:rFonts w:hint="eastAsia"/>
          <w:kern w:val="0"/>
          <w:sz w:val="24"/>
        </w:rPr>
        <w:t>的情形，本基金与本公司管理的其他投资组合在不同时间窗下（如日内、</w:t>
      </w:r>
      <w:r w:rsidRPr="00EB7915">
        <w:rPr>
          <w:rFonts w:hint="eastAsia"/>
          <w:kern w:val="0"/>
          <w:sz w:val="24"/>
        </w:rPr>
        <w:t>3</w:t>
      </w:r>
      <w:r w:rsidRPr="00EB7915">
        <w:rPr>
          <w:rFonts w:hint="eastAsia"/>
          <w:kern w:val="0"/>
          <w:sz w:val="24"/>
        </w:rPr>
        <w:t>日内、</w:t>
      </w:r>
      <w:r w:rsidRPr="00EB7915">
        <w:rPr>
          <w:rFonts w:hint="eastAsia"/>
          <w:kern w:val="0"/>
          <w:sz w:val="24"/>
        </w:rPr>
        <w:t>5</w:t>
      </w:r>
      <w:r w:rsidRPr="00EB7915">
        <w:rPr>
          <w:rFonts w:hint="eastAsia"/>
          <w:kern w:val="0"/>
          <w:sz w:val="24"/>
        </w:rPr>
        <w:t>日内）同向交易的交易价差未出现异常。</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7" w:name="_Toc509760985"/>
      <w:r w:rsidRPr="00FC41CD">
        <w:rPr>
          <w:rFonts w:ascii="Times New Roman" w:hAnsi="Times New Roman" w:cs="Times New Roman" w:hint="eastAsia"/>
          <w:kern w:val="0"/>
          <w:szCs w:val="24"/>
        </w:rPr>
        <w:t xml:space="preserve">4.4 </w:t>
      </w:r>
      <w:r w:rsidRPr="00FC41CD">
        <w:rPr>
          <w:rFonts w:ascii="Times New Roman" w:hAnsi="Times New Roman" w:cs="Times New Roman" w:hint="eastAsia"/>
          <w:kern w:val="0"/>
          <w:szCs w:val="24"/>
        </w:rPr>
        <w:t>管理人对报告期内基金的投资策略和业绩表现的说明</w:t>
      </w:r>
      <w:bookmarkEnd w:id="17"/>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4.4.1</w:t>
      </w:r>
      <w:r w:rsidRPr="00B50462">
        <w:rPr>
          <w:rFonts w:hint="eastAsia"/>
          <w:b/>
          <w:kern w:val="0"/>
          <w:sz w:val="24"/>
        </w:rPr>
        <w:t>报告期内基金投资策略和运作分析</w:t>
      </w:r>
    </w:p>
    <w:p w:rsidR="00B5600D" w:rsidRDefault="00D91A1A">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主要受海外发达经济体复苏，国内房地产市场持续扩张等因素影响，国内经济整体上运行于相对舒适的区间。尽管下半年工业增加值与房地产投资等部分指标在边际上呈高位缓慢回落的走势，但受益于海外复苏，国内出口全年表现靓丽。更难得的是经济复苏并未带动物价上涨，全年</w:t>
      </w:r>
      <w:r>
        <w:rPr>
          <w:rFonts w:hint="eastAsia"/>
          <w:kern w:val="0"/>
          <w:sz w:val="24"/>
        </w:rPr>
        <w:t>CPI</w:t>
      </w:r>
      <w:r>
        <w:rPr>
          <w:rFonts w:hint="eastAsia"/>
          <w:kern w:val="0"/>
          <w:sz w:val="24"/>
        </w:rPr>
        <w:t>在低位运行。经济结构上，消费对</w:t>
      </w:r>
      <w:r>
        <w:rPr>
          <w:rFonts w:hint="eastAsia"/>
          <w:kern w:val="0"/>
          <w:sz w:val="24"/>
        </w:rPr>
        <w:t>GDP</w:t>
      </w:r>
      <w:r>
        <w:rPr>
          <w:rFonts w:hint="eastAsia"/>
          <w:kern w:val="0"/>
          <w:sz w:val="24"/>
        </w:rPr>
        <w:t>贡献较高，投资的影响继续减弱。</w:t>
      </w:r>
    </w:p>
    <w:p w:rsidR="00B5600D" w:rsidRDefault="00D91A1A">
      <w:pPr>
        <w:tabs>
          <w:tab w:val="left" w:pos="426"/>
        </w:tabs>
        <w:spacing w:before="29" w:line="288" w:lineRule="auto"/>
        <w:ind w:firstLineChars="200" w:firstLine="480"/>
        <w:rPr>
          <w:kern w:val="0"/>
          <w:sz w:val="24"/>
        </w:rPr>
      </w:pPr>
      <w:r>
        <w:rPr>
          <w:rFonts w:hint="eastAsia"/>
          <w:kern w:val="0"/>
          <w:sz w:val="24"/>
        </w:rPr>
        <w:t>相对较好的经济表现显著增强了海内外监管当局推动货币政策回归正常化的决心与力度。尤其在国内，监管当局全面着手清理过去几年出现的金融乱象，“加强金融监管，严控金融风险”成为今年金融领域的关键词，监管政策再次成为今年债市波动的核心变量。货币政策上，央行今年通过上调公开市场操作利率，谨慎引导存贷款等资金利率上行，</w:t>
      </w:r>
      <w:r>
        <w:rPr>
          <w:rFonts w:hint="eastAsia"/>
          <w:kern w:val="0"/>
          <w:sz w:val="24"/>
        </w:rPr>
        <w:t>2</w:t>
      </w:r>
      <w:r>
        <w:rPr>
          <w:rFonts w:hint="eastAsia"/>
          <w:kern w:val="0"/>
          <w:sz w:val="24"/>
        </w:rPr>
        <w:t>月</w:t>
      </w:r>
      <w:r>
        <w:rPr>
          <w:rFonts w:hint="eastAsia"/>
          <w:kern w:val="0"/>
          <w:sz w:val="24"/>
        </w:rPr>
        <w:t>3</w:t>
      </w:r>
      <w:r>
        <w:rPr>
          <w:rFonts w:hint="eastAsia"/>
          <w:kern w:val="0"/>
          <w:sz w:val="24"/>
        </w:rPr>
        <w:t>日与</w:t>
      </w:r>
      <w:r>
        <w:rPr>
          <w:rFonts w:hint="eastAsia"/>
          <w:kern w:val="0"/>
          <w:sz w:val="24"/>
        </w:rPr>
        <w:t>3</w:t>
      </w:r>
      <w:r>
        <w:rPr>
          <w:rFonts w:hint="eastAsia"/>
          <w:kern w:val="0"/>
          <w:sz w:val="24"/>
        </w:rPr>
        <w:t>月</w:t>
      </w:r>
      <w:r>
        <w:rPr>
          <w:rFonts w:hint="eastAsia"/>
          <w:kern w:val="0"/>
          <w:sz w:val="24"/>
        </w:rPr>
        <w:t>16</w:t>
      </w:r>
      <w:r>
        <w:rPr>
          <w:rFonts w:hint="eastAsia"/>
          <w:kern w:val="0"/>
          <w:sz w:val="24"/>
        </w:rPr>
        <w:t>日央行两次上调公开市场操作利率及</w:t>
      </w:r>
      <w:r>
        <w:rPr>
          <w:rFonts w:hint="eastAsia"/>
          <w:kern w:val="0"/>
          <w:sz w:val="24"/>
        </w:rPr>
        <w:t>SLF</w:t>
      </w:r>
      <w:r>
        <w:rPr>
          <w:rFonts w:hint="eastAsia"/>
          <w:kern w:val="0"/>
          <w:sz w:val="24"/>
        </w:rPr>
        <w:t>等定向工具利率，</w:t>
      </w:r>
      <w:r>
        <w:rPr>
          <w:rFonts w:hint="eastAsia"/>
          <w:kern w:val="0"/>
          <w:sz w:val="24"/>
        </w:rPr>
        <w:t>12</w:t>
      </w:r>
      <w:r>
        <w:rPr>
          <w:rFonts w:hint="eastAsia"/>
          <w:kern w:val="0"/>
          <w:sz w:val="24"/>
        </w:rPr>
        <w:t>月</w:t>
      </w:r>
      <w:r>
        <w:rPr>
          <w:rFonts w:hint="eastAsia"/>
          <w:kern w:val="0"/>
          <w:sz w:val="24"/>
        </w:rPr>
        <w:t>14</w:t>
      </w:r>
      <w:r>
        <w:rPr>
          <w:rFonts w:hint="eastAsia"/>
          <w:kern w:val="0"/>
          <w:sz w:val="24"/>
        </w:rPr>
        <w:t>日央行小幅提升公开市场及</w:t>
      </w:r>
      <w:r>
        <w:rPr>
          <w:rFonts w:hint="eastAsia"/>
          <w:kern w:val="0"/>
          <w:sz w:val="24"/>
        </w:rPr>
        <w:t>MLF</w:t>
      </w:r>
      <w:r>
        <w:rPr>
          <w:rFonts w:hint="eastAsia"/>
          <w:kern w:val="0"/>
          <w:sz w:val="24"/>
        </w:rPr>
        <w:t>操作利率</w:t>
      </w:r>
      <w:r>
        <w:rPr>
          <w:rFonts w:hint="eastAsia"/>
          <w:kern w:val="0"/>
          <w:sz w:val="24"/>
        </w:rPr>
        <w:t>5</w:t>
      </w:r>
      <w:r>
        <w:rPr>
          <w:rFonts w:hint="eastAsia"/>
          <w:kern w:val="0"/>
          <w:sz w:val="24"/>
        </w:rPr>
        <w:t>个</w:t>
      </w:r>
      <w:r>
        <w:rPr>
          <w:rFonts w:hint="eastAsia"/>
          <w:kern w:val="0"/>
          <w:sz w:val="24"/>
        </w:rPr>
        <w:t>BP</w:t>
      </w:r>
      <w:r>
        <w:rPr>
          <w:rFonts w:hint="eastAsia"/>
          <w:kern w:val="0"/>
          <w:sz w:val="24"/>
        </w:rPr>
        <w:t>。监管政策上，金融监管政策朝着防控金融风险方向持续收紧。四月份银监会政策转向防控风控、加强银行业监管，</w:t>
      </w:r>
      <w:r>
        <w:rPr>
          <w:rFonts w:hint="eastAsia"/>
          <w:kern w:val="0"/>
          <w:sz w:val="24"/>
        </w:rPr>
        <w:t>11</w:t>
      </w:r>
      <w:r>
        <w:rPr>
          <w:rFonts w:hint="eastAsia"/>
          <w:kern w:val="0"/>
          <w:sz w:val="24"/>
        </w:rPr>
        <w:t>月</w:t>
      </w:r>
      <w:r>
        <w:rPr>
          <w:rFonts w:hint="eastAsia"/>
          <w:kern w:val="0"/>
          <w:sz w:val="24"/>
        </w:rPr>
        <w:t>8</w:t>
      </w:r>
      <w:r>
        <w:rPr>
          <w:rFonts w:hint="eastAsia"/>
          <w:kern w:val="0"/>
          <w:sz w:val="24"/>
        </w:rPr>
        <w:t>日国务院金融稳定发展委员会正式成立并召开第一次会议，</w:t>
      </w:r>
      <w:r>
        <w:rPr>
          <w:rFonts w:hint="eastAsia"/>
          <w:kern w:val="0"/>
          <w:sz w:val="24"/>
        </w:rPr>
        <w:t>11</w:t>
      </w:r>
      <w:r>
        <w:rPr>
          <w:rFonts w:hint="eastAsia"/>
          <w:kern w:val="0"/>
          <w:sz w:val="24"/>
        </w:rPr>
        <w:t>月</w:t>
      </w:r>
      <w:r>
        <w:rPr>
          <w:rFonts w:hint="eastAsia"/>
          <w:kern w:val="0"/>
          <w:sz w:val="24"/>
        </w:rPr>
        <w:t>17</w:t>
      </w:r>
      <w:r>
        <w:rPr>
          <w:rFonts w:hint="eastAsia"/>
          <w:kern w:val="0"/>
          <w:sz w:val="24"/>
        </w:rPr>
        <w:t>日央行发布《关于规范金融机构资产管理业务的指导意见（征求意见稿）》，资管业务结构重塑大幕开启。</w:t>
      </w:r>
    </w:p>
    <w:p w:rsidR="00B5600D" w:rsidRDefault="00D91A1A">
      <w:pPr>
        <w:tabs>
          <w:tab w:val="left" w:pos="426"/>
        </w:tabs>
        <w:spacing w:before="29" w:line="288" w:lineRule="auto"/>
        <w:ind w:firstLineChars="200" w:firstLine="480"/>
        <w:rPr>
          <w:kern w:val="0"/>
          <w:sz w:val="24"/>
        </w:rPr>
      </w:pPr>
      <w:r>
        <w:rPr>
          <w:rFonts w:hint="eastAsia"/>
          <w:kern w:val="0"/>
          <w:sz w:val="24"/>
        </w:rPr>
        <w:t>资金面上，除三季度与年底几个交易日有所趋紧之外，今年市场资金面整体平稳，但是资金价格中枢较去年整体上移。受监管趋严等影响，同业存款与同业存单收益率较去年大幅上行。受经济基本面好于预期，金融监管政策超预期严格等因素影响，今年债券整体上经历大幅调整，银行间市场</w:t>
      </w:r>
      <w:r>
        <w:rPr>
          <w:rFonts w:hint="eastAsia"/>
          <w:kern w:val="0"/>
          <w:sz w:val="24"/>
        </w:rPr>
        <w:t>10</w:t>
      </w:r>
      <w:r>
        <w:rPr>
          <w:rFonts w:hint="eastAsia"/>
          <w:kern w:val="0"/>
          <w:sz w:val="24"/>
        </w:rPr>
        <w:t>年期国开债年底</w:t>
      </w:r>
      <w:r>
        <w:rPr>
          <w:rFonts w:hint="eastAsia"/>
          <w:kern w:val="0"/>
          <w:sz w:val="24"/>
        </w:rPr>
        <w:t>YTM</w:t>
      </w:r>
      <w:r>
        <w:rPr>
          <w:rFonts w:hint="eastAsia"/>
          <w:kern w:val="0"/>
          <w:sz w:val="24"/>
        </w:rPr>
        <w:t>较去年末上升</w:t>
      </w:r>
      <w:r>
        <w:rPr>
          <w:rFonts w:hint="eastAsia"/>
          <w:kern w:val="0"/>
          <w:sz w:val="24"/>
        </w:rPr>
        <w:t>110BP</w:t>
      </w:r>
      <w:r>
        <w:rPr>
          <w:rFonts w:hint="eastAsia"/>
          <w:kern w:val="0"/>
          <w:sz w:val="24"/>
        </w:rPr>
        <w:t>以上。</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基金操作方面，报告期内本基金保持流动性满足持有人赎回需求，管控信用风险，择机调整组合久期与杠杆，在资产类别配置上，择机加大存款、同业存单等货币品种配置力度，灵活调整各品种配置比例，为持有人创造稳健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B50462" w:rsidRDefault="00223DFB" w:rsidP="00B50462">
      <w:pPr>
        <w:autoSpaceDE w:val="0"/>
        <w:autoSpaceDN w:val="0"/>
        <w:adjustRightInd w:val="0"/>
        <w:spacing w:before="29" w:line="288" w:lineRule="auto"/>
        <w:jc w:val="left"/>
        <w:rPr>
          <w:b/>
          <w:kern w:val="0"/>
          <w:sz w:val="24"/>
        </w:rPr>
      </w:pPr>
      <w:r w:rsidRPr="00B50462">
        <w:rPr>
          <w:rFonts w:hint="eastAsia"/>
          <w:b/>
          <w:kern w:val="0"/>
          <w:sz w:val="24"/>
        </w:rPr>
        <w:t>4.4.2</w:t>
      </w:r>
      <w:r w:rsidRPr="00B50462">
        <w:rPr>
          <w:rFonts w:hint="eastAsia"/>
          <w:b/>
          <w:kern w:val="0"/>
          <w:sz w:val="24"/>
        </w:rPr>
        <w:t>报告期内基金的业绩表现</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本报告期内，交银理财</w:t>
      </w:r>
      <w:r w:rsidRPr="00EB7915">
        <w:rPr>
          <w:rFonts w:hint="eastAsia"/>
          <w:kern w:val="0"/>
          <w:sz w:val="24"/>
        </w:rPr>
        <w:t>60</w:t>
      </w:r>
      <w:r w:rsidRPr="00EB7915">
        <w:rPr>
          <w:rFonts w:hint="eastAsia"/>
          <w:kern w:val="0"/>
          <w:sz w:val="24"/>
        </w:rPr>
        <w:t>天债券</w:t>
      </w:r>
      <w:r w:rsidRPr="00EB7915">
        <w:rPr>
          <w:rFonts w:hint="eastAsia"/>
          <w:kern w:val="0"/>
          <w:sz w:val="24"/>
        </w:rPr>
        <w:t>A</w:t>
      </w:r>
      <w:r w:rsidRPr="00EB7915">
        <w:rPr>
          <w:rFonts w:hint="eastAsia"/>
          <w:kern w:val="0"/>
          <w:sz w:val="24"/>
        </w:rPr>
        <w:t>净值收益率为</w:t>
      </w:r>
      <w:r w:rsidRPr="00EB7915">
        <w:rPr>
          <w:rFonts w:hint="eastAsia"/>
          <w:kern w:val="0"/>
          <w:sz w:val="24"/>
        </w:rPr>
        <w:t>4.0180%</w:t>
      </w:r>
      <w:r w:rsidRPr="00EB7915">
        <w:rPr>
          <w:rFonts w:hint="eastAsia"/>
          <w:kern w:val="0"/>
          <w:sz w:val="24"/>
        </w:rPr>
        <w:t>，交银理财</w:t>
      </w:r>
      <w:r w:rsidRPr="00EB7915">
        <w:rPr>
          <w:rFonts w:hint="eastAsia"/>
          <w:kern w:val="0"/>
          <w:sz w:val="24"/>
        </w:rPr>
        <w:t>60</w:t>
      </w:r>
      <w:r w:rsidRPr="00EB7915">
        <w:rPr>
          <w:rFonts w:hint="eastAsia"/>
          <w:kern w:val="0"/>
          <w:sz w:val="24"/>
        </w:rPr>
        <w:t>天债券</w:t>
      </w:r>
      <w:r w:rsidRPr="00EB7915">
        <w:rPr>
          <w:rFonts w:hint="eastAsia"/>
          <w:kern w:val="0"/>
          <w:sz w:val="24"/>
        </w:rPr>
        <w:t>B</w:t>
      </w:r>
      <w:r w:rsidRPr="00EB7915">
        <w:rPr>
          <w:rFonts w:hint="eastAsia"/>
          <w:kern w:val="0"/>
          <w:sz w:val="24"/>
        </w:rPr>
        <w:t>净值收益率</w:t>
      </w:r>
      <w:r w:rsidRPr="00EB7915">
        <w:rPr>
          <w:rFonts w:hint="eastAsia"/>
          <w:kern w:val="0"/>
          <w:sz w:val="24"/>
        </w:rPr>
        <w:t>4.3180%</w:t>
      </w:r>
      <w:r w:rsidRPr="00EB7915">
        <w:rPr>
          <w:rFonts w:hint="eastAsia"/>
          <w:kern w:val="0"/>
          <w:sz w:val="24"/>
        </w:rPr>
        <w:t>，同期业绩比较基准增长率为</w:t>
      </w:r>
      <w:r w:rsidRPr="00EB7915">
        <w:rPr>
          <w:rFonts w:hint="eastAsia"/>
          <w:kern w:val="0"/>
          <w:sz w:val="24"/>
        </w:rPr>
        <w:t>1.3500%</w:t>
      </w:r>
      <w:r w:rsidRPr="00EB7915">
        <w:rPr>
          <w:rFonts w:hint="eastAsia"/>
          <w:kern w:val="0"/>
          <w:sz w:val="24"/>
        </w:rPr>
        <w:t>。</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8" w:name="_Toc509760986"/>
      <w:r w:rsidRPr="00FC41CD">
        <w:rPr>
          <w:rFonts w:ascii="Times New Roman" w:hAnsi="Times New Roman" w:cs="Times New Roman" w:hint="eastAsia"/>
          <w:kern w:val="0"/>
          <w:szCs w:val="24"/>
        </w:rPr>
        <w:t xml:space="preserve">4.5 </w:t>
      </w:r>
      <w:r w:rsidRPr="00FC41CD">
        <w:rPr>
          <w:rFonts w:ascii="Times New Roman" w:hAnsi="Times New Roman" w:cs="Times New Roman" w:hint="eastAsia"/>
          <w:kern w:val="0"/>
          <w:szCs w:val="24"/>
        </w:rPr>
        <w:t>管理人对宏观经济、证券市场及行业走势的简要展望</w:t>
      </w:r>
      <w:bookmarkEnd w:id="18"/>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展望</w:t>
      </w:r>
      <w:r w:rsidRPr="00EB7915">
        <w:rPr>
          <w:rFonts w:hint="eastAsia"/>
          <w:kern w:val="0"/>
          <w:sz w:val="24"/>
        </w:rPr>
        <w:t>2018</w:t>
      </w:r>
      <w:r w:rsidRPr="00EB7915">
        <w:rPr>
          <w:rFonts w:hint="eastAsia"/>
          <w:kern w:val="0"/>
          <w:sz w:val="24"/>
        </w:rPr>
        <w:t>年，国内经济运行可能走出舒适区，从目前的部分指标上看，边际上可能延续下行压力，但短期内压力不大。我们预计短期内央行将以中性货币政策为主，既抑制资产价格泡沫再度膨胀，又配合“三会”继续深化金融监管，维稳金融市场。监管政策上，我们静待央行资管指导意见及银行理财实施细则等重量级政策落地，国内资管市场或将迎来重塑期。组合管理方面，本基金将积极研判宏观经济走势，密切跟踪央行货币政策操作与金融监管政策动态，保持产品较好的流动性，努力把握市场机会，尽力控制信用风险，努力为投资者创造稳健的回报。</w:t>
      </w:r>
    </w:p>
    <w:p w:rsidR="00223DFB" w:rsidRPr="00D0515B" w:rsidRDefault="00223DFB" w:rsidP="006B6A5D">
      <w:pPr>
        <w:spacing w:line="360" w:lineRule="auto"/>
        <w:ind w:firstLineChars="200" w:firstLine="420"/>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19" w:name="_Toc509760987"/>
      <w:r w:rsidRPr="00FC41CD">
        <w:rPr>
          <w:rFonts w:ascii="Times New Roman" w:hAnsi="Times New Roman" w:cs="Times New Roman" w:hint="eastAsia"/>
          <w:kern w:val="0"/>
          <w:szCs w:val="24"/>
        </w:rPr>
        <w:t xml:space="preserve">4.6 </w:t>
      </w:r>
      <w:r w:rsidRPr="00FC41CD">
        <w:rPr>
          <w:rFonts w:ascii="Times New Roman" w:hAnsi="Times New Roman" w:cs="Times New Roman" w:hint="eastAsia"/>
          <w:kern w:val="0"/>
          <w:szCs w:val="24"/>
        </w:rPr>
        <w:t>管理人内部有关本基金的监察稽核工作情况</w:t>
      </w:r>
      <w:bookmarkEnd w:id="19"/>
    </w:p>
    <w:p w:rsidR="00B5600D" w:rsidRDefault="00D91A1A">
      <w:pPr>
        <w:tabs>
          <w:tab w:val="left" w:pos="426"/>
        </w:tabs>
        <w:spacing w:before="29" w:line="288" w:lineRule="auto"/>
        <w:ind w:firstLineChars="200" w:firstLine="480"/>
        <w:rPr>
          <w:kern w:val="0"/>
          <w:sz w:val="24"/>
        </w:rPr>
      </w:pPr>
      <w:r>
        <w:rPr>
          <w:rFonts w:hint="eastAsia"/>
          <w:kern w:val="0"/>
          <w:sz w:val="24"/>
        </w:rPr>
        <w:t>2017</w:t>
      </w:r>
      <w:r>
        <w:rPr>
          <w:rFonts w:hint="eastAsia"/>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B5600D" w:rsidRDefault="00D91A1A">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B5600D" w:rsidRDefault="00D91A1A">
      <w:pPr>
        <w:tabs>
          <w:tab w:val="left" w:pos="426"/>
        </w:tabs>
        <w:spacing w:before="29" w:line="288" w:lineRule="auto"/>
        <w:ind w:firstLineChars="200" w:firstLine="480"/>
        <w:rPr>
          <w:kern w:val="0"/>
          <w:sz w:val="24"/>
        </w:rPr>
      </w:pPr>
      <w:r>
        <w:rPr>
          <w:rFonts w:hint="eastAsia"/>
          <w:kern w:val="0"/>
          <w:sz w:val="24"/>
        </w:rPr>
        <w:t>（一）持续完善公司内部控制制度和业务流程，推动制度流程的及时更新。</w:t>
      </w:r>
    </w:p>
    <w:p w:rsidR="00B5600D" w:rsidRDefault="00D91A1A">
      <w:pPr>
        <w:tabs>
          <w:tab w:val="left" w:pos="426"/>
        </w:tabs>
        <w:spacing w:before="29" w:line="288" w:lineRule="auto"/>
        <w:ind w:firstLineChars="200" w:firstLine="480"/>
        <w:rPr>
          <w:kern w:val="0"/>
          <w:sz w:val="24"/>
        </w:rPr>
      </w:pPr>
      <w:r>
        <w:rPr>
          <w:rFonts w:hint="eastAsia"/>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B5600D" w:rsidRDefault="00D91A1A">
      <w:pPr>
        <w:tabs>
          <w:tab w:val="left" w:pos="426"/>
        </w:tabs>
        <w:spacing w:before="29" w:line="288" w:lineRule="auto"/>
        <w:ind w:firstLineChars="200" w:firstLine="480"/>
        <w:rPr>
          <w:kern w:val="0"/>
          <w:sz w:val="24"/>
        </w:rPr>
      </w:pPr>
      <w:r>
        <w:rPr>
          <w:rFonts w:hint="eastAsia"/>
          <w:kern w:val="0"/>
          <w:sz w:val="24"/>
        </w:rPr>
        <w:t>（二）深化事前事中合规及风险管理，提高合规管理及风险控制有效性。</w:t>
      </w:r>
    </w:p>
    <w:p w:rsidR="00B5600D" w:rsidRDefault="00D91A1A">
      <w:pPr>
        <w:tabs>
          <w:tab w:val="left" w:pos="426"/>
        </w:tabs>
        <w:spacing w:before="29" w:line="288" w:lineRule="auto"/>
        <w:ind w:firstLineChars="200" w:firstLine="480"/>
        <w:rPr>
          <w:kern w:val="0"/>
          <w:sz w:val="24"/>
        </w:rPr>
      </w:pPr>
      <w:r>
        <w:rPr>
          <w:rFonts w:hint="eastAsia"/>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B5600D" w:rsidRDefault="00D91A1A">
      <w:pPr>
        <w:tabs>
          <w:tab w:val="left" w:pos="426"/>
        </w:tabs>
        <w:spacing w:before="29" w:line="288" w:lineRule="auto"/>
        <w:ind w:firstLineChars="200" w:firstLine="480"/>
        <w:rPr>
          <w:kern w:val="0"/>
          <w:sz w:val="24"/>
        </w:rPr>
      </w:pPr>
      <w:r>
        <w:rPr>
          <w:rFonts w:hint="eastAsia"/>
          <w:kern w:val="0"/>
          <w:sz w:val="24"/>
        </w:rPr>
        <w:t>（三）全面开展内部监督检查，强化公司内部控制。</w:t>
      </w:r>
    </w:p>
    <w:p w:rsidR="00B5600D" w:rsidRDefault="00D91A1A">
      <w:pPr>
        <w:tabs>
          <w:tab w:val="left" w:pos="426"/>
        </w:tabs>
        <w:spacing w:before="29" w:line="288" w:lineRule="auto"/>
        <w:ind w:firstLineChars="200" w:firstLine="480"/>
        <w:rPr>
          <w:kern w:val="0"/>
          <w:sz w:val="24"/>
        </w:rPr>
      </w:pPr>
      <w:r>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5600D" w:rsidRDefault="00D91A1A">
      <w:pPr>
        <w:tabs>
          <w:tab w:val="left" w:pos="426"/>
        </w:tabs>
        <w:spacing w:before="29" w:line="288" w:lineRule="auto"/>
        <w:ind w:firstLineChars="200" w:firstLine="480"/>
        <w:rPr>
          <w:kern w:val="0"/>
          <w:sz w:val="24"/>
        </w:rPr>
      </w:pPr>
      <w:r>
        <w:rPr>
          <w:rFonts w:hint="eastAsia"/>
          <w:kern w:val="0"/>
          <w:sz w:val="24"/>
        </w:rPr>
        <w:t>（四）强化培训教育，持续提高全员风险合规意识。</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FC41CD" w:rsidRDefault="00223DFB" w:rsidP="00FC41CD">
      <w:pPr>
        <w:pStyle w:val="20"/>
        <w:spacing w:before="29" w:after="0" w:line="288" w:lineRule="auto"/>
        <w:rPr>
          <w:rFonts w:ascii="Times New Roman" w:hAnsi="Times New Roman" w:cs="Times New Roman"/>
          <w:kern w:val="0"/>
          <w:szCs w:val="24"/>
        </w:rPr>
      </w:pPr>
      <w:bookmarkStart w:id="20" w:name="_Toc509760988"/>
      <w:r w:rsidRPr="00FC41CD">
        <w:rPr>
          <w:rFonts w:ascii="Times New Roman" w:hAnsi="Times New Roman" w:cs="Times New Roman" w:hint="eastAsia"/>
          <w:kern w:val="0"/>
          <w:szCs w:val="24"/>
        </w:rPr>
        <w:t xml:space="preserve">4.7 </w:t>
      </w:r>
      <w:r w:rsidRPr="00FC41CD">
        <w:rPr>
          <w:rFonts w:ascii="Times New Roman" w:hAnsi="Times New Roman" w:cs="Times New Roman" w:hint="eastAsia"/>
          <w:kern w:val="0"/>
          <w:szCs w:val="24"/>
        </w:rPr>
        <w:t>管理人对报告期内基金估值程序等事项的说明</w:t>
      </w:r>
      <w:bookmarkEnd w:id="20"/>
    </w:p>
    <w:p w:rsidR="00B5600D" w:rsidRDefault="00D91A1A">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5600D" w:rsidRDefault="00D91A1A">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B7915" w:rsidRDefault="00223DFB" w:rsidP="00EB7915">
      <w:pPr>
        <w:tabs>
          <w:tab w:val="left" w:pos="426"/>
        </w:tabs>
        <w:spacing w:before="29" w:line="288" w:lineRule="auto"/>
        <w:ind w:firstLineChars="200" w:firstLine="480"/>
        <w:rPr>
          <w:kern w:val="0"/>
          <w:sz w:val="24"/>
        </w:rPr>
      </w:pPr>
      <w:r w:rsidRPr="00EB7915">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D0515B"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BB731C" w:rsidRDefault="00BC7A30" w:rsidP="00504C53">
      <w:pPr>
        <w:pStyle w:val="20"/>
        <w:spacing w:before="29" w:after="0" w:line="288" w:lineRule="auto"/>
        <w:rPr>
          <w:rFonts w:eastAsiaTheme="minorEastAsia"/>
        </w:rPr>
      </w:pPr>
      <w:bookmarkStart w:id="21" w:name="_Toc247959458"/>
      <w:bookmarkStart w:id="22" w:name="_Toc225570084"/>
      <w:bookmarkStart w:id="23" w:name="_Toc361324862"/>
      <w:bookmarkStart w:id="24" w:name="_Toc374374942"/>
      <w:bookmarkStart w:id="25" w:name="_Toc509760989"/>
      <w:r w:rsidRPr="00504C53">
        <w:rPr>
          <w:rFonts w:ascii="Times New Roman" w:hAnsi="Times New Roman" w:cs="Times New Roman"/>
          <w:kern w:val="0"/>
          <w:szCs w:val="24"/>
        </w:rPr>
        <w:t xml:space="preserve">4.8 </w:t>
      </w:r>
      <w:r w:rsidRPr="00504C53">
        <w:rPr>
          <w:rFonts w:ascii="Times New Roman" w:hAnsi="Times New Roman" w:cs="Times New Roman" w:hint="eastAsia"/>
          <w:kern w:val="0"/>
          <w:szCs w:val="24"/>
        </w:rPr>
        <w:t>管理人对报告期内基金利润分配情况的说明</w:t>
      </w:r>
      <w:bookmarkEnd w:id="21"/>
      <w:bookmarkEnd w:id="22"/>
      <w:bookmarkEnd w:id="23"/>
      <w:bookmarkEnd w:id="24"/>
      <w:bookmarkEnd w:id="25"/>
    </w:p>
    <w:p w:rsidR="00BC7A30" w:rsidRPr="00BB731C" w:rsidRDefault="00BC7A30" w:rsidP="00BC7A30">
      <w:pPr>
        <w:spacing w:before="29" w:line="288" w:lineRule="auto"/>
        <w:ind w:firstLineChars="200" w:firstLine="480"/>
        <w:rPr>
          <w:kern w:val="0"/>
          <w:sz w:val="24"/>
        </w:rPr>
      </w:pPr>
      <w:r w:rsidRPr="00BB731C">
        <w:rPr>
          <w:kern w:val="0"/>
          <w:sz w:val="24"/>
        </w:rPr>
        <w:t>遵照法律法规及基金合同的约定，本基金每日分配收益，按运作期结转份额。本基金本报告期内利润分配情况参见</w:t>
      </w:r>
      <w:r w:rsidRPr="00BB731C">
        <w:rPr>
          <w:kern w:val="0"/>
          <w:sz w:val="24"/>
        </w:rPr>
        <w:t>7.4.7.10</w:t>
      </w:r>
      <w:r w:rsidRPr="00BB731C">
        <w:rPr>
          <w:kern w:val="0"/>
          <w:sz w:val="24"/>
        </w:rPr>
        <w:t>。</w:t>
      </w:r>
    </w:p>
    <w:p w:rsidR="00BC7A30" w:rsidRPr="00A4203E" w:rsidRDefault="00BC7A30" w:rsidP="00BC7A30">
      <w:pPr>
        <w:spacing w:line="360" w:lineRule="auto"/>
        <w:ind w:firstLineChars="200" w:firstLine="420"/>
        <w:rPr>
          <w:rFonts w:eastAsiaTheme="minorEastAsia"/>
          <w:color w:val="000000"/>
          <w:szCs w:val="21"/>
        </w:rPr>
      </w:pPr>
    </w:p>
    <w:p w:rsidR="00BC7A30" w:rsidRPr="00504C53" w:rsidRDefault="00BC7A30" w:rsidP="00504C53">
      <w:pPr>
        <w:pStyle w:val="20"/>
        <w:spacing w:before="29" w:after="0" w:line="288" w:lineRule="auto"/>
        <w:rPr>
          <w:b w:val="0"/>
          <w:kern w:val="0"/>
        </w:rPr>
      </w:pPr>
      <w:bookmarkStart w:id="26" w:name="_Toc509760990"/>
      <w:r w:rsidRPr="00504C53">
        <w:rPr>
          <w:rFonts w:ascii="Times New Roman" w:hAnsi="Times New Roman" w:cs="Times New Roman"/>
          <w:kern w:val="0"/>
          <w:szCs w:val="24"/>
        </w:rPr>
        <w:t xml:space="preserve">4.9 </w:t>
      </w:r>
      <w:r w:rsidRPr="00504C53">
        <w:rPr>
          <w:rFonts w:ascii="Times New Roman" w:hAnsi="Times New Roman" w:cs="Times New Roman" w:hint="eastAsia"/>
          <w:kern w:val="0"/>
          <w:szCs w:val="24"/>
        </w:rPr>
        <w:t>报告期内管理人对本基金持有人数或基金资产净值预警情形的说明</w:t>
      </w:r>
      <w:bookmarkEnd w:id="26"/>
    </w:p>
    <w:p w:rsidR="00282EBF" w:rsidRDefault="00132B09" w:rsidP="00EB7915">
      <w:pPr>
        <w:tabs>
          <w:tab w:val="left" w:pos="426"/>
        </w:tabs>
        <w:spacing w:before="29" w:line="288" w:lineRule="auto"/>
        <w:ind w:firstLineChars="200" w:firstLine="480"/>
        <w:rPr>
          <w:kern w:val="0"/>
          <w:sz w:val="24"/>
        </w:rPr>
      </w:pPr>
      <w:r w:rsidRPr="00132B09">
        <w:rPr>
          <w:rFonts w:hint="eastAsia"/>
          <w:kern w:val="0"/>
          <w:sz w:val="24"/>
        </w:rPr>
        <w:t>本基金本报告期内曾连续二十个工作日以上出现基金份额持有人数量不满</w:t>
      </w:r>
      <w:r w:rsidRPr="00132B09">
        <w:rPr>
          <w:rFonts w:hint="eastAsia"/>
          <w:kern w:val="0"/>
          <w:sz w:val="24"/>
        </w:rPr>
        <w:t>200</w:t>
      </w:r>
      <w:r w:rsidRPr="00132B09">
        <w:rPr>
          <w:rFonts w:hint="eastAsia"/>
          <w:kern w:val="0"/>
          <w:sz w:val="24"/>
        </w:rPr>
        <w:t>人的情形，但截至本报告期末，本基金基金份额持有人数量已高于</w:t>
      </w:r>
      <w:r w:rsidRPr="00132B09">
        <w:rPr>
          <w:rFonts w:hint="eastAsia"/>
          <w:kern w:val="0"/>
          <w:sz w:val="24"/>
        </w:rPr>
        <w:t>200</w:t>
      </w:r>
      <w:r w:rsidRPr="00132B09">
        <w:rPr>
          <w:rFonts w:hint="eastAsia"/>
          <w:kern w:val="0"/>
          <w:sz w:val="24"/>
        </w:rPr>
        <w:t>人。</w:t>
      </w: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27" w:name="_Toc509760991"/>
      <w:r w:rsidRPr="00E20E3A">
        <w:rPr>
          <w:rFonts w:hint="eastAsia"/>
          <w:b/>
          <w:bCs/>
          <w:szCs w:val="24"/>
          <w:lang w:val="en-US"/>
        </w:rPr>
        <w:t>§</w:t>
      </w:r>
      <w:r w:rsidRPr="00E20E3A">
        <w:rPr>
          <w:rFonts w:hint="eastAsia"/>
          <w:b/>
          <w:bCs/>
          <w:szCs w:val="24"/>
          <w:lang w:val="en-US"/>
        </w:rPr>
        <w:t xml:space="preserve">5  </w:t>
      </w:r>
      <w:r w:rsidRPr="00E20E3A">
        <w:rPr>
          <w:rFonts w:hint="eastAsia"/>
          <w:b/>
          <w:bCs/>
          <w:szCs w:val="24"/>
          <w:lang w:val="en-US"/>
        </w:rPr>
        <w:t>托管人报告</w:t>
      </w:r>
      <w:bookmarkEnd w:id="27"/>
    </w:p>
    <w:p w:rsidR="00FB3BC2" w:rsidRPr="00FB3BC2" w:rsidRDefault="00FB3BC2" w:rsidP="00FB3BC2"/>
    <w:p w:rsidR="00223DFB" w:rsidRPr="00F9422F" w:rsidRDefault="00223DFB" w:rsidP="00F9422F">
      <w:pPr>
        <w:pStyle w:val="20"/>
        <w:spacing w:before="29" w:after="0" w:line="288" w:lineRule="auto"/>
        <w:rPr>
          <w:rFonts w:ascii="Times New Roman" w:hAnsi="Times New Roman" w:cs="Times New Roman"/>
          <w:kern w:val="0"/>
          <w:szCs w:val="24"/>
        </w:rPr>
      </w:pPr>
      <w:bookmarkStart w:id="28" w:name="_Toc509760992"/>
      <w:r w:rsidRPr="00F9422F">
        <w:rPr>
          <w:rFonts w:ascii="Times New Roman" w:hAnsi="Times New Roman" w:cs="Times New Roman" w:hint="eastAsia"/>
          <w:kern w:val="0"/>
          <w:szCs w:val="24"/>
        </w:rPr>
        <w:t xml:space="preserve">5.1 </w:t>
      </w:r>
      <w:r w:rsidRPr="00F9422F">
        <w:rPr>
          <w:rFonts w:ascii="Times New Roman" w:hAnsi="Times New Roman" w:cs="Times New Roman" w:hint="eastAsia"/>
          <w:kern w:val="0"/>
          <w:szCs w:val="24"/>
        </w:rPr>
        <w:t>报告期内本基金托管人遵规守信情况声明</w:t>
      </w:r>
      <w:bookmarkEnd w:id="28"/>
    </w:p>
    <w:p w:rsidR="00223DFB" w:rsidRPr="00D0515B"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F97694">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29" w:name="_Toc509760993"/>
      <w:r w:rsidRPr="00F9422F">
        <w:rPr>
          <w:rFonts w:ascii="Times New Roman" w:hAnsi="Times New Roman" w:cs="Times New Roman" w:hint="eastAsia"/>
          <w:kern w:val="0"/>
          <w:szCs w:val="24"/>
        </w:rPr>
        <w:t xml:space="preserve">5.2 </w:t>
      </w:r>
      <w:r w:rsidRPr="00F9422F">
        <w:rPr>
          <w:rFonts w:ascii="Times New Roman" w:hAnsi="Times New Roman" w:cs="Times New Roman" w:hint="eastAsia"/>
          <w:kern w:val="0"/>
          <w:szCs w:val="24"/>
        </w:rPr>
        <w:t>托管人对报告期内本基金投资运作遵规守信、净值计算、利润分配等情况的说明</w:t>
      </w:r>
      <w:bookmarkEnd w:id="29"/>
    </w:p>
    <w:p w:rsidR="00B5600D" w:rsidRDefault="00D91A1A">
      <w:pPr>
        <w:tabs>
          <w:tab w:val="left" w:pos="426"/>
        </w:tabs>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23DFB" w:rsidRPr="00F97694" w:rsidRDefault="00223DFB" w:rsidP="00F97694">
      <w:pPr>
        <w:tabs>
          <w:tab w:val="left" w:pos="426"/>
        </w:tabs>
        <w:spacing w:before="29" w:line="288" w:lineRule="auto"/>
        <w:ind w:firstLineChars="200" w:firstLine="480"/>
        <w:rPr>
          <w:kern w:val="0"/>
          <w:sz w:val="24"/>
        </w:rPr>
      </w:pPr>
      <w:r w:rsidRPr="00F97694">
        <w:rPr>
          <w:rFonts w:hint="eastAsia"/>
          <w:kern w:val="0"/>
          <w:sz w:val="24"/>
        </w:rPr>
        <w:t>报告期内，本基金实施利润分配的金额为</w:t>
      </w:r>
      <w:r w:rsidRPr="00F97694">
        <w:rPr>
          <w:rFonts w:hint="eastAsia"/>
          <w:kern w:val="0"/>
          <w:sz w:val="24"/>
        </w:rPr>
        <w:t>A</w:t>
      </w:r>
      <w:r w:rsidRPr="00F97694">
        <w:rPr>
          <w:rFonts w:hint="eastAsia"/>
          <w:kern w:val="0"/>
          <w:sz w:val="24"/>
        </w:rPr>
        <w:t>类</w:t>
      </w:r>
      <w:r w:rsidRPr="00F97694">
        <w:rPr>
          <w:rFonts w:hint="eastAsia"/>
          <w:kern w:val="0"/>
          <w:sz w:val="24"/>
        </w:rPr>
        <w:t>329,460.77</w:t>
      </w:r>
      <w:r w:rsidRPr="00F97694">
        <w:rPr>
          <w:rFonts w:hint="eastAsia"/>
          <w:kern w:val="0"/>
          <w:sz w:val="24"/>
        </w:rPr>
        <w:t>元，</w:t>
      </w:r>
      <w:r w:rsidRPr="00F97694">
        <w:rPr>
          <w:rFonts w:hint="eastAsia"/>
          <w:kern w:val="0"/>
          <w:sz w:val="24"/>
        </w:rPr>
        <w:t>B</w:t>
      </w:r>
      <w:r w:rsidRPr="00F97694">
        <w:rPr>
          <w:rFonts w:hint="eastAsia"/>
          <w:kern w:val="0"/>
          <w:sz w:val="24"/>
        </w:rPr>
        <w:t>类</w:t>
      </w:r>
      <w:r w:rsidRPr="00F97694">
        <w:rPr>
          <w:rFonts w:hint="eastAsia"/>
          <w:kern w:val="0"/>
          <w:sz w:val="24"/>
        </w:rPr>
        <w:t>108,319,174.48</w:t>
      </w:r>
      <w:r w:rsidRPr="00F97694">
        <w:rPr>
          <w:rFonts w:hint="eastAsia"/>
          <w:kern w:val="0"/>
          <w:sz w:val="24"/>
        </w:rPr>
        <w:t>元。</w:t>
      </w:r>
    </w:p>
    <w:p w:rsidR="00223DFB" w:rsidRPr="00D0515B" w:rsidRDefault="00223DFB" w:rsidP="008B63E6">
      <w:pPr>
        <w:spacing w:line="360" w:lineRule="auto"/>
        <w:ind w:firstLineChars="200" w:firstLine="420"/>
        <w:rPr>
          <w:rFonts w:asciiTheme="minorEastAsia" w:eastAsiaTheme="minorEastAsia" w:hAnsiTheme="minorEastAsia"/>
          <w:kern w:val="0"/>
          <w:szCs w:val="21"/>
        </w:rPr>
      </w:pPr>
    </w:p>
    <w:p w:rsidR="00223DFB" w:rsidRPr="00F9422F" w:rsidRDefault="00223DFB" w:rsidP="00F9422F">
      <w:pPr>
        <w:pStyle w:val="20"/>
        <w:spacing w:before="29" w:after="0" w:line="288" w:lineRule="auto"/>
        <w:rPr>
          <w:rFonts w:ascii="Times New Roman" w:hAnsi="Times New Roman" w:cs="Times New Roman"/>
          <w:kern w:val="0"/>
          <w:szCs w:val="24"/>
        </w:rPr>
      </w:pPr>
      <w:bookmarkStart w:id="30" w:name="_Toc509760994"/>
      <w:r w:rsidRPr="00F9422F">
        <w:rPr>
          <w:rFonts w:ascii="Times New Roman" w:hAnsi="Times New Roman" w:cs="Times New Roman" w:hint="eastAsia"/>
          <w:kern w:val="0"/>
          <w:szCs w:val="24"/>
        </w:rPr>
        <w:t xml:space="preserve">5.3 </w:t>
      </w:r>
      <w:r w:rsidRPr="00F9422F">
        <w:rPr>
          <w:rFonts w:ascii="Times New Roman" w:hAnsi="Times New Roman" w:cs="Times New Roman" w:hint="eastAsia"/>
          <w:kern w:val="0"/>
          <w:szCs w:val="24"/>
        </w:rPr>
        <w:t>托管人对本年度报告中财务信息等内容的真实、准确和完整发表意见</w:t>
      </w:r>
      <w:bookmarkEnd w:id="30"/>
    </w:p>
    <w:p w:rsidR="00223DFB" w:rsidRDefault="00223DFB" w:rsidP="00F97694">
      <w:pPr>
        <w:tabs>
          <w:tab w:val="left" w:pos="426"/>
        </w:tabs>
        <w:spacing w:before="29" w:line="288" w:lineRule="auto"/>
        <w:ind w:firstLineChars="200" w:firstLine="480"/>
        <w:rPr>
          <w:kern w:val="0"/>
          <w:sz w:val="24"/>
        </w:rPr>
      </w:pPr>
      <w:r w:rsidRPr="00F97694">
        <w:rPr>
          <w:rFonts w:hint="eastAsia"/>
          <w:kern w:val="0"/>
          <w:sz w:val="24"/>
        </w:rPr>
        <w:t>本托管人复核审查了本报告中的财务指标、净值表现、利润分配情况、财务会计报告、投资组合报告等内容，保证复核内容不存在虚假记载、误导性陈述或者重大遗漏。</w:t>
      </w:r>
    </w:p>
    <w:p w:rsidR="00A20C66" w:rsidRPr="00F97694" w:rsidRDefault="00A20C66" w:rsidP="00F97694">
      <w:pPr>
        <w:tabs>
          <w:tab w:val="left" w:pos="426"/>
        </w:tabs>
        <w:spacing w:before="29" w:line="288" w:lineRule="auto"/>
        <w:ind w:firstLineChars="200" w:firstLine="480"/>
        <w:rPr>
          <w:kern w:val="0"/>
          <w:sz w:val="24"/>
        </w:rPr>
      </w:pPr>
    </w:p>
    <w:p w:rsidR="00D91A1A" w:rsidRDefault="00D91A1A" w:rsidP="00D91A1A">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 w:val="21"/>
          <w:szCs w:val="21"/>
          <w:lang w:val="en-US"/>
        </w:rPr>
      </w:pPr>
      <w:bookmarkStart w:id="31" w:name="_Toc509760995"/>
      <w:r>
        <w:rPr>
          <w:rFonts w:eastAsiaTheme="minorEastAsia"/>
          <w:b/>
          <w:bCs/>
          <w:color w:val="000000" w:themeColor="text1"/>
          <w:sz w:val="21"/>
          <w:szCs w:val="21"/>
          <w:lang w:val="en-US"/>
        </w:rPr>
        <w:t xml:space="preserve">§6  </w:t>
      </w:r>
      <w:r>
        <w:rPr>
          <w:rFonts w:eastAsiaTheme="minorEastAsia" w:hint="eastAsia"/>
          <w:b/>
          <w:bCs/>
          <w:color w:val="000000" w:themeColor="text1"/>
          <w:sz w:val="21"/>
          <w:szCs w:val="21"/>
          <w:lang w:val="en-US"/>
        </w:rPr>
        <w:t>审计报告</w:t>
      </w:r>
      <w:bookmarkEnd w:id="31"/>
    </w:p>
    <w:p w:rsidR="00D91A1A" w:rsidRDefault="00D91A1A" w:rsidP="00D91A1A">
      <w:pPr>
        <w:widowControl/>
        <w:spacing w:line="360" w:lineRule="auto"/>
        <w:jc w:val="right"/>
        <w:rPr>
          <w:rFonts w:eastAsiaTheme="minorEastAsia"/>
          <w:color w:val="000000" w:themeColor="text1"/>
          <w:szCs w:val="21"/>
        </w:rPr>
      </w:pPr>
      <w:r>
        <w:rPr>
          <w:rFonts w:eastAsiaTheme="minorEastAsia"/>
          <w:color w:val="000000" w:themeColor="text1"/>
          <w:kern w:val="0"/>
          <w:szCs w:val="21"/>
        </w:rPr>
        <w:t>普华永道中天审字</w:t>
      </w:r>
      <w:r>
        <w:rPr>
          <w:rFonts w:eastAsiaTheme="minorEastAsia"/>
          <w:color w:val="000000" w:themeColor="text1"/>
          <w:kern w:val="0"/>
          <w:szCs w:val="21"/>
        </w:rPr>
        <w:t>(2018)</w:t>
      </w:r>
      <w:r>
        <w:rPr>
          <w:rFonts w:eastAsiaTheme="minorEastAsia"/>
          <w:color w:val="000000" w:themeColor="text1"/>
          <w:kern w:val="0"/>
          <w:szCs w:val="21"/>
        </w:rPr>
        <w:t>第</w:t>
      </w:r>
      <w:r>
        <w:rPr>
          <w:rFonts w:eastAsiaTheme="minorEastAsia"/>
          <w:color w:val="000000" w:themeColor="text1"/>
          <w:kern w:val="0"/>
          <w:szCs w:val="21"/>
        </w:rPr>
        <w:t>21951</w:t>
      </w:r>
      <w:r>
        <w:rPr>
          <w:rFonts w:eastAsiaTheme="minorEastAsia"/>
          <w:color w:val="000000" w:themeColor="text1"/>
          <w:kern w:val="0"/>
          <w:szCs w:val="21"/>
        </w:rPr>
        <w:t>号</w:t>
      </w:r>
    </w:p>
    <w:p w:rsidR="00D91A1A" w:rsidRDefault="00D91A1A" w:rsidP="00D91A1A">
      <w:pPr>
        <w:widowControl/>
        <w:spacing w:line="360" w:lineRule="auto"/>
        <w:jc w:val="left"/>
        <w:rPr>
          <w:rFonts w:eastAsiaTheme="minorEastAsia"/>
          <w:color w:val="000000" w:themeColor="text1"/>
          <w:kern w:val="0"/>
          <w:szCs w:val="21"/>
        </w:rPr>
      </w:pPr>
      <w:r>
        <w:rPr>
          <w:rFonts w:eastAsiaTheme="minorEastAsia"/>
          <w:color w:val="000000" w:themeColor="text1"/>
          <w:kern w:val="0"/>
          <w:szCs w:val="21"/>
        </w:rPr>
        <w:t>交银施罗德理财</w:t>
      </w:r>
      <w:r>
        <w:rPr>
          <w:rFonts w:eastAsiaTheme="minorEastAsia"/>
          <w:color w:val="000000" w:themeColor="text1"/>
          <w:kern w:val="0"/>
          <w:szCs w:val="21"/>
        </w:rPr>
        <w:t>60</w:t>
      </w:r>
      <w:r>
        <w:rPr>
          <w:rFonts w:eastAsiaTheme="minorEastAsia"/>
          <w:color w:val="000000" w:themeColor="text1"/>
          <w:kern w:val="0"/>
          <w:szCs w:val="21"/>
        </w:rPr>
        <w:t>天债券型证券投资基金全体基金份额持有人</w:t>
      </w:r>
      <w:r>
        <w:rPr>
          <w:rFonts w:eastAsiaTheme="minorEastAsia" w:hint="eastAsia"/>
          <w:color w:val="000000" w:themeColor="text1"/>
          <w:szCs w:val="21"/>
        </w:rPr>
        <w:t>：</w:t>
      </w:r>
    </w:p>
    <w:p w:rsidR="00D91A1A" w:rsidRDefault="00D91A1A" w:rsidP="00D91A1A">
      <w:pPr>
        <w:pStyle w:val="20"/>
        <w:spacing w:beforeLines="50" w:before="156" w:after="0"/>
        <w:rPr>
          <w:rFonts w:ascii="Times New Roman" w:eastAsiaTheme="minorEastAsia" w:hAnsi="Times New Roman"/>
          <w:color w:val="000000" w:themeColor="text1"/>
          <w:kern w:val="0"/>
          <w:sz w:val="21"/>
          <w:szCs w:val="21"/>
        </w:rPr>
      </w:pPr>
      <w:bookmarkStart w:id="32" w:name="_Toc509760996"/>
      <w:r>
        <w:rPr>
          <w:rFonts w:ascii="Times New Roman" w:eastAsiaTheme="minorEastAsia" w:hAnsi="Times New Roman" w:hint="eastAsia"/>
          <w:color w:val="000000" w:themeColor="text1"/>
          <w:kern w:val="0"/>
          <w:sz w:val="21"/>
          <w:szCs w:val="21"/>
        </w:rPr>
        <w:t>一、</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审计意见</w:t>
      </w:r>
      <w:bookmarkEnd w:id="32"/>
    </w:p>
    <w:p w:rsidR="00D91A1A" w:rsidRDefault="00D91A1A" w:rsidP="00D91A1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我们审计的内容</w:t>
      </w:r>
    </w:p>
    <w:p w:rsidR="00D91A1A" w:rsidRDefault="00D91A1A" w:rsidP="00D91A1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我们审计了交银施罗德理财</w:t>
      </w:r>
      <w:r>
        <w:rPr>
          <w:rFonts w:eastAsiaTheme="minorEastAsia"/>
          <w:color w:val="000000" w:themeColor="text1"/>
          <w:kern w:val="0"/>
          <w:szCs w:val="21"/>
        </w:rPr>
        <w:t>60</w:t>
      </w:r>
      <w:r>
        <w:rPr>
          <w:rFonts w:eastAsiaTheme="minorEastAsia"/>
          <w:color w:val="000000" w:themeColor="text1"/>
          <w:kern w:val="0"/>
          <w:szCs w:val="21"/>
        </w:rPr>
        <w:t>天债券型证券投资基金</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交银施罗德</w:t>
      </w:r>
      <w:r>
        <w:rPr>
          <w:rFonts w:eastAsiaTheme="minorEastAsia"/>
          <w:color w:val="000000" w:themeColor="text1"/>
          <w:kern w:val="0"/>
          <w:szCs w:val="21"/>
        </w:rPr>
        <w:t>60</w:t>
      </w:r>
      <w:r>
        <w:rPr>
          <w:rFonts w:eastAsiaTheme="minorEastAsia"/>
          <w:color w:val="000000" w:themeColor="text1"/>
          <w:kern w:val="0"/>
          <w:szCs w:val="21"/>
        </w:rPr>
        <w:t>天基金</w:t>
      </w:r>
      <w:r>
        <w:rPr>
          <w:rFonts w:eastAsiaTheme="minorEastAsia"/>
          <w:color w:val="000000" w:themeColor="text1"/>
          <w:kern w:val="0"/>
          <w:szCs w:val="21"/>
        </w:rPr>
        <w:t>”)</w:t>
      </w:r>
      <w:r>
        <w:rPr>
          <w:rFonts w:eastAsiaTheme="minorEastAsia"/>
          <w:color w:val="000000" w:themeColor="text1"/>
          <w:kern w:val="0"/>
          <w:szCs w:val="21"/>
        </w:rPr>
        <w:t>的财务报表，包括</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日的资产负债表，</w:t>
      </w:r>
      <w:r>
        <w:rPr>
          <w:rFonts w:eastAsiaTheme="minorEastAsia"/>
          <w:color w:val="000000" w:themeColor="text1"/>
          <w:kern w:val="0"/>
          <w:szCs w:val="21"/>
        </w:rPr>
        <w:t>2017</w:t>
      </w:r>
      <w:r>
        <w:rPr>
          <w:rFonts w:eastAsiaTheme="minorEastAsia"/>
          <w:color w:val="000000" w:themeColor="text1"/>
          <w:kern w:val="0"/>
          <w:szCs w:val="21"/>
        </w:rPr>
        <w:t>年度的利润表和所有者权益</w:t>
      </w:r>
      <w:r>
        <w:rPr>
          <w:rFonts w:eastAsiaTheme="minorEastAsia"/>
          <w:color w:val="000000" w:themeColor="text1"/>
          <w:kern w:val="0"/>
          <w:szCs w:val="21"/>
        </w:rPr>
        <w:t>(</w:t>
      </w:r>
      <w:r>
        <w:rPr>
          <w:rFonts w:eastAsiaTheme="minorEastAsia"/>
          <w:color w:val="000000" w:themeColor="text1"/>
          <w:kern w:val="0"/>
          <w:szCs w:val="21"/>
        </w:rPr>
        <w:t>基金净值</w:t>
      </w:r>
      <w:r>
        <w:rPr>
          <w:rFonts w:eastAsiaTheme="minorEastAsia"/>
          <w:color w:val="000000" w:themeColor="text1"/>
          <w:kern w:val="0"/>
          <w:szCs w:val="21"/>
        </w:rPr>
        <w:t>)</w:t>
      </w:r>
      <w:r>
        <w:rPr>
          <w:rFonts w:eastAsiaTheme="minorEastAsia"/>
          <w:color w:val="000000" w:themeColor="text1"/>
          <w:kern w:val="0"/>
          <w:szCs w:val="21"/>
        </w:rPr>
        <w:t>变动表以及财务报表附注。</w:t>
      </w:r>
    </w:p>
    <w:p w:rsidR="00D91A1A" w:rsidRDefault="00D91A1A" w:rsidP="00D91A1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我们的意见</w:t>
      </w:r>
    </w:p>
    <w:p w:rsidR="00D91A1A" w:rsidRDefault="00D91A1A" w:rsidP="00D91A1A">
      <w:pPr>
        <w:widowControl/>
        <w:spacing w:line="360" w:lineRule="auto"/>
        <w:ind w:firstLine="420"/>
        <w:rPr>
          <w:rFonts w:eastAsiaTheme="minorEastAsia"/>
          <w:color w:val="000000" w:themeColor="text1"/>
          <w:kern w:val="0"/>
          <w:szCs w:val="21"/>
        </w:rPr>
      </w:pPr>
      <w:r>
        <w:rPr>
          <w:rFonts w:eastAsiaTheme="minorEastAsia"/>
          <w:color w:val="000000" w:themeColor="text1"/>
          <w:kern w:val="0"/>
          <w:szCs w:val="21"/>
        </w:rPr>
        <w:t>我们认为，后附的财务报表在所有重大方面按照企业会计准则和在财务报表附注中所列示的中国证券监督管理委员会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发布的有关规定及允许的基金行业实务操作编制，公允反映了交银施罗德</w:t>
      </w:r>
      <w:r>
        <w:rPr>
          <w:rFonts w:eastAsiaTheme="minorEastAsia"/>
          <w:color w:val="000000" w:themeColor="text1"/>
          <w:kern w:val="0"/>
          <w:szCs w:val="21"/>
        </w:rPr>
        <w:t>60</w:t>
      </w:r>
      <w:r>
        <w:rPr>
          <w:rFonts w:eastAsiaTheme="minorEastAsia"/>
          <w:color w:val="000000" w:themeColor="text1"/>
          <w:kern w:val="0"/>
          <w:szCs w:val="21"/>
        </w:rPr>
        <w:t>天基金</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12</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日的财务状况以及</w:t>
      </w:r>
      <w:r>
        <w:rPr>
          <w:rFonts w:eastAsiaTheme="minorEastAsia"/>
          <w:color w:val="000000" w:themeColor="text1"/>
          <w:kern w:val="0"/>
          <w:szCs w:val="21"/>
        </w:rPr>
        <w:t>2017</w:t>
      </w:r>
      <w:r>
        <w:rPr>
          <w:rFonts w:eastAsiaTheme="minorEastAsia"/>
          <w:color w:val="000000" w:themeColor="text1"/>
          <w:kern w:val="0"/>
          <w:szCs w:val="21"/>
        </w:rPr>
        <w:t>年度的经营成果和基金净值变动情况。</w:t>
      </w:r>
    </w:p>
    <w:p w:rsidR="00D91A1A" w:rsidRDefault="00D91A1A" w:rsidP="00D91A1A">
      <w:pPr>
        <w:pStyle w:val="20"/>
        <w:spacing w:beforeLines="50" w:before="156" w:after="0"/>
        <w:rPr>
          <w:rFonts w:ascii="Times New Roman" w:eastAsiaTheme="minorEastAsia" w:hAnsi="Times New Roman"/>
          <w:color w:val="000000" w:themeColor="text1"/>
          <w:kern w:val="0"/>
          <w:sz w:val="21"/>
          <w:szCs w:val="21"/>
        </w:rPr>
      </w:pPr>
      <w:bookmarkStart w:id="33" w:name="_Toc509760997"/>
      <w:r>
        <w:rPr>
          <w:rFonts w:ascii="Times New Roman" w:eastAsiaTheme="minorEastAsia" w:hAnsi="Times New Roman" w:hint="eastAsia"/>
          <w:color w:val="000000" w:themeColor="text1"/>
          <w:kern w:val="0"/>
          <w:sz w:val="21"/>
          <w:szCs w:val="21"/>
        </w:rPr>
        <w:t>二、</w:t>
      </w:r>
      <w:r>
        <w:rPr>
          <w:rFonts w:ascii="Times New Roman" w:eastAsiaTheme="minorEastAsia" w:hAnsi="Times New Roman"/>
          <w:color w:val="000000" w:themeColor="text1"/>
          <w:kern w:val="0"/>
          <w:sz w:val="21"/>
          <w:szCs w:val="21"/>
        </w:rPr>
        <w:t xml:space="preserve"> </w:t>
      </w:r>
      <w:r>
        <w:rPr>
          <w:rFonts w:ascii="Times New Roman" w:eastAsiaTheme="minorEastAsia" w:hAnsi="Times New Roman" w:hint="eastAsia"/>
          <w:color w:val="000000" w:themeColor="text1"/>
          <w:kern w:val="0"/>
          <w:sz w:val="21"/>
          <w:szCs w:val="21"/>
        </w:rPr>
        <w:t>形成审计意见的基础</w:t>
      </w:r>
      <w:bookmarkEnd w:id="33"/>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我们按照中国注册会计师审计准则的规定执行了审计工作。审计报告的</w:t>
      </w:r>
      <w:r>
        <w:rPr>
          <w:rFonts w:eastAsiaTheme="minorEastAsia"/>
          <w:color w:val="000000" w:themeColor="text1"/>
          <w:szCs w:val="21"/>
        </w:rPr>
        <w:t>“</w:t>
      </w:r>
      <w:r>
        <w:rPr>
          <w:rFonts w:eastAsiaTheme="minorEastAsia"/>
          <w:color w:val="000000" w:themeColor="text1"/>
          <w:szCs w:val="21"/>
        </w:rPr>
        <w:t>注册会计师对财务报表审计的责任</w:t>
      </w:r>
      <w:r>
        <w:rPr>
          <w:rFonts w:eastAsiaTheme="minorEastAsia"/>
          <w:color w:val="000000" w:themeColor="text1"/>
          <w:szCs w:val="21"/>
        </w:rPr>
        <w:t>”</w:t>
      </w:r>
      <w:r>
        <w:rPr>
          <w:rFonts w:eastAsiaTheme="minorEastAsia"/>
          <w:color w:val="000000" w:themeColor="text1"/>
          <w:szCs w:val="21"/>
        </w:rPr>
        <w:t>部分进一步阐述了我们在这些准则下的责任。我们相信，我们获取的审计证据是充分、适当的，为发表审计意见提供了基础。</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按照中国注册会计师职业道德守则，我们独立于交银施罗德</w:t>
      </w:r>
      <w:r>
        <w:rPr>
          <w:rFonts w:eastAsiaTheme="minorEastAsia"/>
          <w:color w:val="000000" w:themeColor="text1"/>
          <w:szCs w:val="21"/>
        </w:rPr>
        <w:t>60</w:t>
      </w:r>
      <w:r>
        <w:rPr>
          <w:rFonts w:eastAsiaTheme="minorEastAsia"/>
          <w:color w:val="000000" w:themeColor="text1"/>
          <w:szCs w:val="21"/>
        </w:rPr>
        <w:t>天基金，并履行了职业道德方面的其他责任。</w:t>
      </w:r>
    </w:p>
    <w:p w:rsidR="00D91A1A" w:rsidRDefault="00D91A1A" w:rsidP="00D91A1A">
      <w:pPr>
        <w:pStyle w:val="20"/>
        <w:spacing w:beforeLines="50" w:before="156" w:after="0"/>
        <w:rPr>
          <w:rFonts w:ascii="Times New Roman" w:eastAsiaTheme="minorEastAsia" w:hAnsi="Times New Roman"/>
          <w:color w:val="000000" w:themeColor="text1"/>
          <w:kern w:val="0"/>
          <w:sz w:val="21"/>
          <w:szCs w:val="21"/>
        </w:rPr>
      </w:pPr>
      <w:bookmarkStart w:id="34" w:name="_Toc509760998"/>
      <w:r>
        <w:rPr>
          <w:rFonts w:ascii="Times New Roman" w:eastAsiaTheme="minorEastAsia" w:hAnsi="Times New Roman" w:hint="eastAsia"/>
          <w:color w:val="000000" w:themeColor="text1"/>
          <w:kern w:val="0"/>
          <w:sz w:val="21"/>
          <w:szCs w:val="21"/>
        </w:rPr>
        <w:t>三、</w:t>
      </w:r>
      <w:r w:rsidR="007705F7" w:rsidRPr="007705F7">
        <w:rPr>
          <w:rFonts w:ascii="Times New Roman" w:eastAsiaTheme="minorEastAsia" w:hAnsi="Times New Roman" w:hint="eastAsia"/>
          <w:color w:val="000000" w:themeColor="text1"/>
          <w:kern w:val="0"/>
          <w:sz w:val="21"/>
          <w:szCs w:val="21"/>
        </w:rPr>
        <w:t>管理层和治理层对财务报表的责任</w:t>
      </w:r>
      <w:bookmarkEnd w:id="34"/>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交银施罗德</w:t>
      </w:r>
      <w:r>
        <w:rPr>
          <w:rFonts w:eastAsiaTheme="minorEastAsia"/>
          <w:color w:val="000000" w:themeColor="text1"/>
          <w:szCs w:val="21"/>
        </w:rPr>
        <w:t>60</w:t>
      </w:r>
      <w:r>
        <w:rPr>
          <w:rFonts w:eastAsiaTheme="minorEastAsia"/>
          <w:color w:val="000000" w:themeColor="text1"/>
          <w:szCs w:val="21"/>
        </w:rPr>
        <w:t>天基金的基金管理人交银施罗德基金管理有限公司</w:t>
      </w:r>
      <w:r>
        <w:rPr>
          <w:rFonts w:eastAsiaTheme="minorEastAsia"/>
          <w:color w:val="000000" w:themeColor="text1"/>
          <w:szCs w:val="21"/>
        </w:rPr>
        <w:t>(</w:t>
      </w:r>
      <w:r>
        <w:rPr>
          <w:rFonts w:eastAsiaTheme="minorEastAsia"/>
          <w:color w:val="000000" w:themeColor="text1"/>
          <w:szCs w:val="21"/>
        </w:rPr>
        <w:t>以下简称</w:t>
      </w:r>
      <w:r>
        <w:rPr>
          <w:rFonts w:eastAsiaTheme="minorEastAsia"/>
          <w:color w:val="000000" w:themeColor="text1"/>
          <w:szCs w:val="21"/>
        </w:rPr>
        <w:t>“</w:t>
      </w:r>
      <w:r>
        <w:rPr>
          <w:rFonts w:eastAsiaTheme="minorEastAsia"/>
          <w:color w:val="000000" w:themeColor="text1"/>
          <w:szCs w:val="21"/>
        </w:rPr>
        <w:t>基金管理人</w:t>
      </w:r>
      <w:r>
        <w:rPr>
          <w:rFonts w:eastAsiaTheme="minorEastAsia"/>
          <w:color w:val="000000" w:themeColor="text1"/>
          <w:szCs w:val="21"/>
        </w:rPr>
        <w:t>”)</w:t>
      </w:r>
      <w:r>
        <w:rPr>
          <w:rFonts w:eastAsiaTheme="minorEastAsia"/>
          <w:color w:val="000000" w:themeColor="text1"/>
          <w:szCs w:val="21"/>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在编制财务报表时，基金管理人管理层负责评估交银施罗德</w:t>
      </w:r>
      <w:r>
        <w:rPr>
          <w:rFonts w:eastAsiaTheme="minorEastAsia"/>
          <w:color w:val="000000" w:themeColor="text1"/>
          <w:szCs w:val="21"/>
        </w:rPr>
        <w:t>60</w:t>
      </w:r>
      <w:r>
        <w:rPr>
          <w:rFonts w:eastAsiaTheme="minorEastAsia"/>
          <w:color w:val="000000" w:themeColor="text1"/>
          <w:szCs w:val="21"/>
        </w:rPr>
        <w:t>天基金的持续经营能力，披露与持续经营相关的事项</w:t>
      </w:r>
      <w:r>
        <w:rPr>
          <w:rFonts w:eastAsiaTheme="minorEastAsia"/>
          <w:color w:val="000000" w:themeColor="text1"/>
          <w:szCs w:val="21"/>
        </w:rPr>
        <w:t>(</w:t>
      </w:r>
      <w:r>
        <w:rPr>
          <w:rFonts w:eastAsiaTheme="minorEastAsia"/>
          <w:color w:val="000000" w:themeColor="text1"/>
          <w:szCs w:val="21"/>
        </w:rPr>
        <w:t>如适用</w:t>
      </w:r>
      <w:r>
        <w:rPr>
          <w:rFonts w:eastAsiaTheme="minorEastAsia"/>
          <w:color w:val="000000" w:themeColor="text1"/>
          <w:szCs w:val="21"/>
        </w:rPr>
        <w:t>)</w:t>
      </w:r>
      <w:r>
        <w:rPr>
          <w:rFonts w:eastAsiaTheme="minorEastAsia"/>
          <w:color w:val="000000" w:themeColor="text1"/>
          <w:szCs w:val="21"/>
        </w:rPr>
        <w:t>，并运用持续经营假设，除非基金管理人管理层计划清算交银施罗德</w:t>
      </w:r>
      <w:r>
        <w:rPr>
          <w:rFonts w:eastAsiaTheme="minorEastAsia"/>
          <w:color w:val="000000" w:themeColor="text1"/>
          <w:szCs w:val="21"/>
        </w:rPr>
        <w:t>60</w:t>
      </w:r>
      <w:r>
        <w:rPr>
          <w:rFonts w:eastAsiaTheme="minorEastAsia"/>
          <w:color w:val="000000" w:themeColor="text1"/>
          <w:szCs w:val="21"/>
        </w:rPr>
        <w:t>天基金、终止运营或别无其他现实的选择。</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基金管理人治理层负责监督交银施罗德</w:t>
      </w:r>
      <w:r>
        <w:rPr>
          <w:rFonts w:eastAsiaTheme="minorEastAsia"/>
          <w:color w:val="000000" w:themeColor="text1"/>
          <w:szCs w:val="21"/>
        </w:rPr>
        <w:t>60</w:t>
      </w:r>
      <w:r>
        <w:rPr>
          <w:rFonts w:eastAsiaTheme="minorEastAsia"/>
          <w:color w:val="000000" w:themeColor="text1"/>
          <w:szCs w:val="21"/>
        </w:rPr>
        <w:t>天基金的财务报告过程。</w:t>
      </w:r>
    </w:p>
    <w:p w:rsidR="00D91A1A" w:rsidRDefault="00D91A1A" w:rsidP="00D91A1A">
      <w:pPr>
        <w:pStyle w:val="20"/>
        <w:spacing w:beforeLines="50" w:before="156" w:after="0"/>
        <w:rPr>
          <w:rFonts w:ascii="Times New Roman" w:eastAsiaTheme="minorEastAsia" w:hAnsi="Times New Roman"/>
          <w:color w:val="000000" w:themeColor="text1"/>
          <w:kern w:val="0"/>
          <w:sz w:val="21"/>
          <w:szCs w:val="21"/>
        </w:rPr>
      </w:pPr>
      <w:bookmarkStart w:id="35" w:name="_Toc509760999"/>
      <w:r>
        <w:rPr>
          <w:rFonts w:ascii="Times New Roman" w:eastAsiaTheme="minorEastAsia" w:hAnsi="Times New Roman" w:hint="eastAsia"/>
          <w:color w:val="000000" w:themeColor="text1"/>
          <w:kern w:val="0"/>
          <w:sz w:val="21"/>
          <w:szCs w:val="21"/>
        </w:rPr>
        <w:t>四、</w:t>
      </w:r>
      <w:r w:rsidR="007705F7" w:rsidRPr="007705F7">
        <w:rPr>
          <w:rFonts w:ascii="Times New Roman" w:eastAsiaTheme="minorEastAsia" w:hAnsi="Times New Roman" w:hint="eastAsia"/>
          <w:color w:val="000000" w:themeColor="text1"/>
          <w:kern w:val="0"/>
          <w:sz w:val="21"/>
          <w:szCs w:val="21"/>
        </w:rPr>
        <w:t>注册会计师对财务报表审计的责任</w:t>
      </w:r>
      <w:bookmarkEnd w:id="35"/>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在按照审计准则执行审计工作的过程中，我们运用职业判断，并保持职业怀疑。同时，我们也执行以下工作：</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 xml:space="preserve">) </w:t>
      </w:r>
      <w:r>
        <w:rPr>
          <w:rFonts w:eastAsiaTheme="minorEastAsia"/>
          <w:color w:val="000000" w:themeColor="text1"/>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 xml:space="preserve">) </w:t>
      </w:r>
      <w:r>
        <w:rPr>
          <w:rFonts w:eastAsiaTheme="minorEastAsia"/>
          <w:color w:val="000000" w:themeColor="text1"/>
          <w:szCs w:val="21"/>
        </w:rPr>
        <w:t>了解与审计相关的内部控制，以设计恰当的审计程序，但目的并非对内部控制的有效性发表意见。</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 xml:space="preserve">) </w:t>
      </w:r>
      <w:r>
        <w:rPr>
          <w:rFonts w:eastAsiaTheme="minorEastAsia"/>
          <w:color w:val="000000" w:themeColor="text1"/>
          <w:szCs w:val="21"/>
        </w:rPr>
        <w:t>评价基金管理人管理层选用会计政策的恰当性和作出会计估计及相关披露的合理性。</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 xml:space="preserve">) </w:t>
      </w:r>
      <w:r>
        <w:rPr>
          <w:rFonts w:eastAsiaTheme="minorEastAsia"/>
          <w:color w:val="000000" w:themeColor="text1"/>
          <w:szCs w:val="21"/>
        </w:rPr>
        <w:t>对基金管理人管理层使用持续经营假设的恰当性得出结论。同时，根据获取的审计证据，就可能导致对交银施罗德</w:t>
      </w:r>
      <w:r>
        <w:rPr>
          <w:rFonts w:eastAsiaTheme="minorEastAsia"/>
          <w:color w:val="000000" w:themeColor="text1"/>
          <w:szCs w:val="21"/>
        </w:rPr>
        <w:t>60</w:t>
      </w:r>
      <w:r>
        <w:rPr>
          <w:rFonts w:eastAsiaTheme="minorEastAsia"/>
          <w:color w:val="000000" w:themeColor="text1"/>
          <w:szCs w:val="21"/>
        </w:rPr>
        <w:t>天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w:t>
      </w:r>
      <w:r>
        <w:rPr>
          <w:rFonts w:eastAsiaTheme="minorEastAsia"/>
          <w:color w:val="000000" w:themeColor="text1"/>
          <w:szCs w:val="21"/>
        </w:rPr>
        <w:t>60</w:t>
      </w:r>
      <w:r>
        <w:rPr>
          <w:rFonts w:eastAsiaTheme="minorEastAsia"/>
          <w:color w:val="000000" w:themeColor="text1"/>
          <w:szCs w:val="21"/>
        </w:rPr>
        <w:t>天基金不能持续经营。</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 xml:space="preserve">) </w:t>
      </w:r>
      <w:r>
        <w:rPr>
          <w:rFonts w:eastAsiaTheme="minorEastAsia"/>
          <w:color w:val="000000" w:themeColor="text1"/>
          <w:szCs w:val="21"/>
        </w:rPr>
        <w:t>评价财务报表的总体列报、结构和内容</w:t>
      </w:r>
      <w:r>
        <w:rPr>
          <w:rFonts w:eastAsiaTheme="minorEastAsia"/>
          <w:color w:val="000000" w:themeColor="text1"/>
          <w:szCs w:val="21"/>
        </w:rPr>
        <w:t>(</w:t>
      </w:r>
      <w:r>
        <w:rPr>
          <w:rFonts w:eastAsiaTheme="minorEastAsia"/>
          <w:color w:val="000000" w:themeColor="text1"/>
          <w:szCs w:val="21"/>
        </w:rPr>
        <w:t>包括披露</w:t>
      </w:r>
      <w:r>
        <w:rPr>
          <w:rFonts w:eastAsiaTheme="minorEastAsia"/>
          <w:color w:val="000000" w:themeColor="text1"/>
          <w:szCs w:val="21"/>
        </w:rPr>
        <w:t>)</w:t>
      </w:r>
      <w:r>
        <w:rPr>
          <w:rFonts w:eastAsiaTheme="minorEastAsia"/>
          <w:color w:val="000000" w:themeColor="text1"/>
          <w:szCs w:val="21"/>
        </w:rPr>
        <w:t>，并评价财务报表是否公允反映相关交易和事项。</w:t>
      </w:r>
    </w:p>
    <w:p w:rsidR="00D91A1A" w:rsidRDefault="00D91A1A" w:rsidP="00D91A1A">
      <w:pPr>
        <w:spacing w:line="360" w:lineRule="auto"/>
        <w:ind w:firstLineChars="200" w:firstLine="420"/>
        <w:rPr>
          <w:rFonts w:eastAsiaTheme="minorEastAsia"/>
          <w:color w:val="000000" w:themeColor="text1"/>
          <w:szCs w:val="21"/>
        </w:rPr>
      </w:pPr>
      <w:r>
        <w:rPr>
          <w:rFonts w:eastAsiaTheme="minorEastAsia"/>
          <w:color w:val="000000" w:themeColor="text1"/>
          <w:szCs w:val="21"/>
        </w:rPr>
        <w:t>我们与基金管理人治理层就计划的审计范围、时间安排和重大审计发现等事项进行沟通，包括沟通我们在审计中识别出的值得关注的内部控制缺陷。</w:t>
      </w:r>
    </w:p>
    <w:p w:rsidR="00D91A1A" w:rsidRDefault="00D91A1A" w:rsidP="00D91A1A">
      <w:pPr>
        <w:spacing w:beforeLines="100" w:before="312" w:line="360" w:lineRule="auto"/>
        <w:jc w:val="right"/>
        <w:rPr>
          <w:rFonts w:eastAsiaTheme="minorEastAsia"/>
          <w:color w:val="000000" w:themeColor="text1"/>
          <w:szCs w:val="21"/>
        </w:rPr>
      </w:pPr>
      <w:r>
        <w:rPr>
          <w:rFonts w:eastAsiaTheme="minorEastAsia"/>
          <w:color w:val="000000" w:themeColor="text1"/>
          <w:kern w:val="0"/>
          <w:szCs w:val="21"/>
        </w:rPr>
        <w:t>普华永道中天会计师事务所（特殊普通合伙）</w:t>
      </w:r>
      <w:r>
        <w:rPr>
          <w:rFonts w:eastAsiaTheme="minorEastAsia"/>
          <w:color w:val="000000" w:themeColor="text1"/>
          <w:kern w:val="0"/>
          <w:szCs w:val="21"/>
        </w:rPr>
        <w:tab/>
      </w:r>
      <w:r>
        <w:rPr>
          <w:rFonts w:eastAsiaTheme="minorEastAsia"/>
          <w:color w:val="000000" w:themeColor="text1"/>
          <w:kern w:val="0"/>
          <w:szCs w:val="21"/>
        </w:rPr>
        <w:tab/>
      </w:r>
      <w:r>
        <w:rPr>
          <w:rFonts w:eastAsiaTheme="minorEastAsia" w:hint="eastAsia"/>
          <w:color w:val="000000" w:themeColor="text1"/>
          <w:szCs w:val="21"/>
        </w:rPr>
        <w:t>中国注册会计师</w:t>
      </w:r>
    </w:p>
    <w:p w:rsidR="00D91A1A" w:rsidRDefault="00D91A1A" w:rsidP="00D91A1A">
      <w:pPr>
        <w:spacing w:line="360" w:lineRule="auto"/>
        <w:jc w:val="right"/>
        <w:rPr>
          <w:rFonts w:eastAsiaTheme="minorEastAsia"/>
          <w:color w:val="000000" w:themeColor="text1"/>
          <w:kern w:val="0"/>
          <w:szCs w:val="21"/>
        </w:rPr>
      </w:pPr>
      <w:r>
        <w:rPr>
          <w:rFonts w:eastAsiaTheme="minorEastAsia"/>
          <w:color w:val="000000" w:themeColor="text1"/>
          <w:kern w:val="0"/>
          <w:szCs w:val="21"/>
        </w:rPr>
        <w:t xml:space="preserve">  </w:t>
      </w:r>
      <w:r>
        <w:rPr>
          <w:rFonts w:eastAsiaTheme="minorEastAsia"/>
          <w:color w:val="000000" w:themeColor="text1"/>
          <w:kern w:val="0"/>
          <w:szCs w:val="21"/>
        </w:rPr>
        <w:t>薛竞</w:t>
      </w:r>
      <w:r>
        <w:rPr>
          <w:rFonts w:eastAsiaTheme="minorEastAsia"/>
          <w:color w:val="000000" w:themeColor="text1"/>
          <w:kern w:val="0"/>
          <w:szCs w:val="21"/>
        </w:rPr>
        <w:t xml:space="preserve">  </w:t>
      </w:r>
      <w:r>
        <w:rPr>
          <w:rFonts w:eastAsiaTheme="minorEastAsia"/>
          <w:color w:val="000000" w:themeColor="text1"/>
          <w:kern w:val="0"/>
          <w:szCs w:val="21"/>
        </w:rPr>
        <w:t>朱宏宇</w:t>
      </w:r>
    </w:p>
    <w:p w:rsidR="00D91A1A" w:rsidRDefault="00D91A1A" w:rsidP="00D91A1A">
      <w:pPr>
        <w:widowControl/>
        <w:spacing w:line="360" w:lineRule="auto"/>
        <w:jc w:val="right"/>
        <w:rPr>
          <w:rFonts w:eastAsiaTheme="minorEastAsia"/>
          <w:color w:val="000000" w:themeColor="text1"/>
          <w:szCs w:val="21"/>
        </w:rPr>
      </w:pPr>
      <w:r>
        <w:rPr>
          <w:rFonts w:eastAsiaTheme="minorEastAsia"/>
          <w:color w:val="000000" w:themeColor="text1"/>
          <w:kern w:val="0"/>
          <w:szCs w:val="21"/>
        </w:rPr>
        <w:t>上海市湖滨路</w:t>
      </w:r>
      <w:r>
        <w:rPr>
          <w:rFonts w:eastAsiaTheme="minorEastAsia"/>
          <w:color w:val="000000" w:themeColor="text1"/>
          <w:kern w:val="0"/>
          <w:szCs w:val="21"/>
        </w:rPr>
        <w:t>202</w:t>
      </w:r>
      <w:r>
        <w:rPr>
          <w:rFonts w:eastAsiaTheme="minorEastAsia"/>
          <w:color w:val="000000" w:themeColor="text1"/>
          <w:kern w:val="0"/>
          <w:szCs w:val="21"/>
        </w:rPr>
        <w:t>号普华永道中心</w:t>
      </w:r>
      <w:r>
        <w:rPr>
          <w:rFonts w:eastAsiaTheme="minorEastAsia"/>
          <w:color w:val="000000" w:themeColor="text1"/>
          <w:kern w:val="0"/>
          <w:szCs w:val="21"/>
        </w:rPr>
        <w:t>11</w:t>
      </w:r>
      <w:r>
        <w:rPr>
          <w:rFonts w:eastAsiaTheme="minorEastAsia"/>
          <w:color w:val="000000" w:themeColor="text1"/>
          <w:kern w:val="0"/>
          <w:szCs w:val="21"/>
        </w:rPr>
        <w:t>楼</w:t>
      </w:r>
    </w:p>
    <w:p w:rsidR="00223DFB" w:rsidRDefault="00D91A1A" w:rsidP="00D91A1A">
      <w:pPr>
        <w:spacing w:before="29" w:line="288" w:lineRule="auto"/>
        <w:jc w:val="right"/>
        <w:rPr>
          <w:sz w:val="24"/>
        </w:rPr>
      </w:pPr>
      <w:r>
        <w:rPr>
          <w:rFonts w:eastAsiaTheme="minorEastAsia"/>
          <w:color w:val="000000" w:themeColor="text1"/>
          <w:kern w:val="0"/>
          <w:szCs w:val="21"/>
        </w:rPr>
        <w:t>2018</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26</w:t>
      </w:r>
      <w:r>
        <w:rPr>
          <w:rFonts w:eastAsiaTheme="minorEastAsia"/>
          <w:color w:val="000000" w:themeColor="text1"/>
          <w:kern w:val="0"/>
          <w:szCs w:val="21"/>
        </w:rPr>
        <w:t>日</w:t>
      </w:r>
    </w:p>
    <w:p w:rsidR="006E5E9C" w:rsidRPr="00A57D19" w:rsidRDefault="006E5E9C" w:rsidP="00A57D19">
      <w:pPr>
        <w:spacing w:before="29" w:line="288" w:lineRule="auto"/>
        <w:jc w:val="right"/>
        <w:rPr>
          <w:sz w:val="24"/>
        </w:rPr>
      </w:pPr>
    </w:p>
    <w:p w:rsidR="00223DFB" w:rsidRDefault="00223DFB" w:rsidP="001B0E7B">
      <w:pPr>
        <w:pStyle w:val="1"/>
        <w:keepNext/>
        <w:keepLines/>
        <w:widowControl w:val="0"/>
        <w:spacing w:beforeLines="100" w:before="312" w:afterLines="100" w:after="312" w:line="288" w:lineRule="auto"/>
        <w:jc w:val="center"/>
        <w:rPr>
          <w:b/>
          <w:bCs/>
          <w:szCs w:val="24"/>
          <w:lang w:val="en-US"/>
        </w:rPr>
      </w:pPr>
      <w:bookmarkStart w:id="36" w:name="_Toc509761000"/>
      <w:r w:rsidRPr="006A4534">
        <w:rPr>
          <w:rFonts w:hint="eastAsia"/>
          <w:b/>
          <w:bCs/>
          <w:szCs w:val="24"/>
          <w:lang w:val="en-US"/>
        </w:rPr>
        <w:t>§</w:t>
      </w:r>
      <w:r w:rsidRPr="006A4534">
        <w:rPr>
          <w:rFonts w:hint="eastAsia"/>
          <w:b/>
          <w:bCs/>
          <w:szCs w:val="24"/>
          <w:lang w:val="en-US"/>
        </w:rPr>
        <w:t>7</w:t>
      </w:r>
      <w:r w:rsidR="00250A79" w:rsidRPr="006A4534">
        <w:rPr>
          <w:rFonts w:hint="eastAsia"/>
          <w:b/>
          <w:bCs/>
          <w:szCs w:val="24"/>
          <w:lang w:val="en-US"/>
        </w:rPr>
        <w:t xml:space="preserve">  </w:t>
      </w:r>
      <w:r w:rsidRPr="006A4534">
        <w:rPr>
          <w:rFonts w:hint="eastAsia"/>
          <w:b/>
          <w:bCs/>
          <w:szCs w:val="24"/>
          <w:lang w:val="en-US"/>
        </w:rPr>
        <w:t>年度财务报表</w:t>
      </w:r>
      <w:bookmarkEnd w:id="36"/>
    </w:p>
    <w:p w:rsidR="00FB3BC2" w:rsidRPr="00FB3BC2" w:rsidRDefault="00FB3BC2" w:rsidP="00FB3BC2"/>
    <w:p w:rsidR="00223DFB" w:rsidRPr="002525D9" w:rsidRDefault="00223DFB" w:rsidP="002525D9">
      <w:pPr>
        <w:pStyle w:val="20"/>
        <w:spacing w:before="29" w:after="0" w:line="288" w:lineRule="auto"/>
        <w:rPr>
          <w:rFonts w:ascii="Times New Roman" w:hAnsi="Times New Roman" w:cs="Times New Roman"/>
          <w:kern w:val="0"/>
          <w:szCs w:val="24"/>
        </w:rPr>
      </w:pPr>
      <w:bookmarkStart w:id="37" w:name="_Toc509761001"/>
      <w:r w:rsidRPr="002525D9">
        <w:rPr>
          <w:rFonts w:ascii="Times New Roman" w:hAnsi="Times New Roman" w:cs="Times New Roman" w:hint="eastAsia"/>
          <w:kern w:val="0"/>
          <w:szCs w:val="24"/>
        </w:rPr>
        <w:t xml:space="preserve">7.1 </w:t>
      </w:r>
      <w:r w:rsidRPr="002525D9">
        <w:rPr>
          <w:rFonts w:ascii="Times New Roman" w:hAnsi="Times New Roman" w:cs="Times New Roman" w:hint="eastAsia"/>
          <w:kern w:val="0"/>
          <w:szCs w:val="24"/>
        </w:rPr>
        <w:t>资产负债表</w:t>
      </w:r>
      <w:bookmarkEnd w:id="37"/>
    </w:p>
    <w:p w:rsidR="00223DFB" w:rsidRPr="00EE38B1" w:rsidRDefault="00223DFB" w:rsidP="00EE38B1">
      <w:pPr>
        <w:spacing w:before="29" w:line="288" w:lineRule="auto"/>
        <w:rPr>
          <w:sz w:val="24"/>
        </w:rPr>
      </w:pPr>
      <w:r w:rsidRPr="00EE38B1">
        <w:rPr>
          <w:rFonts w:hint="eastAsia"/>
          <w:sz w:val="24"/>
        </w:rPr>
        <w:t>会计主体：交银施罗德理财</w:t>
      </w:r>
      <w:r w:rsidRPr="00EE38B1">
        <w:rPr>
          <w:rFonts w:hint="eastAsia"/>
          <w:sz w:val="24"/>
        </w:rPr>
        <w:t>60</w:t>
      </w:r>
      <w:r w:rsidRPr="00EE38B1">
        <w:rPr>
          <w:rFonts w:hint="eastAsia"/>
          <w:sz w:val="24"/>
        </w:rPr>
        <w:t>天债券型证券投资基金</w:t>
      </w:r>
    </w:p>
    <w:p w:rsidR="00223DFB" w:rsidRPr="00EE38B1" w:rsidRDefault="00223DFB" w:rsidP="00EE38B1">
      <w:pPr>
        <w:spacing w:before="29" w:line="288" w:lineRule="auto"/>
        <w:rPr>
          <w:sz w:val="24"/>
        </w:rPr>
      </w:pPr>
      <w:r w:rsidRPr="00EE38B1">
        <w:rPr>
          <w:rFonts w:hint="eastAsia"/>
          <w:sz w:val="24"/>
        </w:rPr>
        <w:t>报告截止日：</w:t>
      </w:r>
      <w:r w:rsidRPr="00EE38B1">
        <w:rPr>
          <w:rFonts w:hint="eastAsia"/>
          <w:sz w:val="24"/>
        </w:rPr>
        <w:t>2017</w:t>
      </w:r>
      <w:r w:rsidRPr="00EE38B1">
        <w:rPr>
          <w:rFonts w:hint="eastAsia"/>
          <w:sz w:val="24"/>
        </w:rPr>
        <w:t>年</w:t>
      </w:r>
      <w:r w:rsidRPr="00EE38B1">
        <w:rPr>
          <w:rFonts w:hint="eastAsia"/>
          <w:sz w:val="24"/>
        </w:rPr>
        <w:t>12</w:t>
      </w:r>
      <w:r w:rsidRPr="00EE38B1">
        <w:rPr>
          <w:rFonts w:hint="eastAsia"/>
          <w:sz w:val="24"/>
        </w:rPr>
        <w:t>月</w:t>
      </w:r>
      <w:r w:rsidRPr="00EE38B1">
        <w:rPr>
          <w:rFonts w:hint="eastAsia"/>
          <w:sz w:val="24"/>
        </w:rPr>
        <w:t>31</w:t>
      </w:r>
      <w:r w:rsidRPr="00EE38B1">
        <w:rPr>
          <w:rFonts w:hint="eastAsia"/>
          <w:sz w:val="24"/>
        </w:rPr>
        <w:t>日</w:t>
      </w:r>
    </w:p>
    <w:p w:rsidR="00223DFB" w:rsidRPr="00CA68AD"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CA68A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line="288" w:lineRule="auto"/>
              <w:jc w:val="center"/>
              <w:rPr>
                <w:rFonts w:ascii="Times New Roman" w:hAnsi="Times New Roman"/>
                <w:b/>
                <w:color w:val="000000"/>
              </w:rPr>
            </w:pPr>
            <w:r w:rsidRPr="00527B33">
              <w:rPr>
                <w:rFonts w:ascii="Times New Roman" w:hAnsi="Times New Roman" w:hint="eastAsia"/>
                <w:b/>
                <w:color w:val="000000"/>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本期末</w:t>
            </w:r>
          </w:p>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hint="eastAsia"/>
              </w:rPr>
              <w:t>2017</w:t>
            </w:r>
            <w:r w:rsidRPr="00C61E70">
              <w:rPr>
                <w:rFonts w:ascii="Times New Roman" w:hAnsi="Times New Roman" w:hint="eastAsia"/>
              </w:rPr>
              <w:t>年</w:t>
            </w:r>
            <w:r w:rsidRPr="00C61E70">
              <w:rPr>
                <w:rFonts w:ascii="Times New Roman" w:hAnsi="Times New Roman" w:hint="eastAsia"/>
              </w:rPr>
              <w:t>12</w:t>
            </w:r>
            <w:r w:rsidRPr="00C61E70">
              <w:rPr>
                <w:rFonts w:ascii="Times New Roman" w:hAnsi="Times New Roman" w:hint="eastAsia"/>
              </w:rPr>
              <w:t>月</w:t>
            </w:r>
            <w:r w:rsidRPr="00C61E70">
              <w:rPr>
                <w:rFonts w:ascii="Times New Roman" w:hAnsi="Times New Roman" w:hint="eastAsia"/>
              </w:rPr>
              <w:t>31</w:t>
            </w:r>
            <w:r w:rsidRPr="00C61E70">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527B33" w:rsidRDefault="00223DFB" w:rsidP="00527B33">
            <w:pPr>
              <w:pStyle w:val="af6"/>
              <w:spacing w:before="29" w:beforeAutospacing="0" w:after="0" w:afterAutospacing="0" w:line="288" w:lineRule="auto"/>
              <w:jc w:val="center"/>
              <w:rPr>
                <w:rFonts w:ascii="Times New Roman" w:hAnsi="Times New Roman"/>
                <w:b/>
                <w:color w:val="000000"/>
              </w:rPr>
            </w:pPr>
            <w:r w:rsidRPr="00527B33">
              <w:rPr>
                <w:rFonts w:ascii="Times New Roman" w:hAnsi="Times New Roman" w:hint="eastAsia"/>
                <w:b/>
                <w:color w:val="000000"/>
              </w:rPr>
              <w:t>上年度末</w:t>
            </w:r>
          </w:p>
          <w:p w:rsidR="00223DFB" w:rsidRPr="00527B33" w:rsidRDefault="00001F77" w:rsidP="00527B33">
            <w:pPr>
              <w:pStyle w:val="af6"/>
              <w:spacing w:before="29" w:beforeAutospacing="0" w:after="0" w:afterAutospacing="0" w:line="288" w:lineRule="auto"/>
              <w:jc w:val="center"/>
              <w:rPr>
                <w:rFonts w:ascii="Times New Roman" w:hAnsi="Times New Roman"/>
                <w:b/>
                <w:color w:val="000000"/>
              </w:rPr>
            </w:pPr>
            <w:r w:rsidRPr="00C61E70">
              <w:rPr>
                <w:rFonts w:ascii="Times New Roman" w:hAnsi="Times New Roman"/>
              </w:rPr>
              <w:t>2016</w:t>
            </w:r>
            <w:r w:rsidRPr="00C61E70">
              <w:rPr>
                <w:rFonts w:ascii="Times New Roman" w:hAnsi="Times New Roman"/>
              </w:rPr>
              <w:t>年</w:t>
            </w:r>
            <w:r w:rsidRPr="00C61E70">
              <w:rPr>
                <w:rFonts w:ascii="Times New Roman" w:hAnsi="Times New Roman"/>
              </w:rPr>
              <w:t>12</w:t>
            </w:r>
            <w:r w:rsidRPr="00C61E70">
              <w:rPr>
                <w:rFonts w:ascii="Times New Roman" w:hAnsi="Times New Roman"/>
              </w:rPr>
              <w:t>月</w:t>
            </w:r>
            <w:r w:rsidRPr="00C61E70">
              <w:rPr>
                <w:rFonts w:ascii="Times New Roman" w:hAnsi="Times New Roman"/>
              </w:rPr>
              <w:t>31</w:t>
            </w:r>
            <w:r w:rsidRPr="00C61E70">
              <w:rPr>
                <w:rFonts w:ascii="Times New Roman" w:hAnsi="Times New Roman"/>
              </w:rPr>
              <w:t>日</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527B33">
            <w:pPr>
              <w:spacing w:before="29" w:line="288" w:lineRule="auto"/>
              <w:rPr>
                <w:b/>
                <w:color w:val="000000"/>
                <w:sz w:val="24"/>
              </w:rPr>
            </w:pPr>
            <w:r w:rsidRPr="00A02DB2">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A02DB2" w:rsidRDefault="003B282D" w:rsidP="00173BB4">
            <w:pPr>
              <w:spacing w:before="29" w:line="288" w:lineRule="auto"/>
              <w:jc w:val="right"/>
              <w:rPr>
                <w:b/>
                <w:sz w:val="24"/>
              </w:rPr>
            </w:pPr>
            <w:r w:rsidRPr="00A02DB2">
              <w:rPr>
                <w:rFonts w:hint="eastAsia"/>
                <w:b/>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BF370B">
            <w:pPr>
              <w:widowControl/>
              <w:autoSpaceDE w:val="0"/>
              <w:autoSpaceDN w:val="0"/>
              <w:ind w:right="-15"/>
              <w:jc w:val="center"/>
              <w:textAlignment w:val="bottom"/>
              <w:rPr>
                <w:color w:val="000000"/>
                <w:sz w:val="24"/>
              </w:rPr>
            </w:pPr>
            <w:r w:rsidRPr="00521314">
              <w:rPr>
                <w:rFonts w:hint="eastAsia"/>
                <w:color w:val="000000"/>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2,265,719,176.14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14,618,194.76</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3,400,828,485.89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1,995,489,408.43</w:t>
            </w:r>
          </w:p>
        </w:tc>
      </w:tr>
      <w:tr w:rsidR="003B282D" w:rsidRPr="003367A1"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527B33" w:rsidRDefault="003B282D" w:rsidP="00527B33">
            <w:pPr>
              <w:spacing w:before="29" w:line="288" w:lineRule="auto"/>
              <w:rPr>
                <w:color w:val="000000"/>
                <w:sz w:val="24"/>
              </w:rPr>
            </w:pPr>
            <w:r w:rsidRPr="00527B33">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3,400,828,485.89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1,995,489,408.43</w:t>
            </w:r>
          </w:p>
        </w:tc>
      </w:tr>
      <w:tr w:rsidR="003B282D" w:rsidRPr="003367A1"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71DA3" w:rsidRDefault="003B282D" w:rsidP="00A71DA3">
            <w:pPr>
              <w:pStyle w:val="af6"/>
              <w:spacing w:before="29" w:beforeAutospacing="0" w:line="288" w:lineRule="auto"/>
              <w:ind w:firstLineChars="300" w:firstLine="720"/>
              <w:jc w:val="center"/>
              <w:rPr>
                <w:rFonts w:ascii="Times New Roman" w:hAnsi="Times New Roman"/>
              </w:rPr>
            </w:pPr>
            <w:r w:rsidRPr="00A71DA3">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A71DA3" w:rsidRDefault="003B282D" w:rsidP="00A71DA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14,000,000.00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18,328,586.03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3,032,494.59</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80,000.00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600.00</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BF38DD" w:rsidRDefault="003B282D" w:rsidP="00BF38DD">
            <w:pPr>
              <w:spacing w:before="29" w:line="288" w:lineRule="auto"/>
              <w:rPr>
                <w:sz w:val="24"/>
              </w:rPr>
            </w:pPr>
            <w:r w:rsidRPr="00BF38DD">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r w:rsidRPr="00521314">
              <w:rPr>
                <w:rFonts w:hint="eastAsia"/>
                <w:color w:val="000000"/>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w:t>
            </w:r>
          </w:p>
        </w:tc>
      </w:tr>
      <w:tr w:rsidR="003B282D" w:rsidRPr="003367A1"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A02DB2" w:rsidRDefault="003B282D" w:rsidP="002C14C2">
            <w:pPr>
              <w:spacing w:before="29" w:line="288" w:lineRule="auto"/>
              <w:rPr>
                <w:rFonts w:asciiTheme="minorEastAsia" w:eastAsiaTheme="minorEastAsia" w:hAnsiTheme="minorEastAsia"/>
                <w:szCs w:val="21"/>
              </w:rPr>
            </w:pPr>
            <w:r w:rsidRPr="00A02DB2">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521314" w:rsidRDefault="003B282D"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5,684,956,248.06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173BB4" w:rsidRDefault="003B282D" w:rsidP="00173BB4">
            <w:pPr>
              <w:spacing w:before="29" w:line="288" w:lineRule="auto"/>
              <w:jc w:val="right"/>
              <w:rPr>
                <w:sz w:val="24"/>
              </w:rPr>
            </w:pPr>
            <w:r w:rsidRPr="00173BB4">
              <w:rPr>
                <w:rFonts w:hint="eastAsia"/>
                <w:sz w:val="24"/>
              </w:rPr>
              <w:t>2,027,140,697.78</w:t>
            </w:r>
          </w:p>
        </w:tc>
      </w:tr>
      <w:tr w:rsidR="002C233F" w:rsidRPr="003367A1"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line="288" w:lineRule="auto"/>
              <w:jc w:val="center"/>
              <w:rPr>
                <w:rFonts w:ascii="Times New Roman" w:hAnsi="Times New Roman"/>
                <w:b/>
              </w:rPr>
            </w:pPr>
            <w:r w:rsidRPr="00483BA3">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本期末</w:t>
            </w:r>
          </w:p>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2017</w:t>
            </w:r>
            <w:r w:rsidRPr="00483BA3">
              <w:rPr>
                <w:rFonts w:ascii="Times New Roman" w:hAnsi="Times New Roman" w:hint="eastAsia"/>
                <w:b/>
              </w:rPr>
              <w:t>年</w:t>
            </w:r>
            <w:r w:rsidRPr="00483BA3">
              <w:rPr>
                <w:rFonts w:ascii="Times New Roman" w:hAnsi="Times New Roman" w:hint="eastAsia"/>
                <w:b/>
              </w:rPr>
              <w:t>12</w:t>
            </w:r>
            <w:r w:rsidRPr="00483BA3">
              <w:rPr>
                <w:rFonts w:ascii="Times New Roman" w:hAnsi="Times New Roman" w:hint="eastAsia"/>
                <w:b/>
              </w:rPr>
              <w:t>月</w:t>
            </w:r>
            <w:r w:rsidRPr="00483BA3">
              <w:rPr>
                <w:rFonts w:ascii="Times New Roman" w:hAnsi="Times New Roman" w:hint="eastAsia"/>
                <w:b/>
              </w:rPr>
              <w:t>31</w:t>
            </w:r>
            <w:r w:rsidRPr="00483BA3">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483BA3" w:rsidRDefault="00223DFB"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hint="eastAsia"/>
                <w:b/>
              </w:rPr>
              <w:t>上年度末</w:t>
            </w:r>
          </w:p>
          <w:p w:rsidR="00223DFB" w:rsidRPr="00483BA3" w:rsidRDefault="00001F77" w:rsidP="00483BA3">
            <w:pPr>
              <w:pStyle w:val="af6"/>
              <w:spacing w:before="29" w:beforeAutospacing="0" w:after="0" w:afterAutospacing="0" w:line="288" w:lineRule="auto"/>
              <w:jc w:val="center"/>
              <w:rPr>
                <w:rFonts w:ascii="Times New Roman" w:hAnsi="Times New Roman"/>
                <w:b/>
              </w:rPr>
            </w:pPr>
            <w:r w:rsidRPr="00483BA3">
              <w:rPr>
                <w:rFonts w:ascii="Times New Roman" w:hAnsi="Times New Roman"/>
                <w:b/>
              </w:rPr>
              <w:t>2016</w:t>
            </w:r>
            <w:r w:rsidRPr="00483BA3">
              <w:rPr>
                <w:rFonts w:ascii="Times New Roman" w:hAnsi="Times New Roman"/>
                <w:b/>
              </w:rPr>
              <w:t>年</w:t>
            </w:r>
            <w:r w:rsidRPr="00483BA3">
              <w:rPr>
                <w:rFonts w:ascii="Times New Roman" w:hAnsi="Times New Roman"/>
                <w:b/>
              </w:rPr>
              <w:t>12</w:t>
            </w:r>
            <w:r w:rsidRPr="00483BA3">
              <w:rPr>
                <w:rFonts w:ascii="Times New Roman" w:hAnsi="Times New Roman"/>
                <w:b/>
              </w:rPr>
              <w:t>月</w:t>
            </w:r>
            <w:r w:rsidRPr="00483BA3">
              <w:rPr>
                <w:rFonts w:ascii="Times New Roman" w:hAnsi="Times New Roman"/>
                <w:b/>
              </w:rPr>
              <w:t>31</w:t>
            </w:r>
            <w:r w:rsidRPr="00483BA3">
              <w:rPr>
                <w:rFonts w:ascii="Times New Roman" w:hAnsi="Times New Roman"/>
                <w:b/>
              </w:rPr>
              <w:t>日</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B65CA4" w:rsidRDefault="0009360B" w:rsidP="00A02DB2">
            <w:pPr>
              <w:spacing w:before="29" w:line="288" w:lineRule="auto"/>
              <w:rPr>
                <w:b/>
                <w:sz w:val="24"/>
              </w:rPr>
            </w:pPr>
            <w:r w:rsidRPr="00B65CA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A02DB2" w:rsidRDefault="0009360B" w:rsidP="00302171">
            <w:pPr>
              <w:spacing w:before="29" w:line="288" w:lineRule="auto"/>
              <w:jc w:val="right"/>
              <w:rPr>
                <w:b/>
                <w:sz w:val="24"/>
              </w:rPr>
            </w:pPr>
            <w:r w:rsidRPr="00A02DB2">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716,143,653.61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14,000,000.00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564,658.75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269,465.50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225,863.47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107,786.18</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30,265.88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15,590.37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54,336.03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24,618.00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306,767.46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10,480,732.30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3,776,174.37</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239,300.00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89,300.00</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728,045,577.50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302171" w:rsidRDefault="0009360B" w:rsidP="00302171">
            <w:pPr>
              <w:spacing w:before="29" w:line="288" w:lineRule="auto"/>
              <w:jc w:val="right"/>
              <w:rPr>
                <w:sz w:val="24"/>
              </w:rPr>
            </w:pPr>
            <w:r w:rsidRPr="00302171">
              <w:rPr>
                <w:rFonts w:hint="eastAsia"/>
                <w:sz w:val="24"/>
              </w:rPr>
              <w:t>18,282,934.42</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4006B4" w:rsidRDefault="0009360B" w:rsidP="00A02DB2">
            <w:pPr>
              <w:spacing w:before="29" w:line="288" w:lineRule="auto"/>
              <w:rPr>
                <w:b/>
                <w:sz w:val="24"/>
              </w:rPr>
            </w:pPr>
            <w:r w:rsidRPr="004006B4">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b/>
                <w:sz w:val="24"/>
              </w:rPr>
            </w:pPr>
            <w:r w:rsidRPr="00622437">
              <w:rPr>
                <w:rFonts w:hint="eastAsia"/>
                <w:b/>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4,956,910,670.56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2,008,857,763.36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r w:rsidRPr="00521314">
              <w:rPr>
                <w:rFonts w:hint="eastAsia"/>
                <w:color w:val="000000"/>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622437" w:rsidRDefault="0009360B" w:rsidP="00622437">
            <w:pPr>
              <w:spacing w:before="29" w:line="288" w:lineRule="auto"/>
              <w:jc w:val="right"/>
              <w:rPr>
                <w:sz w:val="24"/>
              </w:rPr>
            </w:pPr>
            <w:r w:rsidRPr="00622437">
              <w:rPr>
                <w:rFonts w:hint="eastAsia"/>
                <w:sz w:val="24"/>
              </w:rPr>
              <w:t>-</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4,956,910,670.56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2,008,857,763.36</w:t>
            </w:r>
          </w:p>
        </w:tc>
      </w:tr>
      <w:tr w:rsidR="0009360B" w:rsidRPr="003367A1"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A02DB2" w:rsidRDefault="0009360B" w:rsidP="00A02DB2">
            <w:pPr>
              <w:spacing w:before="29" w:line="288" w:lineRule="auto"/>
              <w:rPr>
                <w:sz w:val="24"/>
              </w:rPr>
            </w:pPr>
            <w:r w:rsidRPr="00A02DB2">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521314" w:rsidRDefault="0009360B" w:rsidP="00521314">
            <w:pPr>
              <w:widowControl/>
              <w:autoSpaceDE w:val="0"/>
              <w:autoSpaceDN w:val="0"/>
              <w:ind w:right="-15"/>
              <w:jc w:val="center"/>
              <w:textAlignment w:val="bottom"/>
              <w:rPr>
                <w:color w:val="000000"/>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5,684,956,248.06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4006B4" w:rsidRDefault="0009360B" w:rsidP="00622437">
            <w:pPr>
              <w:spacing w:before="29" w:line="288" w:lineRule="auto"/>
              <w:jc w:val="right"/>
              <w:rPr>
                <w:sz w:val="24"/>
              </w:rPr>
            </w:pPr>
            <w:r w:rsidRPr="004006B4">
              <w:rPr>
                <w:rFonts w:hint="eastAsia"/>
                <w:sz w:val="24"/>
              </w:rPr>
              <w:t>2,027,140,697.78</w:t>
            </w:r>
          </w:p>
        </w:tc>
      </w:tr>
    </w:tbl>
    <w:p w:rsidR="00223DFB" w:rsidRPr="008B27D5" w:rsidRDefault="00223DFB" w:rsidP="008B27D5">
      <w:pPr>
        <w:tabs>
          <w:tab w:val="left" w:pos="426"/>
        </w:tabs>
        <w:spacing w:before="29" w:line="288" w:lineRule="auto"/>
        <w:jc w:val="left"/>
        <w:rPr>
          <w:kern w:val="0"/>
          <w:sz w:val="24"/>
        </w:rPr>
      </w:pPr>
      <w:r w:rsidRPr="008B27D5">
        <w:rPr>
          <w:rFonts w:hint="eastAsia"/>
          <w:kern w:val="0"/>
          <w:sz w:val="24"/>
        </w:rPr>
        <w:t>注：报告截止日</w:t>
      </w:r>
      <w:r w:rsidRPr="008B27D5">
        <w:rPr>
          <w:rFonts w:hint="eastAsia"/>
          <w:kern w:val="0"/>
          <w:sz w:val="24"/>
        </w:rPr>
        <w:t>2017</w:t>
      </w:r>
      <w:r w:rsidRPr="008B27D5">
        <w:rPr>
          <w:rFonts w:hint="eastAsia"/>
          <w:kern w:val="0"/>
          <w:sz w:val="24"/>
        </w:rPr>
        <w:t>年</w:t>
      </w:r>
      <w:r w:rsidRPr="008B27D5">
        <w:rPr>
          <w:rFonts w:hint="eastAsia"/>
          <w:kern w:val="0"/>
          <w:sz w:val="24"/>
        </w:rPr>
        <w:t>12</w:t>
      </w:r>
      <w:r w:rsidRPr="008B27D5">
        <w:rPr>
          <w:rFonts w:hint="eastAsia"/>
          <w:kern w:val="0"/>
          <w:sz w:val="24"/>
        </w:rPr>
        <w:t>月</w:t>
      </w:r>
      <w:r w:rsidRPr="008B27D5">
        <w:rPr>
          <w:rFonts w:hint="eastAsia"/>
          <w:kern w:val="0"/>
          <w:sz w:val="24"/>
        </w:rPr>
        <w:t>31</w:t>
      </w:r>
      <w:r w:rsidRPr="008B27D5">
        <w:rPr>
          <w:rFonts w:hint="eastAsia"/>
          <w:kern w:val="0"/>
          <w:sz w:val="24"/>
        </w:rPr>
        <w:t>日，基金份额净值</w:t>
      </w:r>
      <w:r w:rsidRPr="008B27D5">
        <w:rPr>
          <w:rFonts w:hint="eastAsia"/>
          <w:kern w:val="0"/>
          <w:sz w:val="24"/>
        </w:rPr>
        <w:t>1.0000</w:t>
      </w:r>
      <w:r w:rsidRPr="008B27D5">
        <w:rPr>
          <w:rFonts w:hint="eastAsia"/>
          <w:kern w:val="0"/>
          <w:sz w:val="24"/>
        </w:rPr>
        <w:t>元，基金份额总额</w:t>
      </w:r>
      <w:r w:rsidRPr="008B27D5">
        <w:rPr>
          <w:rFonts w:hint="eastAsia"/>
          <w:kern w:val="0"/>
          <w:sz w:val="24"/>
        </w:rPr>
        <w:t>4,956,910,670.56</w:t>
      </w:r>
      <w:r w:rsidRPr="008B27D5">
        <w:rPr>
          <w:rFonts w:hint="eastAsia"/>
          <w:kern w:val="0"/>
          <w:sz w:val="24"/>
        </w:rPr>
        <w:t>份，其中</w:t>
      </w:r>
      <w:r w:rsidRPr="008B27D5">
        <w:rPr>
          <w:rFonts w:hint="eastAsia"/>
          <w:kern w:val="0"/>
          <w:sz w:val="24"/>
        </w:rPr>
        <w:t>A</w:t>
      </w:r>
      <w:r w:rsidRPr="008B27D5">
        <w:rPr>
          <w:rFonts w:hint="eastAsia"/>
          <w:kern w:val="0"/>
          <w:sz w:val="24"/>
        </w:rPr>
        <w:t>类基金份额：</w:t>
      </w:r>
      <w:r w:rsidRPr="008B27D5">
        <w:rPr>
          <w:rFonts w:hint="eastAsia"/>
          <w:kern w:val="0"/>
          <w:sz w:val="24"/>
        </w:rPr>
        <w:t>9,650,918.64</w:t>
      </w:r>
      <w:r w:rsidRPr="008B27D5">
        <w:rPr>
          <w:rFonts w:hint="eastAsia"/>
          <w:kern w:val="0"/>
          <w:sz w:val="24"/>
        </w:rPr>
        <w:t>份，</w:t>
      </w:r>
      <w:r w:rsidRPr="008B27D5">
        <w:rPr>
          <w:rFonts w:hint="eastAsia"/>
          <w:kern w:val="0"/>
          <w:sz w:val="24"/>
        </w:rPr>
        <w:t>B</w:t>
      </w:r>
      <w:r w:rsidRPr="008B27D5">
        <w:rPr>
          <w:rFonts w:hint="eastAsia"/>
          <w:kern w:val="0"/>
          <w:sz w:val="24"/>
        </w:rPr>
        <w:t>类基金份额：</w:t>
      </w:r>
      <w:r w:rsidRPr="008B27D5">
        <w:rPr>
          <w:rFonts w:hint="eastAsia"/>
          <w:kern w:val="0"/>
          <w:sz w:val="24"/>
        </w:rPr>
        <w:t>4,947,259,751.92</w:t>
      </w:r>
      <w:r w:rsidRPr="008B27D5">
        <w:rPr>
          <w:rFonts w:hint="eastAsia"/>
          <w:kern w:val="0"/>
          <w:sz w:val="24"/>
        </w:rPr>
        <w:t>份。</w:t>
      </w:r>
    </w:p>
    <w:p w:rsidR="00223DFB" w:rsidRPr="00D0515B" w:rsidRDefault="00223DFB" w:rsidP="004B36C2">
      <w:pPr>
        <w:spacing w:line="360" w:lineRule="auto"/>
        <w:rPr>
          <w:rFonts w:asciiTheme="minorEastAsia" w:eastAsiaTheme="minorEastAsia" w:hAnsiTheme="minorEastAsia"/>
          <w:kern w:val="0"/>
          <w:szCs w:val="21"/>
        </w:rPr>
      </w:pPr>
    </w:p>
    <w:p w:rsidR="00223DFB" w:rsidRPr="00A96C0D" w:rsidRDefault="00223DFB" w:rsidP="00A96C0D">
      <w:pPr>
        <w:pStyle w:val="20"/>
        <w:spacing w:before="29" w:after="0" w:line="288" w:lineRule="auto"/>
        <w:rPr>
          <w:rFonts w:ascii="Times New Roman" w:hAnsi="Times New Roman" w:cs="Times New Roman"/>
          <w:kern w:val="0"/>
          <w:szCs w:val="24"/>
        </w:rPr>
      </w:pPr>
      <w:bookmarkStart w:id="38" w:name="_Toc509761002"/>
      <w:r w:rsidRPr="00A96C0D">
        <w:rPr>
          <w:rFonts w:ascii="Times New Roman" w:hAnsi="Times New Roman" w:cs="Times New Roman" w:hint="eastAsia"/>
          <w:kern w:val="0"/>
          <w:szCs w:val="24"/>
        </w:rPr>
        <w:t xml:space="preserve">7.2 </w:t>
      </w:r>
      <w:r w:rsidRPr="00A96C0D">
        <w:rPr>
          <w:rFonts w:ascii="Times New Roman" w:hAnsi="Times New Roman" w:cs="Times New Roman" w:hint="eastAsia"/>
          <w:kern w:val="0"/>
          <w:szCs w:val="24"/>
        </w:rPr>
        <w:t>利润表</w:t>
      </w:r>
      <w:bookmarkEnd w:id="38"/>
    </w:p>
    <w:p w:rsidR="00223DFB" w:rsidRPr="00A96C0D" w:rsidRDefault="00223DFB" w:rsidP="00A96C0D">
      <w:pPr>
        <w:spacing w:before="29" w:line="288" w:lineRule="auto"/>
        <w:rPr>
          <w:sz w:val="24"/>
        </w:rPr>
      </w:pPr>
      <w:r w:rsidRPr="00A96C0D">
        <w:rPr>
          <w:rFonts w:hint="eastAsia"/>
          <w:sz w:val="24"/>
        </w:rPr>
        <w:t>会计主体：交银施罗德理财</w:t>
      </w:r>
      <w:r w:rsidRPr="00A96C0D">
        <w:rPr>
          <w:rFonts w:hint="eastAsia"/>
          <w:sz w:val="24"/>
        </w:rPr>
        <w:t>60</w:t>
      </w:r>
      <w:r w:rsidRPr="00A96C0D">
        <w:rPr>
          <w:rFonts w:hint="eastAsia"/>
          <w:sz w:val="24"/>
        </w:rPr>
        <w:t>天债券型证券投资基金</w:t>
      </w:r>
    </w:p>
    <w:p w:rsidR="00223DFB" w:rsidRPr="00A96C0D" w:rsidRDefault="00223DFB" w:rsidP="00A96C0D">
      <w:pPr>
        <w:spacing w:before="29" w:line="288" w:lineRule="auto"/>
        <w:rPr>
          <w:sz w:val="24"/>
        </w:rPr>
      </w:pPr>
      <w:r w:rsidRPr="00A96C0D">
        <w:rPr>
          <w:rFonts w:hint="eastAsia"/>
          <w:sz w:val="24"/>
        </w:rPr>
        <w:t>本报告期：</w:t>
      </w:r>
      <w:r w:rsidRPr="00A96C0D">
        <w:rPr>
          <w:rFonts w:hint="eastAsia"/>
          <w:sz w:val="24"/>
        </w:rPr>
        <w:t>2017</w:t>
      </w:r>
      <w:r w:rsidRPr="00A96C0D">
        <w:rPr>
          <w:rFonts w:hint="eastAsia"/>
          <w:sz w:val="24"/>
        </w:rPr>
        <w:t>年</w:t>
      </w:r>
      <w:r w:rsidRPr="00A96C0D">
        <w:rPr>
          <w:rFonts w:hint="eastAsia"/>
          <w:sz w:val="24"/>
        </w:rPr>
        <w:t>1</w:t>
      </w:r>
      <w:r w:rsidRPr="00A96C0D">
        <w:rPr>
          <w:rFonts w:hint="eastAsia"/>
          <w:sz w:val="24"/>
        </w:rPr>
        <w:t>月</w:t>
      </w:r>
      <w:r w:rsidRPr="00A96C0D">
        <w:rPr>
          <w:rFonts w:hint="eastAsia"/>
          <w:sz w:val="24"/>
        </w:rPr>
        <w:t>1</w:t>
      </w:r>
      <w:r w:rsidRPr="00A96C0D">
        <w:rPr>
          <w:rFonts w:hint="eastAsia"/>
          <w:sz w:val="24"/>
        </w:rPr>
        <w:t>日至</w:t>
      </w:r>
      <w:r w:rsidRPr="00A96C0D">
        <w:rPr>
          <w:rFonts w:hint="eastAsia"/>
          <w:sz w:val="24"/>
        </w:rPr>
        <w:t>2017</w:t>
      </w:r>
      <w:r w:rsidRPr="00A96C0D">
        <w:rPr>
          <w:rFonts w:hint="eastAsia"/>
          <w:sz w:val="24"/>
        </w:rPr>
        <w:t>年</w:t>
      </w:r>
      <w:r w:rsidRPr="00A96C0D">
        <w:rPr>
          <w:rFonts w:hint="eastAsia"/>
          <w:sz w:val="24"/>
        </w:rPr>
        <w:t>12</w:t>
      </w:r>
      <w:r w:rsidRPr="00A96C0D">
        <w:rPr>
          <w:rFonts w:hint="eastAsia"/>
          <w:sz w:val="24"/>
        </w:rPr>
        <w:t>月</w:t>
      </w:r>
      <w:r w:rsidRPr="00A96C0D">
        <w:rPr>
          <w:rFonts w:hint="eastAsia"/>
          <w:sz w:val="24"/>
        </w:rPr>
        <w:t>31</w:t>
      </w:r>
      <w:r w:rsidRPr="00A96C0D">
        <w:rPr>
          <w:rFonts w:hint="eastAsia"/>
          <w:sz w:val="24"/>
        </w:rPr>
        <w:t>日</w:t>
      </w:r>
    </w:p>
    <w:p w:rsidR="00223DFB" w:rsidRPr="00A96C0D" w:rsidRDefault="00223DFB" w:rsidP="00A96C0D">
      <w:pPr>
        <w:autoSpaceDE w:val="0"/>
        <w:autoSpaceDN w:val="0"/>
        <w:adjustRightInd w:val="0"/>
        <w:spacing w:before="29" w:line="288" w:lineRule="auto"/>
        <w:ind w:left="15"/>
        <w:jc w:val="right"/>
        <w:rPr>
          <w:kern w:val="0"/>
          <w:sz w:val="24"/>
        </w:rPr>
      </w:pPr>
      <w:r w:rsidRPr="00A96C0D">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2C233F" w:rsidRPr="00D0515B"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line="288" w:lineRule="auto"/>
              <w:jc w:val="center"/>
              <w:rPr>
                <w:rFonts w:ascii="Times New Roman" w:hAnsi="Times New Roman"/>
                <w:b/>
              </w:rPr>
            </w:pPr>
            <w:r w:rsidRPr="00A96C0D">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本期</w:t>
            </w:r>
          </w:p>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2017</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A96C0D" w:rsidRDefault="00223DFB"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b/>
              </w:rPr>
              <w:t>上年度可比期间</w:t>
            </w:r>
          </w:p>
          <w:p w:rsidR="00223DFB" w:rsidRPr="00A96C0D" w:rsidRDefault="00D953F0" w:rsidP="00A96C0D">
            <w:pPr>
              <w:pStyle w:val="af6"/>
              <w:spacing w:before="29" w:beforeAutospacing="0" w:after="0" w:afterAutospacing="0" w:line="288" w:lineRule="auto"/>
              <w:jc w:val="center"/>
              <w:rPr>
                <w:rFonts w:ascii="Times New Roman" w:hAnsi="Times New Roman"/>
                <w:b/>
              </w:rPr>
            </w:pP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w:t>
            </w:r>
            <w:r w:rsidRPr="00A96C0D">
              <w:rPr>
                <w:rFonts w:ascii="Times New Roman" w:hAnsi="Times New Roman" w:hint="eastAsia"/>
              </w:rPr>
              <w:t>月</w:t>
            </w:r>
            <w:r w:rsidRPr="00A96C0D">
              <w:rPr>
                <w:rFonts w:ascii="Times New Roman" w:hAnsi="Times New Roman" w:hint="eastAsia"/>
              </w:rPr>
              <w:t>1</w:t>
            </w:r>
            <w:r w:rsidRPr="00A96C0D">
              <w:rPr>
                <w:rFonts w:ascii="Times New Roman" w:hAnsi="Times New Roman" w:hint="eastAsia"/>
              </w:rPr>
              <w:t>日至</w:t>
            </w:r>
            <w:r w:rsidRPr="00A96C0D">
              <w:rPr>
                <w:rFonts w:ascii="Times New Roman" w:hAnsi="Times New Roman" w:hint="eastAsia"/>
              </w:rPr>
              <w:t>2016</w:t>
            </w:r>
            <w:r w:rsidRPr="00A96C0D">
              <w:rPr>
                <w:rFonts w:ascii="Times New Roman" w:hAnsi="Times New Roman" w:hint="eastAsia"/>
              </w:rPr>
              <w:t>年</w:t>
            </w:r>
            <w:r w:rsidRPr="00A96C0D">
              <w:rPr>
                <w:rFonts w:ascii="Times New Roman" w:hAnsi="Times New Roman" w:hint="eastAsia"/>
              </w:rPr>
              <w:t>12</w:t>
            </w:r>
            <w:r w:rsidRPr="00A96C0D">
              <w:rPr>
                <w:rFonts w:ascii="Times New Roman" w:hAnsi="Times New Roman" w:hint="eastAsia"/>
              </w:rPr>
              <w:t>月</w:t>
            </w:r>
            <w:r w:rsidRPr="00A96C0D">
              <w:rPr>
                <w:rFonts w:ascii="Times New Roman" w:hAnsi="Times New Roman" w:hint="eastAsia"/>
              </w:rPr>
              <w:t>31</w:t>
            </w:r>
            <w:r w:rsidRPr="00A96C0D">
              <w:rPr>
                <w:rFonts w:ascii="Times New Roman" w:hAnsi="Times New Roman" w:hint="eastAsia"/>
              </w:rPr>
              <w:t>日</w:t>
            </w:r>
          </w:p>
        </w:tc>
      </w:tr>
      <w:tr w:rsidR="00995907" w:rsidRPr="00D0515B"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4E59CB">
            <w:pPr>
              <w:spacing w:before="29" w:line="288" w:lineRule="auto"/>
              <w:rPr>
                <w:rFonts w:asciiTheme="minorEastAsia" w:eastAsiaTheme="minorEastAsia" w:hAnsiTheme="minorEastAsia"/>
                <w:b/>
                <w:szCs w:val="21"/>
              </w:rPr>
            </w:pPr>
            <w:r w:rsidRPr="004E59CB">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123,255,657.24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E59CB" w:rsidRDefault="00995907" w:rsidP="004E59CB">
            <w:pPr>
              <w:spacing w:before="29" w:line="288" w:lineRule="auto"/>
              <w:jc w:val="right"/>
              <w:rPr>
                <w:b/>
                <w:sz w:val="24"/>
              </w:rPr>
            </w:pPr>
            <w:r w:rsidRPr="004E59CB">
              <w:rPr>
                <w:rFonts w:hint="eastAsia"/>
                <w:b/>
                <w:sz w:val="24"/>
              </w:rPr>
              <w:t>14,163,512.99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1.</w:t>
            </w:r>
            <w:r w:rsidRPr="0091576F">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123,246,101.76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14,231,321.79</w:t>
            </w:r>
          </w:p>
        </w:tc>
      </w:tr>
      <w:tr w:rsidR="00995907" w:rsidRPr="00D0515B"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91576F" w:rsidRDefault="00995907" w:rsidP="0091576F">
            <w:pPr>
              <w:spacing w:before="29" w:line="288" w:lineRule="auto"/>
              <w:rPr>
                <w:sz w:val="24"/>
              </w:rPr>
            </w:pPr>
            <w:r w:rsidRPr="0091576F">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12,063,714.69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315,546.12</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100,405,432.91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12,745,719.26</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10,776,954.16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1,170,056.41</w:t>
            </w:r>
          </w:p>
        </w:tc>
      </w:tr>
      <w:tr w:rsidR="00995907" w:rsidRPr="00D0515B"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4323" w:rsidRDefault="00995907" w:rsidP="00721899">
            <w:pPr>
              <w:spacing w:before="29" w:line="288" w:lineRule="auto"/>
              <w:ind w:firstLineChars="250" w:firstLine="600"/>
              <w:rPr>
                <w:sz w:val="24"/>
              </w:rPr>
            </w:pPr>
            <w:r w:rsidRPr="00D04323">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60AD3">
            <w:pPr>
              <w:spacing w:before="29" w:line="288" w:lineRule="auto"/>
              <w:rPr>
                <w:rFonts w:asciiTheme="minorEastAsia" w:eastAsiaTheme="minorEastAsia" w:hAnsiTheme="minorEastAsia"/>
                <w:szCs w:val="21"/>
              </w:rPr>
            </w:pPr>
            <w:r w:rsidRPr="00E8583C">
              <w:rPr>
                <w:rFonts w:hint="eastAsia"/>
                <w:sz w:val="24"/>
              </w:rPr>
              <w:t>2.</w:t>
            </w:r>
            <w:r w:rsidRPr="00E8583C">
              <w:rPr>
                <w:rFonts w:hint="eastAsia"/>
                <w:sz w:val="24"/>
              </w:rPr>
              <w:t>投资收益（损失以</w:t>
            </w:r>
            <w:r w:rsidRPr="005E1AD8">
              <w:rPr>
                <w:sz w:val="24"/>
              </w:rPr>
              <w:t>“-”</w:t>
            </w:r>
            <w:r w:rsidRPr="00E8583C">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9,555.48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-67,808.80</w:t>
            </w:r>
          </w:p>
        </w:tc>
      </w:tr>
      <w:tr w:rsidR="00995907" w:rsidRPr="00D0515B"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8D2BB5">
            <w:pPr>
              <w:spacing w:before="29" w:line="288" w:lineRule="auto"/>
              <w:rPr>
                <w:rFonts w:asciiTheme="minorEastAsia" w:eastAsiaTheme="minorEastAsia" w:hAnsiTheme="minorEastAsia"/>
                <w:szCs w:val="21"/>
              </w:rPr>
            </w:pPr>
            <w:r w:rsidRPr="008D2BB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9,555.48</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-67,808.80</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F7A5A" w:rsidRDefault="00995907" w:rsidP="00EF7A5A">
            <w:pPr>
              <w:spacing w:before="29" w:line="288" w:lineRule="auto"/>
              <w:ind w:firstLineChars="300" w:firstLine="720"/>
              <w:rPr>
                <w:sz w:val="24"/>
              </w:rPr>
            </w:pPr>
            <w:r w:rsidRPr="00EF7A5A">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F7A5A" w:rsidRDefault="00995907" w:rsidP="00EF7A5A">
            <w:pPr>
              <w:spacing w:before="29" w:line="288" w:lineRule="auto"/>
              <w:ind w:firstLineChars="300" w:firstLine="720"/>
              <w:rPr>
                <w:sz w:val="24"/>
              </w:rPr>
            </w:pPr>
            <w:r w:rsidRPr="00EF7A5A">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3.</w:t>
            </w:r>
            <w:r w:rsidRPr="001C3725">
              <w:rPr>
                <w:rFonts w:hint="eastAsia"/>
                <w:sz w:val="24"/>
              </w:rPr>
              <w:t>公允价值变动收益（损失以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4.</w:t>
            </w:r>
            <w:r w:rsidRPr="001C3725">
              <w:rPr>
                <w:rFonts w:hint="eastAsia"/>
                <w:sz w:val="24"/>
              </w:rPr>
              <w:t>汇兑收益（损失以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1C3725" w:rsidRDefault="00995907" w:rsidP="00BC758B">
            <w:pPr>
              <w:spacing w:before="29" w:line="288" w:lineRule="auto"/>
              <w:rPr>
                <w:sz w:val="24"/>
              </w:rPr>
            </w:pPr>
            <w:r w:rsidRPr="001C3725">
              <w:rPr>
                <w:rFonts w:hint="eastAsia"/>
                <w:sz w:val="24"/>
              </w:rPr>
              <w:t>5.</w:t>
            </w:r>
            <w:r w:rsidRPr="001C3725">
              <w:rPr>
                <w:rFonts w:hint="eastAsia"/>
                <w:sz w:val="24"/>
              </w:rPr>
              <w:t>其他收入（损失以</w:t>
            </w:r>
            <w:r w:rsidRPr="005E1AD8">
              <w:rPr>
                <w:sz w:val="24"/>
              </w:rPr>
              <w:t>“-”</w:t>
            </w:r>
            <w:r w:rsidRPr="001C372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BC758B">
            <w:pPr>
              <w:spacing w:before="29" w:line="288" w:lineRule="auto"/>
              <w:rPr>
                <w:rFonts w:asciiTheme="minorEastAsia" w:eastAsiaTheme="minorEastAsia" w:hAnsiTheme="minorEastAsia"/>
                <w:b/>
                <w:szCs w:val="21"/>
              </w:rPr>
            </w:pPr>
            <w:r w:rsidRPr="00BC758B">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14,607,021.99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1,698,721.62</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1</w:t>
            </w:r>
            <w:r w:rsidRPr="002A75A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5,074,769.90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1,121,672.43</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2</w:t>
            </w:r>
            <w:r w:rsidRPr="002A75A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2,029,908.06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368,900.70</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3</w:t>
            </w:r>
            <w:r w:rsidRPr="002A75A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277,927.41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72,967.07</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4</w:t>
            </w:r>
            <w:r w:rsidRPr="002A75A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A75A5" w:rsidRDefault="00995907" w:rsidP="002A75A5">
            <w:pPr>
              <w:spacing w:before="29" w:line="288" w:lineRule="auto"/>
              <w:rPr>
                <w:sz w:val="24"/>
              </w:rPr>
            </w:pPr>
            <w:r w:rsidRPr="002A75A5">
              <w:rPr>
                <w:rFonts w:hint="eastAsia"/>
                <w:sz w:val="24"/>
              </w:rPr>
              <w:t>5</w:t>
            </w:r>
            <w:r w:rsidRPr="002A75A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6,911,317.12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10,021.59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6,911,317.12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10,021.59</w:t>
            </w:r>
          </w:p>
        </w:tc>
      </w:tr>
      <w:tr w:rsidR="00995907" w:rsidRPr="00D0515B"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256644" w:rsidRDefault="00995907" w:rsidP="00256644">
            <w:pPr>
              <w:spacing w:before="29" w:line="288" w:lineRule="auto"/>
              <w:rPr>
                <w:sz w:val="24"/>
              </w:rPr>
            </w:pPr>
            <w:r w:rsidRPr="00256644">
              <w:rPr>
                <w:rFonts w:hint="eastAsia"/>
                <w:sz w:val="24"/>
              </w:rPr>
              <w:t>6</w:t>
            </w:r>
            <w:r w:rsidRPr="00256644">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r w:rsidRPr="00521314">
              <w:rPr>
                <w:rFonts w:hint="eastAsia"/>
                <w:color w:val="000000"/>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313,099.50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125,159.83</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b/>
                <w:sz w:val="24"/>
              </w:rPr>
              <w:t>三、利润总额（亏损总额</w:t>
            </w:r>
            <w:r w:rsidRPr="00A73B86">
              <w:rPr>
                <w:rFonts w:hint="eastAsia"/>
                <w:b/>
                <w:sz w:val="24"/>
              </w:rPr>
              <w:t>以</w:t>
            </w:r>
            <w:r w:rsidRPr="00A73B86">
              <w:rPr>
                <w:b/>
                <w:sz w:val="24"/>
              </w:rPr>
              <w:t>“-”</w:t>
            </w:r>
            <w:r w:rsidRPr="001B5751">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108,648,635.25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12,464,791.37</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1B5751">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sz w:val="24"/>
              </w:rPr>
            </w:pPr>
            <w:r w:rsidRPr="00404EF3">
              <w:rPr>
                <w:rFonts w:hint="eastAsia"/>
                <w:sz w:val="24"/>
              </w:rPr>
              <w:t>-</w:t>
            </w:r>
          </w:p>
        </w:tc>
      </w:tr>
      <w:tr w:rsidR="00995907" w:rsidRPr="00D0515B"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D0515B" w:rsidRDefault="00995907" w:rsidP="000A5D7A">
            <w:pPr>
              <w:spacing w:before="29" w:line="288" w:lineRule="auto"/>
              <w:rPr>
                <w:rFonts w:asciiTheme="minorEastAsia" w:eastAsiaTheme="minorEastAsia" w:hAnsiTheme="minorEastAsia"/>
                <w:b/>
                <w:szCs w:val="21"/>
              </w:rPr>
            </w:pPr>
            <w:r w:rsidRPr="000A5D7A">
              <w:rPr>
                <w:rFonts w:hint="eastAsia"/>
                <w:b/>
                <w:sz w:val="24"/>
              </w:rPr>
              <w:t>四、净利润（净亏损</w:t>
            </w:r>
            <w:r w:rsidRPr="00A73B86">
              <w:rPr>
                <w:rFonts w:hint="eastAsia"/>
                <w:b/>
                <w:sz w:val="24"/>
              </w:rPr>
              <w:t>以</w:t>
            </w:r>
            <w:r w:rsidRPr="00A73B86">
              <w:rPr>
                <w:b/>
                <w:sz w:val="24"/>
              </w:rPr>
              <w:t>“-”</w:t>
            </w:r>
            <w:r w:rsidRPr="00A73B86">
              <w:rPr>
                <w:rFonts w:hint="eastAsia"/>
                <w:b/>
                <w:sz w:val="24"/>
              </w:rPr>
              <w:t>号</w:t>
            </w:r>
            <w:r w:rsidRPr="000A5D7A">
              <w:rPr>
                <w:rFonts w:hint="eastAsia"/>
                <w:b/>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521314" w:rsidRDefault="00995907" w:rsidP="00521314">
            <w:pPr>
              <w:widowControl/>
              <w:autoSpaceDE w:val="0"/>
              <w:autoSpaceDN w:val="0"/>
              <w:ind w:right="-15"/>
              <w:jc w:val="center"/>
              <w:textAlignment w:val="bottom"/>
              <w:rPr>
                <w:color w:val="000000"/>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108,648,635.25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404EF3" w:rsidRDefault="00995907" w:rsidP="00404EF3">
            <w:pPr>
              <w:spacing w:before="29" w:line="288" w:lineRule="auto"/>
              <w:jc w:val="right"/>
              <w:rPr>
                <w:b/>
                <w:sz w:val="24"/>
              </w:rPr>
            </w:pPr>
            <w:r w:rsidRPr="00404EF3">
              <w:rPr>
                <w:rFonts w:hint="eastAsia"/>
                <w:b/>
                <w:sz w:val="24"/>
              </w:rPr>
              <w:t>12,464,791.37</w:t>
            </w:r>
          </w:p>
        </w:tc>
      </w:tr>
    </w:tbl>
    <w:p w:rsidR="00223DFB" w:rsidRPr="00D0515B" w:rsidRDefault="00223DFB" w:rsidP="004B36C2">
      <w:pPr>
        <w:spacing w:line="360" w:lineRule="auto"/>
        <w:rPr>
          <w:rFonts w:asciiTheme="minorEastAsia" w:eastAsiaTheme="minorEastAsia" w:hAnsiTheme="minorEastAsia"/>
          <w:szCs w:val="21"/>
        </w:rPr>
      </w:pPr>
    </w:p>
    <w:p w:rsidR="00223DFB" w:rsidRPr="00C117E1" w:rsidRDefault="00223DFB" w:rsidP="00C117E1">
      <w:pPr>
        <w:pStyle w:val="20"/>
        <w:spacing w:before="29" w:after="0" w:line="288" w:lineRule="auto"/>
        <w:rPr>
          <w:rFonts w:ascii="Times New Roman" w:hAnsi="Times New Roman" w:cs="Times New Roman"/>
          <w:kern w:val="0"/>
          <w:szCs w:val="24"/>
        </w:rPr>
      </w:pPr>
      <w:bookmarkStart w:id="39" w:name="_Toc509761003"/>
      <w:r w:rsidRPr="00C117E1">
        <w:rPr>
          <w:rFonts w:ascii="Times New Roman" w:hAnsi="Times New Roman" w:cs="Times New Roman" w:hint="eastAsia"/>
          <w:kern w:val="0"/>
          <w:szCs w:val="24"/>
        </w:rPr>
        <w:t xml:space="preserve">7.3 </w:t>
      </w:r>
      <w:r w:rsidRPr="00C117E1">
        <w:rPr>
          <w:rFonts w:ascii="Times New Roman" w:hAnsi="Times New Roman" w:cs="Times New Roman" w:hint="eastAsia"/>
          <w:kern w:val="0"/>
          <w:szCs w:val="24"/>
        </w:rPr>
        <w:t>所有者权益（基金净值）变动表</w:t>
      </w:r>
      <w:bookmarkEnd w:id="39"/>
    </w:p>
    <w:p w:rsidR="00223DFB" w:rsidRPr="00C117E1" w:rsidRDefault="00223DFB" w:rsidP="00C117E1">
      <w:pPr>
        <w:spacing w:before="29" w:line="288" w:lineRule="auto"/>
        <w:rPr>
          <w:sz w:val="24"/>
        </w:rPr>
      </w:pPr>
      <w:r w:rsidRPr="00C117E1">
        <w:rPr>
          <w:rFonts w:hint="eastAsia"/>
          <w:sz w:val="24"/>
        </w:rPr>
        <w:t>会计主体：交银施罗德理财</w:t>
      </w:r>
      <w:r w:rsidRPr="00C117E1">
        <w:rPr>
          <w:rFonts w:hint="eastAsia"/>
          <w:sz w:val="24"/>
        </w:rPr>
        <w:t>60</w:t>
      </w:r>
      <w:r w:rsidRPr="00C117E1">
        <w:rPr>
          <w:rFonts w:hint="eastAsia"/>
          <w:sz w:val="24"/>
        </w:rPr>
        <w:t>天债券型证券投资基金</w:t>
      </w:r>
    </w:p>
    <w:p w:rsidR="00223DFB" w:rsidRPr="00C117E1" w:rsidRDefault="00223DFB" w:rsidP="00C117E1">
      <w:pPr>
        <w:spacing w:before="29" w:line="288" w:lineRule="auto"/>
        <w:rPr>
          <w:sz w:val="24"/>
        </w:rPr>
      </w:pPr>
      <w:r w:rsidRPr="00C117E1">
        <w:rPr>
          <w:rFonts w:hint="eastAsia"/>
          <w:sz w:val="24"/>
        </w:rPr>
        <w:t>本报告期：</w:t>
      </w:r>
      <w:r w:rsidRPr="00C117E1">
        <w:rPr>
          <w:rFonts w:hint="eastAsia"/>
          <w:sz w:val="24"/>
        </w:rPr>
        <w:t>2017</w:t>
      </w:r>
      <w:r w:rsidRPr="00C117E1">
        <w:rPr>
          <w:rFonts w:hint="eastAsia"/>
          <w:sz w:val="24"/>
        </w:rPr>
        <w:t>年</w:t>
      </w:r>
      <w:r w:rsidRPr="00C117E1">
        <w:rPr>
          <w:rFonts w:hint="eastAsia"/>
          <w:sz w:val="24"/>
        </w:rPr>
        <w:t>1</w:t>
      </w:r>
      <w:r w:rsidRPr="00C117E1">
        <w:rPr>
          <w:rFonts w:hint="eastAsia"/>
          <w:sz w:val="24"/>
        </w:rPr>
        <w:t>月</w:t>
      </w:r>
      <w:r w:rsidRPr="00C117E1">
        <w:rPr>
          <w:rFonts w:hint="eastAsia"/>
          <w:sz w:val="24"/>
        </w:rPr>
        <w:t>1</w:t>
      </w:r>
      <w:r w:rsidRPr="00C117E1">
        <w:rPr>
          <w:rFonts w:hint="eastAsia"/>
          <w:sz w:val="24"/>
        </w:rPr>
        <w:t>日至</w:t>
      </w:r>
      <w:r w:rsidRPr="00C117E1">
        <w:rPr>
          <w:rFonts w:hint="eastAsia"/>
          <w:sz w:val="24"/>
        </w:rPr>
        <w:t>2017</w:t>
      </w:r>
      <w:r w:rsidRPr="00C117E1">
        <w:rPr>
          <w:rFonts w:hint="eastAsia"/>
          <w:sz w:val="24"/>
        </w:rPr>
        <w:t>年</w:t>
      </w:r>
      <w:r w:rsidRPr="00C117E1">
        <w:rPr>
          <w:rFonts w:hint="eastAsia"/>
          <w:sz w:val="24"/>
        </w:rPr>
        <w:t>12</w:t>
      </w:r>
      <w:r w:rsidRPr="00C117E1">
        <w:rPr>
          <w:rFonts w:hint="eastAsia"/>
          <w:sz w:val="24"/>
        </w:rPr>
        <w:t>月</w:t>
      </w:r>
      <w:r w:rsidRPr="00C117E1">
        <w:rPr>
          <w:rFonts w:hint="eastAsia"/>
          <w:sz w:val="24"/>
        </w:rPr>
        <w:t>31</w:t>
      </w:r>
      <w:r w:rsidRPr="00C117E1">
        <w:rPr>
          <w:rFonts w:hint="eastAsia"/>
          <w:sz w:val="24"/>
        </w:rPr>
        <w:t>日</w:t>
      </w:r>
    </w:p>
    <w:p w:rsidR="00223DFB" w:rsidRPr="00C117E1" w:rsidRDefault="00223DFB" w:rsidP="00C117E1">
      <w:pPr>
        <w:autoSpaceDE w:val="0"/>
        <w:autoSpaceDN w:val="0"/>
        <w:adjustRightInd w:val="0"/>
        <w:spacing w:before="29" w:line="288" w:lineRule="auto"/>
        <w:ind w:left="15"/>
        <w:jc w:val="right"/>
        <w:rPr>
          <w:kern w:val="0"/>
          <w:sz w:val="24"/>
        </w:rPr>
      </w:pPr>
      <w:r w:rsidRPr="00C117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本期</w:t>
            </w:r>
          </w:p>
          <w:p w:rsidR="00223DFB" w:rsidRPr="004D095E" w:rsidRDefault="00223DFB" w:rsidP="004D095E">
            <w:pPr>
              <w:pStyle w:val="af6"/>
              <w:spacing w:before="29" w:beforeAutospacing="0" w:after="0" w:afterAutospacing="0" w:line="288" w:lineRule="auto"/>
              <w:jc w:val="center"/>
              <w:rPr>
                <w:rFonts w:ascii="Times New Roman" w:hAnsi="Times New Roman"/>
                <w:b/>
                <w:kern w:val="2"/>
              </w:rPr>
            </w:pP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w:t>
            </w:r>
            <w:r w:rsidRPr="004D095E">
              <w:rPr>
                <w:rFonts w:ascii="Times New Roman" w:hAnsi="Times New Roman" w:hint="eastAsia"/>
              </w:rPr>
              <w:t>月</w:t>
            </w:r>
            <w:r w:rsidRPr="004D095E">
              <w:rPr>
                <w:rFonts w:ascii="Times New Roman" w:hAnsi="Times New Roman" w:hint="eastAsia"/>
              </w:rPr>
              <w:t>1</w:t>
            </w:r>
            <w:r w:rsidRPr="004D095E">
              <w:rPr>
                <w:rFonts w:ascii="Times New Roman" w:hAnsi="Times New Roman" w:hint="eastAsia"/>
              </w:rPr>
              <w:t>日至</w:t>
            </w:r>
            <w:r w:rsidRPr="004D095E">
              <w:rPr>
                <w:rFonts w:ascii="Times New Roman" w:hAnsi="Times New Roman" w:hint="eastAsia"/>
              </w:rPr>
              <w:t>2017</w:t>
            </w:r>
            <w:r w:rsidRPr="004D095E">
              <w:rPr>
                <w:rFonts w:ascii="Times New Roman" w:hAnsi="Times New Roman" w:hint="eastAsia"/>
              </w:rPr>
              <w:t>年</w:t>
            </w:r>
            <w:r w:rsidRPr="004D095E">
              <w:rPr>
                <w:rFonts w:ascii="Times New Roman" w:hAnsi="Times New Roman" w:hint="eastAsia"/>
              </w:rPr>
              <w:t>12</w:t>
            </w:r>
            <w:r w:rsidRPr="004D095E">
              <w:rPr>
                <w:rFonts w:ascii="Times New Roman" w:hAnsi="Times New Roman" w:hint="eastAsia"/>
              </w:rPr>
              <w:t>月</w:t>
            </w:r>
            <w:r w:rsidRPr="004D095E">
              <w:rPr>
                <w:rFonts w:ascii="Times New Roman" w:hAnsi="Times New Roman" w:hint="eastAsia"/>
              </w:rPr>
              <w:t>31</w:t>
            </w:r>
            <w:r w:rsidRPr="004D095E">
              <w:rPr>
                <w:rFonts w:ascii="Times New Roman" w:hAnsi="Times New Roman" w:hint="eastAsia"/>
              </w:rPr>
              <w:t>日</w:t>
            </w:r>
          </w:p>
        </w:tc>
      </w:tr>
      <w:tr w:rsidR="002C233F" w:rsidRPr="00D0515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jc w:val="center"/>
              <w:rPr>
                <w:b/>
                <w:sz w:val="24"/>
              </w:rPr>
            </w:pPr>
            <w:r w:rsidRPr="004D095E">
              <w:rPr>
                <w:rFonts w:hint="eastAsia"/>
                <w:b/>
                <w:sz w:val="24"/>
              </w:rPr>
              <w:t>所有者权益合计</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2,008,857,763.36</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108,648,635.25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108,648,635.25</w:t>
            </w:r>
          </w:p>
        </w:tc>
      </w:tr>
      <w:tr w:rsidR="002C233F" w:rsidRPr="00D0515B"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D095E" w:rsidRDefault="00223DFB" w:rsidP="004D095E">
            <w:pPr>
              <w:spacing w:before="29" w:line="288" w:lineRule="auto"/>
              <w:rPr>
                <w:sz w:val="24"/>
              </w:rPr>
            </w:pPr>
            <w:r w:rsidRPr="004D095E">
              <w:rPr>
                <w:rFonts w:hint="eastAsia"/>
                <w:sz w:val="24"/>
              </w:rPr>
              <w:t>三、本期基金份额交易产生的基金净值变动数（净值减少以</w:t>
            </w:r>
            <w:r w:rsidR="00391E3D" w:rsidRPr="005E1AD8">
              <w:rPr>
                <w:sz w:val="24"/>
              </w:rPr>
              <w:t>“-”</w:t>
            </w:r>
            <w:r w:rsidRPr="004D095E">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2,948,052,907.20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2,948,052,907.20</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223DFB" w:rsidP="00CF3255">
            <w:pPr>
              <w:spacing w:before="29" w:line="288" w:lineRule="auto"/>
              <w:rPr>
                <w:sz w:val="24"/>
              </w:rPr>
            </w:pPr>
            <w:r w:rsidRPr="00CF3255">
              <w:rPr>
                <w:rFonts w:hint="eastAsia"/>
                <w:sz w:val="24"/>
              </w:rPr>
              <w:t>其中：</w:t>
            </w:r>
            <w:r w:rsidRPr="00CF3255">
              <w:rPr>
                <w:rFonts w:hint="eastAsia"/>
                <w:sz w:val="24"/>
              </w:rPr>
              <w:t>1.</w:t>
            </w:r>
            <w:r w:rsidRPr="00CF3255">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3,053,770,186.64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3,053,770,186.64</w:t>
            </w:r>
          </w:p>
        </w:tc>
      </w:tr>
      <w:tr w:rsidR="002C233F" w:rsidRPr="00D0515B"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F3255" w:rsidRDefault="00CF3255" w:rsidP="00CF3255">
            <w:pPr>
              <w:spacing w:before="29" w:line="288" w:lineRule="auto"/>
              <w:rPr>
                <w:sz w:val="24"/>
              </w:rPr>
            </w:pPr>
            <w:r>
              <w:rPr>
                <w:rFonts w:hint="eastAsia"/>
                <w:sz w:val="24"/>
              </w:rPr>
              <w:t xml:space="preserve">      </w:t>
            </w:r>
            <w:r w:rsidR="00223DFB" w:rsidRPr="00CF3255">
              <w:rPr>
                <w:rFonts w:hint="eastAsia"/>
                <w:sz w:val="24"/>
              </w:rPr>
              <w:t>2.</w:t>
            </w:r>
            <w:r w:rsidR="00223DFB" w:rsidRPr="00CF3255">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-105,717,279.44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-105,717,279.44</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四、本期向基金份额持有人分配利润产生的基金净值变动（净值减少以</w:t>
            </w:r>
            <w:r w:rsidR="00391E3D" w:rsidRPr="005E1AD8">
              <w:rPr>
                <w:sz w:val="24"/>
              </w:rPr>
              <w:t>“-”</w:t>
            </w:r>
            <w:r w:rsidRPr="00FA7E83">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-108,648,635.25</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-108,648,635.25</w:t>
            </w:r>
          </w:p>
        </w:tc>
      </w:tr>
      <w:tr w:rsidR="002C233F" w:rsidRPr="00D0515B"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A7E83" w:rsidRDefault="00223DFB" w:rsidP="00FA7E83">
            <w:pPr>
              <w:spacing w:before="29" w:line="288" w:lineRule="auto"/>
              <w:rPr>
                <w:sz w:val="24"/>
              </w:rPr>
            </w:pPr>
            <w:r w:rsidRPr="00FA7E83">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4,956,910,670.56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E64489" w:rsidP="00DA349A">
            <w:pPr>
              <w:spacing w:before="29" w:line="288" w:lineRule="auto"/>
              <w:jc w:val="right"/>
              <w:rPr>
                <w:sz w:val="24"/>
              </w:rPr>
            </w:pPr>
            <w:r>
              <w:rPr>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DA349A" w:rsidRDefault="00223DFB" w:rsidP="00DA349A">
            <w:pPr>
              <w:spacing w:before="29" w:line="288" w:lineRule="auto"/>
              <w:jc w:val="right"/>
              <w:rPr>
                <w:sz w:val="24"/>
              </w:rPr>
            </w:pPr>
            <w:r w:rsidRPr="00DA349A">
              <w:rPr>
                <w:rFonts w:hint="eastAsia"/>
                <w:sz w:val="24"/>
              </w:rPr>
              <w:t>4,956,910,670.56</w:t>
            </w:r>
          </w:p>
        </w:tc>
      </w:tr>
      <w:tr w:rsidR="002C233F" w:rsidRPr="00D0515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3B21A5">
            <w:pPr>
              <w:spacing w:before="29" w:line="288" w:lineRule="auto"/>
              <w:jc w:val="center"/>
              <w:rPr>
                <w:rFonts w:asciiTheme="minorEastAsia" w:eastAsiaTheme="minorEastAsia" w:hAnsiTheme="minorEastAsia"/>
                <w:szCs w:val="21"/>
              </w:rPr>
            </w:pPr>
            <w:r w:rsidRPr="003B21A5">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上年度可比期间</w:t>
            </w:r>
          </w:p>
          <w:p w:rsidR="00223DFB" w:rsidRPr="00D0515B"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w:t>
            </w:r>
            <w:r w:rsidRPr="0007576E">
              <w:rPr>
                <w:rFonts w:ascii="Times New Roman" w:hAnsi="Times New Roman" w:hint="eastAsia"/>
              </w:rPr>
              <w:t>月</w:t>
            </w:r>
            <w:r w:rsidRPr="0007576E">
              <w:rPr>
                <w:rFonts w:ascii="Times New Roman" w:hAnsi="Times New Roman" w:hint="eastAsia"/>
              </w:rPr>
              <w:t>1</w:t>
            </w:r>
            <w:r w:rsidRPr="0007576E">
              <w:rPr>
                <w:rFonts w:ascii="Times New Roman" w:hAnsi="Times New Roman" w:hint="eastAsia"/>
              </w:rPr>
              <w:t>日至</w:t>
            </w:r>
            <w:r w:rsidRPr="0007576E">
              <w:rPr>
                <w:rFonts w:ascii="Times New Roman" w:hAnsi="Times New Roman" w:hint="eastAsia"/>
              </w:rPr>
              <w:t>2016</w:t>
            </w:r>
            <w:r w:rsidRPr="0007576E">
              <w:rPr>
                <w:rFonts w:ascii="Times New Roman" w:hAnsi="Times New Roman" w:hint="eastAsia"/>
              </w:rPr>
              <w:t>年</w:t>
            </w:r>
            <w:r w:rsidRPr="0007576E">
              <w:rPr>
                <w:rFonts w:ascii="Times New Roman" w:hAnsi="Times New Roman" w:hint="eastAsia"/>
              </w:rPr>
              <w:t>12</w:t>
            </w:r>
            <w:r w:rsidRPr="0007576E">
              <w:rPr>
                <w:rFonts w:ascii="Times New Roman" w:hAnsi="Times New Roman" w:hint="eastAsia"/>
              </w:rPr>
              <w:t>月</w:t>
            </w:r>
            <w:r w:rsidRPr="0007576E">
              <w:rPr>
                <w:rFonts w:ascii="Times New Roman" w:hAnsi="Times New Roman" w:hint="eastAsia"/>
              </w:rPr>
              <w:t>31</w:t>
            </w:r>
            <w:r w:rsidRPr="0007576E">
              <w:rPr>
                <w:rFonts w:ascii="Times New Roman" w:hAnsi="Times New Roman" w:hint="eastAsia"/>
              </w:rPr>
              <w:t>日</w:t>
            </w:r>
          </w:p>
        </w:tc>
      </w:tr>
      <w:tr w:rsidR="002C233F" w:rsidRPr="00D0515B"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D0515B"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07576E" w:rsidRDefault="00223DFB" w:rsidP="0007576E">
            <w:pPr>
              <w:spacing w:before="29" w:line="288" w:lineRule="auto"/>
              <w:jc w:val="center"/>
              <w:rPr>
                <w:b/>
                <w:sz w:val="24"/>
              </w:rPr>
            </w:pPr>
            <w:r w:rsidRPr="0007576E">
              <w:rPr>
                <w:rFonts w:hint="eastAsia"/>
                <w:b/>
                <w:sz w:val="24"/>
              </w:rPr>
              <w:t>所有者权益合计</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41,456,938.84</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12,464,791.37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12,464,791.37</w:t>
            </w:r>
          </w:p>
        </w:tc>
      </w:tr>
      <w:tr w:rsidR="002C233F" w:rsidRPr="00D0515B"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B21A5" w:rsidRDefault="00223DFB" w:rsidP="009631E8">
            <w:pPr>
              <w:spacing w:before="29" w:line="288" w:lineRule="auto"/>
              <w:rPr>
                <w:sz w:val="24"/>
              </w:rPr>
            </w:pPr>
            <w:r w:rsidRPr="003B21A5">
              <w:rPr>
                <w:rFonts w:hint="eastAsia"/>
                <w:sz w:val="24"/>
              </w:rPr>
              <w:t>三、本期基金份额交易产生的基金净值变动数（净值减少以</w:t>
            </w:r>
            <w:r w:rsidR="00391E3D" w:rsidRPr="005E1AD8">
              <w:rPr>
                <w:sz w:val="24"/>
              </w:rPr>
              <w:t>“-”</w:t>
            </w:r>
            <w:r w:rsidRPr="003B21A5">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1,967,400,824.52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1,967,400,824.52</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223DFB" w:rsidP="004832D0">
            <w:pPr>
              <w:spacing w:before="29" w:line="288" w:lineRule="auto"/>
              <w:rPr>
                <w:sz w:val="24"/>
              </w:rPr>
            </w:pPr>
            <w:r w:rsidRPr="004832D0">
              <w:rPr>
                <w:rFonts w:hint="eastAsia"/>
                <w:sz w:val="24"/>
              </w:rPr>
              <w:t>其中：</w:t>
            </w:r>
            <w:r w:rsidR="006251B3" w:rsidRPr="004832D0">
              <w:rPr>
                <w:rFonts w:hint="eastAsia"/>
                <w:sz w:val="24"/>
              </w:rPr>
              <w:t>1</w:t>
            </w:r>
            <w:r w:rsidRPr="004832D0">
              <w:rPr>
                <w:rFonts w:hint="eastAsia"/>
                <w:sz w:val="24"/>
              </w:rPr>
              <w:t>.</w:t>
            </w:r>
            <w:r w:rsidRPr="004832D0">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3,009,771,266.28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3,009,771,266.28</w:t>
            </w:r>
          </w:p>
        </w:tc>
      </w:tr>
      <w:tr w:rsidR="002C233F" w:rsidRPr="00D0515B"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4832D0" w:rsidRDefault="004832D0" w:rsidP="004832D0">
            <w:pPr>
              <w:spacing w:before="29" w:line="288" w:lineRule="auto"/>
              <w:rPr>
                <w:sz w:val="24"/>
              </w:rPr>
            </w:pPr>
            <w:r>
              <w:rPr>
                <w:rFonts w:hint="eastAsia"/>
                <w:sz w:val="24"/>
              </w:rPr>
              <w:t xml:space="preserve">      </w:t>
            </w:r>
            <w:r w:rsidR="00223DFB" w:rsidRPr="004832D0">
              <w:rPr>
                <w:rFonts w:hint="eastAsia"/>
                <w:sz w:val="24"/>
              </w:rPr>
              <w:t>2.</w:t>
            </w:r>
            <w:r w:rsidR="00223DFB" w:rsidRPr="004832D0">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-1,042,370,441.76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-1,042,370,441.76</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四、本期向基金份额持有人分配利润产生的基金净值变动（净值减少以</w:t>
            </w:r>
            <w:r w:rsidR="00391E3D" w:rsidRPr="005E1AD8">
              <w:rPr>
                <w:sz w:val="24"/>
              </w:rPr>
              <w:t>“-”</w:t>
            </w:r>
            <w:r w:rsidRPr="000064A2">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-12,464,791.37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-12,464,791.37</w:t>
            </w:r>
          </w:p>
        </w:tc>
      </w:tr>
      <w:tr w:rsidR="002C233F" w:rsidRPr="00D0515B"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064A2" w:rsidRDefault="00223DFB" w:rsidP="000064A2">
            <w:pPr>
              <w:spacing w:before="29" w:line="288" w:lineRule="auto"/>
              <w:rPr>
                <w:sz w:val="24"/>
              </w:rPr>
            </w:pPr>
            <w:r w:rsidRPr="000064A2">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854C1B" w:rsidRDefault="00223DFB" w:rsidP="00854C1B">
            <w:pPr>
              <w:spacing w:before="29" w:line="288" w:lineRule="auto"/>
              <w:jc w:val="right"/>
              <w:rPr>
                <w:sz w:val="24"/>
              </w:rPr>
            </w:pPr>
            <w:r w:rsidRPr="00854C1B">
              <w:rPr>
                <w:rFonts w:hint="eastAsia"/>
                <w:sz w:val="24"/>
              </w:rPr>
              <w:t>2,008,857,763.36</w:t>
            </w:r>
          </w:p>
        </w:tc>
      </w:tr>
    </w:tbl>
    <w:p w:rsidR="005D28AC" w:rsidRPr="007529E0" w:rsidRDefault="005D28AC" w:rsidP="007529E0">
      <w:pPr>
        <w:spacing w:before="29" w:line="288" w:lineRule="auto"/>
        <w:rPr>
          <w:sz w:val="24"/>
        </w:rPr>
      </w:pPr>
      <w:r w:rsidRPr="007529E0">
        <w:rPr>
          <w:rFonts w:hint="eastAsia"/>
          <w:sz w:val="24"/>
        </w:rPr>
        <w:t>报表附注为财务报表的组成部分。</w:t>
      </w:r>
    </w:p>
    <w:p w:rsidR="005D28AC" w:rsidRPr="007529E0" w:rsidRDefault="005D28AC" w:rsidP="007529E0">
      <w:pPr>
        <w:spacing w:before="29" w:line="288" w:lineRule="auto"/>
        <w:rPr>
          <w:sz w:val="24"/>
        </w:rPr>
      </w:pPr>
      <w:r w:rsidRPr="007529E0">
        <w:rPr>
          <w:rFonts w:hint="eastAsia"/>
          <w:sz w:val="24"/>
        </w:rPr>
        <w:t>本报告</w:t>
      </w:r>
      <w:r w:rsidR="00235A62" w:rsidRPr="007529E0">
        <w:rPr>
          <w:rFonts w:hint="eastAsia"/>
          <w:sz w:val="24"/>
        </w:rPr>
        <w:t>页码（序号）从</w:t>
      </w:r>
      <w:r w:rsidRPr="007529E0">
        <w:rPr>
          <w:rFonts w:hint="eastAsia"/>
          <w:sz w:val="24"/>
        </w:rPr>
        <w:t>7.1</w:t>
      </w:r>
      <w:r w:rsidRPr="007529E0">
        <w:rPr>
          <w:rFonts w:hint="eastAsia"/>
          <w:sz w:val="24"/>
        </w:rPr>
        <w:t>至</w:t>
      </w:r>
      <w:r w:rsidRPr="007529E0">
        <w:rPr>
          <w:rFonts w:hint="eastAsia"/>
          <w:sz w:val="24"/>
        </w:rPr>
        <w:t>7.4</w:t>
      </w:r>
      <w:r w:rsidRPr="007529E0">
        <w:rPr>
          <w:rFonts w:hint="eastAsia"/>
          <w:sz w:val="24"/>
        </w:rPr>
        <w:t>，财务报表由下列负责人签署：</w:t>
      </w:r>
    </w:p>
    <w:p w:rsidR="005D28AC" w:rsidRPr="007529E0" w:rsidRDefault="00CC5100" w:rsidP="007529E0">
      <w:pPr>
        <w:spacing w:before="29" w:line="288" w:lineRule="auto"/>
        <w:rPr>
          <w:sz w:val="24"/>
        </w:rPr>
      </w:pPr>
      <w:r w:rsidRPr="007529E0">
        <w:rPr>
          <w:rFonts w:hint="eastAsia"/>
          <w:sz w:val="24"/>
        </w:rPr>
        <w:t>基金管理人</w:t>
      </w:r>
      <w:r w:rsidR="005D28AC" w:rsidRPr="007529E0">
        <w:rPr>
          <w:rFonts w:hint="eastAsia"/>
          <w:sz w:val="24"/>
        </w:rPr>
        <w:t>负责人：阮红，主管会计工作负责人：夏华龙，会计机构负责人：单江</w:t>
      </w:r>
    </w:p>
    <w:p w:rsidR="00223DFB" w:rsidRPr="00D0515B" w:rsidRDefault="00223DFB" w:rsidP="00D0515B">
      <w:pPr>
        <w:spacing w:line="360" w:lineRule="auto"/>
        <w:ind w:firstLineChars="200" w:firstLine="420"/>
        <w:rPr>
          <w:rFonts w:asciiTheme="minorEastAsia" w:eastAsiaTheme="minorEastAsia" w:hAnsiTheme="minorEastAsia"/>
          <w:szCs w:val="21"/>
        </w:rPr>
      </w:pPr>
    </w:p>
    <w:p w:rsidR="00223DFB" w:rsidRPr="00884898" w:rsidRDefault="00223DFB" w:rsidP="00884898">
      <w:pPr>
        <w:pStyle w:val="20"/>
        <w:spacing w:before="29" w:after="0" w:line="288" w:lineRule="auto"/>
        <w:rPr>
          <w:rFonts w:ascii="Times New Roman" w:hAnsi="Times New Roman" w:cs="Times New Roman"/>
          <w:kern w:val="0"/>
          <w:szCs w:val="24"/>
        </w:rPr>
      </w:pPr>
      <w:bookmarkStart w:id="40" w:name="_Toc331410100"/>
      <w:bookmarkStart w:id="41" w:name="_Toc225498271"/>
      <w:bookmarkStart w:id="42" w:name="_Toc509761004"/>
      <w:r w:rsidRPr="00884898">
        <w:rPr>
          <w:rFonts w:ascii="Times New Roman" w:hAnsi="Times New Roman" w:cs="Times New Roman" w:hint="eastAsia"/>
          <w:kern w:val="0"/>
          <w:szCs w:val="24"/>
        </w:rPr>
        <w:t xml:space="preserve">7.4 </w:t>
      </w:r>
      <w:r w:rsidRPr="00884898">
        <w:rPr>
          <w:rFonts w:ascii="Times New Roman" w:hAnsi="Times New Roman" w:cs="Times New Roman" w:hint="eastAsia"/>
          <w:kern w:val="0"/>
          <w:szCs w:val="24"/>
        </w:rPr>
        <w:t>报表附注</w:t>
      </w:r>
      <w:bookmarkEnd w:id="40"/>
      <w:bookmarkEnd w:id="41"/>
      <w:bookmarkEnd w:id="42"/>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1</w:t>
      </w:r>
      <w:r w:rsidRPr="00884898">
        <w:rPr>
          <w:rFonts w:hint="eastAsia"/>
          <w:b/>
          <w:bCs/>
          <w:kern w:val="0"/>
          <w:sz w:val="24"/>
        </w:rPr>
        <w:t>基金基本情况</w:t>
      </w:r>
    </w:p>
    <w:p w:rsidR="00B5600D" w:rsidRDefault="00D91A1A">
      <w:pPr>
        <w:spacing w:before="29" w:line="288" w:lineRule="auto"/>
        <w:ind w:firstLineChars="200" w:firstLine="480"/>
        <w:rPr>
          <w:kern w:val="0"/>
          <w:sz w:val="24"/>
        </w:rPr>
      </w:pPr>
      <w:r>
        <w:rPr>
          <w:rFonts w:hint="eastAsia"/>
          <w:kern w:val="0"/>
          <w:sz w:val="24"/>
        </w:rPr>
        <w:t>交银施罗德理财</w:t>
      </w:r>
      <w:r>
        <w:rPr>
          <w:rFonts w:hint="eastAsia"/>
          <w:kern w:val="0"/>
          <w:sz w:val="24"/>
        </w:rPr>
        <w:t>60</w:t>
      </w:r>
      <w:r>
        <w:rPr>
          <w:rFonts w:hint="eastAsia"/>
          <w:kern w:val="0"/>
          <w:sz w:val="24"/>
        </w:rPr>
        <w:t>天债券型证券投资基金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[2012]1768</w:t>
      </w:r>
      <w:r>
        <w:rPr>
          <w:rFonts w:hint="eastAsia"/>
          <w:kern w:val="0"/>
          <w:sz w:val="24"/>
        </w:rPr>
        <w:t>号《关于核准交银施罗德理财</w:t>
      </w:r>
      <w:r>
        <w:rPr>
          <w:rFonts w:hint="eastAsia"/>
          <w:kern w:val="0"/>
          <w:sz w:val="24"/>
        </w:rPr>
        <w:t>60</w:t>
      </w:r>
      <w:r>
        <w:rPr>
          <w:rFonts w:hint="eastAsia"/>
          <w:kern w:val="0"/>
          <w:sz w:val="24"/>
        </w:rPr>
        <w:t>天债券型证券投资基金募集的批复》核准，由交银施罗德基金管理有限公司依照《中华人民共和国证券投资基金法》和《交银施罗德理财</w:t>
      </w:r>
      <w:r>
        <w:rPr>
          <w:rFonts w:hint="eastAsia"/>
          <w:kern w:val="0"/>
          <w:sz w:val="24"/>
        </w:rPr>
        <w:t>60</w:t>
      </w:r>
      <w:r>
        <w:rPr>
          <w:rFonts w:hint="eastAsia"/>
          <w:kern w:val="0"/>
          <w:sz w:val="24"/>
        </w:rPr>
        <w:t>天债券型证券投资基金基金合同》负责公开募集。本基金为契约型开放式证券投资基金，存续期限不定。首次设立募集不包括认购资金利息共募集人民币</w:t>
      </w:r>
      <w:r>
        <w:rPr>
          <w:rFonts w:hint="eastAsia"/>
          <w:kern w:val="0"/>
          <w:sz w:val="24"/>
        </w:rPr>
        <w:t>777,735,040.55</w:t>
      </w:r>
      <w:r>
        <w:rPr>
          <w:rFonts w:hint="eastAsia"/>
          <w:kern w:val="0"/>
          <w:sz w:val="24"/>
        </w:rPr>
        <w:t>元，业经普华永道中天会计师事务所有限公司普华永道中天验字</w:t>
      </w:r>
      <w:r>
        <w:rPr>
          <w:rFonts w:hint="eastAsia"/>
          <w:kern w:val="0"/>
          <w:sz w:val="24"/>
        </w:rPr>
        <w:t>(2013)</w:t>
      </w:r>
      <w:r>
        <w:rPr>
          <w:rFonts w:hint="eastAsia"/>
          <w:kern w:val="0"/>
          <w:sz w:val="24"/>
        </w:rPr>
        <w:t>第</w:t>
      </w:r>
      <w:r>
        <w:rPr>
          <w:rFonts w:hint="eastAsia"/>
          <w:kern w:val="0"/>
          <w:sz w:val="24"/>
        </w:rPr>
        <w:t>131</w:t>
      </w:r>
      <w:r>
        <w:rPr>
          <w:rFonts w:hint="eastAsia"/>
          <w:kern w:val="0"/>
          <w:sz w:val="24"/>
        </w:rPr>
        <w:t>号验资报告予以验证。经向中国证监会备案，《交银施罗德理财</w:t>
      </w:r>
      <w:r>
        <w:rPr>
          <w:rFonts w:hint="eastAsia"/>
          <w:kern w:val="0"/>
          <w:sz w:val="24"/>
        </w:rPr>
        <w:t>60</w:t>
      </w:r>
      <w:r>
        <w:rPr>
          <w:rFonts w:hint="eastAsia"/>
          <w:kern w:val="0"/>
          <w:sz w:val="24"/>
        </w:rPr>
        <w:t>天债券型证券投资基金基金合同》于</w:t>
      </w:r>
      <w:r>
        <w:rPr>
          <w:rFonts w:hint="eastAsia"/>
          <w:kern w:val="0"/>
          <w:sz w:val="24"/>
        </w:rPr>
        <w:t>2013</w:t>
      </w:r>
      <w:r>
        <w:rPr>
          <w:rFonts w:hint="eastAsia"/>
          <w:kern w:val="0"/>
          <w:sz w:val="24"/>
        </w:rPr>
        <w:t>年</w:t>
      </w:r>
      <w:r>
        <w:rPr>
          <w:rFonts w:hint="eastAsia"/>
          <w:kern w:val="0"/>
          <w:sz w:val="24"/>
        </w:rPr>
        <w:t>3</w:t>
      </w:r>
      <w:r>
        <w:rPr>
          <w:rFonts w:hint="eastAsia"/>
          <w:kern w:val="0"/>
          <w:sz w:val="24"/>
        </w:rPr>
        <w:t>月</w:t>
      </w:r>
      <w:r>
        <w:rPr>
          <w:rFonts w:hint="eastAsia"/>
          <w:kern w:val="0"/>
          <w:sz w:val="24"/>
        </w:rPr>
        <w:t>13</w:t>
      </w:r>
      <w:r>
        <w:rPr>
          <w:rFonts w:hint="eastAsia"/>
          <w:kern w:val="0"/>
          <w:sz w:val="24"/>
        </w:rPr>
        <w:t>日正式生效，基金合同生效日的基金份额总额为</w:t>
      </w:r>
      <w:r>
        <w:rPr>
          <w:rFonts w:hint="eastAsia"/>
          <w:kern w:val="0"/>
          <w:sz w:val="24"/>
        </w:rPr>
        <w:t>777,917,201.14</w:t>
      </w:r>
      <w:r>
        <w:rPr>
          <w:rFonts w:hint="eastAsia"/>
          <w:kern w:val="0"/>
          <w:sz w:val="24"/>
        </w:rPr>
        <w:t>份基金份额，其中认购资金利息折合</w:t>
      </w:r>
      <w:r>
        <w:rPr>
          <w:rFonts w:hint="eastAsia"/>
          <w:kern w:val="0"/>
          <w:sz w:val="24"/>
        </w:rPr>
        <w:t>182,160.59</w:t>
      </w:r>
      <w:r>
        <w:rPr>
          <w:rFonts w:hint="eastAsia"/>
          <w:kern w:val="0"/>
          <w:sz w:val="24"/>
        </w:rPr>
        <w:t>份基金份额。本基金的基金管理人为交银施罗德基金管理有限公司，基金托管人为中国建设银行股份有限公司。</w:t>
      </w:r>
    </w:p>
    <w:p w:rsidR="00B5600D" w:rsidRDefault="00D91A1A">
      <w:pPr>
        <w:spacing w:before="29" w:line="288" w:lineRule="auto"/>
        <w:ind w:firstLineChars="200" w:firstLine="480"/>
        <w:rPr>
          <w:kern w:val="0"/>
          <w:sz w:val="24"/>
        </w:rPr>
      </w:pPr>
      <w:r>
        <w:rPr>
          <w:rFonts w:hint="eastAsia"/>
          <w:kern w:val="0"/>
          <w:sz w:val="24"/>
        </w:rPr>
        <w:t>根据《交银施罗德理财</w:t>
      </w:r>
      <w:r>
        <w:rPr>
          <w:rFonts w:hint="eastAsia"/>
          <w:kern w:val="0"/>
          <w:sz w:val="24"/>
        </w:rPr>
        <w:t>60</w:t>
      </w:r>
      <w:r>
        <w:rPr>
          <w:rFonts w:hint="eastAsia"/>
          <w:kern w:val="0"/>
          <w:sz w:val="24"/>
        </w:rPr>
        <w:t>天债券型证券投资基金基金合同》和《交银施罗德理财</w:t>
      </w:r>
      <w:r>
        <w:rPr>
          <w:rFonts w:hint="eastAsia"/>
          <w:kern w:val="0"/>
          <w:sz w:val="24"/>
        </w:rPr>
        <w:t>60</w:t>
      </w:r>
      <w:r>
        <w:rPr>
          <w:rFonts w:hint="eastAsia"/>
          <w:kern w:val="0"/>
          <w:sz w:val="24"/>
        </w:rPr>
        <w:t>天债券型证券投资基金招募说明书》，本基金根据投资人持有本基金的份额数量，对投资人持有的基金份额按照不同的费率计提销售服务费用，因此形成</w:t>
      </w:r>
      <w:r>
        <w:rPr>
          <w:rFonts w:hint="eastAsia"/>
          <w:kern w:val="0"/>
          <w:sz w:val="24"/>
        </w:rPr>
        <w:t>A</w:t>
      </w:r>
      <w:r>
        <w:rPr>
          <w:rFonts w:hint="eastAsia"/>
          <w:kern w:val="0"/>
          <w:sz w:val="24"/>
        </w:rPr>
        <w:t>类和</w:t>
      </w:r>
      <w:r>
        <w:rPr>
          <w:rFonts w:hint="eastAsia"/>
          <w:kern w:val="0"/>
          <w:sz w:val="24"/>
        </w:rPr>
        <w:t>B</w:t>
      </w:r>
      <w:r>
        <w:rPr>
          <w:rFonts w:hint="eastAsia"/>
          <w:kern w:val="0"/>
          <w:sz w:val="24"/>
        </w:rPr>
        <w:t>类两类基金份额。两类基金份额分别公布每万份基金净收益和七日年化收益率。</w:t>
      </w:r>
    </w:p>
    <w:p w:rsidR="00B5600D" w:rsidRDefault="00D91A1A">
      <w:pPr>
        <w:spacing w:before="29" w:line="288" w:lineRule="auto"/>
        <w:ind w:firstLineChars="200" w:firstLine="480"/>
        <w:rPr>
          <w:kern w:val="0"/>
          <w:sz w:val="24"/>
        </w:rPr>
      </w:pPr>
      <w:r>
        <w:rPr>
          <w:rFonts w:hint="eastAsia"/>
          <w:kern w:val="0"/>
          <w:sz w:val="24"/>
        </w:rPr>
        <w:t>根据《中华人民共和国证券投资基金法》和《交银施罗德理财</w:t>
      </w:r>
      <w:r>
        <w:rPr>
          <w:rFonts w:hint="eastAsia"/>
          <w:kern w:val="0"/>
          <w:sz w:val="24"/>
        </w:rPr>
        <w:t>60</w:t>
      </w:r>
      <w:r>
        <w:rPr>
          <w:rFonts w:hint="eastAsia"/>
          <w:kern w:val="0"/>
          <w:sz w:val="24"/>
        </w:rPr>
        <w:t>天债券型证券投资基金基金合同》的有关规定，本基金的投资范围为具有良好流动性的金融工具，包括现金，通知存款，一年以内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的银行定期存款和大额存单，剩余期限</w:t>
      </w:r>
      <w:r>
        <w:rPr>
          <w:rFonts w:hint="eastAsia"/>
          <w:kern w:val="0"/>
          <w:sz w:val="24"/>
        </w:rPr>
        <w:t>(</w:t>
      </w:r>
      <w:r>
        <w:rPr>
          <w:rFonts w:hint="eastAsia"/>
          <w:kern w:val="0"/>
          <w:sz w:val="24"/>
        </w:rPr>
        <w:t>或回售期限</w:t>
      </w:r>
      <w:r>
        <w:rPr>
          <w:rFonts w:hint="eastAsia"/>
          <w:kern w:val="0"/>
          <w:sz w:val="24"/>
        </w:rPr>
        <w:t>)</w:t>
      </w:r>
      <w:r>
        <w:rPr>
          <w:rFonts w:hint="eastAsia"/>
          <w:kern w:val="0"/>
          <w:sz w:val="24"/>
        </w:rPr>
        <w:t>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的债券回购，期限在一年以内</w:t>
      </w:r>
      <w:r>
        <w:rPr>
          <w:rFonts w:hint="eastAsia"/>
          <w:kern w:val="0"/>
          <w:sz w:val="24"/>
        </w:rPr>
        <w:t>(</w:t>
      </w:r>
      <w:r>
        <w:rPr>
          <w:rFonts w:hint="eastAsia"/>
          <w:kern w:val="0"/>
          <w:sz w:val="24"/>
        </w:rPr>
        <w:t>含一年</w:t>
      </w:r>
      <w:r>
        <w:rPr>
          <w:rFonts w:hint="eastAsia"/>
          <w:kern w:val="0"/>
          <w:sz w:val="24"/>
        </w:rPr>
        <w:t>)</w:t>
      </w:r>
      <w:r>
        <w:rPr>
          <w:rFonts w:hint="eastAsia"/>
          <w:kern w:val="0"/>
          <w:sz w:val="24"/>
        </w:rPr>
        <w:t>的中央银行票据和短期融资券，以及法律法规或中国证监会允许本基金投资的其他固定收益类金融工具及相关衍生工具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本财务报表由本基金的基金管理人交银施罗德基金管理有限公司于</w:t>
      </w:r>
      <w:r w:rsidRPr="00650D53">
        <w:rPr>
          <w:rFonts w:hint="eastAsia"/>
          <w:kern w:val="0"/>
          <w:sz w:val="24"/>
        </w:rPr>
        <w:t>2018</w:t>
      </w:r>
      <w:r w:rsidRPr="00650D53">
        <w:rPr>
          <w:rFonts w:hint="eastAsia"/>
          <w:kern w:val="0"/>
          <w:sz w:val="24"/>
        </w:rPr>
        <w:t>年</w:t>
      </w:r>
      <w:r w:rsidRPr="00650D53">
        <w:rPr>
          <w:rFonts w:hint="eastAsia"/>
          <w:kern w:val="0"/>
          <w:sz w:val="24"/>
        </w:rPr>
        <w:t>3</w:t>
      </w:r>
      <w:r w:rsidRPr="00650D53">
        <w:rPr>
          <w:rFonts w:hint="eastAsia"/>
          <w:kern w:val="0"/>
          <w:sz w:val="24"/>
        </w:rPr>
        <w:t>月</w:t>
      </w:r>
      <w:r w:rsidRPr="00650D53">
        <w:rPr>
          <w:rFonts w:hint="eastAsia"/>
          <w:kern w:val="0"/>
          <w:sz w:val="24"/>
        </w:rPr>
        <w:t>2</w:t>
      </w:r>
      <w:r w:rsidR="000F66C7">
        <w:rPr>
          <w:kern w:val="0"/>
          <w:sz w:val="24"/>
        </w:rPr>
        <w:t>6</w:t>
      </w:r>
      <w:r w:rsidRPr="00650D53">
        <w:rPr>
          <w:rFonts w:hint="eastAsia"/>
          <w:kern w:val="0"/>
          <w:sz w:val="24"/>
        </w:rPr>
        <w:t>日批准报出。</w:t>
      </w:r>
    </w:p>
    <w:p w:rsidR="00223DFB" w:rsidRPr="00D0515B"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2</w:t>
      </w:r>
      <w:r w:rsidRPr="00884898">
        <w:rPr>
          <w:rFonts w:hint="eastAsia"/>
          <w:b/>
          <w:bCs/>
          <w:kern w:val="0"/>
          <w:sz w:val="24"/>
        </w:rPr>
        <w:t>会计报表的编制基础</w:t>
      </w:r>
    </w:p>
    <w:p w:rsidR="00223DFB" w:rsidRDefault="00223DFB" w:rsidP="00650D53">
      <w:pPr>
        <w:spacing w:before="29" w:line="288" w:lineRule="auto"/>
        <w:ind w:firstLineChars="200" w:firstLine="480"/>
        <w:rPr>
          <w:kern w:val="0"/>
          <w:sz w:val="24"/>
        </w:rPr>
      </w:pPr>
      <w:r w:rsidRPr="00650D53">
        <w:rPr>
          <w:rFonts w:hint="eastAsia"/>
          <w:kern w:val="0"/>
          <w:sz w:val="24"/>
        </w:rPr>
        <w:t>本基金的财务报表按照财政部于</w:t>
      </w:r>
      <w:r w:rsidRPr="00650D53">
        <w:rPr>
          <w:rFonts w:hint="eastAsia"/>
          <w:kern w:val="0"/>
          <w:sz w:val="24"/>
        </w:rPr>
        <w:t>2006</w:t>
      </w:r>
      <w:r w:rsidRPr="00650D53">
        <w:rPr>
          <w:rFonts w:hint="eastAsia"/>
          <w:kern w:val="0"/>
          <w:sz w:val="24"/>
        </w:rPr>
        <w:t>年</w:t>
      </w:r>
      <w:r w:rsidRPr="00650D53">
        <w:rPr>
          <w:rFonts w:hint="eastAsia"/>
          <w:kern w:val="0"/>
          <w:sz w:val="24"/>
        </w:rPr>
        <w:t>2</w:t>
      </w:r>
      <w:r w:rsidRPr="00650D53">
        <w:rPr>
          <w:rFonts w:hint="eastAsia"/>
          <w:kern w:val="0"/>
          <w:sz w:val="24"/>
        </w:rPr>
        <w:t>月</w:t>
      </w:r>
      <w:r w:rsidRPr="00650D53">
        <w:rPr>
          <w:rFonts w:hint="eastAsia"/>
          <w:kern w:val="0"/>
          <w:sz w:val="24"/>
        </w:rPr>
        <w:t>15</w:t>
      </w:r>
      <w:r w:rsidRPr="00650D53">
        <w:rPr>
          <w:rFonts w:hint="eastAsia"/>
          <w:kern w:val="0"/>
          <w:sz w:val="24"/>
        </w:rPr>
        <w:t>日及以后期间颁布的《企业会计准则－基本准则》、各项具体会计准则及相关规定</w:t>
      </w:r>
      <w:r w:rsidRPr="00650D53">
        <w:rPr>
          <w:rFonts w:hint="eastAsia"/>
          <w:kern w:val="0"/>
          <w:sz w:val="24"/>
        </w:rPr>
        <w:t>(</w:t>
      </w:r>
      <w:r w:rsidRPr="00650D53">
        <w:rPr>
          <w:rFonts w:hint="eastAsia"/>
          <w:kern w:val="0"/>
          <w:sz w:val="24"/>
        </w:rPr>
        <w:t>以下合称“企业会计准则”</w:t>
      </w:r>
      <w:r w:rsidRPr="00650D53">
        <w:rPr>
          <w:rFonts w:hint="eastAsia"/>
          <w:kern w:val="0"/>
          <w:sz w:val="24"/>
        </w:rPr>
        <w:t>)</w:t>
      </w:r>
      <w:r w:rsidRPr="00650D53">
        <w:rPr>
          <w:rFonts w:hint="eastAsia"/>
          <w:kern w:val="0"/>
          <w:sz w:val="24"/>
        </w:rPr>
        <w:t>、中国证监会颁布的《证券投资基金信息披露</w:t>
      </w:r>
      <w:r w:rsidRPr="00650D53">
        <w:rPr>
          <w:rFonts w:hint="eastAsia"/>
          <w:kern w:val="0"/>
          <w:sz w:val="24"/>
        </w:rPr>
        <w:t>XBRL</w:t>
      </w:r>
      <w:r w:rsidRPr="00650D53">
        <w:rPr>
          <w:rFonts w:hint="eastAsia"/>
          <w:kern w:val="0"/>
          <w:sz w:val="24"/>
        </w:rPr>
        <w:t>模板第</w:t>
      </w:r>
      <w:r w:rsidRPr="00650D53">
        <w:rPr>
          <w:rFonts w:hint="eastAsia"/>
          <w:kern w:val="0"/>
          <w:sz w:val="24"/>
        </w:rPr>
        <w:t>3</w:t>
      </w:r>
      <w:r w:rsidRPr="00650D53">
        <w:rPr>
          <w:rFonts w:hint="eastAsia"/>
          <w:kern w:val="0"/>
          <w:sz w:val="24"/>
        </w:rPr>
        <w:t>号</w:t>
      </w:r>
      <w:r w:rsidRPr="00650D53">
        <w:rPr>
          <w:rFonts w:hint="eastAsia"/>
          <w:kern w:val="0"/>
          <w:sz w:val="24"/>
        </w:rPr>
        <w:t>&lt;</w:t>
      </w:r>
      <w:r w:rsidRPr="00650D53">
        <w:rPr>
          <w:rFonts w:hint="eastAsia"/>
          <w:kern w:val="0"/>
          <w:sz w:val="24"/>
        </w:rPr>
        <w:t>年度报告和半年度报告</w:t>
      </w:r>
      <w:r w:rsidRPr="00650D53">
        <w:rPr>
          <w:rFonts w:hint="eastAsia"/>
          <w:kern w:val="0"/>
          <w:sz w:val="24"/>
        </w:rPr>
        <w:t>&gt;</w:t>
      </w:r>
      <w:r w:rsidRPr="00650D53">
        <w:rPr>
          <w:rFonts w:hint="eastAsia"/>
          <w:kern w:val="0"/>
          <w:sz w:val="24"/>
        </w:rPr>
        <w:t>》、中国证券投资基金业协会</w:t>
      </w:r>
      <w:r w:rsidRPr="00650D53">
        <w:rPr>
          <w:rFonts w:hint="eastAsia"/>
          <w:kern w:val="0"/>
          <w:sz w:val="24"/>
        </w:rPr>
        <w:t>(</w:t>
      </w:r>
      <w:r w:rsidRPr="00650D53">
        <w:rPr>
          <w:rFonts w:hint="eastAsia"/>
          <w:kern w:val="0"/>
          <w:sz w:val="24"/>
        </w:rPr>
        <w:t>以下简称“中国基金业协会”</w:t>
      </w:r>
      <w:r w:rsidRPr="00650D53">
        <w:rPr>
          <w:rFonts w:hint="eastAsia"/>
          <w:kern w:val="0"/>
          <w:sz w:val="24"/>
        </w:rPr>
        <w:t>)</w:t>
      </w:r>
      <w:r w:rsidRPr="00650D53">
        <w:rPr>
          <w:rFonts w:hint="eastAsia"/>
          <w:kern w:val="0"/>
          <w:sz w:val="24"/>
        </w:rPr>
        <w:t>颁布的《证券投资基金会计核算业务指引》、《交银施罗德理财</w:t>
      </w:r>
      <w:r w:rsidRPr="00650D53">
        <w:rPr>
          <w:rFonts w:hint="eastAsia"/>
          <w:kern w:val="0"/>
          <w:sz w:val="24"/>
        </w:rPr>
        <w:t>60</w:t>
      </w:r>
      <w:r w:rsidRPr="00650D53">
        <w:rPr>
          <w:rFonts w:hint="eastAsia"/>
          <w:kern w:val="0"/>
          <w:sz w:val="24"/>
        </w:rPr>
        <w:t>天债券型证券投资基金基金合同》和在财务报表附注</w:t>
      </w:r>
      <w:r w:rsidRPr="00650D53">
        <w:rPr>
          <w:rFonts w:hint="eastAsia"/>
          <w:kern w:val="0"/>
          <w:sz w:val="24"/>
        </w:rPr>
        <w:t>7.4.4</w:t>
      </w:r>
      <w:r w:rsidRPr="00650D53">
        <w:rPr>
          <w:rFonts w:hint="eastAsia"/>
          <w:kern w:val="0"/>
          <w:sz w:val="24"/>
        </w:rPr>
        <w:t>所列示的中国证监会、中国基金业协会发布的有关规定及允许的基金行业实务操作编制。</w:t>
      </w:r>
    </w:p>
    <w:p w:rsidR="0084629B" w:rsidRPr="00650D53" w:rsidRDefault="0084629B" w:rsidP="00650D53">
      <w:pPr>
        <w:spacing w:before="29" w:line="288" w:lineRule="auto"/>
        <w:ind w:firstLineChars="200" w:firstLine="480"/>
        <w:rPr>
          <w:kern w:val="0"/>
          <w:sz w:val="24"/>
        </w:rPr>
      </w:pPr>
      <w:r w:rsidRPr="0084629B">
        <w:rPr>
          <w:rFonts w:hint="eastAsia"/>
          <w:kern w:val="0"/>
          <w:sz w:val="24"/>
        </w:rPr>
        <w:t>本财务报表以持续经营为基础编制。</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3</w:t>
      </w:r>
      <w:r w:rsidRPr="00884898">
        <w:rPr>
          <w:rFonts w:hint="eastAsia"/>
          <w:b/>
          <w:bCs/>
          <w:kern w:val="0"/>
          <w:sz w:val="24"/>
        </w:rPr>
        <w:t>遵循企业会计准则及其他有关规定的声明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w:t>
      </w:r>
      <w:r w:rsidRPr="00650D53">
        <w:rPr>
          <w:rFonts w:hint="eastAsia"/>
          <w:kern w:val="0"/>
          <w:sz w:val="24"/>
        </w:rPr>
        <w:t>2017</w:t>
      </w:r>
      <w:r w:rsidRPr="00650D53">
        <w:rPr>
          <w:rFonts w:hint="eastAsia"/>
          <w:kern w:val="0"/>
          <w:sz w:val="24"/>
        </w:rPr>
        <w:t>年度财务报表符合企业会计准则的要求，真实、完整地反映了本基金</w:t>
      </w:r>
      <w:r w:rsidRPr="00650D53">
        <w:rPr>
          <w:rFonts w:hint="eastAsia"/>
          <w:kern w:val="0"/>
          <w:sz w:val="24"/>
        </w:rPr>
        <w:t>2017</w:t>
      </w:r>
      <w:r w:rsidRPr="00650D53">
        <w:rPr>
          <w:rFonts w:hint="eastAsia"/>
          <w:kern w:val="0"/>
          <w:sz w:val="24"/>
        </w:rPr>
        <w:t>年</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日的财务状况以及</w:t>
      </w:r>
      <w:r w:rsidRPr="00650D53">
        <w:rPr>
          <w:rFonts w:hint="eastAsia"/>
          <w:kern w:val="0"/>
          <w:sz w:val="24"/>
        </w:rPr>
        <w:t>2017</w:t>
      </w:r>
      <w:r w:rsidRPr="00650D53">
        <w:rPr>
          <w:rFonts w:hint="eastAsia"/>
          <w:kern w:val="0"/>
          <w:sz w:val="24"/>
        </w:rPr>
        <w:t>年度的经营成果和基金净值变动情况等有关信息。</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4</w:t>
      </w:r>
      <w:r w:rsidRPr="00884898">
        <w:rPr>
          <w:rFonts w:hint="eastAsia"/>
          <w:b/>
          <w:bCs/>
          <w:kern w:val="0"/>
          <w:sz w:val="24"/>
        </w:rPr>
        <w:t>重要会计政策和会计估计</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w:t>
      </w:r>
      <w:r w:rsidRPr="00884898">
        <w:rPr>
          <w:rFonts w:hint="eastAsia"/>
          <w:b/>
          <w:bCs/>
          <w:kern w:val="0"/>
          <w:sz w:val="24"/>
        </w:rPr>
        <w:t>会计年度</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本基金会计年度为公历</w:t>
      </w:r>
      <w:r w:rsidRPr="00650D53">
        <w:rPr>
          <w:rFonts w:hint="eastAsia"/>
          <w:kern w:val="0"/>
          <w:sz w:val="24"/>
        </w:rPr>
        <w:t>1</w:t>
      </w:r>
      <w:r w:rsidRPr="00650D53">
        <w:rPr>
          <w:rFonts w:hint="eastAsia"/>
          <w:kern w:val="0"/>
          <w:sz w:val="24"/>
        </w:rPr>
        <w:t>月</w:t>
      </w:r>
      <w:r w:rsidRPr="00650D53">
        <w:rPr>
          <w:rFonts w:hint="eastAsia"/>
          <w:kern w:val="0"/>
          <w:sz w:val="24"/>
        </w:rPr>
        <w:t>1</w:t>
      </w:r>
      <w:r w:rsidRPr="00650D53">
        <w:rPr>
          <w:rFonts w:hint="eastAsia"/>
          <w:kern w:val="0"/>
          <w:sz w:val="24"/>
        </w:rPr>
        <w:t>日起至</w:t>
      </w:r>
      <w:r w:rsidRPr="00650D53">
        <w:rPr>
          <w:rFonts w:hint="eastAsia"/>
          <w:kern w:val="0"/>
          <w:sz w:val="24"/>
        </w:rPr>
        <w:t>12</w:t>
      </w:r>
      <w:r w:rsidRPr="00650D53">
        <w:rPr>
          <w:rFonts w:hint="eastAsia"/>
          <w:kern w:val="0"/>
          <w:sz w:val="24"/>
        </w:rPr>
        <w:t>月</w:t>
      </w:r>
      <w:r w:rsidRPr="00650D53">
        <w:rPr>
          <w:rFonts w:hint="eastAsia"/>
          <w:kern w:val="0"/>
          <w:sz w:val="24"/>
        </w:rPr>
        <w:t>31</w:t>
      </w:r>
      <w:r w:rsidRPr="00650D53">
        <w:rPr>
          <w:rFonts w:hint="eastAsia"/>
          <w:kern w:val="0"/>
          <w:sz w:val="24"/>
        </w:rPr>
        <w:t>日止。</w:t>
      </w:r>
    </w:p>
    <w:p w:rsidR="00223DFB" w:rsidRPr="00D0515B" w:rsidRDefault="00223DFB" w:rsidP="00725719">
      <w:pPr>
        <w:spacing w:line="360" w:lineRule="auto"/>
        <w:ind w:firstLineChars="200" w:firstLine="422"/>
        <w:rPr>
          <w:rFonts w:asciiTheme="minorEastAsia" w:eastAsiaTheme="minorEastAsia" w:hAnsiTheme="minorEastAsia"/>
          <w:b/>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记账本位币</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本基金的记账本位币为人民币。</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金融资产和金融负债的分类</w:t>
      </w:r>
    </w:p>
    <w:p w:rsidR="00B5600D" w:rsidRDefault="00D91A1A">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B5600D" w:rsidRDefault="00D91A1A">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5600D" w:rsidRDefault="00D91A1A">
      <w:pPr>
        <w:spacing w:before="29" w:line="288" w:lineRule="auto"/>
        <w:ind w:firstLineChars="200" w:firstLine="480"/>
        <w:rPr>
          <w:kern w:val="0"/>
          <w:sz w:val="24"/>
        </w:rPr>
      </w:pPr>
      <w:r>
        <w:rPr>
          <w:rFonts w:hint="eastAsia"/>
          <w:kern w:val="0"/>
          <w:sz w:val="24"/>
        </w:rPr>
        <w:t>本基金以交易目的持有的债券投资</w:t>
      </w:r>
      <w:r w:rsidR="0084629B" w:rsidRPr="0084629B">
        <w:rPr>
          <w:rFonts w:hint="eastAsia"/>
          <w:kern w:val="0"/>
          <w:sz w:val="24"/>
        </w:rPr>
        <w:t>和资产支持证券投资</w:t>
      </w:r>
      <w:r>
        <w:rPr>
          <w:rFonts w:hint="eastAsia"/>
          <w:kern w:val="0"/>
          <w:sz w:val="24"/>
        </w:rPr>
        <w:t>分类为以公允价值计量且其变动计入当期损益的金融资产。以公允价值计量且其公允价值变动计入损益的金融资产在资产负债表中以交易性金融资产列示。</w:t>
      </w:r>
    </w:p>
    <w:p w:rsidR="00B5600D" w:rsidRDefault="00D91A1A">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5600D" w:rsidRDefault="00D91A1A">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4</w:t>
      </w:r>
      <w:r w:rsidRPr="00884898">
        <w:rPr>
          <w:rFonts w:hint="eastAsia"/>
          <w:b/>
          <w:bCs/>
          <w:kern w:val="0"/>
          <w:sz w:val="24"/>
        </w:rPr>
        <w:t xml:space="preserve"> </w:t>
      </w:r>
      <w:r w:rsidRPr="00884898">
        <w:rPr>
          <w:rFonts w:hint="eastAsia"/>
          <w:b/>
          <w:bCs/>
          <w:kern w:val="0"/>
          <w:sz w:val="24"/>
        </w:rPr>
        <w:t>金融资产和金融负债的初始确认、后续计量和终止确认</w:t>
      </w:r>
    </w:p>
    <w:p w:rsidR="00B5600D" w:rsidRDefault="00D91A1A">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w:t>
      </w:r>
      <w:r w:rsidR="0084629B" w:rsidRPr="0084629B">
        <w:rPr>
          <w:rFonts w:hint="eastAsia"/>
          <w:kern w:val="0"/>
          <w:sz w:val="24"/>
        </w:rPr>
        <w:t>或资产支持证券投资</w:t>
      </w:r>
      <w:r>
        <w:rPr>
          <w:rFonts w:hint="eastAsia"/>
          <w:kern w:val="0"/>
          <w:sz w:val="24"/>
        </w:rPr>
        <w:t>支付的价款中包含的债券起息日或上次除息日至购买日止的利息，单独确认为应收项目。应收款项和其他金融负债的相关交易费用计入初始确认金额。</w:t>
      </w:r>
    </w:p>
    <w:p w:rsidR="00B5600D" w:rsidRDefault="00D91A1A">
      <w:pPr>
        <w:spacing w:before="29" w:line="288" w:lineRule="auto"/>
        <w:ind w:firstLineChars="200" w:firstLine="480"/>
        <w:rPr>
          <w:kern w:val="0"/>
          <w:sz w:val="24"/>
        </w:rPr>
      </w:pPr>
      <w:r>
        <w:rPr>
          <w:rFonts w:hint="eastAsia"/>
          <w:kern w:val="0"/>
          <w:sz w:val="24"/>
        </w:rPr>
        <w:t>债券投资</w:t>
      </w:r>
      <w:r w:rsidR="0084629B" w:rsidRPr="0084629B">
        <w:rPr>
          <w:rFonts w:hint="eastAsia"/>
          <w:kern w:val="0"/>
          <w:sz w:val="24"/>
        </w:rPr>
        <w:t>和资产支持证券投资</w:t>
      </w:r>
      <w:r>
        <w:rPr>
          <w:rFonts w:hint="eastAsia"/>
          <w:kern w:val="0"/>
          <w:sz w:val="24"/>
        </w:rPr>
        <w:t>按票面利率或商定利率每日计提应收利息，按实际利率法在其剩余期限内摊销其买入时的溢价或折价；同时于每一计价日计算影子价格，以避免债券投资</w:t>
      </w:r>
      <w:r w:rsidR="00A432A2">
        <w:rPr>
          <w:rFonts w:hint="eastAsia"/>
          <w:kern w:val="0"/>
          <w:sz w:val="24"/>
        </w:rPr>
        <w:t>和</w:t>
      </w:r>
      <w:r w:rsidR="00A432A2">
        <w:rPr>
          <w:kern w:val="0"/>
          <w:sz w:val="24"/>
        </w:rPr>
        <w:t>资产</w:t>
      </w:r>
      <w:r w:rsidR="00A432A2">
        <w:rPr>
          <w:rFonts w:hint="eastAsia"/>
          <w:kern w:val="0"/>
          <w:sz w:val="24"/>
        </w:rPr>
        <w:t>支持</w:t>
      </w:r>
      <w:r w:rsidR="00A432A2">
        <w:rPr>
          <w:kern w:val="0"/>
          <w:sz w:val="24"/>
        </w:rPr>
        <w:t>证券</w:t>
      </w:r>
      <w:r w:rsidR="00A432A2">
        <w:rPr>
          <w:rFonts w:hint="eastAsia"/>
          <w:kern w:val="0"/>
          <w:sz w:val="24"/>
        </w:rPr>
        <w:t>投资</w:t>
      </w:r>
      <w:r>
        <w:rPr>
          <w:rFonts w:hint="eastAsia"/>
          <w:kern w:val="0"/>
          <w:sz w:val="24"/>
        </w:rPr>
        <w:t>的账面价值与公允价值的差异导致基金资产净值发生重大偏离。对于应收款项和其他金融负债采用实际利率法，以摊余成本进行后续计量。</w:t>
      </w:r>
    </w:p>
    <w:p w:rsidR="00B5600D" w:rsidRDefault="00D91A1A">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B5600D" w:rsidRDefault="00D91A1A">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5</w:t>
      </w:r>
      <w:r w:rsidRPr="00884898">
        <w:rPr>
          <w:rFonts w:hint="eastAsia"/>
          <w:b/>
          <w:bCs/>
          <w:kern w:val="0"/>
          <w:sz w:val="24"/>
        </w:rPr>
        <w:t xml:space="preserve"> </w:t>
      </w:r>
      <w:r w:rsidRPr="00884898">
        <w:rPr>
          <w:rFonts w:hint="eastAsia"/>
          <w:b/>
          <w:bCs/>
          <w:kern w:val="0"/>
          <w:sz w:val="24"/>
        </w:rPr>
        <w:t>金融资产和金融负债的估值原则</w:t>
      </w:r>
    </w:p>
    <w:p w:rsidR="0084629B" w:rsidRPr="0084629B" w:rsidRDefault="0084629B" w:rsidP="00504C53">
      <w:pPr>
        <w:spacing w:before="29" w:line="288" w:lineRule="auto"/>
        <w:ind w:firstLineChars="200" w:firstLine="480"/>
        <w:rPr>
          <w:kern w:val="0"/>
          <w:sz w:val="24"/>
        </w:rPr>
      </w:pPr>
      <w:r w:rsidRPr="0084629B">
        <w:rPr>
          <w:rFonts w:hint="eastAsia"/>
          <w:kern w:val="0"/>
          <w:sz w:val="24"/>
        </w:rPr>
        <w:t>为了避免投资组合的账面价值与公允价值的差异导致基金资产净值发生重大偏离，从而对基金持有人的利益产生稀释或不公平的结果，基金管理人于每一计价日采用投资组合的公允价值计算影子价格。当影子价格确定的基金资产净值与摊余成本法计算的基金资产净值的偏离度绝对值达到或超过基金资产净值</w:t>
      </w:r>
      <w:r w:rsidRPr="0084629B">
        <w:rPr>
          <w:rFonts w:hint="eastAsia"/>
          <w:kern w:val="0"/>
          <w:sz w:val="24"/>
        </w:rPr>
        <w:t>0.25%</w:t>
      </w:r>
      <w:r w:rsidRPr="0084629B">
        <w:rPr>
          <w:rFonts w:hint="eastAsia"/>
          <w:kern w:val="0"/>
          <w:sz w:val="24"/>
        </w:rPr>
        <w:t>时，基金管理人应根据风险控制的需要调整组合，使基金资产净值更能公允地反映基金资产价值。</w:t>
      </w:r>
    </w:p>
    <w:p w:rsidR="0084629B" w:rsidRPr="0084629B" w:rsidRDefault="0084629B" w:rsidP="00504C53">
      <w:pPr>
        <w:spacing w:before="29" w:line="288" w:lineRule="auto"/>
        <w:ind w:firstLineChars="200" w:firstLine="480"/>
        <w:rPr>
          <w:kern w:val="0"/>
          <w:sz w:val="24"/>
        </w:rPr>
      </w:pPr>
      <w:r w:rsidRPr="0084629B">
        <w:rPr>
          <w:rFonts w:hint="eastAsia"/>
          <w:kern w:val="0"/>
          <w:sz w:val="24"/>
        </w:rPr>
        <w:t>计算影子价格时按如下原则确定债券投资和资产支持证券投资的公允价值：</w:t>
      </w:r>
    </w:p>
    <w:p w:rsidR="0084629B" w:rsidRPr="0084629B" w:rsidRDefault="0084629B" w:rsidP="00504C53">
      <w:pPr>
        <w:spacing w:before="29" w:line="288" w:lineRule="auto"/>
        <w:ind w:firstLineChars="200" w:firstLine="480"/>
        <w:rPr>
          <w:kern w:val="0"/>
          <w:sz w:val="24"/>
        </w:rPr>
      </w:pPr>
      <w:r w:rsidRPr="0084629B">
        <w:rPr>
          <w:rFonts w:hint="eastAsia"/>
          <w:kern w:val="0"/>
          <w:sz w:val="24"/>
        </w:rPr>
        <w:t>(1)</w:t>
      </w:r>
      <w:r w:rsidRPr="0084629B">
        <w:rPr>
          <w:rFonts w:hint="eastAsia"/>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84629B" w:rsidRPr="0084629B" w:rsidRDefault="0084629B" w:rsidP="00504C53">
      <w:pPr>
        <w:spacing w:before="29" w:line="288" w:lineRule="auto"/>
        <w:ind w:firstLineChars="200" w:firstLine="480"/>
        <w:rPr>
          <w:kern w:val="0"/>
          <w:sz w:val="24"/>
        </w:rPr>
      </w:pPr>
      <w:r w:rsidRPr="0084629B">
        <w:rPr>
          <w:rFonts w:hint="eastAsia"/>
          <w:kern w:val="0"/>
          <w:sz w:val="24"/>
        </w:rPr>
        <w:t>(2)</w:t>
      </w:r>
      <w:r w:rsidRPr="0084629B">
        <w:rPr>
          <w:rFonts w:hint="eastAsia"/>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223DFB" w:rsidRDefault="0084629B" w:rsidP="00504C53">
      <w:pPr>
        <w:spacing w:before="29" w:line="288" w:lineRule="auto"/>
        <w:ind w:firstLineChars="200" w:firstLine="480"/>
        <w:rPr>
          <w:kern w:val="0"/>
          <w:sz w:val="24"/>
        </w:rPr>
      </w:pPr>
      <w:r w:rsidRPr="0084629B">
        <w:rPr>
          <w:rFonts w:hint="eastAsia"/>
          <w:kern w:val="0"/>
          <w:sz w:val="24"/>
        </w:rPr>
        <w:t>(3)</w:t>
      </w:r>
      <w:r w:rsidRPr="0084629B">
        <w:rPr>
          <w:rFonts w:hint="eastAsia"/>
          <w:kern w:val="0"/>
          <w:sz w:val="24"/>
        </w:rPr>
        <w:t>如经济环境发生重大变化或证券发行人发生影响金融工具价格的重大事件，应对估值进行调整并确定公允价值。</w:t>
      </w:r>
    </w:p>
    <w:p w:rsidR="00415878" w:rsidRPr="00415878" w:rsidRDefault="00415878" w:rsidP="0084629B">
      <w:pPr>
        <w:autoSpaceDE w:val="0"/>
        <w:autoSpaceDN w:val="0"/>
        <w:adjustRightInd w:val="0"/>
        <w:spacing w:line="360" w:lineRule="auto"/>
        <w:ind w:firstLineChars="200" w:firstLine="422"/>
        <w:jc w:val="left"/>
        <w:rPr>
          <w:rFonts w:asciiTheme="minorEastAsia" w:eastAsiaTheme="minorEastAsia" w:hAnsiTheme="minorEastAsia"/>
          <w:b/>
          <w:kern w:val="0"/>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6</w:t>
      </w:r>
      <w:r w:rsidRPr="00884898">
        <w:rPr>
          <w:rFonts w:hint="eastAsia"/>
          <w:b/>
          <w:bCs/>
          <w:kern w:val="0"/>
          <w:sz w:val="24"/>
        </w:rPr>
        <w:t xml:space="preserve"> </w:t>
      </w:r>
      <w:r w:rsidRPr="00884898">
        <w:rPr>
          <w:rFonts w:hint="eastAsia"/>
          <w:b/>
          <w:bCs/>
          <w:kern w:val="0"/>
          <w:sz w:val="24"/>
        </w:rPr>
        <w:t>金融资产和金融负债的抵销</w:t>
      </w:r>
    </w:p>
    <w:p w:rsidR="00223DFB" w:rsidRPr="00D0515B" w:rsidRDefault="00223DFB" w:rsidP="00650D53">
      <w:pPr>
        <w:spacing w:before="29" w:line="288" w:lineRule="auto"/>
        <w:ind w:firstLineChars="200" w:firstLine="480"/>
        <w:rPr>
          <w:rFonts w:asciiTheme="minorEastAsia" w:eastAsiaTheme="minorEastAsia" w:hAnsiTheme="minorEastAsia"/>
          <w:szCs w:val="21"/>
        </w:rPr>
      </w:pPr>
      <w:r w:rsidRPr="00650D53">
        <w:rPr>
          <w:rFonts w:hint="eastAsia"/>
          <w:kern w:val="0"/>
          <w:sz w:val="24"/>
        </w:rPr>
        <w:t>本基金持有的资产和承担的负债基本为金融资产和金融负债。当本基金</w:t>
      </w:r>
      <w:r w:rsidRPr="00650D53">
        <w:rPr>
          <w:rFonts w:hint="eastAsia"/>
          <w:kern w:val="0"/>
          <w:sz w:val="24"/>
        </w:rPr>
        <w:t xml:space="preserve">1) </w:t>
      </w:r>
      <w:r w:rsidRPr="00650D53">
        <w:rPr>
          <w:rFonts w:hint="eastAsia"/>
          <w:kern w:val="0"/>
          <w:sz w:val="24"/>
        </w:rPr>
        <w:t>具有抵销已确认金额的法定权利且该种法定权利现在是可执行的；且</w:t>
      </w:r>
      <w:r w:rsidRPr="00650D53">
        <w:rPr>
          <w:rFonts w:hint="eastAsia"/>
          <w:kern w:val="0"/>
          <w:sz w:val="24"/>
        </w:rPr>
        <w:t xml:space="preserve">2) </w:t>
      </w:r>
      <w:r w:rsidRPr="00650D53">
        <w:rPr>
          <w:rFonts w:hint="eastAsia"/>
          <w:kern w:val="0"/>
          <w:sz w:val="24"/>
        </w:rPr>
        <w:t>交易双方准备按净额结算时，金融资产与金融负债按抵销后的净额在资产负债表中列示。</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7</w:t>
      </w:r>
      <w:r w:rsidRPr="00884898">
        <w:rPr>
          <w:rFonts w:hint="eastAsia"/>
          <w:b/>
          <w:bCs/>
          <w:kern w:val="0"/>
          <w:sz w:val="24"/>
        </w:rPr>
        <w:t xml:space="preserve"> </w:t>
      </w:r>
      <w:r w:rsidRPr="00884898">
        <w:rPr>
          <w:rFonts w:hint="eastAsia"/>
          <w:b/>
          <w:bCs/>
          <w:kern w:val="0"/>
          <w:sz w:val="24"/>
        </w:rPr>
        <w:t>实收基金</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实收基金为对外发行基金份额所对应的金额。每份基金份额面值为人民币</w:t>
      </w:r>
      <w:r w:rsidRPr="00650D53">
        <w:rPr>
          <w:rFonts w:hint="eastAsia"/>
          <w:kern w:val="0"/>
          <w:sz w:val="24"/>
        </w:rPr>
        <w:t>1.00</w:t>
      </w:r>
      <w:r w:rsidRPr="00650D53">
        <w:rPr>
          <w:rFonts w:hint="eastAsia"/>
          <w:kern w:val="0"/>
          <w:sz w:val="24"/>
        </w:rPr>
        <w:t>元。由于申购、赎回及分红再投资等引起的实收基金的变动分别于上述各交易确认日认列。上述申购和赎回分别包括因类别调整而引起的</w:t>
      </w:r>
      <w:r w:rsidRPr="00650D53">
        <w:rPr>
          <w:rFonts w:hint="eastAsia"/>
          <w:kern w:val="0"/>
          <w:sz w:val="24"/>
        </w:rPr>
        <w:t>A</w:t>
      </w:r>
      <w:r w:rsidRPr="00650D53">
        <w:rPr>
          <w:rFonts w:hint="eastAsia"/>
          <w:kern w:val="0"/>
          <w:sz w:val="24"/>
        </w:rPr>
        <w:t>、</w:t>
      </w:r>
      <w:r w:rsidRPr="00650D53">
        <w:rPr>
          <w:rFonts w:hint="eastAsia"/>
          <w:kern w:val="0"/>
          <w:sz w:val="24"/>
        </w:rPr>
        <w:t>B</w:t>
      </w:r>
      <w:r w:rsidRPr="00650D53">
        <w:rPr>
          <w:rFonts w:hint="eastAsia"/>
          <w:kern w:val="0"/>
          <w:sz w:val="24"/>
        </w:rPr>
        <w:t>类基金份额之间的转换所产生的实收基金变动。</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8</w:t>
      </w:r>
      <w:r w:rsidRPr="00884898">
        <w:rPr>
          <w:rFonts w:hint="eastAsia"/>
          <w:b/>
          <w:bCs/>
          <w:kern w:val="0"/>
          <w:sz w:val="24"/>
        </w:rPr>
        <w:t xml:space="preserve"> </w:t>
      </w:r>
      <w:r w:rsidRPr="00884898">
        <w:rPr>
          <w:rFonts w:hint="eastAsia"/>
          <w:b/>
          <w:bCs/>
          <w:kern w:val="0"/>
          <w:sz w:val="24"/>
        </w:rPr>
        <w:t>收入</w:t>
      </w:r>
      <w:r w:rsidRPr="00884898">
        <w:rPr>
          <w:rFonts w:hint="eastAsia"/>
          <w:b/>
          <w:bCs/>
          <w:kern w:val="0"/>
          <w:sz w:val="24"/>
        </w:rPr>
        <w:t>/(</w:t>
      </w:r>
      <w:r w:rsidRPr="00884898">
        <w:rPr>
          <w:rFonts w:hint="eastAsia"/>
          <w:b/>
          <w:bCs/>
          <w:kern w:val="0"/>
          <w:sz w:val="24"/>
        </w:rPr>
        <w:t>损失</w:t>
      </w:r>
      <w:r w:rsidRPr="00884898">
        <w:rPr>
          <w:rFonts w:hint="eastAsia"/>
          <w:b/>
          <w:bCs/>
          <w:kern w:val="0"/>
          <w:sz w:val="24"/>
        </w:rPr>
        <w:t>)</w:t>
      </w:r>
      <w:r w:rsidRPr="00884898">
        <w:rPr>
          <w:rFonts w:hint="eastAsia"/>
          <w:b/>
          <w:bCs/>
          <w:kern w:val="0"/>
          <w:sz w:val="24"/>
        </w:rPr>
        <w:t>的确认和计量</w:t>
      </w:r>
    </w:p>
    <w:p w:rsidR="00B5600D" w:rsidRDefault="00D91A1A">
      <w:pPr>
        <w:spacing w:before="29" w:line="288" w:lineRule="auto"/>
        <w:ind w:firstLineChars="200" w:firstLine="480"/>
        <w:rPr>
          <w:kern w:val="0"/>
          <w:sz w:val="24"/>
        </w:rPr>
      </w:pPr>
      <w:r>
        <w:rPr>
          <w:rFonts w:hint="eastAsia"/>
          <w:kern w:val="0"/>
          <w:sz w:val="24"/>
        </w:rPr>
        <w:t>债券投资</w:t>
      </w:r>
      <w:r w:rsidR="0084629B" w:rsidRPr="0084629B">
        <w:rPr>
          <w:rFonts w:hint="eastAsia"/>
          <w:kern w:val="0"/>
          <w:sz w:val="24"/>
        </w:rPr>
        <w:t>和资产支持证券投资</w:t>
      </w:r>
      <w:r>
        <w:rPr>
          <w:rFonts w:hint="eastAsia"/>
          <w:kern w:val="0"/>
          <w:sz w:val="24"/>
        </w:rPr>
        <w:t>在持有期间按实际利率计算确定的金额扣除在适用情况下由债券发行企业代扣代缴的个人所得税后的净额确认为利息收入。</w:t>
      </w:r>
    </w:p>
    <w:p w:rsidR="00B5600D" w:rsidRDefault="00D91A1A">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应收款项在持有期间确认的利息收入按实际利率法计算，实际利率法与直线法差异较小的则按直线法计算。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9</w:t>
      </w:r>
      <w:r w:rsidRPr="00884898">
        <w:rPr>
          <w:rFonts w:hint="eastAsia"/>
          <w:b/>
          <w:bCs/>
          <w:kern w:val="0"/>
          <w:sz w:val="24"/>
        </w:rPr>
        <w:t xml:space="preserve"> </w:t>
      </w:r>
      <w:r w:rsidRPr="00884898">
        <w:rPr>
          <w:rFonts w:hint="eastAsia"/>
          <w:b/>
          <w:bCs/>
          <w:kern w:val="0"/>
          <w:sz w:val="24"/>
        </w:rPr>
        <w:t>费用的确认和计量</w:t>
      </w:r>
    </w:p>
    <w:p w:rsidR="00B5600D" w:rsidRDefault="00D91A1A">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其他金融负债在持有期间确认的利息支出按实际利率法计算，实际利率法与直线法差异较小的则按直线法计算。</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10</w:t>
      </w:r>
      <w:r w:rsidRPr="00884898">
        <w:rPr>
          <w:rFonts w:hint="eastAsia"/>
          <w:b/>
          <w:bCs/>
          <w:kern w:val="0"/>
          <w:sz w:val="24"/>
        </w:rPr>
        <w:t xml:space="preserve"> </w:t>
      </w:r>
      <w:r w:rsidRPr="00884898">
        <w:rPr>
          <w:rFonts w:hint="eastAsia"/>
          <w:b/>
          <w:bCs/>
          <w:kern w:val="0"/>
          <w:sz w:val="24"/>
        </w:rPr>
        <w:t>基金的收益分配政策</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本基金每一类别基金份额享有同等分配权。申购的基金份额享有确认当日的分红权益，而赎回的基金份额不享有确认当日的分红权益。本基金以份额面值</w:t>
      </w:r>
      <w:r w:rsidRPr="00650D53">
        <w:rPr>
          <w:rFonts w:hint="eastAsia"/>
          <w:kern w:val="0"/>
          <w:sz w:val="24"/>
        </w:rPr>
        <w:t>1.00</w:t>
      </w:r>
      <w:r w:rsidRPr="00650D53">
        <w:rPr>
          <w:rFonts w:hint="eastAsia"/>
          <w:kern w:val="0"/>
          <w:sz w:val="24"/>
        </w:rPr>
        <w:t>元固定份额净值交易方式，每日计算当日收益并全部分配结转至应付收益科目，并在运作期期末集中支付。</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11</w:t>
      </w:r>
      <w:r w:rsidRPr="00884898">
        <w:rPr>
          <w:rFonts w:hint="eastAsia"/>
          <w:b/>
          <w:bCs/>
          <w:kern w:val="0"/>
          <w:sz w:val="24"/>
        </w:rPr>
        <w:t xml:space="preserve"> </w:t>
      </w:r>
      <w:r w:rsidRPr="00884898">
        <w:rPr>
          <w:rFonts w:hint="eastAsia"/>
          <w:b/>
          <w:bCs/>
          <w:kern w:val="0"/>
          <w:sz w:val="24"/>
        </w:rPr>
        <w:t>分部报告</w:t>
      </w:r>
    </w:p>
    <w:p w:rsidR="00B5600D" w:rsidRDefault="00D91A1A">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本基金目前以一个单一的经营分部运作，不需要</w:t>
      </w:r>
      <w:r w:rsidR="0084629B" w:rsidRPr="0084629B">
        <w:rPr>
          <w:rFonts w:hint="eastAsia"/>
          <w:kern w:val="0"/>
          <w:sz w:val="24"/>
        </w:rPr>
        <w:t>披露分部信息</w:t>
      </w:r>
      <w:r w:rsidRPr="00650D53">
        <w:rPr>
          <w:rFonts w:hint="eastAsia"/>
          <w:kern w:val="0"/>
          <w:sz w:val="24"/>
        </w:rPr>
        <w:t>。</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7.4.4.</w:t>
      </w:r>
      <w:r w:rsidR="008A28D4" w:rsidRPr="00884898">
        <w:rPr>
          <w:rFonts w:hint="eastAsia"/>
          <w:b/>
          <w:bCs/>
          <w:kern w:val="0"/>
          <w:sz w:val="24"/>
        </w:rPr>
        <w:t>12</w:t>
      </w:r>
      <w:r w:rsidRPr="00884898">
        <w:rPr>
          <w:rFonts w:hint="eastAsia"/>
          <w:b/>
          <w:bCs/>
          <w:kern w:val="0"/>
          <w:sz w:val="24"/>
        </w:rPr>
        <w:t xml:space="preserve"> </w:t>
      </w:r>
      <w:r w:rsidRPr="00884898">
        <w:rPr>
          <w:rFonts w:hint="eastAsia"/>
          <w:b/>
          <w:bCs/>
          <w:kern w:val="0"/>
          <w:sz w:val="24"/>
        </w:rPr>
        <w:t>其他重要的会计政策和会计估计</w:t>
      </w:r>
    </w:p>
    <w:p w:rsidR="0084629B" w:rsidRDefault="0084629B" w:rsidP="0084629B">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650D53" w:rsidRDefault="0084629B" w:rsidP="0084629B">
      <w:pPr>
        <w:spacing w:before="29" w:line="288" w:lineRule="auto"/>
        <w:ind w:firstLineChars="200" w:firstLine="480"/>
        <w:rPr>
          <w:kern w:val="0"/>
          <w:sz w:val="24"/>
        </w:rPr>
      </w:pPr>
      <w:r w:rsidRPr="00650D53">
        <w:rPr>
          <w:rFonts w:hint="eastAsia"/>
          <w:kern w:val="0"/>
          <w:sz w:val="24"/>
        </w:rPr>
        <w:t>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季度固定收益品种的估值处理标准》采用估值技术确定公允价值。对于在证券交易所上市或挂牌转让的固定收益品种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及在银行间同业市场交易的固定收益品种，根据中国证监会公告</w:t>
      </w:r>
      <w:r w:rsidRPr="00650D53">
        <w:rPr>
          <w:rFonts w:hint="eastAsia"/>
          <w:kern w:val="0"/>
          <w:sz w:val="24"/>
        </w:rPr>
        <w:t>[2017]13</w:t>
      </w:r>
      <w:r w:rsidRPr="00650D53">
        <w:rPr>
          <w:rFonts w:hint="eastAsia"/>
          <w:kern w:val="0"/>
          <w:sz w:val="24"/>
        </w:rPr>
        <w:t>号《中国证监会关于证券投资基金估值业务的指导意见》及《中国证券投资基金业协会估值核算工作小组关于</w:t>
      </w:r>
      <w:r w:rsidRPr="00650D53">
        <w:rPr>
          <w:rFonts w:hint="eastAsia"/>
          <w:kern w:val="0"/>
          <w:sz w:val="24"/>
        </w:rPr>
        <w:t>2015</w:t>
      </w:r>
      <w:r w:rsidRPr="00650D53">
        <w:rPr>
          <w:rFonts w:hint="eastAsia"/>
          <w:kern w:val="0"/>
          <w:sz w:val="24"/>
        </w:rPr>
        <w:t>年</w:t>
      </w:r>
      <w:r w:rsidRPr="00650D53">
        <w:rPr>
          <w:rFonts w:hint="eastAsia"/>
          <w:kern w:val="0"/>
          <w:sz w:val="24"/>
        </w:rPr>
        <w:t>1</w:t>
      </w:r>
      <w:r w:rsidRPr="00650D53">
        <w:rPr>
          <w:rFonts w:hint="eastAsia"/>
          <w:kern w:val="0"/>
          <w:sz w:val="24"/>
        </w:rPr>
        <w:t>季度固定收益品种的估值处理标准》采用估值技术确定公允价值。本基金持有的证券交易所上市或挂牌转让的固定收益品种</w:t>
      </w:r>
      <w:r w:rsidRPr="00650D53">
        <w:rPr>
          <w:rFonts w:hint="eastAsia"/>
          <w:kern w:val="0"/>
          <w:sz w:val="24"/>
        </w:rPr>
        <w:t>(</w:t>
      </w:r>
      <w:r w:rsidRPr="00650D53">
        <w:rPr>
          <w:rFonts w:hint="eastAsia"/>
          <w:kern w:val="0"/>
          <w:sz w:val="24"/>
        </w:rPr>
        <w:t>可转换债券、资产支持证券和私募债券除外</w:t>
      </w:r>
      <w:r w:rsidRPr="00650D53">
        <w:rPr>
          <w:rFonts w:hint="eastAsia"/>
          <w:kern w:val="0"/>
          <w:sz w:val="24"/>
        </w:rPr>
        <w:t>)</w:t>
      </w:r>
      <w:r w:rsidRPr="00650D53">
        <w:rPr>
          <w:rFonts w:hint="eastAsia"/>
          <w:kern w:val="0"/>
          <w:sz w:val="24"/>
        </w:rPr>
        <w:t>，按照中证指数有限公司所独立提供的估值结果确定公允价值。本基金持有的银行间同业市场固定收益品种按照中央国债登记结算有限责任公司所独立提供的估值结果确定公允价值。本基金持有的银行间同业市场固定收益品种按照所独立提供的估值结果确定公允价值。</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5</w:t>
      </w:r>
      <w:r w:rsidRPr="00884898">
        <w:rPr>
          <w:rFonts w:hint="eastAsia"/>
          <w:b/>
          <w:bCs/>
          <w:kern w:val="0"/>
          <w:sz w:val="24"/>
        </w:rPr>
        <w:t>会计政策和会计估计变更以及差错更正的说明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1</w:t>
      </w:r>
      <w:r w:rsidRPr="00884898">
        <w:rPr>
          <w:rFonts w:hint="eastAsia"/>
          <w:b/>
          <w:bCs/>
          <w:kern w:val="0"/>
          <w:sz w:val="24"/>
        </w:rPr>
        <w:t xml:space="preserve"> </w:t>
      </w:r>
      <w:r w:rsidRPr="00884898">
        <w:rPr>
          <w:rFonts w:hint="eastAsia"/>
          <w:b/>
          <w:bCs/>
          <w:kern w:val="0"/>
          <w:sz w:val="24"/>
        </w:rPr>
        <w:t>会计政策变更的说明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本基金本报告期未发生会计政策变更。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D0515B"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884898">
        <w:rPr>
          <w:rFonts w:hint="eastAsia"/>
          <w:b/>
          <w:bCs/>
          <w:kern w:val="0"/>
          <w:sz w:val="24"/>
        </w:rPr>
        <w:t>7.4.5.</w:t>
      </w:r>
      <w:r w:rsidR="008A28D4" w:rsidRPr="00884898">
        <w:rPr>
          <w:rFonts w:hint="eastAsia"/>
          <w:b/>
          <w:bCs/>
          <w:kern w:val="0"/>
          <w:sz w:val="24"/>
        </w:rPr>
        <w:t>2</w:t>
      </w:r>
      <w:r w:rsidRPr="00884898">
        <w:rPr>
          <w:rFonts w:hint="eastAsia"/>
          <w:b/>
          <w:bCs/>
          <w:kern w:val="0"/>
          <w:sz w:val="24"/>
        </w:rPr>
        <w:t xml:space="preserve"> </w:t>
      </w:r>
      <w:r w:rsidRPr="00884898">
        <w:rPr>
          <w:rFonts w:hint="eastAsia"/>
          <w:b/>
          <w:bCs/>
          <w:kern w:val="0"/>
          <w:sz w:val="24"/>
        </w:rPr>
        <w:t>会计估计变更的说明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本基金本报告期未发生会计估计变更。</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7.4.5.</w:t>
      </w:r>
      <w:r w:rsidR="008A28D4" w:rsidRPr="00884898">
        <w:rPr>
          <w:rFonts w:hint="eastAsia"/>
          <w:b/>
          <w:bCs/>
          <w:kern w:val="0"/>
          <w:sz w:val="24"/>
        </w:rPr>
        <w:t>3</w:t>
      </w:r>
      <w:r w:rsidRPr="00884898">
        <w:rPr>
          <w:rFonts w:hint="eastAsia"/>
          <w:b/>
          <w:bCs/>
          <w:kern w:val="0"/>
          <w:sz w:val="24"/>
        </w:rPr>
        <w:t xml:space="preserve"> </w:t>
      </w:r>
      <w:r w:rsidRPr="00884898">
        <w:rPr>
          <w:rFonts w:hint="eastAsia"/>
          <w:b/>
          <w:bCs/>
          <w:kern w:val="0"/>
          <w:sz w:val="24"/>
        </w:rPr>
        <w:t>差错更正的说明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本基金在本报告期间无</w:t>
      </w:r>
      <w:r w:rsidR="0084629B" w:rsidRPr="0084629B">
        <w:rPr>
          <w:rFonts w:hint="eastAsia"/>
          <w:kern w:val="0"/>
          <w:sz w:val="24"/>
        </w:rPr>
        <w:t>须</w:t>
      </w:r>
      <w:r w:rsidRPr="00650D53">
        <w:rPr>
          <w:rFonts w:hint="eastAsia"/>
          <w:kern w:val="0"/>
          <w:sz w:val="24"/>
        </w:rPr>
        <w:t>说明的会计差错更正。</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6</w:t>
      </w:r>
      <w:r w:rsidRPr="00884898">
        <w:rPr>
          <w:rFonts w:hint="eastAsia"/>
          <w:b/>
          <w:bCs/>
          <w:kern w:val="0"/>
          <w:sz w:val="24"/>
        </w:rPr>
        <w:t>税项</w:t>
      </w:r>
    </w:p>
    <w:p w:rsidR="00B5600D" w:rsidRDefault="00D91A1A">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[2004]78</w:t>
      </w:r>
      <w:r>
        <w:rPr>
          <w:rFonts w:hint="eastAsia"/>
          <w:kern w:val="0"/>
          <w:sz w:val="24"/>
        </w:rPr>
        <w:t>号《财政部、国家税务总局关于证券投资基金税收政策的通知》</w:t>
      </w:r>
      <w:r>
        <w:rPr>
          <w:rFonts w:hint="eastAsia"/>
          <w:kern w:val="0"/>
          <w:sz w:val="24"/>
        </w:rPr>
        <w:t xml:space="preserve"> </w:t>
      </w:r>
      <w:r>
        <w:rPr>
          <w:rFonts w:hint="eastAsia"/>
          <w:kern w:val="0"/>
          <w:sz w:val="24"/>
        </w:rPr>
        <w:t>、财税</w:t>
      </w:r>
      <w:r>
        <w:rPr>
          <w:rFonts w:hint="eastAsia"/>
          <w:kern w:val="0"/>
          <w:sz w:val="24"/>
        </w:rPr>
        <w:t>[2008]1</w:t>
      </w:r>
      <w:r>
        <w:rPr>
          <w:rFonts w:hint="eastAsia"/>
          <w:kern w:val="0"/>
          <w:sz w:val="24"/>
        </w:rPr>
        <w:t>号《关于企业所得税若干优惠政策的通知》、财税</w:t>
      </w:r>
      <w:r>
        <w:rPr>
          <w:rFonts w:hint="eastAsia"/>
          <w:kern w:val="0"/>
          <w:sz w:val="24"/>
        </w:rPr>
        <w:t>[2016]36</w:t>
      </w:r>
      <w:r>
        <w:rPr>
          <w:rFonts w:hint="eastAsia"/>
          <w:kern w:val="0"/>
          <w:sz w:val="24"/>
        </w:rPr>
        <w:t>号《关于全面推开营业税改征增值税试点的通知》、财税</w:t>
      </w:r>
      <w:r>
        <w:rPr>
          <w:rFonts w:hint="eastAsia"/>
          <w:kern w:val="0"/>
          <w:sz w:val="24"/>
        </w:rPr>
        <w:t>[2016]46</w:t>
      </w:r>
      <w:r>
        <w:rPr>
          <w:rFonts w:hint="eastAsia"/>
          <w:kern w:val="0"/>
          <w:sz w:val="24"/>
        </w:rPr>
        <w:t>号《关于进一步明确全面推开营改增试点金融业有关政策的通知》、财税</w:t>
      </w:r>
      <w:r>
        <w:rPr>
          <w:rFonts w:hint="eastAsia"/>
          <w:kern w:val="0"/>
          <w:sz w:val="24"/>
        </w:rPr>
        <w:t>[2016]70</w:t>
      </w:r>
      <w:r>
        <w:rPr>
          <w:rFonts w:hint="eastAsia"/>
          <w:kern w:val="0"/>
          <w:sz w:val="24"/>
        </w:rPr>
        <w:t>号《关于金融机构同业往来等增值税政策的补充通知》及其他相关财税法规和实务操作，主要税项列示如下：</w:t>
      </w:r>
    </w:p>
    <w:p w:rsidR="00B5600D" w:rsidRDefault="00D91A1A">
      <w:pPr>
        <w:spacing w:before="29" w:line="288" w:lineRule="auto"/>
        <w:ind w:firstLineChars="200" w:firstLine="480"/>
        <w:rPr>
          <w:kern w:val="0"/>
          <w:sz w:val="24"/>
        </w:rPr>
      </w:pPr>
      <w:r>
        <w:rPr>
          <w:rFonts w:hint="eastAsia"/>
          <w:kern w:val="0"/>
          <w:sz w:val="24"/>
        </w:rPr>
        <w:t>(1)</w:t>
      </w:r>
      <w:r>
        <w:rPr>
          <w:rFonts w:hint="eastAsia"/>
          <w:kern w:val="0"/>
          <w:sz w:val="24"/>
        </w:rPr>
        <w:t>于</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日前，以发行基金方式募集资金不属于营业税征收范围，不征收营业税。对证券投资基金管理人运用基金买卖债券的差价收入免征营业税。自</w:t>
      </w:r>
      <w:r>
        <w:rPr>
          <w:rFonts w:hint="eastAsia"/>
          <w:kern w:val="0"/>
          <w:sz w:val="24"/>
        </w:rPr>
        <w:t>2016</w:t>
      </w:r>
      <w:r>
        <w:rPr>
          <w:rFonts w:hint="eastAsia"/>
          <w:kern w:val="0"/>
          <w:sz w:val="24"/>
        </w:rPr>
        <w:t>年</w:t>
      </w:r>
      <w:r>
        <w:rPr>
          <w:rFonts w:hint="eastAsia"/>
          <w:kern w:val="0"/>
          <w:sz w:val="24"/>
        </w:rPr>
        <w:t>5</w:t>
      </w:r>
      <w:r>
        <w:rPr>
          <w:rFonts w:hint="eastAsia"/>
          <w:kern w:val="0"/>
          <w:sz w:val="24"/>
        </w:rPr>
        <w:t>月</w:t>
      </w:r>
      <w:r>
        <w:rPr>
          <w:rFonts w:hint="eastAsia"/>
          <w:kern w:val="0"/>
          <w:sz w:val="24"/>
        </w:rPr>
        <w:t>1</w:t>
      </w:r>
      <w:r>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r>
        <w:rPr>
          <w:rFonts w:hint="eastAsia"/>
          <w:kern w:val="0"/>
          <w:sz w:val="24"/>
        </w:rPr>
        <w:t xml:space="preserve"> </w:t>
      </w:r>
      <w:r>
        <w:rPr>
          <w:rFonts w:hint="eastAsia"/>
          <w:kern w:val="0"/>
          <w:sz w:val="24"/>
        </w:rPr>
        <w:t>。</w:t>
      </w:r>
    </w:p>
    <w:p w:rsidR="00B5600D" w:rsidRDefault="00D91A1A">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rsidR="00223DFB" w:rsidRPr="00650D53" w:rsidRDefault="00223DFB" w:rsidP="00650D53">
      <w:pPr>
        <w:spacing w:before="29" w:line="288" w:lineRule="auto"/>
        <w:ind w:firstLineChars="200" w:firstLine="480"/>
        <w:rPr>
          <w:kern w:val="0"/>
          <w:sz w:val="24"/>
        </w:rPr>
      </w:pPr>
      <w:r w:rsidRPr="00650D53">
        <w:rPr>
          <w:rFonts w:hint="eastAsia"/>
          <w:kern w:val="0"/>
          <w:sz w:val="24"/>
        </w:rPr>
        <w:t>(3)</w:t>
      </w:r>
      <w:r w:rsidRPr="00650D53">
        <w:rPr>
          <w:rFonts w:hint="eastAsia"/>
          <w:kern w:val="0"/>
          <w:sz w:val="24"/>
        </w:rPr>
        <w:t>对基金取得的企业债券利息收入，应由发行债券的企业在向基金支付利息时代扣代缴</w:t>
      </w:r>
      <w:r w:rsidRPr="00650D53">
        <w:rPr>
          <w:rFonts w:hint="eastAsia"/>
          <w:kern w:val="0"/>
          <w:sz w:val="24"/>
        </w:rPr>
        <w:t>20%</w:t>
      </w:r>
      <w:r w:rsidRPr="00650D53">
        <w:rPr>
          <w:rFonts w:hint="eastAsia"/>
          <w:kern w:val="0"/>
          <w:sz w:val="24"/>
        </w:rPr>
        <w:t>的个人所得税。</w:t>
      </w:r>
    </w:p>
    <w:p w:rsidR="00223DFB" w:rsidRPr="00D0515B" w:rsidRDefault="00223DFB" w:rsidP="00725719">
      <w:pPr>
        <w:spacing w:line="360" w:lineRule="auto"/>
        <w:ind w:firstLineChars="200" w:firstLine="420"/>
        <w:rPr>
          <w:rFonts w:asciiTheme="minorEastAsia" w:eastAsiaTheme="minorEastAsia" w:hAnsiTheme="minorEastAsia"/>
          <w:bCs/>
          <w:szCs w:val="21"/>
        </w:rPr>
      </w:pP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w:t>
      </w:r>
      <w:r w:rsidR="008A28D4" w:rsidRPr="00884898">
        <w:rPr>
          <w:rFonts w:hint="eastAsia"/>
          <w:b/>
          <w:bCs/>
          <w:kern w:val="0"/>
          <w:sz w:val="24"/>
        </w:rPr>
        <w:t>7</w:t>
      </w:r>
      <w:r w:rsidRPr="00884898">
        <w:rPr>
          <w:rFonts w:hint="eastAsia"/>
          <w:b/>
          <w:bCs/>
          <w:kern w:val="0"/>
          <w:sz w:val="24"/>
        </w:rPr>
        <w:t>重要财务报表项目的说明</w:t>
      </w:r>
    </w:p>
    <w:p w:rsidR="00223DFB" w:rsidRPr="00884898" w:rsidRDefault="00223DFB" w:rsidP="00884898">
      <w:pPr>
        <w:autoSpaceDE w:val="0"/>
        <w:autoSpaceDN w:val="0"/>
        <w:adjustRightInd w:val="0"/>
        <w:spacing w:before="29" w:line="288" w:lineRule="auto"/>
        <w:jc w:val="left"/>
        <w:rPr>
          <w:b/>
          <w:bCs/>
          <w:kern w:val="0"/>
          <w:sz w:val="24"/>
        </w:rPr>
      </w:pPr>
      <w:r w:rsidRPr="00884898">
        <w:rPr>
          <w:rFonts w:hint="eastAsia"/>
          <w:b/>
          <w:bCs/>
          <w:kern w:val="0"/>
          <w:sz w:val="24"/>
        </w:rPr>
        <w:t>7.4.7.</w:t>
      </w:r>
      <w:r w:rsidR="008A28D4" w:rsidRPr="00884898">
        <w:rPr>
          <w:rFonts w:hint="eastAsia"/>
          <w:b/>
          <w:bCs/>
          <w:kern w:val="0"/>
          <w:sz w:val="24"/>
        </w:rPr>
        <w:t>1</w:t>
      </w:r>
      <w:r w:rsidRPr="00884898">
        <w:rPr>
          <w:rFonts w:hint="eastAsia"/>
          <w:b/>
          <w:bCs/>
          <w:kern w:val="0"/>
          <w:sz w:val="24"/>
        </w:rPr>
        <w:t>银行存款</w:t>
      </w:r>
    </w:p>
    <w:p w:rsidR="00223DFB" w:rsidRPr="006E174E" w:rsidRDefault="00223DFB" w:rsidP="006E174E">
      <w:pPr>
        <w:autoSpaceDE w:val="0"/>
        <w:autoSpaceDN w:val="0"/>
        <w:adjustRightInd w:val="0"/>
        <w:spacing w:before="29" w:line="288" w:lineRule="auto"/>
        <w:ind w:left="15"/>
        <w:jc w:val="right"/>
        <w:rPr>
          <w:bCs/>
          <w:sz w:val="24"/>
        </w:rPr>
      </w:pPr>
      <w:r w:rsidRPr="006E174E">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D02F6" w:rsidRPr="00D0515B"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D0515B" w:rsidRDefault="00FD02F6" w:rsidP="006E174E">
            <w:pPr>
              <w:spacing w:before="29" w:line="288" w:lineRule="auto"/>
              <w:jc w:val="center"/>
              <w:rPr>
                <w:rFonts w:asciiTheme="minorEastAsia" w:eastAsiaTheme="minorEastAsia" w:hAnsiTheme="minorEastAsia"/>
                <w:szCs w:val="21"/>
              </w:rPr>
            </w:pPr>
            <w:r w:rsidRPr="006E174E">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本期末</w:t>
            </w:r>
          </w:p>
          <w:p w:rsidR="00FD02F6" w:rsidRPr="006E174E" w:rsidRDefault="00FD02F6" w:rsidP="006E174E">
            <w:pPr>
              <w:spacing w:before="29" w:line="288" w:lineRule="auto"/>
              <w:jc w:val="center"/>
              <w:rPr>
                <w:kern w:val="0"/>
                <w:sz w:val="24"/>
              </w:rPr>
            </w:pPr>
            <w:r w:rsidRPr="006E174E">
              <w:rPr>
                <w:rFonts w:hint="eastAsia"/>
                <w:kern w:val="0"/>
                <w:sz w:val="24"/>
              </w:rPr>
              <w:t>2017</w:t>
            </w:r>
            <w:r w:rsidRPr="006E174E">
              <w:rPr>
                <w:rFonts w:hint="eastAsia"/>
                <w:kern w:val="0"/>
                <w:sz w:val="24"/>
              </w:rPr>
              <w:t>年</w:t>
            </w:r>
            <w:r w:rsidRPr="006E174E">
              <w:rPr>
                <w:rFonts w:hint="eastAsia"/>
                <w:kern w:val="0"/>
                <w:sz w:val="24"/>
              </w:rPr>
              <w:t>12</w:t>
            </w:r>
            <w:r w:rsidRPr="006E174E">
              <w:rPr>
                <w:rFonts w:hint="eastAsia"/>
                <w:kern w:val="0"/>
                <w:sz w:val="24"/>
              </w:rPr>
              <w:t>月</w:t>
            </w:r>
            <w:r w:rsidRPr="006E174E">
              <w:rPr>
                <w:rFonts w:hint="eastAsia"/>
                <w:kern w:val="0"/>
                <w:sz w:val="24"/>
              </w:rPr>
              <w:t>31</w:t>
            </w:r>
            <w:r w:rsidRPr="006E174E">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6E174E" w:rsidRDefault="00FD02F6" w:rsidP="006E174E">
            <w:pPr>
              <w:spacing w:before="29" w:line="288" w:lineRule="auto"/>
              <w:jc w:val="center"/>
              <w:rPr>
                <w:kern w:val="0"/>
                <w:sz w:val="24"/>
              </w:rPr>
            </w:pPr>
            <w:r w:rsidRPr="006E174E">
              <w:rPr>
                <w:rFonts w:hint="eastAsia"/>
                <w:kern w:val="0"/>
                <w:sz w:val="24"/>
              </w:rPr>
              <w:t>上年度末</w:t>
            </w:r>
          </w:p>
          <w:p w:rsidR="00FD02F6" w:rsidRPr="006E174E" w:rsidRDefault="00FD02F6" w:rsidP="006E174E">
            <w:pPr>
              <w:spacing w:before="29" w:line="288" w:lineRule="auto"/>
              <w:jc w:val="center"/>
              <w:rPr>
                <w:kern w:val="0"/>
                <w:sz w:val="24"/>
              </w:rPr>
            </w:pPr>
            <w:r w:rsidRPr="006E174E">
              <w:rPr>
                <w:kern w:val="0"/>
                <w:sz w:val="24"/>
              </w:rPr>
              <w:t>2016</w:t>
            </w:r>
            <w:r w:rsidRPr="006E174E">
              <w:rPr>
                <w:kern w:val="0"/>
                <w:sz w:val="24"/>
              </w:rPr>
              <w:t>年</w:t>
            </w:r>
            <w:r w:rsidRPr="006E174E">
              <w:rPr>
                <w:kern w:val="0"/>
                <w:sz w:val="24"/>
              </w:rPr>
              <w:t>12</w:t>
            </w:r>
            <w:r w:rsidRPr="006E174E">
              <w:rPr>
                <w:kern w:val="0"/>
                <w:sz w:val="24"/>
              </w:rPr>
              <w:t>月</w:t>
            </w:r>
            <w:r w:rsidRPr="006E174E">
              <w:rPr>
                <w:kern w:val="0"/>
                <w:sz w:val="24"/>
              </w:rPr>
              <w:t>31</w:t>
            </w:r>
            <w:r w:rsidRPr="006E174E">
              <w:rPr>
                <w:kern w:val="0"/>
                <w:sz w:val="24"/>
              </w:rPr>
              <w:t>日</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5,719,176.14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14,618,194.76</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53594D" w:rsidRDefault="00FD02F6" w:rsidP="0053594D">
            <w:pPr>
              <w:spacing w:before="29" w:line="288" w:lineRule="auto"/>
              <w:jc w:val="right"/>
              <w:rPr>
                <w:kern w:val="0"/>
                <w:sz w:val="24"/>
              </w:rPr>
            </w:pPr>
            <w:r w:rsidRPr="0053594D">
              <w:rPr>
                <w:rFonts w:hint="eastAsia"/>
                <w:kern w:val="0"/>
                <w:sz w:val="24"/>
              </w:rPr>
              <w:t>-</w:t>
            </w:r>
          </w:p>
        </w:tc>
      </w:tr>
      <w:tr w:rsidR="00B5600D">
        <w:trPr>
          <w:jc w:val="center"/>
        </w:trPr>
        <w:tc>
          <w:tcPr>
            <w:tcW w:w="2775" w:type="dxa"/>
            <w:vAlign w:val="center"/>
          </w:tcPr>
          <w:p w:rsidR="00B5600D" w:rsidRDefault="00D91A1A">
            <w:pPr>
              <w:jc w:val="left"/>
            </w:pPr>
            <w:r>
              <w:rPr>
                <w:rFonts w:hint="eastAsia"/>
                <w:kern w:val="0"/>
                <w:sz w:val="24"/>
              </w:rPr>
              <w:t>存款期限</w:t>
            </w:r>
            <w:r>
              <w:rPr>
                <w:rFonts w:hint="eastAsia"/>
                <w:kern w:val="0"/>
                <w:sz w:val="24"/>
              </w:rPr>
              <w:t>3</w:t>
            </w:r>
            <w:r>
              <w:rPr>
                <w:rFonts w:hint="eastAsia"/>
                <w:kern w:val="0"/>
                <w:sz w:val="24"/>
              </w:rPr>
              <w:t>个月</w:t>
            </w:r>
            <w:r>
              <w:rPr>
                <w:rFonts w:hint="eastAsia"/>
                <w:kern w:val="0"/>
                <w:sz w:val="24"/>
              </w:rPr>
              <w:t>-1</w:t>
            </w:r>
            <w:r>
              <w:rPr>
                <w:rFonts w:hint="eastAsia"/>
                <w:kern w:val="0"/>
                <w:sz w:val="24"/>
              </w:rPr>
              <w:t>年</w:t>
            </w:r>
          </w:p>
        </w:tc>
        <w:tc>
          <w:tcPr>
            <w:tcW w:w="2247" w:type="dxa"/>
            <w:vAlign w:val="center"/>
          </w:tcPr>
          <w:p w:rsidR="00B5600D" w:rsidRDefault="00D91A1A">
            <w:pPr>
              <w:jc w:val="right"/>
            </w:pPr>
            <w:r>
              <w:rPr>
                <w:rFonts w:hint="eastAsia"/>
                <w:kern w:val="0"/>
                <w:sz w:val="24"/>
              </w:rPr>
              <w:t>-</w:t>
            </w:r>
          </w:p>
        </w:tc>
        <w:tc>
          <w:tcPr>
            <w:tcW w:w="3927" w:type="dxa"/>
            <w:vAlign w:val="center"/>
          </w:tcPr>
          <w:p w:rsidR="00B5600D" w:rsidRDefault="00D91A1A">
            <w:pPr>
              <w:jc w:val="right"/>
            </w:pPr>
            <w:r>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2,260,000,000.00</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w:t>
            </w:r>
          </w:p>
        </w:tc>
      </w:tr>
      <w:tr w:rsidR="00FD02F6" w:rsidRPr="00D0515B"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6E174E" w:rsidRDefault="00FD02F6" w:rsidP="006E174E">
            <w:pPr>
              <w:spacing w:before="29" w:line="288" w:lineRule="auto"/>
              <w:rPr>
                <w:kern w:val="0"/>
                <w:sz w:val="24"/>
              </w:rPr>
            </w:pPr>
            <w:r w:rsidRPr="006E174E">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2,265,719,176.14</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6E174E" w:rsidRDefault="00FD02F6" w:rsidP="006E174E">
            <w:pPr>
              <w:spacing w:before="29" w:line="288" w:lineRule="auto"/>
              <w:jc w:val="right"/>
              <w:rPr>
                <w:kern w:val="0"/>
                <w:sz w:val="24"/>
              </w:rPr>
            </w:pPr>
            <w:r w:rsidRPr="006E174E">
              <w:rPr>
                <w:rFonts w:hint="eastAsia"/>
                <w:kern w:val="0"/>
                <w:sz w:val="24"/>
              </w:rPr>
              <w:t>14,618,194.76</w:t>
            </w:r>
          </w:p>
        </w:tc>
      </w:tr>
    </w:tbl>
    <w:p w:rsidR="0084629B" w:rsidRPr="00206871" w:rsidRDefault="00223DFB" w:rsidP="0084629B">
      <w:pPr>
        <w:tabs>
          <w:tab w:val="left" w:pos="426"/>
        </w:tabs>
        <w:spacing w:before="29" w:line="288" w:lineRule="auto"/>
        <w:jc w:val="left"/>
        <w:rPr>
          <w:kern w:val="0"/>
          <w:sz w:val="24"/>
        </w:rPr>
      </w:pPr>
      <w:r w:rsidRPr="00D0515B">
        <w:rPr>
          <w:rFonts w:asciiTheme="minorEastAsia" w:eastAsiaTheme="minorEastAsia" w:hAnsiTheme="minorEastAsia" w:hint="eastAsia"/>
          <w:bCs/>
          <w:szCs w:val="21"/>
        </w:rPr>
        <w:tab/>
      </w:r>
      <w:r w:rsidR="0084629B" w:rsidRPr="00206871">
        <w:rPr>
          <w:rFonts w:hint="eastAsia"/>
          <w:kern w:val="0"/>
          <w:sz w:val="24"/>
        </w:rPr>
        <w:t>注：本基金持有的其他存款，均为有存款期限，但根据协议可提前支取且没有利息损失的银行存款。</w:t>
      </w:r>
    </w:p>
    <w:p w:rsidR="00223DFB" w:rsidRPr="0084629B" w:rsidRDefault="00223DFB" w:rsidP="004B36C2">
      <w:pPr>
        <w:spacing w:line="360" w:lineRule="auto"/>
        <w:rPr>
          <w:rFonts w:asciiTheme="minorEastAsia" w:eastAsiaTheme="minorEastAsia" w:hAnsiTheme="minorEastAsia"/>
          <w:bCs/>
          <w:szCs w:val="21"/>
        </w:rPr>
      </w:pPr>
    </w:p>
    <w:p w:rsidR="00223DFB" w:rsidRPr="00C4528B" w:rsidRDefault="00223DFB" w:rsidP="00C4528B">
      <w:pPr>
        <w:spacing w:before="29" w:line="288" w:lineRule="auto"/>
        <w:rPr>
          <w:b/>
          <w:bCs/>
          <w:kern w:val="0"/>
          <w:sz w:val="24"/>
        </w:rPr>
      </w:pPr>
      <w:r w:rsidRPr="00C4528B">
        <w:rPr>
          <w:rFonts w:hint="eastAsia"/>
          <w:b/>
          <w:bCs/>
          <w:kern w:val="0"/>
          <w:sz w:val="24"/>
        </w:rPr>
        <w:t>7.4.7.</w:t>
      </w:r>
      <w:r w:rsidR="008A28D4" w:rsidRPr="00C4528B">
        <w:rPr>
          <w:rFonts w:hint="eastAsia"/>
          <w:b/>
          <w:bCs/>
          <w:kern w:val="0"/>
          <w:sz w:val="24"/>
        </w:rPr>
        <w:t>2</w:t>
      </w:r>
      <w:r w:rsidRPr="00C4528B">
        <w:rPr>
          <w:rFonts w:hint="eastAsia"/>
          <w:b/>
          <w:bCs/>
          <w:kern w:val="0"/>
          <w:sz w:val="24"/>
        </w:rPr>
        <w:t>交易性金融资产</w:t>
      </w:r>
    </w:p>
    <w:p w:rsidR="00E560DF" w:rsidRPr="00DC78F4" w:rsidRDefault="00E560DF" w:rsidP="00DC78F4">
      <w:pPr>
        <w:autoSpaceDE w:val="0"/>
        <w:autoSpaceDN w:val="0"/>
        <w:adjustRightInd w:val="0"/>
        <w:spacing w:before="29" w:line="288" w:lineRule="auto"/>
        <w:ind w:left="15"/>
        <w:jc w:val="right"/>
        <w:rPr>
          <w:bCs/>
          <w:sz w:val="24"/>
        </w:rPr>
      </w:pPr>
      <w:r w:rsidRPr="00DC78F4">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Default="00E560DF" w:rsidP="00E57D8A">
            <w:pPr>
              <w:widowControl/>
              <w:spacing w:before="29" w:line="288" w:lineRule="auto"/>
              <w:jc w:val="center"/>
              <w:rPr>
                <w:kern w:val="0"/>
                <w:sz w:val="24"/>
              </w:rPr>
            </w:pPr>
            <w:r w:rsidRPr="00E57D8A">
              <w:rPr>
                <w:rFonts w:hint="eastAsia"/>
                <w:kern w:val="0"/>
                <w:sz w:val="24"/>
              </w:rPr>
              <w:t>项目</w:t>
            </w:r>
          </w:p>
          <w:p w:rsidR="00E560DF"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本期末</w:t>
            </w:r>
          </w:p>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2017</w:t>
            </w:r>
            <w:r w:rsidRPr="00E57D8A">
              <w:rPr>
                <w:rFonts w:hint="eastAsia"/>
                <w:kern w:val="0"/>
                <w:sz w:val="24"/>
              </w:rPr>
              <w:t>年</w:t>
            </w:r>
            <w:r w:rsidRPr="00E57D8A">
              <w:rPr>
                <w:rFonts w:hint="eastAsia"/>
                <w:kern w:val="0"/>
                <w:sz w:val="24"/>
              </w:rPr>
              <w:t>12</w:t>
            </w:r>
            <w:r w:rsidRPr="00E57D8A">
              <w:rPr>
                <w:rFonts w:hint="eastAsia"/>
                <w:kern w:val="0"/>
                <w:sz w:val="24"/>
              </w:rPr>
              <w:t>月</w:t>
            </w:r>
            <w:r w:rsidRPr="00E57D8A">
              <w:rPr>
                <w:rFonts w:hint="eastAsia"/>
                <w:kern w:val="0"/>
                <w:sz w:val="24"/>
              </w:rPr>
              <w:t>31</w:t>
            </w:r>
            <w:r w:rsidRPr="00E57D8A">
              <w:rPr>
                <w:rFonts w:hint="eastAsia"/>
                <w:kern w:val="0"/>
                <w:sz w:val="24"/>
              </w:rPr>
              <w:t>日</w:t>
            </w:r>
          </w:p>
        </w:tc>
      </w:tr>
      <w:tr w:rsidR="00A809AF"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before="29" w:line="288" w:lineRule="auto"/>
              <w:jc w:val="center"/>
              <w:rPr>
                <w:kern w:val="0"/>
                <w:sz w:val="24"/>
              </w:rPr>
            </w:pPr>
            <w:r w:rsidRPr="00E57D8A">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A809AF">
            <w:pPr>
              <w:widowControl/>
              <w:spacing w:line="360" w:lineRule="auto"/>
              <w:jc w:val="center"/>
              <w:rPr>
                <w:kern w:val="0"/>
                <w:sz w:val="24"/>
              </w:rPr>
            </w:pPr>
            <w:r w:rsidRPr="00E57D8A">
              <w:rPr>
                <w:rFonts w:hint="eastAsia"/>
                <w:kern w:val="0"/>
                <w:sz w:val="24"/>
              </w:rPr>
              <w:t>偏离度（</w:t>
            </w:r>
            <w:r w:rsidRPr="00E57D8A">
              <w:rPr>
                <w:rFonts w:hint="eastAsia"/>
                <w:kern w:val="0"/>
                <w:sz w:val="24"/>
              </w:rPr>
              <w:t>%</w:t>
            </w:r>
            <w:r w:rsidRPr="00E57D8A">
              <w:rPr>
                <w:rFonts w:hint="eastAsia"/>
                <w:kern w:val="0"/>
                <w:sz w:val="24"/>
              </w:rPr>
              <w:t>）</w:t>
            </w:r>
          </w:p>
        </w:tc>
      </w:tr>
      <w:tr w:rsidR="00A809AF"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E57D8A">
            <w:pPr>
              <w:widowControl/>
              <w:spacing w:before="29" w:line="288" w:lineRule="auto"/>
              <w:jc w:val="center"/>
              <w:rPr>
                <w:rFonts w:asciiTheme="minorEastAsia" w:eastAsiaTheme="minorEastAsia" w:hAnsiTheme="minorEastAsia"/>
                <w:kern w:val="0"/>
                <w:szCs w:val="21"/>
              </w:rPr>
            </w:pPr>
            <w:r w:rsidRPr="00E57D8A">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B76C7A" w:rsidRDefault="00E560DF" w:rsidP="00DC3AF0">
            <w:pPr>
              <w:spacing w:before="29" w:line="288" w:lineRule="auto"/>
              <w:jc w:val="right"/>
              <w:rPr>
                <w:bCs/>
                <w:sz w:val="24"/>
              </w:rPr>
            </w:pPr>
            <w:r w:rsidRPr="00B76C7A">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DC3AF0">
            <w:pPr>
              <w:spacing w:before="29" w:line="288" w:lineRule="auto"/>
              <w:jc w:val="right"/>
              <w:rPr>
                <w:bCs/>
                <w:sz w:val="24"/>
              </w:rPr>
            </w:pPr>
            <w:r w:rsidRPr="00B76C7A">
              <w:rPr>
                <w:rFonts w:hint="eastAsia"/>
                <w:bCs/>
                <w:sz w:val="24"/>
              </w:rPr>
              <w:t>-</w:t>
            </w:r>
          </w:p>
        </w:tc>
      </w:tr>
      <w:tr w:rsidR="00A809AF"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3,400,828,485.89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3,398,118,900.00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-2,709,585.89</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B76C7A" w:rsidRDefault="00E560DF" w:rsidP="00B76C7A">
            <w:pPr>
              <w:spacing w:before="29" w:line="288" w:lineRule="auto"/>
              <w:jc w:val="right"/>
              <w:rPr>
                <w:bCs/>
                <w:sz w:val="24"/>
              </w:rPr>
            </w:pPr>
            <w:r w:rsidRPr="00B76C7A">
              <w:rPr>
                <w:rFonts w:hint="eastAsia"/>
                <w:bCs/>
                <w:sz w:val="24"/>
              </w:rPr>
              <w:t>-0.0547</w:t>
            </w:r>
          </w:p>
        </w:tc>
      </w:tr>
      <w:tr w:rsidR="00E560DF"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57D8A" w:rsidRDefault="00E560DF" w:rsidP="00E57D8A">
            <w:pPr>
              <w:widowControl/>
              <w:spacing w:before="29" w:line="288" w:lineRule="auto"/>
              <w:jc w:val="center"/>
              <w:rPr>
                <w:kern w:val="0"/>
                <w:sz w:val="24"/>
              </w:rPr>
            </w:pPr>
            <w:r w:rsidRPr="00E57D8A">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3,400,828,485.89</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3,398,118,900.00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-2,709,585.89</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right"/>
              <w:rPr>
                <w:bCs/>
                <w:sz w:val="24"/>
              </w:rPr>
            </w:pPr>
            <w:r w:rsidRPr="00311866">
              <w:rPr>
                <w:rFonts w:hint="eastAsia"/>
                <w:bCs/>
                <w:sz w:val="24"/>
              </w:rPr>
              <w:t>-0.0547</w:t>
            </w:r>
          </w:p>
        </w:tc>
      </w:tr>
      <w:tr w:rsidR="00E560DF"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Default="00E560DF" w:rsidP="00311866">
            <w:pPr>
              <w:widowControl/>
              <w:spacing w:before="29" w:line="288" w:lineRule="auto"/>
              <w:jc w:val="center"/>
              <w:rPr>
                <w:rFonts w:asciiTheme="minorEastAsia" w:eastAsiaTheme="minorEastAsia" w:hAnsiTheme="minorEastAsia"/>
                <w:kern w:val="0"/>
                <w:szCs w:val="21"/>
              </w:rPr>
            </w:pPr>
            <w:r w:rsidRPr="00311866">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spacing w:before="29" w:line="288" w:lineRule="auto"/>
              <w:jc w:val="center"/>
              <w:rPr>
                <w:kern w:val="0"/>
                <w:sz w:val="24"/>
              </w:rPr>
            </w:pPr>
            <w:r w:rsidRPr="00311866">
              <w:rPr>
                <w:rFonts w:hint="eastAsia"/>
                <w:kern w:val="0"/>
                <w:sz w:val="24"/>
              </w:rPr>
              <w:t>上年度末</w:t>
            </w:r>
          </w:p>
          <w:p w:rsidR="00E560DF" w:rsidRDefault="00E560DF" w:rsidP="00311866">
            <w:pPr>
              <w:spacing w:before="29" w:line="288" w:lineRule="auto"/>
              <w:jc w:val="center"/>
              <w:rPr>
                <w:rFonts w:asciiTheme="minorEastAsia" w:eastAsiaTheme="minorEastAsia" w:hAnsiTheme="minorEastAsia"/>
                <w:kern w:val="0"/>
                <w:szCs w:val="21"/>
              </w:rPr>
            </w:pPr>
            <w:r w:rsidRPr="00311866">
              <w:rPr>
                <w:rFonts w:hint="eastAsia"/>
                <w:kern w:val="0"/>
                <w:sz w:val="24"/>
              </w:rPr>
              <w:t>2016</w:t>
            </w:r>
            <w:r w:rsidRPr="00311866">
              <w:rPr>
                <w:rFonts w:hint="eastAsia"/>
                <w:kern w:val="0"/>
                <w:sz w:val="24"/>
              </w:rPr>
              <w:t>年</w:t>
            </w:r>
            <w:r w:rsidRPr="00311866">
              <w:rPr>
                <w:rFonts w:hint="eastAsia"/>
                <w:kern w:val="0"/>
                <w:sz w:val="24"/>
              </w:rPr>
              <w:t>12</w:t>
            </w:r>
            <w:r w:rsidRPr="00311866">
              <w:rPr>
                <w:rFonts w:hint="eastAsia"/>
                <w:kern w:val="0"/>
                <w:sz w:val="24"/>
              </w:rPr>
              <w:t>月</w:t>
            </w:r>
            <w:r w:rsidRPr="00311866">
              <w:rPr>
                <w:rFonts w:hint="eastAsia"/>
                <w:kern w:val="0"/>
                <w:sz w:val="24"/>
              </w:rPr>
              <w:t>31</w:t>
            </w:r>
            <w:r w:rsidRPr="00311866">
              <w:rPr>
                <w:rFonts w:hint="eastAsia"/>
                <w:kern w:val="0"/>
                <w:sz w:val="24"/>
              </w:rPr>
              <w:t>日</w:t>
            </w:r>
          </w:p>
        </w:tc>
      </w:tr>
      <w:tr w:rsidR="00E560DF"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before="29" w:line="288" w:lineRule="auto"/>
              <w:jc w:val="center"/>
              <w:rPr>
                <w:kern w:val="0"/>
                <w:sz w:val="24"/>
              </w:rPr>
            </w:pPr>
            <w:r w:rsidRPr="00311866">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1E0C69">
            <w:pPr>
              <w:widowControl/>
              <w:spacing w:line="360" w:lineRule="auto"/>
              <w:jc w:val="center"/>
              <w:rPr>
                <w:kern w:val="0"/>
                <w:sz w:val="24"/>
              </w:rPr>
            </w:pPr>
            <w:r w:rsidRPr="00311866">
              <w:rPr>
                <w:rFonts w:hint="eastAsia"/>
                <w:kern w:val="0"/>
                <w:sz w:val="24"/>
              </w:rPr>
              <w:t>偏离度（</w:t>
            </w:r>
            <w:r w:rsidRPr="00311866">
              <w:rPr>
                <w:rFonts w:hint="eastAsia"/>
                <w:kern w:val="0"/>
                <w:sz w:val="24"/>
              </w:rPr>
              <w:t>%</w:t>
            </w:r>
            <w:r w:rsidRPr="00311866">
              <w:rPr>
                <w:rFonts w:hint="eastAsia"/>
                <w:kern w:val="0"/>
                <w:sz w:val="24"/>
              </w:rPr>
              <w:t>）</w:t>
            </w:r>
          </w:p>
        </w:tc>
      </w:tr>
      <w:tr w:rsidR="00E560DF"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DE07EF" w:rsidRDefault="00E560DF" w:rsidP="00DE07EF">
            <w:pPr>
              <w:widowControl/>
              <w:spacing w:before="29" w:line="288" w:lineRule="auto"/>
              <w:jc w:val="center"/>
              <w:rPr>
                <w:kern w:val="0"/>
                <w:sz w:val="24"/>
              </w:rPr>
            </w:pPr>
            <w:r w:rsidRPr="00DE07EF">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w:t>
            </w:r>
          </w:p>
        </w:tc>
      </w:tr>
      <w:tr w:rsidR="00E560DF"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311866" w:rsidRDefault="00E560DF" w:rsidP="00311866">
            <w:pPr>
              <w:widowControl/>
              <w:spacing w:before="29" w:line="288" w:lineRule="auto"/>
              <w:jc w:val="center"/>
              <w:rPr>
                <w:kern w:val="0"/>
                <w:sz w:val="24"/>
              </w:rPr>
            </w:pPr>
            <w:r w:rsidRPr="00311866">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1,995,489,408.43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1,994,289,000.00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-1,200,408.43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754B0F" w:rsidRDefault="00E560DF" w:rsidP="00754B0F">
            <w:pPr>
              <w:spacing w:before="29" w:line="288" w:lineRule="auto"/>
              <w:jc w:val="right"/>
              <w:rPr>
                <w:bCs/>
                <w:sz w:val="24"/>
              </w:rPr>
            </w:pPr>
            <w:r w:rsidRPr="00754B0F">
              <w:rPr>
                <w:rFonts w:hint="eastAsia"/>
                <w:bCs/>
                <w:sz w:val="24"/>
              </w:rPr>
              <w:t>-0.0598</w:t>
            </w:r>
          </w:p>
        </w:tc>
      </w:tr>
      <w:tr w:rsidR="00E560DF"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B40979" w:rsidRDefault="00E560DF" w:rsidP="007B6C1E">
            <w:pPr>
              <w:widowControl/>
              <w:spacing w:before="29" w:line="288" w:lineRule="auto"/>
              <w:jc w:val="center"/>
              <w:rPr>
                <w:kern w:val="0"/>
                <w:sz w:val="24"/>
              </w:rPr>
            </w:pPr>
            <w:r w:rsidRPr="00B4097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rsidP="00951A13">
            <w:pPr>
              <w:spacing w:before="29" w:line="288" w:lineRule="auto"/>
              <w:jc w:val="right"/>
              <w:rPr>
                <w:bCs/>
                <w:sz w:val="24"/>
              </w:rPr>
            </w:pPr>
            <w:r w:rsidRPr="00951A13">
              <w:rPr>
                <w:rFonts w:hint="eastAsia"/>
                <w:bCs/>
                <w:sz w:val="24"/>
              </w:rPr>
              <w:t>1,995,489,408.43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1,994,289,000.00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-1,200,408.43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951A13" w:rsidRDefault="00E560DF">
            <w:pPr>
              <w:autoSpaceDE w:val="0"/>
              <w:autoSpaceDN w:val="0"/>
              <w:adjustRightInd w:val="0"/>
              <w:spacing w:before="29" w:line="360" w:lineRule="auto"/>
              <w:jc w:val="right"/>
              <w:rPr>
                <w:bCs/>
                <w:sz w:val="24"/>
              </w:rPr>
            </w:pPr>
            <w:r w:rsidRPr="00951A13">
              <w:rPr>
                <w:rFonts w:hint="eastAsia"/>
                <w:bCs/>
                <w:sz w:val="24"/>
              </w:rPr>
              <w:t>-0.0598</w:t>
            </w:r>
          </w:p>
        </w:tc>
      </w:tr>
    </w:tbl>
    <w:p w:rsidR="00B5600D" w:rsidRDefault="00D91A1A">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、偏离金额＝影子定价－摊余成本；</w:t>
      </w:r>
    </w:p>
    <w:p w:rsidR="00E560DF"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254B34">
        <w:rPr>
          <w:rFonts w:hint="eastAsia"/>
          <w:kern w:val="0"/>
          <w:sz w:val="24"/>
        </w:rPr>
        <w:t xml:space="preserve">    2</w:t>
      </w:r>
      <w:r w:rsidRPr="00254B34">
        <w:rPr>
          <w:rFonts w:hint="eastAsia"/>
          <w:kern w:val="0"/>
          <w:sz w:val="24"/>
        </w:rPr>
        <w:t>、偏离度＝偏离金额</w:t>
      </w:r>
      <w:r w:rsidRPr="00254B34">
        <w:rPr>
          <w:rFonts w:hint="eastAsia"/>
          <w:kern w:val="0"/>
          <w:sz w:val="24"/>
        </w:rPr>
        <w:t>/</w:t>
      </w:r>
      <w:r w:rsidRPr="00254B34">
        <w:rPr>
          <w:rFonts w:hint="eastAsia"/>
          <w:kern w:val="0"/>
          <w:sz w:val="24"/>
        </w:rPr>
        <w:t>摊余成本法确定的基金资产净值。</w:t>
      </w:r>
    </w:p>
    <w:p w:rsidR="006D141C" w:rsidRPr="00E560DF" w:rsidRDefault="006D141C" w:rsidP="004B36C2">
      <w:pPr>
        <w:spacing w:line="360" w:lineRule="auto"/>
        <w:rPr>
          <w:rFonts w:asciiTheme="minorEastAsia" w:eastAsiaTheme="minorEastAsia" w:hAnsiTheme="minorEastAsia"/>
          <w:szCs w:val="21"/>
        </w:rPr>
      </w:pPr>
    </w:p>
    <w:p w:rsidR="006D141C" w:rsidRPr="00FA0BC7" w:rsidRDefault="006D141C" w:rsidP="00FA0BC7">
      <w:pPr>
        <w:spacing w:before="29" w:line="288" w:lineRule="auto"/>
        <w:rPr>
          <w:b/>
          <w:bCs/>
          <w:kern w:val="0"/>
          <w:sz w:val="24"/>
        </w:rPr>
      </w:pPr>
      <w:r w:rsidRPr="00FA0BC7">
        <w:rPr>
          <w:rFonts w:hint="eastAsia"/>
          <w:b/>
          <w:bCs/>
          <w:kern w:val="0"/>
          <w:sz w:val="24"/>
        </w:rPr>
        <w:t>7.4.7.</w:t>
      </w:r>
      <w:r w:rsidR="008A28D4" w:rsidRPr="00FA0BC7">
        <w:rPr>
          <w:rFonts w:hint="eastAsia"/>
          <w:b/>
          <w:bCs/>
          <w:kern w:val="0"/>
          <w:sz w:val="24"/>
        </w:rPr>
        <w:t>3</w:t>
      </w:r>
      <w:r w:rsidRPr="00FA0BC7">
        <w:rPr>
          <w:rFonts w:hint="eastAsia"/>
          <w:b/>
          <w:bCs/>
          <w:kern w:val="0"/>
          <w:sz w:val="24"/>
        </w:rPr>
        <w:t>衍生金融资产</w:t>
      </w:r>
      <w:r w:rsidRPr="00FA0BC7">
        <w:rPr>
          <w:rFonts w:hint="eastAsia"/>
          <w:b/>
          <w:bCs/>
          <w:kern w:val="0"/>
          <w:sz w:val="24"/>
        </w:rPr>
        <w:t>/</w:t>
      </w:r>
      <w:r w:rsidRPr="00FA0BC7">
        <w:rPr>
          <w:rFonts w:hint="eastAsia"/>
          <w:b/>
          <w:bCs/>
          <w:kern w:val="0"/>
          <w:sz w:val="24"/>
        </w:rPr>
        <w:t>负债</w:t>
      </w:r>
    </w:p>
    <w:p w:rsidR="006D141C" w:rsidRPr="0034212A" w:rsidRDefault="006D141C" w:rsidP="0034212A">
      <w:pPr>
        <w:tabs>
          <w:tab w:val="left" w:pos="426"/>
        </w:tabs>
        <w:spacing w:before="29" w:line="288" w:lineRule="auto"/>
        <w:jc w:val="left"/>
        <w:rPr>
          <w:kern w:val="0"/>
          <w:sz w:val="24"/>
        </w:rPr>
      </w:pPr>
      <w:r w:rsidRPr="00C3667D">
        <w:rPr>
          <w:rFonts w:hint="eastAsia"/>
          <w:kern w:val="0"/>
          <w:sz w:val="24"/>
        </w:rPr>
        <w:t>本基金本报告期末及上年度末未持有衍生金融工具。</w:t>
      </w:r>
      <w:r w:rsidR="0034212A">
        <w:rPr>
          <w:rFonts w:hint="eastAsia"/>
          <w:kern w:val="0"/>
          <w:sz w:val="24"/>
        </w:rPr>
        <w:br/>
      </w:r>
    </w:p>
    <w:p w:rsidR="006D141C" w:rsidRPr="009F4F8F" w:rsidRDefault="006D141C" w:rsidP="009F4F8F">
      <w:pPr>
        <w:spacing w:before="29" w:line="288" w:lineRule="auto"/>
        <w:rPr>
          <w:b/>
          <w:bCs/>
          <w:kern w:val="0"/>
          <w:sz w:val="24"/>
        </w:rPr>
      </w:pPr>
      <w:r w:rsidRPr="009F4F8F">
        <w:rPr>
          <w:rFonts w:hint="eastAsia"/>
          <w:b/>
          <w:bCs/>
          <w:kern w:val="0"/>
          <w:sz w:val="24"/>
        </w:rPr>
        <w:t>7.4.7.</w:t>
      </w:r>
      <w:r w:rsidR="008A28D4" w:rsidRPr="009F4F8F">
        <w:rPr>
          <w:rFonts w:hint="eastAsia"/>
          <w:b/>
          <w:bCs/>
          <w:kern w:val="0"/>
          <w:sz w:val="24"/>
        </w:rPr>
        <w:t>4</w:t>
      </w:r>
      <w:r w:rsidRPr="009F4F8F">
        <w:rPr>
          <w:rFonts w:hint="eastAsia"/>
          <w:b/>
          <w:bCs/>
          <w:kern w:val="0"/>
          <w:sz w:val="24"/>
        </w:rPr>
        <w:t>买入返售金融资产</w:t>
      </w:r>
    </w:p>
    <w:p w:rsidR="0076544B" w:rsidRPr="009F4F8F" w:rsidRDefault="0076544B" w:rsidP="009F4F8F">
      <w:pPr>
        <w:spacing w:before="29" w:line="288" w:lineRule="auto"/>
        <w:rPr>
          <w:b/>
          <w:bCs/>
          <w:kern w:val="0"/>
          <w:sz w:val="24"/>
        </w:rPr>
      </w:pPr>
      <w:r w:rsidRPr="009F4F8F">
        <w:rPr>
          <w:rFonts w:hint="eastAsia"/>
          <w:b/>
          <w:bCs/>
          <w:kern w:val="0"/>
          <w:sz w:val="24"/>
        </w:rPr>
        <w:t>7.4.7.4.</w:t>
      </w:r>
      <w:r w:rsidR="008A28D4" w:rsidRPr="009F4F8F">
        <w:rPr>
          <w:rFonts w:hint="eastAsia"/>
          <w:b/>
          <w:bCs/>
          <w:kern w:val="0"/>
          <w:sz w:val="24"/>
        </w:rPr>
        <w:t>1</w:t>
      </w:r>
      <w:r w:rsidRPr="009F4F8F">
        <w:rPr>
          <w:rFonts w:hint="eastAsia"/>
          <w:b/>
          <w:bCs/>
          <w:kern w:val="0"/>
          <w:sz w:val="24"/>
        </w:rPr>
        <w:t>各项买入返售金融资产期末余额</w:t>
      </w:r>
    </w:p>
    <w:p w:rsidR="001074A3" w:rsidRPr="00340E1D" w:rsidRDefault="001074A3" w:rsidP="00340E1D">
      <w:pPr>
        <w:autoSpaceDE w:val="0"/>
        <w:autoSpaceDN w:val="0"/>
        <w:adjustRightInd w:val="0"/>
        <w:spacing w:before="29" w:line="288" w:lineRule="auto"/>
        <w:ind w:left="15"/>
        <w:jc w:val="right"/>
        <w:rPr>
          <w:sz w:val="24"/>
        </w:rPr>
      </w:pPr>
      <w:r w:rsidRPr="00340E1D">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1074A3" w:rsidRPr="0091212A" w:rsidTr="004563BB">
        <w:trPr>
          <w:trHeight w:val="330"/>
          <w:jc w:val="center"/>
        </w:trPr>
        <w:tc>
          <w:tcPr>
            <w:tcW w:w="2381" w:type="dxa"/>
            <w:vMerge w:val="restart"/>
            <w:vAlign w:val="center"/>
          </w:tcPr>
          <w:p w:rsidR="001074A3" w:rsidRPr="0034412C" w:rsidRDefault="001074A3" w:rsidP="0034412C">
            <w:pPr>
              <w:spacing w:before="29" w:line="288" w:lineRule="auto"/>
              <w:jc w:val="center"/>
              <w:rPr>
                <w:sz w:val="24"/>
              </w:rPr>
            </w:pPr>
            <w:r w:rsidRPr="0034412C">
              <w:rPr>
                <w:rFonts w:hint="eastAsia"/>
                <w:sz w:val="24"/>
              </w:rPr>
              <w:t>项目</w:t>
            </w:r>
          </w:p>
        </w:tc>
        <w:tc>
          <w:tcPr>
            <w:tcW w:w="6631" w:type="dxa"/>
            <w:gridSpan w:val="2"/>
          </w:tcPr>
          <w:p w:rsidR="001074A3" w:rsidRPr="0034412C" w:rsidRDefault="001074A3" w:rsidP="0034412C">
            <w:pPr>
              <w:spacing w:before="29" w:line="288" w:lineRule="auto"/>
              <w:jc w:val="center"/>
              <w:rPr>
                <w:sz w:val="24"/>
              </w:rPr>
            </w:pPr>
            <w:r w:rsidRPr="0034412C">
              <w:rPr>
                <w:rFonts w:hint="eastAsia"/>
                <w:sz w:val="24"/>
              </w:rPr>
              <w:t>本期末</w:t>
            </w:r>
          </w:p>
          <w:p w:rsidR="001074A3" w:rsidRPr="0034412C" w:rsidRDefault="001074A3" w:rsidP="0034412C">
            <w:pPr>
              <w:spacing w:before="29" w:line="288" w:lineRule="auto"/>
              <w:jc w:val="center"/>
              <w:rPr>
                <w:sz w:val="24"/>
              </w:rPr>
            </w:pPr>
            <w:r w:rsidRPr="0034412C">
              <w:rPr>
                <w:sz w:val="24"/>
              </w:rPr>
              <w:t>2017</w:t>
            </w:r>
            <w:r w:rsidRPr="0034412C">
              <w:rPr>
                <w:sz w:val="24"/>
              </w:rPr>
              <w:t>年</w:t>
            </w:r>
            <w:r w:rsidRPr="0034412C">
              <w:rPr>
                <w:sz w:val="24"/>
              </w:rPr>
              <w:t>12</w:t>
            </w:r>
            <w:r w:rsidRPr="0034412C">
              <w:rPr>
                <w:sz w:val="24"/>
              </w:rPr>
              <w:t>月</w:t>
            </w:r>
            <w:r w:rsidRPr="0034412C">
              <w:rPr>
                <w:sz w:val="24"/>
              </w:rPr>
              <w:t>31</w:t>
            </w:r>
            <w:r w:rsidRPr="0034412C">
              <w:rPr>
                <w:sz w:val="24"/>
              </w:rPr>
              <w:t>日</w:t>
            </w:r>
          </w:p>
        </w:tc>
      </w:tr>
      <w:tr w:rsidR="001074A3" w:rsidRPr="0091212A" w:rsidTr="004563BB">
        <w:trPr>
          <w:trHeight w:val="330"/>
          <w:jc w:val="center"/>
        </w:trPr>
        <w:tc>
          <w:tcPr>
            <w:tcW w:w="2381" w:type="dxa"/>
            <w:vMerge/>
            <w:vAlign w:val="center"/>
          </w:tcPr>
          <w:p w:rsidR="001074A3" w:rsidRPr="0034412C" w:rsidRDefault="001074A3" w:rsidP="0034412C">
            <w:pPr>
              <w:spacing w:before="29" w:line="288" w:lineRule="auto"/>
              <w:jc w:val="center"/>
              <w:rPr>
                <w:sz w:val="24"/>
              </w:rPr>
            </w:pPr>
          </w:p>
        </w:tc>
        <w:tc>
          <w:tcPr>
            <w:tcW w:w="3260" w:type="dxa"/>
          </w:tcPr>
          <w:p w:rsidR="001074A3" w:rsidRPr="0034412C" w:rsidRDefault="001074A3" w:rsidP="0034412C">
            <w:pPr>
              <w:spacing w:before="29" w:line="288" w:lineRule="auto"/>
              <w:jc w:val="center"/>
              <w:rPr>
                <w:sz w:val="24"/>
              </w:rPr>
            </w:pPr>
            <w:r w:rsidRPr="0034412C">
              <w:rPr>
                <w:rFonts w:hint="eastAsia"/>
                <w:sz w:val="24"/>
              </w:rPr>
              <w:t>账面余额</w:t>
            </w:r>
          </w:p>
        </w:tc>
        <w:tc>
          <w:tcPr>
            <w:tcW w:w="3371" w:type="dxa"/>
          </w:tcPr>
          <w:p w:rsidR="001074A3" w:rsidRPr="0034412C" w:rsidRDefault="001074A3" w:rsidP="0034412C">
            <w:pPr>
              <w:spacing w:before="29" w:line="288" w:lineRule="auto"/>
              <w:jc w:val="center"/>
              <w:rPr>
                <w:sz w:val="24"/>
              </w:rPr>
            </w:pPr>
            <w:r w:rsidRPr="0034412C">
              <w:rPr>
                <w:rFonts w:hint="eastAsia"/>
                <w:sz w:val="24"/>
              </w:rPr>
              <w:t>其中：买断式逆回购</w:t>
            </w:r>
          </w:p>
        </w:tc>
      </w:tr>
      <w:tr w:rsidR="00B5600D">
        <w:trPr>
          <w:jc w:val="center"/>
        </w:trPr>
        <w:tc>
          <w:tcPr>
            <w:tcW w:w="2381" w:type="dxa"/>
            <w:vAlign w:val="center"/>
          </w:tcPr>
          <w:p w:rsidR="00B5600D" w:rsidRDefault="00D91A1A">
            <w:pPr>
              <w:jc w:val="left"/>
            </w:pPr>
            <w:r>
              <w:rPr>
                <w:sz w:val="24"/>
              </w:rPr>
              <w:t>交易所买入返售金融资产</w:t>
            </w:r>
          </w:p>
        </w:tc>
        <w:tc>
          <w:tcPr>
            <w:tcW w:w="3260" w:type="dxa"/>
            <w:vAlign w:val="center"/>
          </w:tcPr>
          <w:p w:rsidR="00B5600D" w:rsidRDefault="00D91A1A">
            <w:pPr>
              <w:jc w:val="right"/>
            </w:pPr>
            <w:r>
              <w:rPr>
                <w:sz w:val="24"/>
              </w:rPr>
              <w:t>-</w:t>
            </w:r>
          </w:p>
        </w:tc>
        <w:tc>
          <w:tcPr>
            <w:tcW w:w="3371" w:type="dxa"/>
            <w:vAlign w:val="center"/>
          </w:tcPr>
          <w:p w:rsidR="00B5600D" w:rsidRDefault="00D91A1A">
            <w:pPr>
              <w:jc w:val="right"/>
            </w:pPr>
            <w:r>
              <w:rPr>
                <w:sz w:val="24"/>
              </w:rPr>
              <w:t>-</w:t>
            </w:r>
          </w:p>
        </w:tc>
      </w:tr>
      <w:tr w:rsidR="00B5600D">
        <w:trPr>
          <w:jc w:val="center"/>
        </w:trPr>
        <w:tc>
          <w:tcPr>
            <w:tcW w:w="2381" w:type="dxa"/>
            <w:vAlign w:val="center"/>
          </w:tcPr>
          <w:p w:rsidR="00B5600D" w:rsidRDefault="00D91A1A">
            <w:pPr>
              <w:jc w:val="left"/>
            </w:pPr>
            <w:r>
              <w:rPr>
                <w:sz w:val="24"/>
              </w:rPr>
              <w:t>银行间买入返售金融资产</w:t>
            </w:r>
          </w:p>
        </w:tc>
        <w:tc>
          <w:tcPr>
            <w:tcW w:w="3260" w:type="dxa"/>
            <w:vAlign w:val="center"/>
          </w:tcPr>
          <w:p w:rsidR="00B5600D" w:rsidRDefault="00D91A1A">
            <w:pPr>
              <w:jc w:val="right"/>
            </w:pPr>
            <w:r>
              <w:rPr>
                <w:sz w:val="24"/>
              </w:rPr>
              <w:t>-</w:t>
            </w:r>
          </w:p>
        </w:tc>
        <w:tc>
          <w:tcPr>
            <w:tcW w:w="3371" w:type="dxa"/>
            <w:vAlign w:val="center"/>
          </w:tcPr>
          <w:p w:rsidR="00B5600D" w:rsidRDefault="00D91A1A">
            <w:pPr>
              <w:jc w:val="right"/>
            </w:pPr>
            <w:r>
              <w:rPr>
                <w:sz w:val="24"/>
              </w:rPr>
              <w:t>-</w:t>
            </w:r>
          </w:p>
        </w:tc>
      </w:tr>
      <w:tr w:rsidR="001074A3" w:rsidRPr="0091212A" w:rsidTr="00701DDC">
        <w:trPr>
          <w:trHeight w:val="257"/>
          <w:jc w:val="center"/>
        </w:trPr>
        <w:tc>
          <w:tcPr>
            <w:tcW w:w="2381" w:type="dxa"/>
            <w:vAlign w:val="center"/>
          </w:tcPr>
          <w:p w:rsidR="001074A3" w:rsidRPr="0091212A" w:rsidRDefault="001074A3" w:rsidP="0034412C">
            <w:pPr>
              <w:spacing w:before="29" w:line="288" w:lineRule="auto"/>
              <w:jc w:val="center"/>
              <w:rPr>
                <w:rFonts w:asciiTheme="minorEastAsia" w:eastAsiaTheme="minorEastAsia" w:hAnsiTheme="minorEastAsia"/>
                <w:szCs w:val="21"/>
              </w:rPr>
            </w:pPr>
            <w:r w:rsidRPr="0034412C">
              <w:rPr>
                <w:rFonts w:hint="eastAsia"/>
                <w:sz w:val="24"/>
              </w:rPr>
              <w:t>合计</w:t>
            </w:r>
          </w:p>
        </w:tc>
        <w:tc>
          <w:tcPr>
            <w:tcW w:w="3260" w:type="dxa"/>
            <w:vAlign w:val="center"/>
          </w:tcPr>
          <w:p w:rsidR="001074A3" w:rsidRPr="006C0C41" w:rsidRDefault="001074A3" w:rsidP="00701DDC">
            <w:pPr>
              <w:spacing w:before="29" w:line="288" w:lineRule="auto"/>
              <w:jc w:val="right"/>
              <w:rPr>
                <w:sz w:val="24"/>
              </w:rPr>
            </w:pPr>
            <w:r w:rsidRPr="006C0C41">
              <w:rPr>
                <w:sz w:val="24"/>
              </w:rPr>
              <w:t>-</w:t>
            </w:r>
          </w:p>
        </w:tc>
        <w:tc>
          <w:tcPr>
            <w:tcW w:w="3371" w:type="dxa"/>
            <w:vAlign w:val="center"/>
          </w:tcPr>
          <w:p w:rsidR="001074A3" w:rsidRPr="006C0C41" w:rsidRDefault="001074A3" w:rsidP="00701DDC">
            <w:pPr>
              <w:spacing w:before="29" w:line="288" w:lineRule="auto"/>
              <w:jc w:val="right"/>
              <w:rPr>
                <w:sz w:val="24"/>
              </w:rPr>
            </w:pPr>
            <w:r w:rsidRPr="006C0C41">
              <w:rPr>
                <w:sz w:val="24"/>
              </w:rPr>
              <w:t>-</w:t>
            </w:r>
          </w:p>
        </w:tc>
      </w:tr>
      <w:tr w:rsidR="001074A3" w:rsidRPr="0091212A" w:rsidTr="004563BB">
        <w:trPr>
          <w:trHeight w:val="330"/>
          <w:jc w:val="center"/>
        </w:trPr>
        <w:tc>
          <w:tcPr>
            <w:tcW w:w="2381" w:type="dxa"/>
            <w:vMerge w:val="restart"/>
            <w:vAlign w:val="center"/>
          </w:tcPr>
          <w:p w:rsidR="001074A3" w:rsidRPr="00A50E53" w:rsidRDefault="001074A3" w:rsidP="00A50E53">
            <w:pPr>
              <w:spacing w:before="29" w:line="288" w:lineRule="auto"/>
              <w:jc w:val="center"/>
              <w:rPr>
                <w:sz w:val="24"/>
              </w:rPr>
            </w:pPr>
            <w:r w:rsidRPr="00A50E53">
              <w:rPr>
                <w:rFonts w:hint="eastAsia"/>
                <w:sz w:val="24"/>
              </w:rPr>
              <w:t>项目</w:t>
            </w:r>
          </w:p>
        </w:tc>
        <w:tc>
          <w:tcPr>
            <w:tcW w:w="6631" w:type="dxa"/>
            <w:gridSpan w:val="2"/>
          </w:tcPr>
          <w:p w:rsidR="001074A3" w:rsidRPr="00A50E53" w:rsidRDefault="001074A3" w:rsidP="00A50E53">
            <w:pPr>
              <w:spacing w:before="29" w:line="288" w:lineRule="auto"/>
              <w:jc w:val="center"/>
              <w:rPr>
                <w:sz w:val="24"/>
              </w:rPr>
            </w:pPr>
            <w:r w:rsidRPr="00A50E53">
              <w:rPr>
                <w:rFonts w:hint="eastAsia"/>
                <w:sz w:val="24"/>
              </w:rPr>
              <w:t>上年度末</w:t>
            </w:r>
          </w:p>
          <w:p w:rsidR="001074A3" w:rsidRPr="00A50E53" w:rsidRDefault="001074A3" w:rsidP="00A50E53">
            <w:pPr>
              <w:spacing w:before="29" w:line="288" w:lineRule="auto"/>
              <w:jc w:val="center"/>
              <w:rPr>
                <w:sz w:val="24"/>
              </w:rPr>
            </w:pPr>
            <w:r w:rsidRPr="00A50E53">
              <w:rPr>
                <w:sz w:val="24"/>
              </w:rPr>
              <w:t>2016</w:t>
            </w:r>
            <w:r w:rsidRPr="00A50E53">
              <w:rPr>
                <w:sz w:val="24"/>
              </w:rPr>
              <w:t>年</w:t>
            </w:r>
            <w:r w:rsidRPr="00A50E53">
              <w:rPr>
                <w:sz w:val="24"/>
              </w:rPr>
              <w:t>12</w:t>
            </w:r>
            <w:r w:rsidRPr="00A50E53">
              <w:rPr>
                <w:sz w:val="24"/>
              </w:rPr>
              <w:t>月</w:t>
            </w:r>
            <w:r w:rsidRPr="00A50E53">
              <w:rPr>
                <w:sz w:val="24"/>
              </w:rPr>
              <w:t>31</w:t>
            </w:r>
            <w:r w:rsidRPr="00A50E53">
              <w:rPr>
                <w:sz w:val="24"/>
              </w:rPr>
              <w:t>日</w:t>
            </w:r>
          </w:p>
        </w:tc>
      </w:tr>
      <w:tr w:rsidR="001074A3" w:rsidRPr="0091212A" w:rsidTr="004563BB">
        <w:trPr>
          <w:trHeight w:val="330"/>
          <w:jc w:val="center"/>
        </w:trPr>
        <w:tc>
          <w:tcPr>
            <w:tcW w:w="2381" w:type="dxa"/>
            <w:vMerge/>
            <w:vAlign w:val="center"/>
          </w:tcPr>
          <w:p w:rsidR="001074A3" w:rsidRPr="0091212A"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A50E53" w:rsidRDefault="001074A3" w:rsidP="00A50E53">
            <w:pPr>
              <w:spacing w:before="29" w:line="288" w:lineRule="auto"/>
              <w:jc w:val="center"/>
              <w:rPr>
                <w:sz w:val="24"/>
              </w:rPr>
            </w:pPr>
            <w:r w:rsidRPr="00A50E53">
              <w:rPr>
                <w:rFonts w:hint="eastAsia"/>
                <w:sz w:val="24"/>
              </w:rPr>
              <w:t>账面余额</w:t>
            </w:r>
          </w:p>
        </w:tc>
        <w:tc>
          <w:tcPr>
            <w:tcW w:w="3371" w:type="dxa"/>
          </w:tcPr>
          <w:p w:rsidR="001074A3" w:rsidRPr="00A50E53" w:rsidRDefault="001074A3" w:rsidP="00A50E53">
            <w:pPr>
              <w:spacing w:before="29" w:line="288" w:lineRule="auto"/>
              <w:jc w:val="center"/>
              <w:rPr>
                <w:sz w:val="24"/>
              </w:rPr>
            </w:pPr>
            <w:r w:rsidRPr="00A50E53">
              <w:rPr>
                <w:rFonts w:hint="eastAsia"/>
                <w:sz w:val="24"/>
              </w:rPr>
              <w:t>其中：买断式逆回购</w:t>
            </w:r>
          </w:p>
        </w:tc>
      </w:tr>
      <w:tr w:rsidR="00B5600D">
        <w:trPr>
          <w:jc w:val="center"/>
        </w:trPr>
        <w:tc>
          <w:tcPr>
            <w:tcW w:w="2381" w:type="dxa"/>
            <w:vAlign w:val="center"/>
          </w:tcPr>
          <w:p w:rsidR="00B5600D" w:rsidRDefault="00D91A1A">
            <w:pPr>
              <w:jc w:val="left"/>
            </w:pPr>
            <w:r>
              <w:rPr>
                <w:sz w:val="24"/>
              </w:rPr>
              <w:t>交易所买入返售金融资产</w:t>
            </w:r>
          </w:p>
        </w:tc>
        <w:tc>
          <w:tcPr>
            <w:tcW w:w="3260" w:type="dxa"/>
            <w:vAlign w:val="center"/>
          </w:tcPr>
          <w:p w:rsidR="00B5600D" w:rsidRDefault="00D91A1A">
            <w:pPr>
              <w:jc w:val="right"/>
            </w:pPr>
            <w:r>
              <w:rPr>
                <w:sz w:val="24"/>
              </w:rPr>
              <w:t>14,000,000.00</w:t>
            </w:r>
          </w:p>
        </w:tc>
        <w:tc>
          <w:tcPr>
            <w:tcW w:w="3371" w:type="dxa"/>
            <w:vAlign w:val="center"/>
          </w:tcPr>
          <w:p w:rsidR="00B5600D" w:rsidRDefault="00D91A1A">
            <w:pPr>
              <w:jc w:val="right"/>
            </w:pPr>
            <w:r>
              <w:rPr>
                <w:sz w:val="24"/>
              </w:rPr>
              <w:t>-</w:t>
            </w:r>
          </w:p>
        </w:tc>
      </w:tr>
      <w:tr w:rsidR="00B5600D">
        <w:trPr>
          <w:jc w:val="center"/>
        </w:trPr>
        <w:tc>
          <w:tcPr>
            <w:tcW w:w="2381" w:type="dxa"/>
            <w:vAlign w:val="center"/>
          </w:tcPr>
          <w:p w:rsidR="00B5600D" w:rsidRDefault="00D91A1A">
            <w:pPr>
              <w:jc w:val="left"/>
            </w:pPr>
            <w:r>
              <w:rPr>
                <w:sz w:val="24"/>
              </w:rPr>
              <w:t>银行间买入返售金融资产</w:t>
            </w:r>
          </w:p>
        </w:tc>
        <w:tc>
          <w:tcPr>
            <w:tcW w:w="3260" w:type="dxa"/>
            <w:vAlign w:val="center"/>
          </w:tcPr>
          <w:p w:rsidR="00B5600D" w:rsidRDefault="00D91A1A">
            <w:pPr>
              <w:jc w:val="right"/>
            </w:pPr>
            <w:r>
              <w:rPr>
                <w:sz w:val="24"/>
              </w:rPr>
              <w:t>-</w:t>
            </w:r>
          </w:p>
        </w:tc>
        <w:tc>
          <w:tcPr>
            <w:tcW w:w="3371" w:type="dxa"/>
            <w:vAlign w:val="center"/>
          </w:tcPr>
          <w:p w:rsidR="00B5600D" w:rsidRDefault="00D91A1A">
            <w:pPr>
              <w:jc w:val="right"/>
            </w:pPr>
            <w:r>
              <w:rPr>
                <w:sz w:val="24"/>
              </w:rPr>
              <w:t>-</w:t>
            </w:r>
          </w:p>
        </w:tc>
      </w:tr>
      <w:tr w:rsidR="001074A3" w:rsidRPr="0091212A" w:rsidTr="00000090">
        <w:trPr>
          <w:trHeight w:val="257"/>
          <w:jc w:val="center"/>
        </w:trPr>
        <w:tc>
          <w:tcPr>
            <w:tcW w:w="2381" w:type="dxa"/>
            <w:vAlign w:val="center"/>
          </w:tcPr>
          <w:p w:rsidR="001074A3" w:rsidRPr="0091212A" w:rsidRDefault="001074A3" w:rsidP="00A1539E">
            <w:pPr>
              <w:spacing w:before="29" w:line="288" w:lineRule="auto"/>
              <w:jc w:val="center"/>
              <w:rPr>
                <w:rFonts w:asciiTheme="minorEastAsia" w:eastAsiaTheme="minorEastAsia" w:hAnsiTheme="minorEastAsia"/>
                <w:szCs w:val="21"/>
              </w:rPr>
            </w:pPr>
            <w:r w:rsidRPr="00A1539E">
              <w:rPr>
                <w:rFonts w:hint="eastAsia"/>
                <w:sz w:val="24"/>
              </w:rPr>
              <w:t>合计</w:t>
            </w:r>
          </w:p>
        </w:tc>
        <w:tc>
          <w:tcPr>
            <w:tcW w:w="3260" w:type="dxa"/>
            <w:vAlign w:val="center"/>
          </w:tcPr>
          <w:p w:rsidR="001074A3" w:rsidRPr="00D078AE" w:rsidRDefault="001074A3" w:rsidP="00000090">
            <w:pPr>
              <w:spacing w:before="29" w:line="288" w:lineRule="auto"/>
              <w:jc w:val="right"/>
              <w:rPr>
                <w:sz w:val="24"/>
              </w:rPr>
            </w:pPr>
            <w:r w:rsidRPr="00D078AE">
              <w:rPr>
                <w:sz w:val="24"/>
              </w:rPr>
              <w:t>14,000,000.00</w:t>
            </w:r>
          </w:p>
        </w:tc>
        <w:tc>
          <w:tcPr>
            <w:tcW w:w="3371" w:type="dxa"/>
            <w:vAlign w:val="center"/>
          </w:tcPr>
          <w:p w:rsidR="001074A3" w:rsidRPr="00D078AE" w:rsidRDefault="001074A3" w:rsidP="00000090">
            <w:pPr>
              <w:spacing w:before="29" w:line="288" w:lineRule="auto"/>
              <w:jc w:val="right"/>
              <w:rPr>
                <w:sz w:val="24"/>
              </w:rPr>
            </w:pPr>
            <w:r w:rsidRPr="00D078AE">
              <w:rPr>
                <w:sz w:val="24"/>
              </w:rPr>
              <w:t>-</w:t>
            </w:r>
          </w:p>
        </w:tc>
      </w:tr>
    </w:tbl>
    <w:p w:rsidR="0076544B" w:rsidRPr="001074A3" w:rsidRDefault="0076544B" w:rsidP="004B36C2">
      <w:pPr>
        <w:adjustRightInd w:val="0"/>
        <w:snapToGrid w:val="0"/>
        <w:spacing w:line="360" w:lineRule="auto"/>
        <w:jc w:val="left"/>
        <w:rPr>
          <w:rFonts w:asciiTheme="minorEastAsia" w:eastAsiaTheme="minorEastAsia" w:hAnsiTheme="minorEastAsia"/>
          <w:bCs/>
          <w:szCs w:val="21"/>
        </w:rPr>
      </w:pPr>
    </w:p>
    <w:p w:rsidR="0076544B" w:rsidRPr="006D2A80" w:rsidRDefault="0076544B" w:rsidP="006D2A80">
      <w:pPr>
        <w:spacing w:before="29" w:line="288" w:lineRule="auto"/>
        <w:rPr>
          <w:b/>
          <w:bCs/>
          <w:kern w:val="0"/>
          <w:sz w:val="24"/>
        </w:rPr>
      </w:pPr>
      <w:r w:rsidRPr="006D2A80">
        <w:rPr>
          <w:rFonts w:hint="eastAsia"/>
          <w:b/>
          <w:bCs/>
          <w:kern w:val="0"/>
          <w:sz w:val="24"/>
        </w:rPr>
        <w:t>7.4.7.4.</w:t>
      </w:r>
      <w:r w:rsidR="008A28D4" w:rsidRPr="006D2A80">
        <w:rPr>
          <w:rFonts w:hint="eastAsia"/>
          <w:b/>
          <w:bCs/>
          <w:kern w:val="0"/>
          <w:sz w:val="24"/>
        </w:rPr>
        <w:t>2</w:t>
      </w:r>
      <w:r w:rsidRPr="006D2A80">
        <w:rPr>
          <w:rFonts w:hint="eastAsia"/>
          <w:b/>
          <w:bCs/>
          <w:kern w:val="0"/>
          <w:sz w:val="24"/>
        </w:rPr>
        <w:t>期末买断式逆回购交易中取得的债券</w:t>
      </w:r>
    </w:p>
    <w:p w:rsidR="00070473" w:rsidRPr="00D754A9" w:rsidRDefault="00070473" w:rsidP="00070473">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070473" w:rsidRPr="0091212A" w:rsidRDefault="00070473" w:rsidP="00070473">
      <w:pPr>
        <w:spacing w:line="360" w:lineRule="auto"/>
        <w:rPr>
          <w:rFonts w:asciiTheme="minorEastAsia" w:eastAsiaTheme="minorEastAsia" w:hAnsiTheme="minorEastAsia"/>
          <w:color w:val="000000"/>
          <w:szCs w:val="21"/>
        </w:rPr>
      </w:pPr>
    </w:p>
    <w:p w:rsidR="006D141C" w:rsidRPr="00AA2DE8" w:rsidRDefault="006D141C" w:rsidP="00AA2DE8">
      <w:pPr>
        <w:spacing w:before="29" w:line="288" w:lineRule="auto"/>
        <w:rPr>
          <w:b/>
          <w:bCs/>
          <w:kern w:val="0"/>
          <w:sz w:val="24"/>
        </w:rPr>
      </w:pPr>
      <w:r w:rsidRPr="00AA2DE8">
        <w:rPr>
          <w:rFonts w:hint="eastAsia"/>
          <w:b/>
          <w:bCs/>
          <w:kern w:val="0"/>
          <w:sz w:val="24"/>
        </w:rPr>
        <w:t>7.4.7.</w:t>
      </w:r>
      <w:r w:rsidR="008A28D4" w:rsidRPr="00AA2DE8">
        <w:rPr>
          <w:rFonts w:hint="eastAsia"/>
          <w:b/>
          <w:bCs/>
          <w:kern w:val="0"/>
          <w:sz w:val="24"/>
        </w:rPr>
        <w:t>5</w:t>
      </w:r>
      <w:r w:rsidRPr="00AA2DE8">
        <w:rPr>
          <w:rFonts w:hint="eastAsia"/>
          <w:b/>
          <w:bCs/>
          <w:kern w:val="0"/>
          <w:sz w:val="24"/>
        </w:rPr>
        <w:t>应收利息</w:t>
      </w:r>
    </w:p>
    <w:p w:rsidR="006D141C" w:rsidRPr="00AA2DE8" w:rsidRDefault="005B4215" w:rsidP="00AA2DE8">
      <w:pPr>
        <w:spacing w:before="29" w:line="288" w:lineRule="auto"/>
        <w:jc w:val="right"/>
        <w:rPr>
          <w:sz w:val="24"/>
        </w:rPr>
      </w:pPr>
      <w:r w:rsidRPr="00AA2DE8">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2C233F"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本期末</w:t>
            </w:r>
          </w:p>
          <w:p w:rsidR="006D141C" w:rsidRPr="00AA2DE8" w:rsidRDefault="006D141C" w:rsidP="00B25BAF">
            <w:pPr>
              <w:spacing w:before="29" w:line="288" w:lineRule="auto"/>
              <w:jc w:val="center"/>
              <w:rPr>
                <w:sz w:val="24"/>
              </w:rPr>
            </w:pPr>
            <w:r w:rsidRPr="00AA2DE8">
              <w:rPr>
                <w:rFonts w:hint="eastAsia"/>
                <w:sz w:val="24"/>
              </w:rPr>
              <w:t>2017</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B25BAF">
            <w:pPr>
              <w:spacing w:before="29" w:line="288" w:lineRule="auto"/>
              <w:jc w:val="center"/>
              <w:rPr>
                <w:sz w:val="24"/>
              </w:rPr>
            </w:pPr>
            <w:r w:rsidRPr="00AA2DE8">
              <w:rPr>
                <w:rFonts w:hint="eastAsia"/>
                <w:sz w:val="24"/>
              </w:rPr>
              <w:t>上年度末</w:t>
            </w:r>
          </w:p>
          <w:p w:rsidR="006D141C" w:rsidRPr="00AA2DE8" w:rsidRDefault="006D64C2" w:rsidP="00B25BAF">
            <w:pPr>
              <w:spacing w:before="29" w:line="288" w:lineRule="auto"/>
              <w:jc w:val="center"/>
              <w:rPr>
                <w:sz w:val="24"/>
              </w:rPr>
            </w:pPr>
            <w:r w:rsidRPr="00AA2DE8">
              <w:rPr>
                <w:rFonts w:hint="eastAsia"/>
                <w:sz w:val="24"/>
              </w:rPr>
              <w:t>2016</w:t>
            </w:r>
            <w:r w:rsidRPr="00AA2DE8">
              <w:rPr>
                <w:rFonts w:hint="eastAsia"/>
                <w:sz w:val="24"/>
              </w:rPr>
              <w:t>年</w:t>
            </w:r>
            <w:r w:rsidRPr="00AA2DE8">
              <w:rPr>
                <w:rFonts w:hint="eastAsia"/>
                <w:sz w:val="24"/>
              </w:rPr>
              <w:t>12</w:t>
            </w:r>
            <w:r w:rsidRPr="00AA2DE8">
              <w:rPr>
                <w:rFonts w:hint="eastAsia"/>
                <w:sz w:val="24"/>
              </w:rPr>
              <w:t>月</w:t>
            </w:r>
            <w:r w:rsidRPr="00AA2DE8">
              <w:rPr>
                <w:rFonts w:hint="eastAsia"/>
                <w:sz w:val="24"/>
              </w:rPr>
              <w:t>31</w:t>
            </w:r>
            <w:r w:rsidRPr="00AA2DE8">
              <w:rPr>
                <w:rFonts w:hint="eastAsia"/>
                <w:sz w:val="24"/>
              </w:rPr>
              <w:t>日</w:t>
            </w:r>
          </w:p>
        </w:tc>
      </w:tr>
      <w:tr w:rsidR="002C233F" w:rsidRPr="00D0515B"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2,702.96</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10,165.99</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11,924,639.24</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2C233F" w:rsidRPr="00D0515B"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6,401,243.83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3,021,142.49</w:t>
            </w:r>
          </w:p>
        </w:tc>
      </w:tr>
      <w:tr w:rsidR="002C233F" w:rsidRPr="00D0515B"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1,186.11</w:t>
            </w:r>
          </w:p>
        </w:tc>
      </w:tr>
      <w:tr w:rsidR="002C233F"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AA2DE8" w:rsidRDefault="006D141C" w:rsidP="00AA2DE8">
            <w:pPr>
              <w:spacing w:before="29" w:line="288" w:lineRule="auto"/>
              <w:rPr>
                <w:sz w:val="24"/>
              </w:rPr>
            </w:pPr>
            <w:r w:rsidRPr="00AA2DE8">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7A06D4" w:rsidRDefault="006D141C"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7A06D4" w:rsidRDefault="006D141C"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AA2DE8" w:rsidRDefault="00737895" w:rsidP="00AA2DE8">
            <w:pPr>
              <w:spacing w:before="29" w:line="288" w:lineRule="auto"/>
              <w:rPr>
                <w:sz w:val="24"/>
              </w:rPr>
            </w:pPr>
            <w:r w:rsidRPr="00AA2DE8">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rPr>
                <w:sz w:val="24"/>
              </w:rPr>
            </w:pPr>
            <w:r w:rsidRPr="00AA2DE8">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7A06D4">
            <w:pPr>
              <w:spacing w:before="29" w:line="288" w:lineRule="auto"/>
              <w:jc w:val="right"/>
              <w:rPr>
                <w:sz w:val="24"/>
              </w:rPr>
            </w:pPr>
            <w:r w:rsidRPr="007A06D4">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7A06D4">
            <w:pPr>
              <w:spacing w:before="29" w:line="288" w:lineRule="auto"/>
              <w:jc w:val="right"/>
              <w:rPr>
                <w:sz w:val="24"/>
              </w:rPr>
            </w:pPr>
            <w:r w:rsidRPr="007A06D4">
              <w:rPr>
                <w:rFonts w:hint="eastAsia"/>
                <w:sz w:val="24"/>
              </w:rPr>
              <w:t>-</w:t>
            </w:r>
          </w:p>
        </w:tc>
      </w:tr>
      <w:tr w:rsidR="00737895" w:rsidRPr="00D0515B"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AA2DE8" w:rsidRDefault="00737895" w:rsidP="00AA2DE8">
            <w:pPr>
              <w:spacing w:before="29" w:line="288" w:lineRule="auto"/>
              <w:jc w:val="center"/>
              <w:rPr>
                <w:sz w:val="24"/>
              </w:rPr>
            </w:pPr>
            <w:r w:rsidRPr="00AA2DE8">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7A06D4" w:rsidRDefault="00737895" w:rsidP="00682D97">
            <w:pPr>
              <w:spacing w:before="29" w:line="288" w:lineRule="auto"/>
              <w:jc w:val="right"/>
              <w:rPr>
                <w:sz w:val="24"/>
              </w:rPr>
            </w:pPr>
            <w:r w:rsidRPr="007A06D4">
              <w:rPr>
                <w:rFonts w:hint="eastAsia"/>
                <w:sz w:val="24"/>
              </w:rPr>
              <w:t>18,328,586.03</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7A06D4" w:rsidRDefault="00737895" w:rsidP="00682D97">
            <w:pPr>
              <w:spacing w:before="29" w:line="288" w:lineRule="auto"/>
              <w:jc w:val="right"/>
              <w:rPr>
                <w:sz w:val="24"/>
              </w:rPr>
            </w:pPr>
            <w:r w:rsidRPr="007A06D4">
              <w:rPr>
                <w:rFonts w:hint="eastAsia"/>
                <w:sz w:val="24"/>
              </w:rPr>
              <w:t>3,032,494.59</w:t>
            </w:r>
          </w:p>
        </w:tc>
      </w:tr>
    </w:tbl>
    <w:p w:rsidR="006D141C" w:rsidRPr="00D0515B" w:rsidRDefault="006D141C" w:rsidP="004B36C2">
      <w:pPr>
        <w:spacing w:line="360" w:lineRule="auto"/>
        <w:rPr>
          <w:rFonts w:asciiTheme="minorEastAsia" w:eastAsiaTheme="minorEastAsia" w:hAnsiTheme="minorEastAsia"/>
          <w:szCs w:val="21"/>
        </w:rPr>
      </w:pPr>
    </w:p>
    <w:p w:rsidR="006D141C" w:rsidRPr="00F21C55" w:rsidRDefault="006D141C" w:rsidP="00F21C55">
      <w:pPr>
        <w:spacing w:before="29" w:line="288" w:lineRule="auto"/>
        <w:rPr>
          <w:b/>
          <w:bCs/>
          <w:kern w:val="0"/>
          <w:sz w:val="24"/>
        </w:rPr>
      </w:pPr>
      <w:r w:rsidRPr="00F21C55">
        <w:rPr>
          <w:rFonts w:hint="eastAsia"/>
          <w:b/>
          <w:bCs/>
          <w:kern w:val="0"/>
          <w:sz w:val="24"/>
        </w:rPr>
        <w:t>7.4.7.</w:t>
      </w:r>
      <w:r w:rsidR="008A28D4" w:rsidRPr="00F21C55">
        <w:rPr>
          <w:rFonts w:hint="eastAsia"/>
          <w:b/>
          <w:bCs/>
          <w:kern w:val="0"/>
          <w:sz w:val="24"/>
        </w:rPr>
        <w:t>6</w:t>
      </w:r>
      <w:r w:rsidRPr="00F21C55">
        <w:rPr>
          <w:rFonts w:hint="eastAsia"/>
          <w:b/>
          <w:bCs/>
          <w:kern w:val="0"/>
          <w:sz w:val="24"/>
        </w:rPr>
        <w:t>其他资产</w:t>
      </w:r>
    </w:p>
    <w:p w:rsidR="00C92AA0" w:rsidRPr="00D754A9" w:rsidRDefault="00C92AA0" w:rsidP="00C92AA0">
      <w:pPr>
        <w:tabs>
          <w:tab w:val="left" w:pos="426"/>
        </w:tabs>
        <w:spacing w:before="29" w:line="288" w:lineRule="auto"/>
        <w:jc w:val="left"/>
        <w:rPr>
          <w:kern w:val="0"/>
          <w:sz w:val="24"/>
        </w:rPr>
      </w:pPr>
      <w:r w:rsidRPr="00D754A9">
        <w:rPr>
          <w:kern w:val="0"/>
          <w:sz w:val="24"/>
        </w:rPr>
        <w:t>本基金本报告期末及上年度末未持有其他资产。</w:t>
      </w:r>
    </w:p>
    <w:p w:rsidR="006D141C" w:rsidRPr="00C92AA0" w:rsidRDefault="006D141C" w:rsidP="004B36C2">
      <w:pPr>
        <w:spacing w:line="360" w:lineRule="auto"/>
        <w:rPr>
          <w:rFonts w:asciiTheme="minorEastAsia" w:eastAsiaTheme="minorEastAsia" w:hAnsiTheme="minorEastAsia"/>
          <w:szCs w:val="21"/>
        </w:rPr>
      </w:pPr>
    </w:p>
    <w:p w:rsidR="006D141C" w:rsidRPr="00C55DA6" w:rsidRDefault="006D141C" w:rsidP="00C55DA6">
      <w:pPr>
        <w:spacing w:before="29" w:line="288" w:lineRule="auto"/>
        <w:rPr>
          <w:b/>
          <w:bCs/>
          <w:kern w:val="0"/>
          <w:sz w:val="24"/>
        </w:rPr>
      </w:pPr>
      <w:r w:rsidRPr="00C55DA6">
        <w:rPr>
          <w:rFonts w:hint="eastAsia"/>
          <w:b/>
          <w:bCs/>
          <w:kern w:val="0"/>
          <w:sz w:val="24"/>
        </w:rPr>
        <w:t>7.4.7.</w:t>
      </w:r>
      <w:r w:rsidR="008A28D4" w:rsidRPr="00C55DA6">
        <w:rPr>
          <w:rFonts w:hint="eastAsia"/>
          <w:b/>
          <w:bCs/>
          <w:kern w:val="0"/>
          <w:sz w:val="24"/>
        </w:rPr>
        <w:t>7</w:t>
      </w:r>
      <w:r w:rsidRPr="00C55DA6">
        <w:rPr>
          <w:rFonts w:hint="eastAsia"/>
          <w:b/>
          <w:bCs/>
          <w:kern w:val="0"/>
          <w:sz w:val="24"/>
        </w:rPr>
        <w:t>应付交易费用</w:t>
      </w:r>
    </w:p>
    <w:p w:rsidR="006D141C" w:rsidRPr="00C55DA6" w:rsidRDefault="005B4215" w:rsidP="00C55DA6">
      <w:pPr>
        <w:autoSpaceDE w:val="0"/>
        <w:autoSpaceDN w:val="0"/>
        <w:adjustRightInd w:val="0"/>
        <w:spacing w:before="29" w:line="288" w:lineRule="auto"/>
        <w:ind w:left="15"/>
        <w:jc w:val="right"/>
        <w:rPr>
          <w:sz w:val="24"/>
        </w:rPr>
      </w:pPr>
      <w:r w:rsidRPr="00C55DA6">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11467" w:rsidRPr="00D0515B" w:rsidTr="00C55DA6">
        <w:trPr>
          <w:trHeight w:val="285"/>
        </w:trPr>
        <w:tc>
          <w:tcPr>
            <w:tcW w:w="2765" w:type="dxa"/>
            <w:vAlign w:val="center"/>
          </w:tcPr>
          <w:p w:rsidR="00611467" w:rsidRPr="00C55DA6" w:rsidRDefault="00611467" w:rsidP="00C55DA6">
            <w:pPr>
              <w:spacing w:before="29" w:line="288" w:lineRule="auto"/>
              <w:jc w:val="center"/>
              <w:rPr>
                <w:sz w:val="24"/>
              </w:rPr>
            </w:pPr>
            <w:r w:rsidRPr="00C55DA6">
              <w:rPr>
                <w:rFonts w:hint="eastAsia"/>
                <w:sz w:val="24"/>
              </w:rPr>
              <w:t>项目</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本期末</w:t>
            </w:r>
          </w:p>
          <w:p w:rsidR="00611467" w:rsidRPr="00C55DA6" w:rsidRDefault="00611467" w:rsidP="00C55DA6">
            <w:pPr>
              <w:spacing w:before="29" w:line="288" w:lineRule="auto"/>
              <w:jc w:val="center"/>
              <w:rPr>
                <w:sz w:val="24"/>
              </w:rPr>
            </w:pPr>
            <w:r w:rsidRPr="00C55DA6">
              <w:rPr>
                <w:sz w:val="24"/>
              </w:rPr>
              <w:t>2017</w:t>
            </w:r>
            <w:r w:rsidRPr="00C55DA6">
              <w:rPr>
                <w:sz w:val="24"/>
              </w:rPr>
              <w:t>年</w:t>
            </w:r>
            <w:r w:rsidRPr="00C55DA6">
              <w:rPr>
                <w:sz w:val="24"/>
              </w:rPr>
              <w:t>12</w:t>
            </w:r>
            <w:r w:rsidRPr="00C55DA6">
              <w:rPr>
                <w:sz w:val="24"/>
              </w:rPr>
              <w:t>月</w:t>
            </w:r>
            <w:r w:rsidRPr="00C55DA6">
              <w:rPr>
                <w:sz w:val="24"/>
              </w:rPr>
              <w:t>31</w:t>
            </w:r>
            <w:r w:rsidRPr="00C55DA6">
              <w:rPr>
                <w:sz w:val="24"/>
              </w:rPr>
              <w:t>日</w:t>
            </w:r>
          </w:p>
        </w:tc>
        <w:tc>
          <w:tcPr>
            <w:tcW w:w="3150" w:type="dxa"/>
            <w:vAlign w:val="center"/>
          </w:tcPr>
          <w:p w:rsidR="00611467" w:rsidRPr="00C55DA6" w:rsidRDefault="00611467" w:rsidP="00C55DA6">
            <w:pPr>
              <w:spacing w:before="29" w:line="288" w:lineRule="auto"/>
              <w:jc w:val="center"/>
              <w:rPr>
                <w:sz w:val="24"/>
              </w:rPr>
            </w:pPr>
            <w:r w:rsidRPr="00C55DA6">
              <w:rPr>
                <w:rFonts w:hint="eastAsia"/>
                <w:sz w:val="24"/>
              </w:rPr>
              <w:t>上年度末</w:t>
            </w:r>
          </w:p>
          <w:p w:rsidR="00611467" w:rsidRPr="00C55DA6" w:rsidRDefault="00611467" w:rsidP="00C55DA6">
            <w:pPr>
              <w:spacing w:before="29" w:line="288" w:lineRule="auto"/>
              <w:jc w:val="center"/>
              <w:rPr>
                <w:sz w:val="24"/>
              </w:rPr>
            </w:pPr>
            <w:r w:rsidRPr="00C55DA6">
              <w:rPr>
                <w:sz w:val="24"/>
              </w:rPr>
              <w:t>2016</w:t>
            </w:r>
            <w:r w:rsidRPr="00C55DA6">
              <w:rPr>
                <w:sz w:val="24"/>
              </w:rPr>
              <w:t>年</w:t>
            </w:r>
            <w:r w:rsidRPr="00C55DA6">
              <w:rPr>
                <w:sz w:val="24"/>
              </w:rPr>
              <w:t>12</w:t>
            </w:r>
            <w:r w:rsidRPr="00C55DA6">
              <w:rPr>
                <w:sz w:val="24"/>
              </w:rPr>
              <w:t>月</w:t>
            </w:r>
            <w:r w:rsidRPr="00C55DA6">
              <w:rPr>
                <w:sz w:val="24"/>
              </w:rPr>
              <w:t>31</w:t>
            </w:r>
            <w:r w:rsidRPr="00C55DA6">
              <w:rPr>
                <w:sz w:val="24"/>
              </w:rPr>
              <w:t>日</w:t>
            </w:r>
          </w:p>
        </w:tc>
      </w:tr>
      <w:tr w:rsidR="00611467" w:rsidRPr="00D0515B" w:rsidTr="0002542D">
        <w:trPr>
          <w:trHeight w:val="211"/>
        </w:trPr>
        <w:tc>
          <w:tcPr>
            <w:tcW w:w="2765" w:type="dxa"/>
            <w:vAlign w:val="center"/>
          </w:tcPr>
          <w:p w:rsidR="00611467" w:rsidRPr="00C55DA6" w:rsidRDefault="00611467" w:rsidP="00C55DA6">
            <w:pPr>
              <w:spacing w:before="29" w:line="288" w:lineRule="auto"/>
              <w:rPr>
                <w:sz w:val="24"/>
              </w:rPr>
            </w:pPr>
            <w:r w:rsidRPr="00C55DA6">
              <w:rPr>
                <w:rFonts w:hint="eastAsia"/>
                <w:sz w:val="24"/>
              </w:rPr>
              <w:t>交易所市场应付交易费用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c>
          <w:tcPr>
            <w:tcW w:w="3150" w:type="dxa"/>
            <w:vAlign w:val="center"/>
          </w:tcPr>
          <w:p w:rsidR="00611467" w:rsidRPr="00C55DA6" w:rsidRDefault="00611467" w:rsidP="00C55DA6">
            <w:pPr>
              <w:spacing w:before="29" w:line="288" w:lineRule="auto"/>
              <w:jc w:val="right"/>
              <w:rPr>
                <w:sz w:val="24"/>
              </w:rPr>
            </w:pPr>
            <w:r w:rsidRPr="00C55DA6">
              <w:rPr>
                <w:sz w:val="24"/>
              </w:rPr>
              <w:t>-</w:t>
            </w:r>
          </w:p>
        </w:tc>
      </w:tr>
      <w:tr w:rsidR="00611467" w:rsidRPr="00D0515B" w:rsidTr="0002542D">
        <w:trPr>
          <w:trHeight w:val="296"/>
        </w:trPr>
        <w:tc>
          <w:tcPr>
            <w:tcW w:w="2765" w:type="dxa"/>
            <w:vAlign w:val="center"/>
          </w:tcPr>
          <w:p w:rsidR="00611467" w:rsidRPr="00C55DA6" w:rsidRDefault="00611467" w:rsidP="00C55DA6">
            <w:pPr>
              <w:spacing w:before="29" w:line="288" w:lineRule="auto"/>
              <w:rPr>
                <w:sz w:val="24"/>
              </w:rPr>
            </w:pPr>
            <w:r w:rsidRPr="00C55DA6">
              <w:rPr>
                <w:rFonts w:hint="eastAsia"/>
                <w:sz w:val="24"/>
              </w:rPr>
              <w:t>银行间市场应付交易费用</w:t>
            </w:r>
          </w:p>
        </w:tc>
        <w:tc>
          <w:tcPr>
            <w:tcW w:w="3150" w:type="dxa"/>
            <w:vAlign w:val="center"/>
          </w:tcPr>
          <w:p w:rsidR="00611467" w:rsidRPr="00C55DA6" w:rsidRDefault="00611467" w:rsidP="00C55DA6">
            <w:pPr>
              <w:spacing w:before="29" w:line="288" w:lineRule="auto"/>
              <w:jc w:val="right"/>
              <w:rPr>
                <w:sz w:val="24"/>
              </w:rPr>
            </w:pPr>
            <w:r w:rsidRPr="00C55DA6">
              <w:rPr>
                <w:sz w:val="24"/>
              </w:rPr>
              <w:t>54,336.03</w:t>
            </w:r>
          </w:p>
        </w:tc>
        <w:tc>
          <w:tcPr>
            <w:tcW w:w="3150" w:type="dxa"/>
            <w:vAlign w:val="center"/>
          </w:tcPr>
          <w:p w:rsidR="00611467" w:rsidRPr="00C55DA6" w:rsidRDefault="00611467" w:rsidP="00C55DA6">
            <w:pPr>
              <w:spacing w:before="29" w:line="288" w:lineRule="auto"/>
              <w:jc w:val="right"/>
              <w:rPr>
                <w:sz w:val="24"/>
              </w:rPr>
            </w:pPr>
            <w:r w:rsidRPr="00C55DA6">
              <w:rPr>
                <w:sz w:val="24"/>
              </w:rPr>
              <w:t>24,618.00</w:t>
            </w:r>
          </w:p>
        </w:tc>
      </w:tr>
      <w:tr w:rsidR="00611467" w:rsidRPr="00D0515B" w:rsidTr="0002542D">
        <w:trPr>
          <w:trHeight w:val="285"/>
        </w:trPr>
        <w:tc>
          <w:tcPr>
            <w:tcW w:w="2765" w:type="dxa"/>
            <w:vAlign w:val="center"/>
          </w:tcPr>
          <w:p w:rsidR="00611467" w:rsidRPr="00D0515B" w:rsidRDefault="00611467" w:rsidP="00C55DA6">
            <w:pPr>
              <w:spacing w:before="29" w:line="288" w:lineRule="auto"/>
              <w:jc w:val="center"/>
              <w:rPr>
                <w:rFonts w:ascii="宋体" w:hAnsi="宋体"/>
                <w:szCs w:val="21"/>
              </w:rPr>
            </w:pPr>
            <w:r w:rsidRPr="00C55DA6">
              <w:rPr>
                <w:rFonts w:hint="eastAsia"/>
                <w:sz w:val="24"/>
              </w:rPr>
              <w:t>合计</w:t>
            </w:r>
          </w:p>
        </w:tc>
        <w:tc>
          <w:tcPr>
            <w:tcW w:w="3150" w:type="dxa"/>
            <w:vAlign w:val="center"/>
          </w:tcPr>
          <w:p w:rsidR="00611467" w:rsidRPr="00C55DA6" w:rsidRDefault="00611467" w:rsidP="00C55DA6">
            <w:pPr>
              <w:spacing w:before="29" w:line="288" w:lineRule="auto"/>
              <w:jc w:val="right"/>
              <w:rPr>
                <w:sz w:val="24"/>
              </w:rPr>
            </w:pPr>
            <w:r w:rsidRPr="00C55DA6">
              <w:rPr>
                <w:sz w:val="24"/>
              </w:rPr>
              <w:t>54,336.03</w:t>
            </w:r>
          </w:p>
        </w:tc>
        <w:tc>
          <w:tcPr>
            <w:tcW w:w="3150" w:type="dxa"/>
            <w:vAlign w:val="center"/>
          </w:tcPr>
          <w:p w:rsidR="00611467" w:rsidRPr="00C55DA6" w:rsidRDefault="00611467" w:rsidP="00C55DA6">
            <w:pPr>
              <w:spacing w:before="29" w:line="288" w:lineRule="auto"/>
              <w:jc w:val="right"/>
              <w:rPr>
                <w:sz w:val="24"/>
              </w:rPr>
            </w:pPr>
            <w:r w:rsidRPr="00C55DA6">
              <w:rPr>
                <w:sz w:val="24"/>
              </w:rPr>
              <w:t>24,618.00</w:t>
            </w:r>
          </w:p>
        </w:tc>
      </w:tr>
    </w:tbl>
    <w:p w:rsidR="006D141C" w:rsidRPr="00D0515B" w:rsidRDefault="006D141C" w:rsidP="004B36C2">
      <w:pPr>
        <w:spacing w:line="360" w:lineRule="auto"/>
        <w:rPr>
          <w:rFonts w:asciiTheme="minorEastAsia" w:eastAsiaTheme="minorEastAsia" w:hAnsiTheme="minorEastAsia"/>
          <w:b/>
          <w:bCs/>
          <w:szCs w:val="21"/>
        </w:rPr>
      </w:pPr>
    </w:p>
    <w:p w:rsidR="006D141C" w:rsidRPr="006F6EF8" w:rsidRDefault="006D141C" w:rsidP="006F6EF8">
      <w:pPr>
        <w:spacing w:before="29" w:line="288" w:lineRule="auto"/>
        <w:rPr>
          <w:b/>
          <w:bCs/>
          <w:kern w:val="0"/>
          <w:sz w:val="24"/>
        </w:rPr>
      </w:pPr>
      <w:r w:rsidRPr="006F6EF8">
        <w:rPr>
          <w:rFonts w:hint="eastAsia"/>
          <w:b/>
          <w:bCs/>
          <w:kern w:val="0"/>
          <w:sz w:val="24"/>
        </w:rPr>
        <w:t>7.4.7.</w:t>
      </w:r>
      <w:r w:rsidR="008A28D4" w:rsidRPr="006F6EF8">
        <w:rPr>
          <w:rFonts w:hint="eastAsia"/>
          <w:b/>
          <w:bCs/>
          <w:kern w:val="0"/>
          <w:sz w:val="24"/>
        </w:rPr>
        <w:t>8</w:t>
      </w:r>
      <w:r w:rsidRPr="006F6EF8">
        <w:rPr>
          <w:rFonts w:hint="eastAsia"/>
          <w:b/>
          <w:bCs/>
          <w:kern w:val="0"/>
          <w:sz w:val="24"/>
        </w:rPr>
        <w:t>其他负债</w:t>
      </w:r>
    </w:p>
    <w:p w:rsidR="006D141C" w:rsidRPr="006F6EF8" w:rsidRDefault="005B4215" w:rsidP="006F6EF8">
      <w:pPr>
        <w:spacing w:before="29" w:line="288" w:lineRule="auto"/>
        <w:jc w:val="right"/>
        <w:rPr>
          <w:sz w:val="24"/>
        </w:rPr>
      </w:pPr>
      <w:r w:rsidRPr="006F6EF8">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11467" w:rsidRPr="00D0515B" w:rsidTr="00A0369D">
        <w:trPr>
          <w:trHeight w:val="330"/>
        </w:trPr>
        <w:tc>
          <w:tcPr>
            <w:tcW w:w="2715" w:type="dxa"/>
            <w:vAlign w:val="center"/>
          </w:tcPr>
          <w:p w:rsidR="00611467" w:rsidRPr="006F6EF8" w:rsidRDefault="00611467" w:rsidP="00A0369D">
            <w:pPr>
              <w:spacing w:before="29" w:line="288" w:lineRule="auto"/>
              <w:jc w:val="center"/>
              <w:rPr>
                <w:sz w:val="24"/>
              </w:rPr>
            </w:pPr>
            <w:r w:rsidRPr="006F6EF8">
              <w:rPr>
                <w:rFonts w:hint="eastAsia"/>
                <w:sz w:val="24"/>
              </w:rPr>
              <w:t>项目</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本期末</w:t>
            </w:r>
          </w:p>
          <w:p w:rsidR="00611467" w:rsidRPr="006F6EF8" w:rsidRDefault="00611467" w:rsidP="00A0369D">
            <w:pPr>
              <w:spacing w:before="29" w:line="288" w:lineRule="auto"/>
              <w:jc w:val="center"/>
              <w:rPr>
                <w:sz w:val="24"/>
              </w:rPr>
            </w:pPr>
            <w:r w:rsidRPr="006F6EF8">
              <w:rPr>
                <w:sz w:val="24"/>
              </w:rPr>
              <w:t>2017</w:t>
            </w:r>
            <w:r w:rsidRPr="006F6EF8">
              <w:rPr>
                <w:sz w:val="24"/>
              </w:rPr>
              <w:t>年</w:t>
            </w:r>
            <w:r w:rsidRPr="006F6EF8">
              <w:rPr>
                <w:sz w:val="24"/>
              </w:rPr>
              <w:t>12</w:t>
            </w:r>
            <w:r w:rsidRPr="006F6EF8">
              <w:rPr>
                <w:sz w:val="24"/>
              </w:rPr>
              <w:t>月</w:t>
            </w:r>
            <w:r w:rsidRPr="006F6EF8">
              <w:rPr>
                <w:sz w:val="24"/>
              </w:rPr>
              <w:t>31</w:t>
            </w:r>
            <w:r w:rsidRPr="006F6EF8">
              <w:rPr>
                <w:sz w:val="24"/>
              </w:rPr>
              <w:t>日</w:t>
            </w:r>
          </w:p>
        </w:tc>
        <w:tc>
          <w:tcPr>
            <w:tcW w:w="3150" w:type="dxa"/>
            <w:vAlign w:val="center"/>
          </w:tcPr>
          <w:p w:rsidR="00611467" w:rsidRPr="006F6EF8" w:rsidRDefault="00611467" w:rsidP="00A0369D">
            <w:pPr>
              <w:spacing w:before="29" w:line="288" w:lineRule="auto"/>
              <w:jc w:val="center"/>
              <w:rPr>
                <w:sz w:val="24"/>
              </w:rPr>
            </w:pPr>
            <w:r w:rsidRPr="006F6EF8">
              <w:rPr>
                <w:rFonts w:hint="eastAsia"/>
                <w:sz w:val="24"/>
              </w:rPr>
              <w:t>上年度末</w:t>
            </w:r>
          </w:p>
          <w:p w:rsidR="00611467" w:rsidRPr="006F6EF8" w:rsidRDefault="00611467" w:rsidP="00A0369D">
            <w:pPr>
              <w:spacing w:before="29" w:line="288" w:lineRule="auto"/>
              <w:jc w:val="center"/>
              <w:rPr>
                <w:sz w:val="24"/>
              </w:rPr>
            </w:pPr>
            <w:r w:rsidRPr="006F6EF8">
              <w:rPr>
                <w:sz w:val="24"/>
              </w:rPr>
              <w:t>2016</w:t>
            </w:r>
            <w:r w:rsidRPr="006F6EF8">
              <w:rPr>
                <w:sz w:val="24"/>
              </w:rPr>
              <w:t>年</w:t>
            </w:r>
            <w:r w:rsidRPr="006F6EF8">
              <w:rPr>
                <w:sz w:val="24"/>
              </w:rPr>
              <w:t>12</w:t>
            </w:r>
            <w:r w:rsidRPr="006F6EF8">
              <w:rPr>
                <w:sz w:val="24"/>
              </w:rPr>
              <w:t>月</w:t>
            </w:r>
            <w:r w:rsidRPr="006F6EF8">
              <w:rPr>
                <w:sz w:val="24"/>
              </w:rPr>
              <w:t>31</w:t>
            </w:r>
            <w:r w:rsidRPr="006F6EF8">
              <w:rPr>
                <w:sz w:val="24"/>
              </w:rPr>
              <w:t>日</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应付券商交易单元保证金</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611467" w:rsidRPr="00D0515B" w:rsidTr="0002542D">
        <w:trPr>
          <w:trHeight w:val="325"/>
        </w:trPr>
        <w:tc>
          <w:tcPr>
            <w:tcW w:w="2715" w:type="dxa"/>
            <w:vAlign w:val="center"/>
          </w:tcPr>
          <w:p w:rsidR="00611467" w:rsidRPr="006F6EF8" w:rsidRDefault="00611467" w:rsidP="006F6EF8">
            <w:pPr>
              <w:spacing w:before="29" w:line="288" w:lineRule="auto"/>
              <w:rPr>
                <w:sz w:val="24"/>
              </w:rPr>
            </w:pPr>
            <w:r w:rsidRPr="006F6EF8">
              <w:rPr>
                <w:rFonts w:hint="eastAsia"/>
                <w:sz w:val="24"/>
              </w:rPr>
              <w:t>应付赎回费</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c>
          <w:tcPr>
            <w:tcW w:w="3150" w:type="dxa"/>
            <w:vAlign w:val="center"/>
          </w:tcPr>
          <w:p w:rsidR="00611467" w:rsidRPr="00934E74" w:rsidRDefault="00611467" w:rsidP="00934E74">
            <w:pPr>
              <w:spacing w:before="29" w:line="288" w:lineRule="auto"/>
              <w:jc w:val="right"/>
              <w:rPr>
                <w:sz w:val="24"/>
              </w:rPr>
            </w:pPr>
            <w:r w:rsidRPr="00934E74">
              <w:rPr>
                <w:sz w:val="24"/>
              </w:rPr>
              <w:t>-</w:t>
            </w:r>
          </w:p>
        </w:tc>
      </w:tr>
      <w:tr w:rsidR="00B5600D">
        <w:tc>
          <w:tcPr>
            <w:tcW w:w="2715" w:type="dxa"/>
            <w:vAlign w:val="center"/>
          </w:tcPr>
          <w:p w:rsidR="00B5600D" w:rsidRDefault="00D91A1A">
            <w:pPr>
              <w:jc w:val="left"/>
            </w:pPr>
            <w:r>
              <w:rPr>
                <w:sz w:val="24"/>
              </w:rPr>
              <w:t>预提信息披露费</w:t>
            </w:r>
          </w:p>
        </w:tc>
        <w:tc>
          <w:tcPr>
            <w:tcW w:w="3150" w:type="dxa"/>
            <w:vAlign w:val="center"/>
          </w:tcPr>
          <w:p w:rsidR="00B5600D" w:rsidRDefault="00D91A1A">
            <w:pPr>
              <w:jc w:val="right"/>
            </w:pPr>
            <w:r>
              <w:rPr>
                <w:sz w:val="24"/>
              </w:rPr>
              <w:t>180,000.00</w:t>
            </w:r>
          </w:p>
        </w:tc>
        <w:tc>
          <w:tcPr>
            <w:tcW w:w="3150" w:type="dxa"/>
            <w:vAlign w:val="center"/>
          </w:tcPr>
          <w:p w:rsidR="00B5600D" w:rsidRDefault="00D91A1A">
            <w:pPr>
              <w:jc w:val="right"/>
            </w:pPr>
            <w:r>
              <w:rPr>
                <w:sz w:val="24"/>
              </w:rPr>
              <w:t>30,000.00</w:t>
            </w:r>
          </w:p>
        </w:tc>
      </w:tr>
      <w:tr w:rsidR="00B5600D">
        <w:tc>
          <w:tcPr>
            <w:tcW w:w="2715" w:type="dxa"/>
            <w:vAlign w:val="center"/>
          </w:tcPr>
          <w:p w:rsidR="00B5600D" w:rsidRDefault="00D91A1A">
            <w:pPr>
              <w:jc w:val="left"/>
            </w:pPr>
            <w:r>
              <w:rPr>
                <w:sz w:val="24"/>
              </w:rPr>
              <w:t>预提审计费</w:t>
            </w:r>
          </w:p>
        </w:tc>
        <w:tc>
          <w:tcPr>
            <w:tcW w:w="3150" w:type="dxa"/>
            <w:vAlign w:val="center"/>
          </w:tcPr>
          <w:p w:rsidR="00B5600D" w:rsidRDefault="00D91A1A">
            <w:pPr>
              <w:jc w:val="right"/>
            </w:pPr>
            <w:r>
              <w:rPr>
                <w:sz w:val="24"/>
              </w:rPr>
              <w:t>50,000.00</w:t>
            </w:r>
          </w:p>
        </w:tc>
        <w:tc>
          <w:tcPr>
            <w:tcW w:w="3150" w:type="dxa"/>
            <w:vAlign w:val="center"/>
          </w:tcPr>
          <w:p w:rsidR="00B5600D" w:rsidRDefault="00D91A1A">
            <w:pPr>
              <w:jc w:val="right"/>
            </w:pPr>
            <w:r>
              <w:rPr>
                <w:sz w:val="24"/>
              </w:rPr>
              <w:t>40,000.00</w:t>
            </w:r>
          </w:p>
        </w:tc>
      </w:tr>
      <w:tr w:rsidR="00B5600D">
        <w:tc>
          <w:tcPr>
            <w:tcW w:w="2715" w:type="dxa"/>
            <w:vAlign w:val="center"/>
          </w:tcPr>
          <w:p w:rsidR="00B5600D" w:rsidRDefault="00D91A1A">
            <w:pPr>
              <w:jc w:val="left"/>
            </w:pPr>
            <w:r>
              <w:rPr>
                <w:sz w:val="24"/>
              </w:rPr>
              <w:t>预提账户维护费</w:t>
            </w:r>
          </w:p>
        </w:tc>
        <w:tc>
          <w:tcPr>
            <w:tcW w:w="3150" w:type="dxa"/>
            <w:vAlign w:val="center"/>
          </w:tcPr>
          <w:p w:rsidR="00B5600D" w:rsidRDefault="00D91A1A">
            <w:pPr>
              <w:jc w:val="right"/>
            </w:pPr>
            <w:r>
              <w:rPr>
                <w:sz w:val="24"/>
              </w:rPr>
              <w:t>9,300.00</w:t>
            </w:r>
          </w:p>
        </w:tc>
        <w:tc>
          <w:tcPr>
            <w:tcW w:w="3150" w:type="dxa"/>
            <w:vAlign w:val="center"/>
          </w:tcPr>
          <w:p w:rsidR="00B5600D" w:rsidRDefault="00D91A1A">
            <w:pPr>
              <w:jc w:val="right"/>
            </w:pPr>
            <w:r>
              <w:rPr>
                <w:sz w:val="24"/>
              </w:rPr>
              <w:t>9,300.00</w:t>
            </w:r>
          </w:p>
        </w:tc>
      </w:tr>
      <w:tr w:rsidR="00B5600D">
        <w:tc>
          <w:tcPr>
            <w:tcW w:w="2715" w:type="dxa"/>
            <w:vAlign w:val="center"/>
          </w:tcPr>
          <w:p w:rsidR="00B5600D" w:rsidRDefault="00D91A1A">
            <w:pPr>
              <w:jc w:val="left"/>
            </w:pPr>
            <w:r>
              <w:rPr>
                <w:sz w:val="24"/>
              </w:rPr>
              <w:t>预提公证费</w:t>
            </w:r>
          </w:p>
        </w:tc>
        <w:tc>
          <w:tcPr>
            <w:tcW w:w="3150" w:type="dxa"/>
            <w:vAlign w:val="center"/>
          </w:tcPr>
          <w:p w:rsidR="00B5600D" w:rsidRDefault="00D91A1A">
            <w:pPr>
              <w:jc w:val="right"/>
            </w:pPr>
            <w:r>
              <w:rPr>
                <w:sz w:val="24"/>
              </w:rPr>
              <w:t>-</w:t>
            </w:r>
          </w:p>
        </w:tc>
        <w:tc>
          <w:tcPr>
            <w:tcW w:w="3150" w:type="dxa"/>
            <w:vAlign w:val="center"/>
          </w:tcPr>
          <w:p w:rsidR="00B5600D" w:rsidRDefault="00D91A1A">
            <w:pPr>
              <w:jc w:val="right"/>
            </w:pPr>
            <w:r>
              <w:rPr>
                <w:sz w:val="24"/>
              </w:rPr>
              <w:t>10,000.00</w:t>
            </w:r>
          </w:p>
        </w:tc>
      </w:tr>
      <w:tr w:rsidR="00611467" w:rsidRPr="00D0515B" w:rsidTr="006F6EF8">
        <w:trPr>
          <w:trHeight w:val="325"/>
        </w:trPr>
        <w:tc>
          <w:tcPr>
            <w:tcW w:w="2715" w:type="dxa"/>
            <w:vAlign w:val="center"/>
          </w:tcPr>
          <w:p w:rsidR="00611467" w:rsidRPr="00D0515B" w:rsidRDefault="00611467" w:rsidP="00EC40F8">
            <w:pPr>
              <w:spacing w:before="29" w:line="288" w:lineRule="auto"/>
              <w:jc w:val="center"/>
              <w:rPr>
                <w:rFonts w:ascii="宋体" w:hAnsi="宋体"/>
                <w:szCs w:val="21"/>
              </w:rPr>
            </w:pPr>
            <w:r w:rsidRPr="00EC40F8">
              <w:rPr>
                <w:rFonts w:hint="eastAsia"/>
                <w:sz w:val="24"/>
              </w:rPr>
              <w:t>合计</w:t>
            </w:r>
          </w:p>
        </w:tc>
        <w:tc>
          <w:tcPr>
            <w:tcW w:w="3150" w:type="dxa"/>
            <w:vAlign w:val="bottom"/>
          </w:tcPr>
          <w:p w:rsidR="00611467" w:rsidRPr="00934E74" w:rsidRDefault="00611467" w:rsidP="00934E74">
            <w:pPr>
              <w:spacing w:before="29" w:line="288" w:lineRule="auto"/>
              <w:jc w:val="right"/>
              <w:rPr>
                <w:sz w:val="24"/>
              </w:rPr>
            </w:pPr>
            <w:r w:rsidRPr="00934E74">
              <w:rPr>
                <w:sz w:val="24"/>
              </w:rPr>
              <w:t>239,300.00</w:t>
            </w:r>
          </w:p>
        </w:tc>
        <w:tc>
          <w:tcPr>
            <w:tcW w:w="3150" w:type="dxa"/>
            <w:vAlign w:val="bottom"/>
          </w:tcPr>
          <w:p w:rsidR="00611467" w:rsidRPr="00934E74" w:rsidRDefault="00611467" w:rsidP="00934E74">
            <w:pPr>
              <w:spacing w:before="29" w:line="288" w:lineRule="auto"/>
              <w:jc w:val="right"/>
              <w:rPr>
                <w:sz w:val="24"/>
              </w:rPr>
            </w:pPr>
            <w:r w:rsidRPr="00934E74">
              <w:rPr>
                <w:sz w:val="24"/>
              </w:rPr>
              <w:t>89,300.00</w:t>
            </w:r>
          </w:p>
        </w:tc>
      </w:tr>
    </w:tbl>
    <w:p w:rsidR="006D141C" w:rsidRPr="00D0515B" w:rsidRDefault="006D141C" w:rsidP="004B36C2">
      <w:pPr>
        <w:spacing w:line="360" w:lineRule="auto"/>
        <w:rPr>
          <w:rFonts w:asciiTheme="minorEastAsia" w:eastAsiaTheme="minorEastAsia" w:hAnsiTheme="minorEastAsia"/>
          <w:b/>
          <w:bCs/>
          <w:szCs w:val="21"/>
        </w:rPr>
      </w:pPr>
    </w:p>
    <w:p w:rsidR="003F4B2E" w:rsidRPr="00623167" w:rsidRDefault="003F4B2E" w:rsidP="00623167">
      <w:pPr>
        <w:spacing w:before="29" w:line="288" w:lineRule="auto"/>
        <w:rPr>
          <w:b/>
          <w:bCs/>
          <w:kern w:val="0"/>
          <w:sz w:val="24"/>
        </w:rPr>
      </w:pPr>
      <w:r w:rsidRPr="00623167">
        <w:rPr>
          <w:rFonts w:hint="eastAsia"/>
          <w:b/>
          <w:bCs/>
          <w:kern w:val="0"/>
          <w:sz w:val="24"/>
        </w:rPr>
        <w:t>7.4.7.</w:t>
      </w:r>
      <w:r w:rsidR="008A28D4" w:rsidRPr="00623167">
        <w:rPr>
          <w:rFonts w:hint="eastAsia"/>
          <w:b/>
          <w:bCs/>
          <w:kern w:val="0"/>
          <w:sz w:val="24"/>
        </w:rPr>
        <w:t>9</w:t>
      </w:r>
      <w:r w:rsidRPr="00623167">
        <w:rPr>
          <w:rFonts w:hint="eastAsia"/>
          <w:b/>
          <w:bCs/>
          <w:kern w:val="0"/>
          <w:sz w:val="24"/>
        </w:rPr>
        <w:t>实收基金</w:t>
      </w:r>
    </w:p>
    <w:p w:rsidR="003F4B2E" w:rsidRPr="00112071" w:rsidRDefault="003F4B2E" w:rsidP="00112071">
      <w:pPr>
        <w:adjustRightInd w:val="0"/>
        <w:snapToGrid w:val="0"/>
        <w:spacing w:line="360" w:lineRule="auto"/>
        <w:rPr>
          <w:rFonts w:eastAsiaTheme="minorEastAsia"/>
          <w:b/>
          <w:sz w:val="24"/>
        </w:rPr>
      </w:pPr>
      <w:r w:rsidRPr="00112071">
        <w:rPr>
          <w:rFonts w:eastAsiaTheme="minorEastAsia" w:hint="eastAsia"/>
          <w:b/>
          <w:sz w:val="24"/>
        </w:rPr>
        <w:t>交银理财</w:t>
      </w:r>
      <w:r w:rsidRPr="00112071">
        <w:rPr>
          <w:rFonts w:eastAsiaTheme="minorEastAsia" w:hint="eastAsia"/>
          <w:b/>
          <w:sz w:val="24"/>
        </w:rPr>
        <w:t>60</w:t>
      </w:r>
      <w:r w:rsidRPr="00112071">
        <w:rPr>
          <w:rFonts w:eastAsiaTheme="minorEastAsia" w:hint="eastAsia"/>
          <w:b/>
          <w:sz w:val="24"/>
        </w:rPr>
        <w:t>天债券</w:t>
      </w:r>
      <w:r w:rsidRPr="00112071">
        <w:rPr>
          <w:rFonts w:eastAsiaTheme="minorEastAsia" w:hint="eastAsia"/>
          <w:b/>
          <w:sz w:val="24"/>
        </w:rPr>
        <w:t>A</w:t>
      </w:r>
    </w:p>
    <w:p w:rsidR="003F4B2E" w:rsidRPr="00E611FE" w:rsidRDefault="003F4B2E" w:rsidP="00E611FE">
      <w:pPr>
        <w:adjustRightInd w:val="0"/>
        <w:snapToGrid w:val="0"/>
        <w:spacing w:line="288" w:lineRule="auto"/>
        <w:jc w:val="right"/>
        <w:rPr>
          <w:rFonts w:eastAsiaTheme="minorEastAsia"/>
          <w:sz w:val="24"/>
        </w:rPr>
      </w:pPr>
      <w:r w:rsidRPr="00E611FE">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ordWrap w:val="0"/>
              <w:jc w:val="center"/>
              <w:rPr>
                <w:sz w:val="24"/>
              </w:rPr>
            </w:pPr>
            <w:r w:rsidRPr="007D6979">
              <w:rPr>
                <w:rFonts w:hint="eastAsia"/>
                <w:sz w:val="24"/>
              </w:rPr>
              <w:t>本期</w:t>
            </w:r>
          </w:p>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2017</w:t>
            </w:r>
            <w:r w:rsidRPr="007D6979">
              <w:rPr>
                <w:rFonts w:hint="eastAsia"/>
                <w:sz w:val="24"/>
              </w:rPr>
              <w:t>年</w:t>
            </w:r>
            <w:r w:rsidRPr="007D6979">
              <w:rPr>
                <w:rFonts w:hint="eastAsia"/>
                <w:sz w:val="24"/>
              </w:rPr>
              <w:t>1</w:t>
            </w:r>
            <w:r w:rsidRPr="007D6979">
              <w:rPr>
                <w:rFonts w:hint="eastAsia"/>
                <w:sz w:val="24"/>
              </w:rPr>
              <w:t>月</w:t>
            </w:r>
            <w:r w:rsidRPr="007D6979">
              <w:rPr>
                <w:rFonts w:hint="eastAsia"/>
                <w:sz w:val="24"/>
              </w:rPr>
              <w:t>1</w:t>
            </w:r>
            <w:r w:rsidRPr="007D6979">
              <w:rPr>
                <w:rFonts w:hint="eastAsia"/>
                <w:sz w:val="24"/>
              </w:rPr>
              <w:t>日至</w:t>
            </w:r>
            <w:r w:rsidRPr="007D6979">
              <w:rPr>
                <w:rFonts w:hint="eastAsia"/>
                <w:sz w:val="24"/>
              </w:rPr>
              <w:t>2017</w:t>
            </w:r>
            <w:r w:rsidRPr="007D6979">
              <w:rPr>
                <w:rFonts w:hint="eastAsia"/>
                <w:sz w:val="24"/>
              </w:rPr>
              <w:t>年</w:t>
            </w:r>
            <w:r w:rsidRPr="007D6979">
              <w:rPr>
                <w:rFonts w:hint="eastAsia"/>
                <w:sz w:val="24"/>
              </w:rPr>
              <w:t>12</w:t>
            </w:r>
            <w:r w:rsidRPr="007D6979">
              <w:rPr>
                <w:rFonts w:hint="eastAsia"/>
                <w:sz w:val="24"/>
              </w:rPr>
              <w:t>月</w:t>
            </w:r>
            <w:r w:rsidRPr="007D6979">
              <w:rPr>
                <w:rFonts w:hint="eastAsia"/>
                <w:sz w:val="24"/>
              </w:rPr>
              <w:t>31</w:t>
            </w:r>
            <w:r w:rsidRPr="007D6979">
              <w:rPr>
                <w:rFonts w:hint="eastAsia"/>
                <w:sz w:val="24"/>
              </w:rPr>
              <w:t>日</w:t>
            </w:r>
          </w:p>
        </w:tc>
      </w:tr>
      <w:tr w:rsidR="002C233F" w:rsidRPr="00D0515B"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58598D" w:rsidP="007D6979">
            <w:pPr>
              <w:widowControl/>
              <w:wordWrap w:val="0"/>
              <w:autoSpaceDE w:val="0"/>
              <w:autoSpaceDN w:val="0"/>
              <w:ind w:right="-15"/>
              <w:jc w:val="center"/>
              <w:textAlignment w:val="bottom"/>
              <w:rPr>
                <w:sz w:val="24"/>
              </w:rPr>
            </w:pPr>
            <w:r w:rsidRPr="007D697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D6979" w:rsidRDefault="003F4B2E" w:rsidP="007D6979">
            <w:pPr>
              <w:widowControl/>
              <w:wordWrap w:val="0"/>
              <w:autoSpaceDE w:val="0"/>
              <w:autoSpaceDN w:val="0"/>
              <w:ind w:right="-15"/>
              <w:jc w:val="center"/>
              <w:textAlignment w:val="bottom"/>
              <w:rPr>
                <w:sz w:val="24"/>
              </w:rPr>
            </w:pPr>
            <w:r w:rsidRPr="007D6979">
              <w:rPr>
                <w:rFonts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8,491,238.98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8,491,238.98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2,712,059.10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2,712,059.10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本期赎回（以</w:t>
            </w:r>
            <w:r w:rsidR="00D94850" w:rsidRPr="00115725">
              <w:rPr>
                <w:sz w:val="24"/>
              </w:rPr>
              <w:t>“-”</w:t>
            </w:r>
            <w:r w:rsidRPr="007D697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-1,552,379.44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-1,552,379.44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7D6979" w:rsidRDefault="00AF130E" w:rsidP="001F3466">
            <w:pPr>
              <w:rPr>
                <w:rFonts w:eastAsiaTheme="minorEastAsia"/>
                <w:kern w:val="0"/>
                <w:sz w:val="24"/>
              </w:rPr>
            </w:pPr>
            <w:r w:rsidRPr="007D697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9,650,918.64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D2167" w:rsidRDefault="00AF130E" w:rsidP="00ED2167">
            <w:pPr>
              <w:spacing w:before="29" w:line="288" w:lineRule="auto"/>
              <w:jc w:val="right"/>
              <w:rPr>
                <w:sz w:val="24"/>
              </w:rPr>
            </w:pPr>
            <w:r w:rsidRPr="00ED2167">
              <w:rPr>
                <w:rFonts w:hint="eastAsia"/>
                <w:sz w:val="24"/>
              </w:rPr>
              <w:t>9,650,918.64</w:t>
            </w:r>
          </w:p>
        </w:tc>
      </w:tr>
    </w:tbl>
    <w:p w:rsidR="00ED2167" w:rsidRPr="00ED2167" w:rsidRDefault="00ED2167" w:rsidP="00ED2167">
      <w:pPr>
        <w:tabs>
          <w:tab w:val="left" w:pos="426"/>
        </w:tabs>
        <w:spacing w:before="29" w:line="288" w:lineRule="auto"/>
        <w:jc w:val="left"/>
        <w:rPr>
          <w:kern w:val="0"/>
          <w:sz w:val="24"/>
        </w:rPr>
      </w:pPr>
    </w:p>
    <w:p w:rsidR="003F4B2E" w:rsidRPr="00ED2167" w:rsidRDefault="003F4B2E" w:rsidP="00ED2167">
      <w:pPr>
        <w:adjustRightInd w:val="0"/>
        <w:snapToGrid w:val="0"/>
        <w:spacing w:line="360" w:lineRule="auto"/>
        <w:rPr>
          <w:rFonts w:eastAsiaTheme="minorEastAsia"/>
          <w:b/>
          <w:sz w:val="24"/>
        </w:rPr>
      </w:pPr>
      <w:r w:rsidRPr="00ED2167">
        <w:rPr>
          <w:rFonts w:eastAsiaTheme="minorEastAsia" w:hint="eastAsia"/>
          <w:b/>
          <w:sz w:val="24"/>
        </w:rPr>
        <w:t>交银理财</w:t>
      </w:r>
      <w:r w:rsidRPr="00ED2167">
        <w:rPr>
          <w:rFonts w:eastAsiaTheme="minorEastAsia" w:hint="eastAsia"/>
          <w:b/>
          <w:sz w:val="24"/>
        </w:rPr>
        <w:t>60</w:t>
      </w:r>
      <w:r w:rsidRPr="00ED2167">
        <w:rPr>
          <w:rFonts w:eastAsiaTheme="minorEastAsia" w:hint="eastAsia"/>
          <w:b/>
          <w:sz w:val="24"/>
        </w:rPr>
        <w:t>天债券</w:t>
      </w:r>
      <w:r w:rsidRPr="00ED2167">
        <w:rPr>
          <w:rFonts w:eastAsiaTheme="minorEastAsia" w:hint="eastAsia"/>
          <w:b/>
          <w:sz w:val="24"/>
        </w:rPr>
        <w:t>B</w:t>
      </w:r>
    </w:p>
    <w:p w:rsidR="003F4B2E" w:rsidRPr="003B4E7A" w:rsidRDefault="003F4B2E" w:rsidP="004B36C2">
      <w:pPr>
        <w:adjustRightInd w:val="0"/>
        <w:snapToGrid w:val="0"/>
        <w:spacing w:line="360" w:lineRule="auto"/>
        <w:jc w:val="right"/>
        <w:rPr>
          <w:rFonts w:eastAsiaTheme="minorEastAsia"/>
          <w:sz w:val="24"/>
        </w:rPr>
      </w:pPr>
      <w:r w:rsidRPr="003B4E7A">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2C233F" w:rsidRPr="00D0515B"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本期</w:t>
            </w:r>
          </w:p>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w:t>
            </w:r>
            <w:r w:rsidRPr="007F0054">
              <w:rPr>
                <w:rFonts w:eastAsiaTheme="minorEastAsia" w:hint="eastAsia"/>
                <w:sz w:val="24"/>
              </w:rPr>
              <w:t>月</w:t>
            </w:r>
            <w:r w:rsidRPr="007F0054">
              <w:rPr>
                <w:rFonts w:eastAsiaTheme="minorEastAsia" w:hint="eastAsia"/>
                <w:sz w:val="24"/>
              </w:rPr>
              <w:t>1</w:t>
            </w:r>
            <w:r w:rsidRPr="007F0054">
              <w:rPr>
                <w:rFonts w:eastAsiaTheme="minorEastAsia" w:hint="eastAsia"/>
                <w:sz w:val="24"/>
              </w:rPr>
              <w:t>日至</w:t>
            </w:r>
            <w:r w:rsidRPr="007F0054">
              <w:rPr>
                <w:rFonts w:eastAsiaTheme="minorEastAsia" w:hint="eastAsia"/>
                <w:sz w:val="24"/>
              </w:rPr>
              <w:t>2017</w:t>
            </w:r>
            <w:r w:rsidRPr="007F0054">
              <w:rPr>
                <w:rFonts w:eastAsiaTheme="minorEastAsia" w:hint="eastAsia"/>
                <w:sz w:val="24"/>
              </w:rPr>
              <w:t>年</w:t>
            </w:r>
            <w:r w:rsidRPr="007F0054">
              <w:rPr>
                <w:rFonts w:eastAsiaTheme="minorEastAsia" w:hint="eastAsia"/>
                <w:sz w:val="24"/>
              </w:rPr>
              <w:t>12</w:t>
            </w:r>
            <w:r w:rsidRPr="007F0054">
              <w:rPr>
                <w:rFonts w:eastAsiaTheme="minorEastAsia" w:hint="eastAsia"/>
                <w:sz w:val="24"/>
              </w:rPr>
              <w:t>月</w:t>
            </w:r>
            <w:r w:rsidRPr="007F0054">
              <w:rPr>
                <w:rFonts w:eastAsiaTheme="minorEastAsia" w:hint="eastAsia"/>
                <w:sz w:val="24"/>
              </w:rPr>
              <w:t>31</w:t>
            </w:r>
            <w:r w:rsidRPr="007F0054">
              <w:rPr>
                <w:rFonts w:eastAsiaTheme="minorEastAsia" w:hint="eastAsia"/>
                <w:sz w:val="24"/>
              </w:rPr>
              <w:t>日</w:t>
            </w:r>
          </w:p>
        </w:tc>
      </w:tr>
      <w:tr w:rsidR="002C233F" w:rsidRPr="00D0515B"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CF2D41"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7F0054" w:rsidRDefault="003F4B2E" w:rsidP="007F0054">
            <w:pPr>
              <w:widowControl/>
              <w:wordWrap w:val="0"/>
              <w:autoSpaceDE w:val="0"/>
              <w:autoSpaceDN w:val="0"/>
              <w:ind w:right="-15"/>
              <w:jc w:val="center"/>
              <w:textAlignment w:val="bottom"/>
              <w:rPr>
                <w:rFonts w:eastAsiaTheme="minorEastAsia"/>
                <w:sz w:val="24"/>
              </w:rPr>
            </w:pPr>
            <w:r w:rsidRPr="007F0054">
              <w:rPr>
                <w:rFonts w:eastAsiaTheme="minorEastAsia" w:hint="eastAsia"/>
                <w:sz w:val="24"/>
              </w:rPr>
              <w:t>账面金额</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2,000,366,524.38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2,000,366,524.38</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3,051,058,127.54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3,051,058,127.54</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本期赎回（以</w:t>
            </w:r>
            <w:r w:rsidR="003E7238" w:rsidRPr="00115725">
              <w:rPr>
                <w:sz w:val="24"/>
              </w:rPr>
              <w:t>“-”</w:t>
            </w:r>
            <w:r w:rsidRPr="003E7238">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-104,164,900.00</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-104,164,900.00</w:t>
            </w:r>
          </w:p>
        </w:tc>
      </w:tr>
      <w:tr w:rsidR="002C233F" w:rsidRPr="00D0515B"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3E7238" w:rsidRDefault="00AF130E" w:rsidP="001F3466">
            <w:pPr>
              <w:rPr>
                <w:rFonts w:eastAsiaTheme="minorEastAsia"/>
                <w:kern w:val="0"/>
                <w:sz w:val="24"/>
              </w:rPr>
            </w:pPr>
            <w:r w:rsidRPr="003E7238">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4,947,259,751.92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1F3466" w:rsidRDefault="00AF130E" w:rsidP="003B1316">
            <w:pPr>
              <w:spacing w:before="29" w:line="288" w:lineRule="auto"/>
              <w:jc w:val="right"/>
              <w:rPr>
                <w:sz w:val="24"/>
              </w:rPr>
            </w:pPr>
            <w:r w:rsidRPr="001F3466">
              <w:rPr>
                <w:rFonts w:hint="eastAsia"/>
                <w:sz w:val="24"/>
              </w:rPr>
              <w:t>4,947,259,751.92</w:t>
            </w:r>
          </w:p>
        </w:tc>
      </w:tr>
    </w:tbl>
    <w:p w:rsidR="00B5600D" w:rsidRDefault="00D91A1A">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、如果本报告期间发生转换入、红利再投、份额类别调整，则总申购份额中包含该业务；</w:t>
      </w:r>
    </w:p>
    <w:p w:rsidR="006D141C" w:rsidRPr="00D0515B" w:rsidRDefault="006821D7" w:rsidP="00F93B15">
      <w:pPr>
        <w:tabs>
          <w:tab w:val="left" w:pos="426"/>
        </w:tabs>
        <w:spacing w:before="29" w:line="288" w:lineRule="auto"/>
        <w:jc w:val="left"/>
        <w:rPr>
          <w:rFonts w:asciiTheme="minorEastAsia" w:eastAsiaTheme="minorEastAsia" w:hAnsiTheme="minorEastAsia"/>
          <w:bCs/>
          <w:szCs w:val="21"/>
        </w:rPr>
      </w:pPr>
      <w:r w:rsidRPr="00987B39">
        <w:rPr>
          <w:rFonts w:hint="eastAsia"/>
          <w:kern w:val="0"/>
          <w:sz w:val="24"/>
        </w:rPr>
        <w:t xml:space="preserve">    2</w:t>
      </w:r>
      <w:r w:rsidRPr="00987B39">
        <w:rPr>
          <w:rFonts w:hint="eastAsia"/>
          <w:kern w:val="0"/>
          <w:sz w:val="24"/>
        </w:rPr>
        <w:t>、如果本报告期间发生转换出、份额类别调整，则总赎回份额中包含该业务。</w:t>
      </w:r>
      <w:r w:rsidR="00F93B15">
        <w:rPr>
          <w:kern w:val="0"/>
          <w:sz w:val="24"/>
        </w:rPr>
        <w:br/>
      </w:r>
    </w:p>
    <w:p w:rsidR="006D141C" w:rsidRPr="005C0CEC" w:rsidRDefault="006D141C" w:rsidP="005C0CEC">
      <w:pPr>
        <w:spacing w:before="29" w:line="288" w:lineRule="auto"/>
        <w:rPr>
          <w:b/>
          <w:bCs/>
          <w:kern w:val="0"/>
          <w:sz w:val="24"/>
        </w:rPr>
      </w:pPr>
      <w:r w:rsidRPr="005C0CEC">
        <w:rPr>
          <w:rFonts w:hint="eastAsia"/>
          <w:b/>
          <w:bCs/>
          <w:kern w:val="0"/>
          <w:sz w:val="24"/>
        </w:rPr>
        <w:t>7.4.7.</w:t>
      </w:r>
      <w:r w:rsidR="008A28D4" w:rsidRPr="005C0CEC">
        <w:rPr>
          <w:rFonts w:hint="eastAsia"/>
          <w:b/>
          <w:bCs/>
          <w:kern w:val="0"/>
          <w:sz w:val="24"/>
        </w:rPr>
        <w:t>10</w:t>
      </w:r>
      <w:r w:rsidRPr="005C0CEC">
        <w:rPr>
          <w:rFonts w:hint="eastAsia"/>
          <w:b/>
          <w:bCs/>
          <w:kern w:val="0"/>
          <w:sz w:val="24"/>
        </w:rPr>
        <w:t>未分配利润</w:t>
      </w:r>
    </w:p>
    <w:p w:rsidR="006D141C" w:rsidRPr="005C0CEC" w:rsidRDefault="006D141C" w:rsidP="005C0CEC">
      <w:pPr>
        <w:spacing w:before="29" w:line="288" w:lineRule="auto"/>
        <w:rPr>
          <w:sz w:val="24"/>
        </w:rPr>
      </w:pPr>
      <w:r w:rsidRPr="005C0CEC">
        <w:rPr>
          <w:rFonts w:hint="eastAsia"/>
          <w:sz w:val="24"/>
        </w:rPr>
        <w:t>交银理财</w:t>
      </w:r>
      <w:r w:rsidRPr="005C0CEC">
        <w:rPr>
          <w:rFonts w:hint="eastAsia"/>
          <w:sz w:val="24"/>
        </w:rPr>
        <w:t>60</w:t>
      </w:r>
      <w:r w:rsidRPr="005C0CEC">
        <w:rPr>
          <w:rFonts w:hint="eastAsia"/>
          <w:sz w:val="24"/>
        </w:rPr>
        <w:t>天债券</w:t>
      </w:r>
      <w:r w:rsidRPr="005C0CEC">
        <w:rPr>
          <w:rFonts w:hint="eastAsia"/>
          <w:sz w:val="24"/>
        </w:rPr>
        <w:t>A</w:t>
      </w:r>
    </w:p>
    <w:p w:rsidR="006D141C" w:rsidRPr="005C0CEC" w:rsidRDefault="005B4215" w:rsidP="005C0CEC">
      <w:pPr>
        <w:adjustRightInd w:val="0"/>
        <w:snapToGrid w:val="0"/>
        <w:spacing w:before="29" w:line="288" w:lineRule="auto"/>
        <w:jc w:val="right"/>
        <w:rPr>
          <w:sz w:val="24"/>
        </w:rPr>
      </w:pPr>
      <w:r w:rsidRPr="005C0CEC">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hideMark/>
          </w:tcPr>
          <w:p w:rsidR="006D141C" w:rsidRPr="00FB6668" w:rsidRDefault="006D141C" w:rsidP="00FB6668">
            <w:pPr>
              <w:spacing w:before="29" w:line="288" w:lineRule="auto"/>
              <w:jc w:val="center"/>
              <w:rPr>
                <w:color w:val="000000"/>
                <w:sz w:val="24"/>
              </w:rPr>
            </w:pPr>
            <w:r w:rsidRPr="00FB6668">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jc w:val="center"/>
              <w:rPr>
                <w:color w:val="000000"/>
                <w:sz w:val="24"/>
              </w:rPr>
            </w:pPr>
            <w:r w:rsidRPr="00FB6668">
              <w:rPr>
                <w:rFonts w:hint="eastAsia"/>
                <w:color w:val="000000"/>
                <w:sz w:val="24"/>
              </w:rPr>
              <w:t>未分配利润合计</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115520" w:rsidP="00FB6668">
            <w:pPr>
              <w:spacing w:before="29" w:line="288" w:lineRule="auto"/>
              <w:rPr>
                <w:sz w:val="24"/>
              </w:rPr>
            </w:pPr>
            <w:r w:rsidRPr="00FB6668">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131243"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131243" w:rsidRPr="00FB6668" w:rsidRDefault="00131243" w:rsidP="00131243">
            <w:pPr>
              <w:spacing w:before="29" w:line="288" w:lineRule="auto"/>
              <w:rPr>
                <w:sz w:val="24"/>
              </w:rPr>
            </w:pPr>
            <w:r w:rsidRPr="00FB6668">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329,460.77</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329,460.77</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FB6668" w:rsidRDefault="006D141C" w:rsidP="00FB6668">
            <w:pPr>
              <w:spacing w:before="29" w:line="288" w:lineRule="auto"/>
              <w:rPr>
                <w:sz w:val="24"/>
              </w:rPr>
            </w:pPr>
            <w:r w:rsidRPr="00FB6668">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-329,460.77</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-329,460.77</w:t>
            </w:r>
          </w:p>
        </w:tc>
      </w:tr>
      <w:tr w:rsidR="00131243"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131243" w:rsidRPr="00FB6668" w:rsidRDefault="00131243" w:rsidP="00131243">
            <w:pPr>
              <w:spacing w:before="29" w:line="288" w:lineRule="auto"/>
              <w:rPr>
                <w:sz w:val="24"/>
              </w:rPr>
            </w:pPr>
            <w:r w:rsidRPr="00FB6668">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sidRPr="002A6A62">
              <w:rPr>
                <w:rFonts w:hint="eastAsia"/>
                <w:sz w:val="24"/>
              </w:rPr>
              <w:t>-</w:t>
            </w:r>
          </w:p>
        </w:tc>
      </w:tr>
    </w:tbl>
    <w:p w:rsidR="00415878" w:rsidRDefault="00415878" w:rsidP="009958FB">
      <w:pPr>
        <w:adjustRightInd w:val="0"/>
        <w:snapToGrid w:val="0"/>
        <w:spacing w:before="29" w:line="288" w:lineRule="auto"/>
        <w:rPr>
          <w:sz w:val="24"/>
        </w:rPr>
      </w:pPr>
    </w:p>
    <w:p w:rsidR="006D141C" w:rsidRPr="009958FB" w:rsidRDefault="006D141C" w:rsidP="009958FB">
      <w:pPr>
        <w:adjustRightInd w:val="0"/>
        <w:snapToGrid w:val="0"/>
        <w:spacing w:before="29" w:line="288" w:lineRule="auto"/>
        <w:rPr>
          <w:sz w:val="24"/>
        </w:rPr>
      </w:pPr>
      <w:r w:rsidRPr="009958FB">
        <w:rPr>
          <w:rFonts w:hint="eastAsia"/>
          <w:sz w:val="24"/>
        </w:rPr>
        <w:t>交银理财</w:t>
      </w:r>
      <w:r w:rsidRPr="009958FB">
        <w:rPr>
          <w:rFonts w:hint="eastAsia"/>
          <w:sz w:val="24"/>
        </w:rPr>
        <w:t>60</w:t>
      </w:r>
      <w:r w:rsidRPr="009958FB">
        <w:rPr>
          <w:rFonts w:hint="eastAsia"/>
          <w:sz w:val="24"/>
        </w:rPr>
        <w:t>天债券</w:t>
      </w:r>
      <w:r w:rsidRPr="009958FB">
        <w:rPr>
          <w:rFonts w:hint="eastAsia"/>
          <w:sz w:val="24"/>
        </w:rPr>
        <w:t>B</w:t>
      </w:r>
    </w:p>
    <w:p w:rsidR="006D141C" w:rsidRPr="009958FB" w:rsidRDefault="005B4215" w:rsidP="009958FB">
      <w:pPr>
        <w:adjustRightInd w:val="0"/>
        <w:snapToGrid w:val="0"/>
        <w:spacing w:before="29" w:line="288" w:lineRule="auto"/>
        <w:jc w:val="right"/>
        <w:rPr>
          <w:sz w:val="24"/>
        </w:rPr>
      </w:pPr>
      <w:r w:rsidRPr="009958FB">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hideMark/>
          </w:tcPr>
          <w:p w:rsidR="006D141C" w:rsidRPr="009958FB" w:rsidRDefault="006D141C" w:rsidP="009958FB">
            <w:pPr>
              <w:spacing w:before="29" w:line="288" w:lineRule="auto"/>
              <w:jc w:val="center"/>
              <w:rPr>
                <w:color w:val="000000"/>
                <w:sz w:val="24"/>
              </w:rPr>
            </w:pPr>
            <w:r w:rsidRPr="009958FB">
              <w:rPr>
                <w:rFonts w:hint="eastAsia"/>
                <w:color w:val="000000"/>
                <w:sz w:val="24"/>
              </w:rPr>
              <w:t>项目</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已实现部分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未实现部分</w:t>
            </w:r>
          </w:p>
        </w:tc>
        <w:tc>
          <w:tcPr>
            <w:tcW w:w="2138"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jc w:val="center"/>
              <w:rPr>
                <w:color w:val="000000"/>
                <w:sz w:val="24"/>
              </w:rPr>
            </w:pPr>
            <w:r w:rsidRPr="009958FB">
              <w:rPr>
                <w:rFonts w:hint="eastAsia"/>
                <w:color w:val="000000"/>
                <w:sz w:val="24"/>
              </w:rPr>
              <w:t>未分配利润合计</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115520" w:rsidP="009958FB">
            <w:pPr>
              <w:spacing w:before="29" w:line="288" w:lineRule="auto"/>
              <w:rPr>
                <w:sz w:val="24"/>
              </w:rPr>
            </w:pPr>
            <w:r w:rsidRPr="009958FB">
              <w:rPr>
                <w:sz w:val="24"/>
              </w:rPr>
              <w:t>上年度末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3B1316">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131243"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131243" w:rsidRPr="009958FB" w:rsidRDefault="00131243" w:rsidP="00131243">
            <w:pPr>
              <w:spacing w:before="29" w:line="288" w:lineRule="auto"/>
              <w:rPr>
                <w:sz w:val="24"/>
              </w:rPr>
            </w:pPr>
            <w:r w:rsidRPr="009958FB">
              <w:rPr>
                <w:rFonts w:hint="eastAsia"/>
                <w:sz w:val="24"/>
              </w:rPr>
              <w:t>本期利润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108,319,174.48</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108,319,174.48</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本期基金份额交易产生的变动数</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其中：基金申购款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基金赎回款</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r>
      <w:tr w:rsidR="002C233F"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6D141C" w:rsidRPr="009958FB" w:rsidRDefault="006D141C" w:rsidP="009958FB">
            <w:pPr>
              <w:spacing w:before="29" w:line="288" w:lineRule="auto"/>
              <w:rPr>
                <w:sz w:val="24"/>
              </w:rPr>
            </w:pPr>
            <w:r w:rsidRPr="009958FB">
              <w:rPr>
                <w:rFonts w:hint="eastAsia"/>
                <w:sz w:val="24"/>
              </w:rPr>
              <w:t>本期已分配利润</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-108,319,174.48</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D32085" w:rsidP="002A6A62">
            <w:pPr>
              <w:spacing w:before="29" w:line="288" w:lineRule="auto"/>
              <w:jc w:val="right"/>
              <w:rPr>
                <w:sz w:val="24"/>
              </w:rPr>
            </w:pPr>
            <w:r>
              <w:rPr>
                <w:rFonts w:hint="eastAsia"/>
                <w:sz w:val="24"/>
              </w:rPr>
              <w:t>-108,319,174.48</w:t>
            </w:r>
          </w:p>
        </w:tc>
      </w:tr>
      <w:tr w:rsidR="00131243" w:rsidRPr="00D0515B" w:rsidTr="00131243">
        <w:tc>
          <w:tcPr>
            <w:tcW w:w="2584" w:type="dxa"/>
            <w:tcBorders>
              <w:top w:val="single" w:sz="4" w:space="0" w:color="000000"/>
              <w:left w:val="single" w:sz="4" w:space="0" w:color="000000"/>
              <w:bottom w:val="single" w:sz="4" w:space="0" w:color="000000"/>
              <w:right w:val="single" w:sz="4" w:space="0" w:color="000000"/>
            </w:tcBorders>
            <w:vAlign w:val="center"/>
            <w:hideMark/>
          </w:tcPr>
          <w:p w:rsidR="00131243" w:rsidRPr="009958FB" w:rsidRDefault="00131243" w:rsidP="00131243">
            <w:pPr>
              <w:spacing w:before="29" w:line="288" w:lineRule="auto"/>
              <w:rPr>
                <w:sz w:val="24"/>
              </w:rPr>
            </w:pPr>
            <w:r w:rsidRPr="009958FB">
              <w:rPr>
                <w:rFonts w:hint="eastAsia"/>
                <w:sz w:val="24"/>
              </w:rPr>
              <w:t>本期末</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w:t>
            </w:r>
          </w:p>
        </w:tc>
        <w:tc>
          <w:tcPr>
            <w:tcW w:w="2138" w:type="dxa"/>
            <w:tcBorders>
              <w:top w:val="single" w:sz="4" w:space="0" w:color="000000"/>
              <w:left w:val="single" w:sz="4" w:space="0" w:color="000000"/>
              <w:bottom w:val="single" w:sz="4" w:space="0" w:color="000000"/>
              <w:right w:val="single" w:sz="4" w:space="0" w:color="000000"/>
            </w:tcBorders>
            <w:vAlign w:val="bottom"/>
            <w:hideMark/>
          </w:tcPr>
          <w:p w:rsidR="00131243" w:rsidRPr="002A6A62" w:rsidRDefault="00131243" w:rsidP="00131243">
            <w:pPr>
              <w:spacing w:before="29" w:line="288" w:lineRule="auto"/>
              <w:jc w:val="right"/>
              <w:rPr>
                <w:sz w:val="24"/>
              </w:rPr>
            </w:pPr>
            <w:r>
              <w:rPr>
                <w:rFonts w:hint="eastAsia"/>
                <w:sz w:val="24"/>
              </w:rPr>
              <w:t>-</w:t>
            </w:r>
          </w:p>
        </w:tc>
      </w:tr>
    </w:tbl>
    <w:p w:rsidR="00415878" w:rsidRDefault="00415878" w:rsidP="006A5E35">
      <w:pPr>
        <w:spacing w:before="29" w:line="288" w:lineRule="auto"/>
        <w:rPr>
          <w:b/>
          <w:bCs/>
          <w:kern w:val="0"/>
          <w:sz w:val="24"/>
        </w:rPr>
      </w:pPr>
    </w:p>
    <w:p w:rsidR="006D141C" w:rsidRPr="006A5E35" w:rsidRDefault="006D141C" w:rsidP="006A5E35">
      <w:pPr>
        <w:spacing w:before="29" w:line="288" w:lineRule="auto"/>
        <w:rPr>
          <w:b/>
          <w:bCs/>
          <w:kern w:val="0"/>
          <w:sz w:val="24"/>
        </w:rPr>
      </w:pPr>
      <w:r w:rsidRPr="006A5E35">
        <w:rPr>
          <w:rFonts w:hint="eastAsia"/>
          <w:b/>
          <w:bCs/>
          <w:kern w:val="0"/>
          <w:sz w:val="24"/>
        </w:rPr>
        <w:t>7.4.7.</w:t>
      </w:r>
      <w:r w:rsidR="008A28D4" w:rsidRPr="006A5E35">
        <w:rPr>
          <w:rFonts w:hint="eastAsia"/>
          <w:b/>
          <w:bCs/>
          <w:kern w:val="0"/>
          <w:sz w:val="24"/>
        </w:rPr>
        <w:t>11</w:t>
      </w:r>
      <w:r w:rsidRPr="006A5E35">
        <w:rPr>
          <w:rFonts w:hint="eastAsia"/>
          <w:b/>
          <w:bCs/>
          <w:kern w:val="0"/>
          <w:sz w:val="24"/>
        </w:rPr>
        <w:t>存款利息收入</w:t>
      </w:r>
    </w:p>
    <w:p w:rsidR="006D141C" w:rsidRPr="006A5E35" w:rsidRDefault="005B4215" w:rsidP="006A5E35">
      <w:pPr>
        <w:spacing w:before="29" w:line="288" w:lineRule="auto"/>
        <w:jc w:val="right"/>
        <w:rPr>
          <w:sz w:val="24"/>
        </w:rPr>
      </w:pPr>
      <w:r w:rsidRPr="006A5E35">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本期</w:t>
            </w:r>
          </w:p>
          <w:p w:rsidR="006D141C" w:rsidRPr="006A5E35" w:rsidRDefault="006D141C" w:rsidP="006A5E35">
            <w:pPr>
              <w:spacing w:before="29" w:line="288" w:lineRule="auto"/>
              <w:jc w:val="center"/>
              <w:rPr>
                <w:sz w:val="24"/>
              </w:rPr>
            </w:pPr>
            <w:r w:rsidRPr="006A5E35">
              <w:rPr>
                <w:rFonts w:hint="eastAsia"/>
                <w:sz w:val="24"/>
              </w:rPr>
              <w:t>2017</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2017</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jc w:val="center"/>
              <w:rPr>
                <w:sz w:val="24"/>
              </w:rPr>
            </w:pPr>
            <w:r w:rsidRPr="006A5E35">
              <w:rPr>
                <w:rFonts w:hint="eastAsia"/>
                <w:sz w:val="24"/>
              </w:rPr>
              <w:t>上年度可比期间</w:t>
            </w:r>
          </w:p>
          <w:p w:rsidR="006D141C" w:rsidRPr="006A5E35" w:rsidRDefault="006D64C2" w:rsidP="006A5E35">
            <w:pPr>
              <w:spacing w:before="29" w:line="288" w:lineRule="auto"/>
              <w:jc w:val="center"/>
              <w:rPr>
                <w:sz w:val="24"/>
              </w:rPr>
            </w:pPr>
            <w:r w:rsidRPr="006A5E35">
              <w:rPr>
                <w:rFonts w:hint="eastAsia"/>
                <w:sz w:val="24"/>
              </w:rPr>
              <w:t>2016</w:t>
            </w:r>
            <w:r w:rsidRPr="006A5E35">
              <w:rPr>
                <w:rFonts w:hint="eastAsia"/>
                <w:sz w:val="24"/>
              </w:rPr>
              <w:t>年</w:t>
            </w:r>
            <w:r w:rsidRPr="006A5E35">
              <w:rPr>
                <w:rFonts w:hint="eastAsia"/>
                <w:sz w:val="24"/>
              </w:rPr>
              <w:t>1</w:t>
            </w:r>
            <w:r w:rsidRPr="006A5E35">
              <w:rPr>
                <w:rFonts w:hint="eastAsia"/>
                <w:sz w:val="24"/>
              </w:rPr>
              <w:t>月</w:t>
            </w:r>
            <w:r w:rsidRPr="006A5E35">
              <w:rPr>
                <w:rFonts w:hint="eastAsia"/>
                <w:sz w:val="24"/>
              </w:rPr>
              <w:t>1</w:t>
            </w:r>
            <w:r w:rsidRPr="006A5E35">
              <w:rPr>
                <w:rFonts w:hint="eastAsia"/>
                <w:sz w:val="24"/>
              </w:rPr>
              <w:t>日至</w:t>
            </w:r>
            <w:r w:rsidRPr="006A5E35">
              <w:rPr>
                <w:rFonts w:hint="eastAsia"/>
                <w:sz w:val="24"/>
              </w:rPr>
              <w:t>2016</w:t>
            </w:r>
            <w:r w:rsidRPr="006A5E35">
              <w:rPr>
                <w:rFonts w:hint="eastAsia"/>
                <w:sz w:val="24"/>
              </w:rPr>
              <w:t>年</w:t>
            </w:r>
            <w:r w:rsidRPr="006A5E35">
              <w:rPr>
                <w:rFonts w:hint="eastAsia"/>
                <w:sz w:val="24"/>
              </w:rPr>
              <w:t>12</w:t>
            </w:r>
            <w:r w:rsidRPr="006A5E35">
              <w:rPr>
                <w:rFonts w:hint="eastAsia"/>
                <w:sz w:val="24"/>
              </w:rPr>
              <w:t>月</w:t>
            </w:r>
            <w:r w:rsidRPr="006A5E35">
              <w:rPr>
                <w:rFonts w:hint="eastAsia"/>
                <w:sz w:val="24"/>
              </w:rPr>
              <w:t>31</w:t>
            </w:r>
            <w:r w:rsidRPr="006A5E35">
              <w:rPr>
                <w:rFonts w:hint="eastAsia"/>
                <w:sz w:val="24"/>
              </w:rPr>
              <w:t>日</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131,503.92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77,033.60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11,924,639.24</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225,048.52</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7,519.65</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13,464.00</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51.88</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w:t>
            </w:r>
          </w:p>
        </w:tc>
      </w:tr>
      <w:tr w:rsidR="002C233F" w:rsidRPr="00D0515B"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6A5E35" w:rsidRDefault="006D141C" w:rsidP="006A5E35">
            <w:pPr>
              <w:spacing w:before="29" w:line="288" w:lineRule="auto"/>
              <w:rPr>
                <w:sz w:val="24"/>
              </w:rPr>
            </w:pPr>
            <w:r w:rsidRPr="006A5E35">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12,063,714.69</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315,546.12</w:t>
            </w:r>
          </w:p>
        </w:tc>
      </w:tr>
    </w:tbl>
    <w:p w:rsidR="006D141C" w:rsidRPr="00D0515B" w:rsidRDefault="006D141C" w:rsidP="004B36C2">
      <w:pPr>
        <w:spacing w:line="360" w:lineRule="auto"/>
        <w:rPr>
          <w:rFonts w:asciiTheme="minorEastAsia" w:eastAsiaTheme="minorEastAsia" w:hAnsiTheme="minorEastAsia"/>
          <w:szCs w:val="21"/>
        </w:rPr>
      </w:pPr>
    </w:p>
    <w:p w:rsidR="006D141C" w:rsidRPr="0021542B" w:rsidRDefault="006D141C" w:rsidP="0021542B">
      <w:pPr>
        <w:spacing w:before="29" w:line="288" w:lineRule="auto"/>
        <w:rPr>
          <w:b/>
          <w:bCs/>
          <w:kern w:val="0"/>
          <w:sz w:val="24"/>
        </w:rPr>
      </w:pPr>
      <w:r w:rsidRPr="0021542B">
        <w:rPr>
          <w:rFonts w:hint="eastAsia"/>
          <w:b/>
          <w:bCs/>
          <w:kern w:val="0"/>
          <w:sz w:val="24"/>
        </w:rPr>
        <w:t>7.4.7.</w:t>
      </w:r>
      <w:r w:rsidR="008A28D4" w:rsidRPr="0021542B">
        <w:rPr>
          <w:rFonts w:hint="eastAsia"/>
          <w:b/>
          <w:bCs/>
          <w:kern w:val="0"/>
          <w:sz w:val="24"/>
        </w:rPr>
        <w:t>1</w:t>
      </w:r>
      <w:r w:rsidR="00B030C4">
        <w:rPr>
          <w:b/>
          <w:bCs/>
          <w:kern w:val="0"/>
          <w:sz w:val="24"/>
        </w:rPr>
        <w:t>2</w:t>
      </w:r>
      <w:r w:rsidRPr="0021542B">
        <w:rPr>
          <w:rFonts w:hint="eastAsia"/>
          <w:b/>
          <w:bCs/>
          <w:kern w:val="0"/>
          <w:sz w:val="24"/>
        </w:rPr>
        <w:t>债券投资收益</w:t>
      </w:r>
    </w:p>
    <w:p w:rsidR="008C6E0B" w:rsidRPr="005A6E6C" w:rsidRDefault="008C6E0B" w:rsidP="008C6E0B">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8C6E0B" w:rsidRPr="005A6E6C" w:rsidTr="00D32085">
        <w:trPr>
          <w:trHeight w:val="315"/>
        </w:trPr>
        <w:tc>
          <w:tcPr>
            <w:tcW w:w="4129" w:type="dxa"/>
            <w:vAlign w:val="center"/>
          </w:tcPr>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本期</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8C6E0B" w:rsidRPr="000F1CA9" w:rsidRDefault="008C6E0B" w:rsidP="00D32085">
            <w:pPr>
              <w:widowControl/>
              <w:spacing w:before="29" w:line="288" w:lineRule="auto"/>
              <w:ind w:right="-15"/>
              <w:jc w:val="center"/>
              <w:rPr>
                <w:color w:val="000000"/>
                <w:sz w:val="24"/>
              </w:rPr>
            </w:pPr>
            <w:r w:rsidRPr="000F1CA9">
              <w:rPr>
                <w:color w:val="000000"/>
                <w:sz w:val="24"/>
              </w:rPr>
              <w:t>上年度可比期间</w:t>
            </w:r>
          </w:p>
          <w:p w:rsidR="008C6E0B" w:rsidRPr="000F1CA9" w:rsidRDefault="008C6E0B" w:rsidP="00D3208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卖出债券（</w:t>
            </w:r>
            <w:r w:rsidR="008C6E0B"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7,888,129,148.14</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2,016,188,904.67</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6247B8" w:rsidP="00D32085">
            <w:pPr>
              <w:spacing w:before="29" w:line="288" w:lineRule="auto"/>
              <w:rPr>
                <w:color w:val="000000"/>
                <w:sz w:val="24"/>
              </w:rPr>
            </w:pPr>
            <w:r>
              <w:rPr>
                <w:color w:val="000000"/>
                <w:sz w:val="24"/>
              </w:rPr>
              <w:t>减：卖出债券（</w:t>
            </w:r>
            <w:r w:rsidR="008C6E0B"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7,875,414,204.99</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2,015,786,761.01</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D3208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12,705,387.67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469,952.46</w:t>
            </w:r>
          </w:p>
        </w:tc>
      </w:tr>
      <w:tr w:rsidR="008C6E0B" w:rsidRPr="005A6E6C"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B47916" w:rsidRDefault="008C6E0B" w:rsidP="006247B8">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9,555.48</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F47AFC" w:rsidRDefault="008C6E0B" w:rsidP="00D32085">
            <w:pPr>
              <w:spacing w:before="29" w:line="288" w:lineRule="auto"/>
              <w:jc w:val="right"/>
              <w:rPr>
                <w:color w:val="000000"/>
                <w:kern w:val="0"/>
                <w:sz w:val="24"/>
              </w:rPr>
            </w:pPr>
            <w:r w:rsidRPr="00F47AFC">
              <w:rPr>
                <w:rFonts w:hint="eastAsia"/>
                <w:color w:val="000000"/>
                <w:kern w:val="0"/>
                <w:sz w:val="24"/>
              </w:rPr>
              <w:t>-67,808.80</w:t>
            </w:r>
          </w:p>
        </w:tc>
      </w:tr>
    </w:tbl>
    <w:p w:rsidR="008C6E0B" w:rsidRPr="00DF3766" w:rsidRDefault="008C6E0B" w:rsidP="008C6E0B">
      <w:pPr>
        <w:tabs>
          <w:tab w:val="left" w:pos="426"/>
        </w:tabs>
        <w:spacing w:before="29" w:line="288" w:lineRule="auto"/>
        <w:jc w:val="left"/>
        <w:rPr>
          <w:kern w:val="0"/>
          <w:sz w:val="24"/>
        </w:rPr>
      </w:pPr>
    </w:p>
    <w:p w:rsidR="00CE32C9" w:rsidRPr="002A4193" w:rsidRDefault="00701818" w:rsidP="002A4193">
      <w:pPr>
        <w:spacing w:before="29" w:line="288" w:lineRule="auto"/>
        <w:rPr>
          <w:b/>
          <w:bCs/>
          <w:color w:val="000000"/>
          <w:kern w:val="0"/>
          <w:sz w:val="24"/>
        </w:rPr>
      </w:pPr>
      <w:r>
        <w:rPr>
          <w:b/>
          <w:bCs/>
          <w:color w:val="000000"/>
          <w:kern w:val="0"/>
          <w:sz w:val="24"/>
        </w:rPr>
        <w:t>7.4.7.</w:t>
      </w:r>
      <w:r w:rsidR="00CE32C9" w:rsidRPr="002A4193">
        <w:rPr>
          <w:rFonts w:hint="eastAsia"/>
          <w:b/>
          <w:bCs/>
          <w:color w:val="000000"/>
          <w:kern w:val="0"/>
          <w:sz w:val="24"/>
        </w:rPr>
        <w:t>1</w:t>
      </w:r>
      <w:r w:rsidR="00B030C4">
        <w:rPr>
          <w:b/>
          <w:bCs/>
          <w:color w:val="000000"/>
          <w:kern w:val="0"/>
          <w:sz w:val="24"/>
        </w:rPr>
        <w:t>3</w:t>
      </w:r>
      <w:r w:rsidR="00CE32C9" w:rsidRPr="002A4193">
        <w:rPr>
          <w:rFonts w:hint="eastAsia"/>
          <w:b/>
          <w:bCs/>
          <w:color w:val="000000"/>
          <w:kern w:val="0"/>
          <w:sz w:val="24"/>
        </w:rPr>
        <w:t xml:space="preserve"> </w:t>
      </w:r>
      <w:r w:rsidR="00CE32C9" w:rsidRPr="002A4193">
        <w:rPr>
          <w:rFonts w:hint="eastAsia"/>
          <w:b/>
          <w:bCs/>
          <w:color w:val="000000"/>
          <w:kern w:val="0"/>
          <w:sz w:val="24"/>
        </w:rPr>
        <w:t>资产支持证券投资收益</w:t>
      </w:r>
    </w:p>
    <w:p w:rsidR="00A77CFC" w:rsidRPr="0091212A"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6D141C" w:rsidRPr="00A77CFC" w:rsidRDefault="006D141C" w:rsidP="004B36C2">
      <w:pPr>
        <w:spacing w:line="360" w:lineRule="auto"/>
        <w:rPr>
          <w:rFonts w:asciiTheme="minorEastAsia" w:eastAsiaTheme="minorEastAsia" w:hAnsiTheme="minorEastAsia"/>
          <w:szCs w:val="21"/>
        </w:rPr>
      </w:pPr>
    </w:p>
    <w:p w:rsidR="006D141C" w:rsidRPr="009D3A77" w:rsidRDefault="006D141C" w:rsidP="009D3A77">
      <w:pPr>
        <w:spacing w:before="29" w:line="288" w:lineRule="auto"/>
        <w:rPr>
          <w:b/>
          <w:bCs/>
          <w:kern w:val="0"/>
          <w:sz w:val="24"/>
        </w:rPr>
      </w:pPr>
      <w:r w:rsidRPr="009D3A77">
        <w:rPr>
          <w:rFonts w:hint="eastAsia"/>
          <w:b/>
          <w:bCs/>
          <w:kern w:val="0"/>
          <w:sz w:val="24"/>
        </w:rPr>
        <w:t>7.4.7.</w:t>
      </w:r>
      <w:r w:rsidR="008A28D4" w:rsidRPr="009D3A77">
        <w:rPr>
          <w:rFonts w:hint="eastAsia"/>
          <w:b/>
          <w:bCs/>
          <w:kern w:val="0"/>
          <w:sz w:val="24"/>
        </w:rPr>
        <w:t>1</w:t>
      </w:r>
      <w:r w:rsidR="00B030C4">
        <w:rPr>
          <w:b/>
          <w:bCs/>
          <w:kern w:val="0"/>
          <w:sz w:val="24"/>
        </w:rPr>
        <w:t>4</w:t>
      </w:r>
      <w:r w:rsidRPr="009D3A77">
        <w:rPr>
          <w:rFonts w:hint="eastAsia"/>
          <w:b/>
          <w:bCs/>
          <w:kern w:val="0"/>
          <w:sz w:val="24"/>
        </w:rPr>
        <w:t>其他收入</w:t>
      </w:r>
    </w:p>
    <w:p w:rsidR="006D141C" w:rsidRDefault="006D141C" w:rsidP="00834571">
      <w:pPr>
        <w:tabs>
          <w:tab w:val="left" w:pos="426"/>
        </w:tabs>
        <w:spacing w:before="29" w:line="288" w:lineRule="auto"/>
        <w:jc w:val="left"/>
        <w:rPr>
          <w:kern w:val="0"/>
          <w:sz w:val="24"/>
        </w:rPr>
      </w:pPr>
      <w:r w:rsidRPr="00834571">
        <w:rPr>
          <w:rFonts w:hint="eastAsia"/>
          <w:kern w:val="0"/>
          <w:sz w:val="24"/>
        </w:rPr>
        <w:t>本基金本报告期内及上年度可比期间无其他收入。</w:t>
      </w:r>
    </w:p>
    <w:p w:rsidR="00415878" w:rsidRPr="00834571" w:rsidRDefault="00415878" w:rsidP="00834571">
      <w:pPr>
        <w:tabs>
          <w:tab w:val="left" w:pos="426"/>
        </w:tabs>
        <w:spacing w:before="29" w:line="288" w:lineRule="auto"/>
        <w:jc w:val="left"/>
        <w:rPr>
          <w:kern w:val="0"/>
          <w:sz w:val="24"/>
        </w:rPr>
      </w:pPr>
    </w:p>
    <w:p w:rsidR="006D141C" w:rsidRPr="008B7FD3" w:rsidRDefault="006D141C" w:rsidP="008B7FD3">
      <w:pPr>
        <w:spacing w:before="29" w:line="288" w:lineRule="auto"/>
        <w:rPr>
          <w:b/>
          <w:bCs/>
          <w:kern w:val="0"/>
          <w:sz w:val="24"/>
        </w:rPr>
      </w:pPr>
      <w:r w:rsidRPr="008B7FD3">
        <w:rPr>
          <w:rFonts w:hint="eastAsia"/>
          <w:b/>
          <w:bCs/>
          <w:kern w:val="0"/>
          <w:sz w:val="24"/>
        </w:rPr>
        <w:t>7.4.7.</w:t>
      </w:r>
      <w:r w:rsidR="008A28D4" w:rsidRPr="008B7FD3">
        <w:rPr>
          <w:rFonts w:hint="eastAsia"/>
          <w:b/>
          <w:bCs/>
          <w:kern w:val="0"/>
          <w:sz w:val="24"/>
        </w:rPr>
        <w:t>1</w:t>
      </w:r>
      <w:r w:rsidR="00B030C4">
        <w:rPr>
          <w:b/>
          <w:bCs/>
          <w:kern w:val="0"/>
          <w:sz w:val="24"/>
        </w:rPr>
        <w:t>5</w:t>
      </w:r>
      <w:r w:rsidRPr="008B7FD3">
        <w:rPr>
          <w:rFonts w:hint="eastAsia"/>
          <w:b/>
          <w:bCs/>
          <w:kern w:val="0"/>
          <w:sz w:val="24"/>
        </w:rPr>
        <w:t>其他费用</w:t>
      </w:r>
    </w:p>
    <w:p w:rsidR="006D141C" w:rsidRPr="008B7FD3" w:rsidRDefault="005B4215" w:rsidP="008B7FD3">
      <w:pPr>
        <w:tabs>
          <w:tab w:val="left" w:pos="7200"/>
          <w:tab w:val="left" w:pos="8280"/>
          <w:tab w:val="left" w:pos="9000"/>
        </w:tabs>
        <w:spacing w:before="29" w:line="288" w:lineRule="auto"/>
        <w:ind w:rightChars="-52" w:right="-109"/>
        <w:jc w:val="right"/>
        <w:rPr>
          <w:sz w:val="24"/>
        </w:rPr>
      </w:pPr>
      <w:r w:rsidRPr="008B7FD3">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jc w:val="center"/>
              <w:rPr>
                <w:sz w:val="24"/>
              </w:rPr>
            </w:pPr>
            <w:r w:rsidRPr="008B7FD3">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本期</w:t>
            </w:r>
          </w:p>
          <w:p w:rsidR="006D141C" w:rsidRPr="008B7FD3" w:rsidRDefault="006D141C" w:rsidP="008B7FD3">
            <w:pPr>
              <w:widowControl/>
              <w:autoSpaceDE w:val="0"/>
              <w:autoSpaceDN w:val="0"/>
              <w:spacing w:before="29" w:line="288" w:lineRule="auto"/>
              <w:ind w:right="-15"/>
              <w:jc w:val="center"/>
              <w:textAlignment w:val="bottom"/>
              <w:rPr>
                <w:sz w:val="24"/>
              </w:rPr>
            </w:pPr>
            <w:r w:rsidRPr="008B7FD3">
              <w:rPr>
                <w:rFonts w:hint="eastAsia"/>
                <w:sz w:val="24"/>
              </w:rPr>
              <w:t>2017</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2017</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8B7FD3" w:rsidRDefault="006D141C" w:rsidP="008B7FD3">
            <w:pPr>
              <w:spacing w:before="29" w:line="288" w:lineRule="auto"/>
              <w:jc w:val="center"/>
              <w:rPr>
                <w:sz w:val="24"/>
              </w:rPr>
            </w:pPr>
            <w:r w:rsidRPr="008B7FD3">
              <w:rPr>
                <w:rFonts w:hint="eastAsia"/>
                <w:sz w:val="24"/>
              </w:rPr>
              <w:t>上年度可比期间</w:t>
            </w:r>
          </w:p>
          <w:p w:rsidR="006D141C" w:rsidRPr="008B7FD3" w:rsidRDefault="006D64C2" w:rsidP="008B7FD3">
            <w:pPr>
              <w:widowControl/>
              <w:autoSpaceDE w:val="0"/>
              <w:autoSpaceDN w:val="0"/>
              <w:spacing w:before="29" w:line="288" w:lineRule="auto"/>
              <w:ind w:right="-15"/>
              <w:jc w:val="center"/>
              <w:textAlignment w:val="bottom"/>
              <w:rPr>
                <w:sz w:val="24"/>
              </w:rPr>
            </w:pPr>
            <w:r w:rsidRPr="008B7FD3">
              <w:rPr>
                <w:rFonts w:hint="eastAsia"/>
                <w:sz w:val="24"/>
              </w:rPr>
              <w:t>2016</w:t>
            </w:r>
            <w:r w:rsidRPr="008B7FD3">
              <w:rPr>
                <w:rFonts w:hint="eastAsia"/>
                <w:sz w:val="24"/>
              </w:rPr>
              <w:t>年</w:t>
            </w:r>
            <w:r w:rsidRPr="008B7FD3">
              <w:rPr>
                <w:rFonts w:hint="eastAsia"/>
                <w:sz w:val="24"/>
              </w:rPr>
              <w:t>1</w:t>
            </w:r>
            <w:r w:rsidRPr="008B7FD3">
              <w:rPr>
                <w:rFonts w:hint="eastAsia"/>
                <w:sz w:val="24"/>
              </w:rPr>
              <w:t>月</w:t>
            </w:r>
            <w:r w:rsidRPr="008B7FD3">
              <w:rPr>
                <w:rFonts w:hint="eastAsia"/>
                <w:sz w:val="24"/>
              </w:rPr>
              <w:t>1</w:t>
            </w:r>
            <w:r w:rsidRPr="008B7FD3">
              <w:rPr>
                <w:rFonts w:hint="eastAsia"/>
                <w:sz w:val="24"/>
              </w:rPr>
              <w:t>日至</w:t>
            </w:r>
            <w:r w:rsidRPr="008B7FD3">
              <w:rPr>
                <w:rFonts w:hint="eastAsia"/>
                <w:sz w:val="24"/>
              </w:rPr>
              <w:t>2016</w:t>
            </w:r>
            <w:r w:rsidRPr="008B7FD3">
              <w:rPr>
                <w:rFonts w:hint="eastAsia"/>
                <w:sz w:val="24"/>
              </w:rPr>
              <w:t>年</w:t>
            </w:r>
            <w:r w:rsidRPr="008B7FD3">
              <w:rPr>
                <w:rFonts w:hint="eastAsia"/>
                <w:sz w:val="24"/>
              </w:rPr>
              <w:t>12</w:t>
            </w:r>
            <w:r w:rsidRPr="008B7FD3">
              <w:rPr>
                <w:rFonts w:hint="eastAsia"/>
                <w:sz w:val="24"/>
              </w:rPr>
              <w:t>月</w:t>
            </w:r>
            <w:r w:rsidRPr="008B7FD3">
              <w:rPr>
                <w:rFonts w:hint="eastAsia"/>
                <w:sz w:val="24"/>
              </w:rPr>
              <w:t>31</w:t>
            </w:r>
            <w:r w:rsidRPr="008B7FD3">
              <w:rPr>
                <w:rFonts w:hint="eastAsia"/>
                <w:sz w:val="24"/>
              </w:rPr>
              <w:t>日</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50,000.00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40,000.00</w:t>
            </w:r>
          </w:p>
        </w:tc>
      </w:tr>
      <w:tr w:rsidR="002C233F" w:rsidRPr="00D0515B"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8B7FD3" w:rsidRDefault="006D141C" w:rsidP="008B7FD3">
            <w:pPr>
              <w:spacing w:before="29" w:line="288" w:lineRule="auto"/>
              <w:rPr>
                <w:sz w:val="24"/>
              </w:rPr>
            </w:pPr>
            <w:r w:rsidRPr="008B7FD3">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180,000.00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30,000.00</w:t>
            </w:r>
          </w:p>
        </w:tc>
      </w:tr>
      <w:tr w:rsidR="00B5600D">
        <w:trPr>
          <w:jc w:val="center"/>
        </w:trPr>
        <w:tc>
          <w:tcPr>
            <w:tcW w:w="2855" w:type="dxa"/>
            <w:vAlign w:val="center"/>
          </w:tcPr>
          <w:p w:rsidR="00B5600D" w:rsidRDefault="00D91A1A">
            <w:pPr>
              <w:jc w:val="left"/>
            </w:pPr>
            <w:r>
              <w:rPr>
                <w:rFonts w:hint="eastAsia"/>
                <w:sz w:val="24"/>
              </w:rPr>
              <w:t>银行汇划费</w:t>
            </w:r>
          </w:p>
        </w:tc>
        <w:tc>
          <w:tcPr>
            <w:tcW w:w="2893" w:type="dxa"/>
            <w:vAlign w:val="center"/>
          </w:tcPr>
          <w:p w:rsidR="00B5600D" w:rsidRDefault="00D91A1A">
            <w:pPr>
              <w:jc w:val="right"/>
            </w:pPr>
            <w:r>
              <w:rPr>
                <w:rFonts w:hint="eastAsia"/>
                <w:sz w:val="24"/>
              </w:rPr>
              <w:t>40,899.50</w:t>
            </w:r>
          </w:p>
        </w:tc>
        <w:tc>
          <w:tcPr>
            <w:tcW w:w="3367" w:type="dxa"/>
            <w:vAlign w:val="center"/>
          </w:tcPr>
          <w:p w:rsidR="00B5600D" w:rsidRDefault="00D91A1A">
            <w:pPr>
              <w:jc w:val="right"/>
            </w:pPr>
            <w:r>
              <w:rPr>
                <w:rFonts w:hint="eastAsia"/>
                <w:sz w:val="24"/>
              </w:rPr>
              <w:t>7,759.83</w:t>
            </w:r>
          </w:p>
        </w:tc>
      </w:tr>
      <w:tr w:rsidR="00B5600D">
        <w:trPr>
          <w:jc w:val="center"/>
        </w:trPr>
        <w:tc>
          <w:tcPr>
            <w:tcW w:w="2855" w:type="dxa"/>
            <w:vAlign w:val="center"/>
          </w:tcPr>
          <w:p w:rsidR="00B5600D" w:rsidRDefault="00D91A1A">
            <w:pPr>
              <w:jc w:val="left"/>
            </w:pPr>
            <w:r>
              <w:rPr>
                <w:rFonts w:hint="eastAsia"/>
                <w:sz w:val="24"/>
              </w:rPr>
              <w:t>债券帐户维护费</w:t>
            </w:r>
          </w:p>
        </w:tc>
        <w:tc>
          <w:tcPr>
            <w:tcW w:w="2893" w:type="dxa"/>
            <w:vAlign w:val="center"/>
          </w:tcPr>
          <w:p w:rsidR="00B5600D" w:rsidRDefault="00D91A1A">
            <w:pPr>
              <w:jc w:val="right"/>
            </w:pPr>
            <w:r>
              <w:rPr>
                <w:rFonts w:hint="eastAsia"/>
                <w:sz w:val="24"/>
              </w:rPr>
              <w:t>37,200.00</w:t>
            </w:r>
          </w:p>
        </w:tc>
        <w:tc>
          <w:tcPr>
            <w:tcW w:w="3367" w:type="dxa"/>
            <w:vAlign w:val="center"/>
          </w:tcPr>
          <w:p w:rsidR="00B5600D" w:rsidRDefault="00D91A1A">
            <w:pPr>
              <w:jc w:val="right"/>
            </w:pPr>
            <w:r>
              <w:rPr>
                <w:rFonts w:hint="eastAsia"/>
                <w:sz w:val="24"/>
              </w:rPr>
              <w:t>37,400.00</w:t>
            </w:r>
          </w:p>
        </w:tc>
      </w:tr>
      <w:tr w:rsidR="00B5600D">
        <w:trPr>
          <w:jc w:val="center"/>
        </w:trPr>
        <w:tc>
          <w:tcPr>
            <w:tcW w:w="2855" w:type="dxa"/>
            <w:vAlign w:val="center"/>
          </w:tcPr>
          <w:p w:rsidR="00B5600D" w:rsidRDefault="00D91A1A">
            <w:pPr>
              <w:jc w:val="left"/>
            </w:pPr>
            <w:r>
              <w:rPr>
                <w:rFonts w:hint="eastAsia"/>
                <w:sz w:val="24"/>
              </w:rPr>
              <w:t>其他</w:t>
            </w:r>
          </w:p>
        </w:tc>
        <w:tc>
          <w:tcPr>
            <w:tcW w:w="2893" w:type="dxa"/>
            <w:vAlign w:val="center"/>
          </w:tcPr>
          <w:p w:rsidR="00B5600D" w:rsidRDefault="00D91A1A">
            <w:pPr>
              <w:jc w:val="right"/>
            </w:pPr>
            <w:r>
              <w:rPr>
                <w:rFonts w:hint="eastAsia"/>
                <w:sz w:val="24"/>
              </w:rPr>
              <w:t>5,000.00</w:t>
            </w:r>
          </w:p>
        </w:tc>
        <w:tc>
          <w:tcPr>
            <w:tcW w:w="3367" w:type="dxa"/>
            <w:vAlign w:val="center"/>
          </w:tcPr>
          <w:p w:rsidR="00B5600D" w:rsidRDefault="00D91A1A">
            <w:pPr>
              <w:jc w:val="right"/>
            </w:pPr>
            <w:r>
              <w:rPr>
                <w:rFonts w:hint="eastAsia"/>
                <w:sz w:val="24"/>
              </w:rPr>
              <w:t>-</w:t>
            </w:r>
          </w:p>
        </w:tc>
      </w:tr>
      <w:tr w:rsidR="00B5600D">
        <w:trPr>
          <w:jc w:val="center"/>
        </w:trPr>
        <w:tc>
          <w:tcPr>
            <w:tcW w:w="2855" w:type="dxa"/>
            <w:vAlign w:val="center"/>
          </w:tcPr>
          <w:p w:rsidR="00B5600D" w:rsidRDefault="00D91A1A">
            <w:pPr>
              <w:jc w:val="left"/>
            </w:pPr>
            <w:r>
              <w:rPr>
                <w:rFonts w:hint="eastAsia"/>
                <w:sz w:val="24"/>
              </w:rPr>
              <w:t>公证费</w:t>
            </w:r>
          </w:p>
        </w:tc>
        <w:tc>
          <w:tcPr>
            <w:tcW w:w="2893" w:type="dxa"/>
            <w:vAlign w:val="center"/>
          </w:tcPr>
          <w:p w:rsidR="00B5600D" w:rsidRDefault="00D91A1A">
            <w:pPr>
              <w:jc w:val="right"/>
            </w:pPr>
            <w:r>
              <w:rPr>
                <w:rFonts w:hint="eastAsia"/>
                <w:sz w:val="24"/>
              </w:rPr>
              <w:t>-</w:t>
            </w:r>
          </w:p>
        </w:tc>
        <w:tc>
          <w:tcPr>
            <w:tcW w:w="3367" w:type="dxa"/>
            <w:vAlign w:val="center"/>
          </w:tcPr>
          <w:p w:rsidR="00B5600D" w:rsidRDefault="00D91A1A">
            <w:pPr>
              <w:jc w:val="right"/>
            </w:pPr>
            <w:r>
              <w:rPr>
                <w:rFonts w:hint="eastAsia"/>
                <w:sz w:val="24"/>
              </w:rPr>
              <w:t>10,000.00</w:t>
            </w:r>
          </w:p>
        </w:tc>
      </w:tr>
      <w:tr w:rsidR="002C233F" w:rsidRPr="00D0515B"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383FA0">
            <w:pPr>
              <w:spacing w:before="29" w:line="288" w:lineRule="auto"/>
              <w:rPr>
                <w:rFonts w:asciiTheme="minorEastAsia" w:eastAsiaTheme="minorEastAsia" w:hAnsiTheme="minorEastAsia"/>
                <w:szCs w:val="21"/>
              </w:rPr>
            </w:pPr>
            <w:r w:rsidRPr="00383FA0">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313,099.50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2A6A62" w:rsidRDefault="006D141C" w:rsidP="002A6A62">
            <w:pPr>
              <w:spacing w:before="29" w:line="288" w:lineRule="auto"/>
              <w:jc w:val="right"/>
              <w:rPr>
                <w:sz w:val="24"/>
              </w:rPr>
            </w:pPr>
            <w:r w:rsidRPr="002A6A62">
              <w:rPr>
                <w:rFonts w:hint="eastAsia"/>
                <w:sz w:val="24"/>
              </w:rPr>
              <w:t>125,159.83</w:t>
            </w:r>
          </w:p>
        </w:tc>
      </w:tr>
    </w:tbl>
    <w:p w:rsidR="006D141C" w:rsidRPr="00D0515B" w:rsidRDefault="006D141C" w:rsidP="004B36C2">
      <w:pPr>
        <w:spacing w:line="360" w:lineRule="auto"/>
        <w:rPr>
          <w:rFonts w:asciiTheme="minorEastAsia" w:eastAsiaTheme="minorEastAsia" w:hAnsiTheme="minorEastAsia"/>
          <w:szCs w:val="21"/>
        </w:rPr>
      </w:pP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w:t>
      </w:r>
      <w:r w:rsidR="008A28D4" w:rsidRPr="00335306">
        <w:rPr>
          <w:rFonts w:hint="eastAsia"/>
          <w:b/>
          <w:bCs/>
          <w:kern w:val="0"/>
          <w:sz w:val="24"/>
        </w:rPr>
        <w:t>8</w:t>
      </w:r>
      <w:r w:rsidRPr="00335306">
        <w:rPr>
          <w:rFonts w:hint="eastAsia"/>
          <w:b/>
          <w:bCs/>
          <w:kern w:val="0"/>
          <w:sz w:val="24"/>
        </w:rPr>
        <w:t>或有事项、资产负债表日后事项的说明</w:t>
      </w:r>
    </w:p>
    <w:p w:rsidR="006D141C" w:rsidRPr="00335306" w:rsidRDefault="006D141C" w:rsidP="00335306">
      <w:pPr>
        <w:autoSpaceDE w:val="0"/>
        <w:autoSpaceDN w:val="0"/>
        <w:adjustRightInd w:val="0"/>
        <w:spacing w:before="29" w:line="288" w:lineRule="auto"/>
        <w:jc w:val="left"/>
        <w:rPr>
          <w:b/>
          <w:bCs/>
          <w:kern w:val="0"/>
          <w:sz w:val="24"/>
        </w:rPr>
      </w:pPr>
      <w:r w:rsidRPr="00335306">
        <w:rPr>
          <w:rFonts w:hint="eastAsia"/>
          <w:b/>
          <w:bCs/>
          <w:kern w:val="0"/>
          <w:sz w:val="24"/>
        </w:rPr>
        <w:t>7.4.8.</w:t>
      </w:r>
      <w:r w:rsidR="008A28D4" w:rsidRPr="00335306">
        <w:rPr>
          <w:rFonts w:hint="eastAsia"/>
          <w:b/>
          <w:bCs/>
          <w:kern w:val="0"/>
          <w:sz w:val="24"/>
        </w:rPr>
        <w:t>1</w:t>
      </w:r>
      <w:r w:rsidRPr="00335306">
        <w:rPr>
          <w:rFonts w:hint="eastAsia"/>
          <w:b/>
          <w:bCs/>
          <w:kern w:val="0"/>
          <w:sz w:val="24"/>
        </w:rPr>
        <w:t xml:space="preserve"> </w:t>
      </w:r>
      <w:r w:rsidRPr="00335306">
        <w:rPr>
          <w:rFonts w:hint="eastAsia"/>
          <w:b/>
          <w:bCs/>
          <w:kern w:val="0"/>
          <w:sz w:val="24"/>
        </w:rPr>
        <w:t>或有事项</w:t>
      </w:r>
    </w:p>
    <w:p w:rsidR="006D141C" w:rsidRPr="00335306" w:rsidRDefault="006D141C" w:rsidP="00335306">
      <w:pPr>
        <w:tabs>
          <w:tab w:val="left" w:pos="426"/>
        </w:tabs>
        <w:spacing w:before="29" w:line="288" w:lineRule="auto"/>
        <w:ind w:firstLineChars="200" w:firstLine="480"/>
        <w:rPr>
          <w:kern w:val="0"/>
          <w:sz w:val="24"/>
        </w:rPr>
      </w:pPr>
      <w:r w:rsidRPr="00335306">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2F7B0D" w:rsidRDefault="006D141C" w:rsidP="002F7B0D">
      <w:pPr>
        <w:autoSpaceDE w:val="0"/>
        <w:autoSpaceDN w:val="0"/>
        <w:adjustRightInd w:val="0"/>
        <w:spacing w:before="29" w:line="288" w:lineRule="auto"/>
        <w:jc w:val="left"/>
        <w:rPr>
          <w:b/>
          <w:bCs/>
          <w:kern w:val="0"/>
          <w:sz w:val="24"/>
        </w:rPr>
      </w:pPr>
      <w:r w:rsidRPr="002F7B0D">
        <w:rPr>
          <w:rFonts w:hint="eastAsia"/>
          <w:b/>
          <w:bCs/>
          <w:kern w:val="0"/>
          <w:sz w:val="24"/>
        </w:rPr>
        <w:t>7.4.8.</w:t>
      </w:r>
      <w:r w:rsidR="008A28D4" w:rsidRPr="002F7B0D">
        <w:rPr>
          <w:rFonts w:hint="eastAsia"/>
          <w:b/>
          <w:bCs/>
          <w:kern w:val="0"/>
          <w:sz w:val="24"/>
        </w:rPr>
        <w:t>2</w:t>
      </w:r>
      <w:r w:rsidRPr="002F7B0D">
        <w:rPr>
          <w:rFonts w:hint="eastAsia"/>
          <w:b/>
          <w:bCs/>
          <w:kern w:val="0"/>
          <w:sz w:val="24"/>
        </w:rPr>
        <w:t xml:space="preserve"> </w:t>
      </w:r>
      <w:r w:rsidRPr="002F7B0D">
        <w:rPr>
          <w:rFonts w:hint="eastAsia"/>
          <w:b/>
          <w:bCs/>
          <w:kern w:val="0"/>
          <w:sz w:val="24"/>
        </w:rPr>
        <w:t>资产负债表日后事项</w:t>
      </w:r>
    </w:p>
    <w:p w:rsidR="006D141C" w:rsidRPr="00335306" w:rsidRDefault="00B030C4" w:rsidP="00335306">
      <w:pPr>
        <w:tabs>
          <w:tab w:val="left" w:pos="426"/>
        </w:tabs>
        <w:spacing w:before="29" w:line="288" w:lineRule="auto"/>
        <w:ind w:firstLineChars="200" w:firstLine="480"/>
        <w:rPr>
          <w:kern w:val="0"/>
          <w:sz w:val="24"/>
        </w:rPr>
      </w:pPr>
      <w:r w:rsidRPr="00B030C4">
        <w:rPr>
          <w:rFonts w:hint="eastAsia"/>
          <w:kern w:val="0"/>
          <w:sz w:val="24"/>
        </w:rPr>
        <w:t>无。</w:t>
      </w:r>
    </w:p>
    <w:p w:rsidR="006D141C" w:rsidRPr="00D0515B"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131DD1" w:rsidRDefault="00E571BC" w:rsidP="00131DD1">
      <w:pPr>
        <w:autoSpaceDE w:val="0"/>
        <w:autoSpaceDN w:val="0"/>
        <w:adjustRightInd w:val="0"/>
        <w:spacing w:before="29" w:line="288" w:lineRule="auto"/>
        <w:jc w:val="left"/>
        <w:rPr>
          <w:b/>
          <w:bCs/>
          <w:kern w:val="0"/>
          <w:sz w:val="24"/>
        </w:rPr>
      </w:pPr>
      <w:r w:rsidRPr="00131DD1">
        <w:rPr>
          <w:rFonts w:hint="eastAsia"/>
          <w:b/>
          <w:bCs/>
          <w:kern w:val="0"/>
          <w:sz w:val="24"/>
        </w:rPr>
        <w:t>7.4.</w:t>
      </w:r>
      <w:r w:rsidR="008A28D4" w:rsidRPr="00131DD1">
        <w:rPr>
          <w:rFonts w:hint="eastAsia"/>
          <w:b/>
          <w:bCs/>
          <w:kern w:val="0"/>
          <w:sz w:val="24"/>
        </w:rPr>
        <w:t>9</w:t>
      </w:r>
      <w:r w:rsidRPr="00131DD1">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2C233F" w:rsidRPr="00D0515B"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173AC6" w:rsidRDefault="006D141C" w:rsidP="00173AC6">
            <w:pPr>
              <w:spacing w:before="29" w:line="288" w:lineRule="auto"/>
              <w:jc w:val="center"/>
              <w:rPr>
                <w:sz w:val="24"/>
              </w:rPr>
            </w:pPr>
            <w:r w:rsidRPr="00173AC6">
              <w:rPr>
                <w:rFonts w:hint="eastAsia"/>
                <w:sz w:val="24"/>
              </w:rPr>
              <w:t>与本基金的关系</w:t>
            </w:r>
          </w:p>
        </w:tc>
      </w:tr>
      <w:tr w:rsidR="00B5600D">
        <w:tc>
          <w:tcPr>
            <w:tcW w:w="5220" w:type="dxa"/>
            <w:vAlign w:val="center"/>
          </w:tcPr>
          <w:p w:rsidR="00B5600D" w:rsidRDefault="00D91A1A">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80" w:type="dxa"/>
            <w:vAlign w:val="center"/>
          </w:tcPr>
          <w:p w:rsidR="00B5600D" w:rsidRDefault="00D91A1A">
            <w:pPr>
              <w:jc w:val="left"/>
            </w:pPr>
            <w:r>
              <w:rPr>
                <w:rFonts w:hint="eastAsia"/>
                <w:sz w:val="24"/>
              </w:rPr>
              <w:t>基金管理人、基金销售机构</w:t>
            </w:r>
          </w:p>
        </w:tc>
      </w:tr>
      <w:tr w:rsidR="00B5600D">
        <w:tc>
          <w:tcPr>
            <w:tcW w:w="5220" w:type="dxa"/>
            <w:vAlign w:val="center"/>
          </w:tcPr>
          <w:p w:rsidR="00B5600D" w:rsidRDefault="00D91A1A">
            <w:pPr>
              <w:jc w:val="left"/>
            </w:pPr>
            <w:r>
              <w:rPr>
                <w:rFonts w:hint="eastAsia"/>
                <w:sz w:val="24"/>
              </w:rPr>
              <w:t>中国建设银行股份有限公司</w:t>
            </w:r>
            <w:r>
              <w:rPr>
                <w:rFonts w:hint="eastAsia"/>
                <w:sz w:val="24"/>
              </w:rPr>
              <w:t>(</w:t>
            </w:r>
            <w:r>
              <w:rPr>
                <w:rFonts w:hint="eastAsia"/>
                <w:sz w:val="24"/>
              </w:rPr>
              <w:t>“中国建设银行”</w:t>
            </w:r>
            <w:r>
              <w:rPr>
                <w:rFonts w:hint="eastAsia"/>
                <w:sz w:val="24"/>
              </w:rPr>
              <w:t>)</w:t>
            </w:r>
          </w:p>
        </w:tc>
        <w:tc>
          <w:tcPr>
            <w:tcW w:w="3780" w:type="dxa"/>
            <w:vAlign w:val="center"/>
          </w:tcPr>
          <w:p w:rsidR="00B5600D" w:rsidRDefault="00D91A1A">
            <w:pPr>
              <w:jc w:val="left"/>
            </w:pPr>
            <w:r>
              <w:rPr>
                <w:rFonts w:hint="eastAsia"/>
                <w:sz w:val="24"/>
              </w:rPr>
              <w:t>基金托管人、基金销售机构</w:t>
            </w:r>
          </w:p>
        </w:tc>
      </w:tr>
      <w:tr w:rsidR="00B5600D">
        <w:tc>
          <w:tcPr>
            <w:tcW w:w="5220" w:type="dxa"/>
            <w:vAlign w:val="center"/>
          </w:tcPr>
          <w:p w:rsidR="00B5600D" w:rsidRDefault="00D91A1A">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80" w:type="dxa"/>
            <w:vAlign w:val="center"/>
          </w:tcPr>
          <w:p w:rsidR="00B5600D" w:rsidRDefault="00D91A1A">
            <w:pPr>
              <w:jc w:val="left"/>
            </w:pPr>
            <w:r>
              <w:rPr>
                <w:rFonts w:hint="eastAsia"/>
                <w:sz w:val="24"/>
              </w:rPr>
              <w:t>基金管理人的股东、基金销售机构</w:t>
            </w:r>
          </w:p>
        </w:tc>
      </w:tr>
      <w:tr w:rsidR="00B5600D">
        <w:tc>
          <w:tcPr>
            <w:tcW w:w="5220" w:type="dxa"/>
            <w:vAlign w:val="center"/>
          </w:tcPr>
          <w:p w:rsidR="00B5600D" w:rsidRDefault="00D91A1A">
            <w:pPr>
              <w:jc w:val="left"/>
            </w:pPr>
            <w:r>
              <w:rPr>
                <w:rFonts w:hint="eastAsia"/>
                <w:sz w:val="24"/>
              </w:rPr>
              <w:t>施罗德投资管理有限公司</w:t>
            </w:r>
          </w:p>
        </w:tc>
        <w:tc>
          <w:tcPr>
            <w:tcW w:w="3780" w:type="dxa"/>
            <w:vAlign w:val="center"/>
          </w:tcPr>
          <w:p w:rsidR="00B5600D" w:rsidRDefault="00D91A1A">
            <w:pPr>
              <w:jc w:val="left"/>
            </w:pPr>
            <w:r>
              <w:rPr>
                <w:rFonts w:hint="eastAsia"/>
                <w:sz w:val="24"/>
              </w:rPr>
              <w:t>基金管理人的股东</w:t>
            </w:r>
          </w:p>
        </w:tc>
      </w:tr>
      <w:tr w:rsidR="00B5600D">
        <w:tc>
          <w:tcPr>
            <w:tcW w:w="5220" w:type="dxa"/>
            <w:vAlign w:val="center"/>
          </w:tcPr>
          <w:p w:rsidR="00B5600D" w:rsidRDefault="00D91A1A">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80" w:type="dxa"/>
            <w:vAlign w:val="center"/>
          </w:tcPr>
          <w:p w:rsidR="00B5600D" w:rsidRDefault="00D91A1A">
            <w:pPr>
              <w:jc w:val="left"/>
            </w:pPr>
            <w:r>
              <w:rPr>
                <w:rFonts w:hint="eastAsia"/>
                <w:sz w:val="24"/>
              </w:rPr>
              <w:t>基金管理人的股东</w:t>
            </w:r>
          </w:p>
        </w:tc>
      </w:tr>
      <w:tr w:rsidR="00B5600D">
        <w:tc>
          <w:tcPr>
            <w:tcW w:w="5220" w:type="dxa"/>
            <w:vAlign w:val="center"/>
          </w:tcPr>
          <w:p w:rsidR="00B5600D" w:rsidRDefault="00D91A1A">
            <w:pPr>
              <w:jc w:val="left"/>
            </w:pPr>
            <w:r>
              <w:rPr>
                <w:rFonts w:hint="eastAsia"/>
                <w:sz w:val="24"/>
              </w:rPr>
              <w:t>交银施罗德资产管理有限公司</w:t>
            </w:r>
          </w:p>
        </w:tc>
        <w:tc>
          <w:tcPr>
            <w:tcW w:w="3780" w:type="dxa"/>
            <w:vAlign w:val="center"/>
          </w:tcPr>
          <w:p w:rsidR="00B5600D" w:rsidRDefault="00D91A1A">
            <w:pPr>
              <w:jc w:val="left"/>
            </w:pPr>
            <w:r>
              <w:rPr>
                <w:rFonts w:hint="eastAsia"/>
                <w:sz w:val="24"/>
              </w:rPr>
              <w:t>基金管理人的子公司</w:t>
            </w:r>
          </w:p>
        </w:tc>
      </w:tr>
      <w:tr w:rsidR="00B5600D">
        <w:tc>
          <w:tcPr>
            <w:tcW w:w="5220" w:type="dxa"/>
            <w:vAlign w:val="center"/>
          </w:tcPr>
          <w:p w:rsidR="00B5600D" w:rsidRDefault="00D91A1A">
            <w:pPr>
              <w:jc w:val="left"/>
            </w:pPr>
            <w:r>
              <w:rPr>
                <w:rFonts w:hint="eastAsia"/>
                <w:sz w:val="24"/>
              </w:rPr>
              <w:t>上海直源投资管理有限公司</w:t>
            </w:r>
          </w:p>
        </w:tc>
        <w:tc>
          <w:tcPr>
            <w:tcW w:w="3780" w:type="dxa"/>
            <w:vAlign w:val="center"/>
          </w:tcPr>
          <w:p w:rsidR="00B5600D" w:rsidRDefault="00D91A1A">
            <w:pPr>
              <w:jc w:val="left"/>
            </w:pPr>
            <w:r>
              <w:rPr>
                <w:rFonts w:hint="eastAsia"/>
                <w:sz w:val="24"/>
              </w:rPr>
              <w:t>受基金管理人控制的公司</w:t>
            </w:r>
          </w:p>
        </w:tc>
      </w:tr>
      <w:tr w:rsidR="00B5600D">
        <w:tc>
          <w:tcPr>
            <w:tcW w:w="5220" w:type="dxa"/>
            <w:vAlign w:val="center"/>
          </w:tcPr>
          <w:p w:rsidR="00B5600D" w:rsidRDefault="00D91A1A">
            <w:pPr>
              <w:jc w:val="left"/>
            </w:pPr>
            <w:r>
              <w:rPr>
                <w:rFonts w:hint="eastAsia"/>
                <w:sz w:val="24"/>
              </w:rPr>
              <w:t>交烨投资管理</w:t>
            </w:r>
            <w:r>
              <w:rPr>
                <w:rFonts w:hint="eastAsia"/>
                <w:sz w:val="24"/>
              </w:rPr>
              <w:t>(</w:t>
            </w:r>
            <w:r>
              <w:rPr>
                <w:rFonts w:hint="eastAsia"/>
                <w:sz w:val="24"/>
              </w:rPr>
              <w:t>上海</w:t>
            </w:r>
            <w:r>
              <w:rPr>
                <w:rFonts w:hint="eastAsia"/>
                <w:sz w:val="24"/>
              </w:rPr>
              <w:t>)</w:t>
            </w:r>
            <w:r>
              <w:rPr>
                <w:rFonts w:hint="eastAsia"/>
                <w:sz w:val="24"/>
              </w:rPr>
              <w:t>有限公司</w:t>
            </w:r>
          </w:p>
        </w:tc>
        <w:tc>
          <w:tcPr>
            <w:tcW w:w="3780" w:type="dxa"/>
            <w:vAlign w:val="center"/>
          </w:tcPr>
          <w:p w:rsidR="00B5600D" w:rsidRDefault="00D91A1A">
            <w:pPr>
              <w:jc w:val="left"/>
            </w:pPr>
            <w:r>
              <w:rPr>
                <w:rFonts w:hint="eastAsia"/>
                <w:sz w:val="24"/>
              </w:rPr>
              <w:t>受基金管理人控制的公司</w:t>
            </w:r>
          </w:p>
        </w:tc>
      </w:tr>
    </w:tbl>
    <w:p w:rsidR="006D141C" w:rsidRPr="008742CD" w:rsidRDefault="006D141C" w:rsidP="008742CD">
      <w:pPr>
        <w:tabs>
          <w:tab w:val="left" w:pos="426"/>
        </w:tabs>
        <w:spacing w:before="29" w:line="288" w:lineRule="auto"/>
        <w:jc w:val="left"/>
        <w:rPr>
          <w:kern w:val="0"/>
          <w:sz w:val="24"/>
        </w:rPr>
      </w:pPr>
      <w:r w:rsidRPr="008742CD">
        <w:rPr>
          <w:rFonts w:hint="eastAsia"/>
          <w:kern w:val="0"/>
          <w:sz w:val="24"/>
        </w:rPr>
        <w:t>注：下述关联交易均在正常业务范围内按一般商业条款订立。</w:t>
      </w:r>
    </w:p>
    <w:p w:rsidR="006D141C" w:rsidRPr="00D0515B" w:rsidRDefault="007D0C4D" w:rsidP="000A6038">
      <w:pPr>
        <w:spacing w:line="360" w:lineRule="auto"/>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143875" w:rsidRDefault="006D141C" w:rsidP="00143875">
      <w:pPr>
        <w:spacing w:before="29" w:line="288" w:lineRule="auto"/>
        <w:rPr>
          <w:b/>
          <w:bCs/>
          <w:kern w:val="0"/>
          <w:sz w:val="24"/>
        </w:rPr>
      </w:pPr>
      <w:r w:rsidRPr="00143875">
        <w:rPr>
          <w:rFonts w:hint="eastAsia"/>
          <w:b/>
          <w:bCs/>
          <w:kern w:val="0"/>
          <w:sz w:val="24"/>
        </w:rPr>
        <w:t>7.4.</w:t>
      </w:r>
      <w:r w:rsidR="008A28D4" w:rsidRPr="00143875">
        <w:rPr>
          <w:rFonts w:hint="eastAsia"/>
          <w:b/>
          <w:bCs/>
          <w:kern w:val="0"/>
          <w:sz w:val="24"/>
        </w:rPr>
        <w:t>10</w:t>
      </w:r>
      <w:r w:rsidRPr="00143875">
        <w:rPr>
          <w:rFonts w:hint="eastAsia"/>
          <w:b/>
          <w:bCs/>
          <w:kern w:val="0"/>
          <w:sz w:val="24"/>
        </w:rPr>
        <w:t>本报告期及上年度可比期间的关联方交易</w:t>
      </w:r>
    </w:p>
    <w:p w:rsidR="006D141C" w:rsidRPr="00143875" w:rsidRDefault="006D141C" w:rsidP="00143875">
      <w:pPr>
        <w:autoSpaceDE w:val="0"/>
        <w:autoSpaceDN w:val="0"/>
        <w:adjustRightInd w:val="0"/>
        <w:spacing w:before="29" w:line="288" w:lineRule="auto"/>
        <w:jc w:val="left"/>
        <w:rPr>
          <w:b/>
          <w:bCs/>
          <w:kern w:val="0"/>
          <w:sz w:val="24"/>
        </w:rPr>
      </w:pPr>
      <w:r w:rsidRPr="00143875">
        <w:rPr>
          <w:rFonts w:hint="eastAsia"/>
          <w:b/>
          <w:bCs/>
          <w:kern w:val="0"/>
          <w:sz w:val="24"/>
        </w:rPr>
        <w:t>7.4.10.</w:t>
      </w:r>
      <w:r w:rsidR="008A28D4" w:rsidRPr="00143875">
        <w:rPr>
          <w:rFonts w:hint="eastAsia"/>
          <w:b/>
          <w:bCs/>
          <w:kern w:val="0"/>
          <w:sz w:val="24"/>
        </w:rPr>
        <w:t>1</w:t>
      </w:r>
      <w:r w:rsidRPr="00143875">
        <w:rPr>
          <w:rFonts w:hint="eastAsia"/>
          <w:b/>
          <w:bCs/>
          <w:kern w:val="0"/>
          <w:sz w:val="24"/>
        </w:rPr>
        <w:t>通过关联方交易单元进行的交易</w:t>
      </w:r>
    </w:p>
    <w:p w:rsidR="006D141C" w:rsidRPr="00143875" w:rsidRDefault="006D141C" w:rsidP="00143875">
      <w:pPr>
        <w:tabs>
          <w:tab w:val="left" w:pos="426"/>
        </w:tabs>
        <w:spacing w:before="29" w:line="288" w:lineRule="auto"/>
        <w:ind w:firstLineChars="200" w:firstLine="480"/>
        <w:rPr>
          <w:kern w:val="0"/>
          <w:sz w:val="24"/>
        </w:rPr>
      </w:pPr>
      <w:r w:rsidRPr="00143875">
        <w:rPr>
          <w:rFonts w:hint="eastAsia"/>
          <w:kern w:val="0"/>
          <w:sz w:val="24"/>
        </w:rPr>
        <w:t>本基金本报告期内及上年度可比期间无通过关联方交易单元进行的交易。</w:t>
      </w:r>
      <w:r w:rsidRPr="00143875">
        <w:rPr>
          <w:rFonts w:hint="eastAsia"/>
          <w:kern w:val="0"/>
          <w:sz w:val="24"/>
        </w:rPr>
        <w:t xml:space="preserve"> </w:t>
      </w:r>
    </w:p>
    <w:p w:rsidR="00143875" w:rsidRPr="00D0515B" w:rsidRDefault="00143875" w:rsidP="000A6038">
      <w:pPr>
        <w:spacing w:line="360" w:lineRule="auto"/>
        <w:ind w:firstLineChars="200" w:firstLine="420"/>
        <w:rPr>
          <w:rFonts w:asciiTheme="minorEastAsia" w:eastAsiaTheme="minorEastAsia" w:hAnsiTheme="minorEastAsia"/>
          <w:szCs w:val="21"/>
        </w:rPr>
      </w:pP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w:t>
      </w:r>
      <w:r w:rsidR="008A28D4" w:rsidRPr="00615AEA">
        <w:rPr>
          <w:rFonts w:hint="eastAsia"/>
          <w:b/>
          <w:bCs/>
          <w:kern w:val="0"/>
          <w:sz w:val="24"/>
        </w:rPr>
        <w:t>2</w:t>
      </w:r>
      <w:r w:rsidRPr="00615AEA">
        <w:rPr>
          <w:rFonts w:hint="eastAsia"/>
          <w:b/>
          <w:bCs/>
          <w:kern w:val="0"/>
          <w:sz w:val="24"/>
        </w:rPr>
        <w:t>关联方报酬</w:t>
      </w:r>
    </w:p>
    <w:p w:rsidR="006D141C" w:rsidRPr="00615AEA" w:rsidRDefault="006D141C" w:rsidP="00615AEA">
      <w:pPr>
        <w:autoSpaceDE w:val="0"/>
        <w:autoSpaceDN w:val="0"/>
        <w:adjustRightInd w:val="0"/>
        <w:spacing w:before="29" w:line="288" w:lineRule="auto"/>
        <w:jc w:val="left"/>
        <w:rPr>
          <w:b/>
          <w:bCs/>
          <w:kern w:val="0"/>
          <w:sz w:val="24"/>
        </w:rPr>
      </w:pPr>
      <w:r w:rsidRPr="00615AEA">
        <w:rPr>
          <w:rFonts w:hint="eastAsia"/>
          <w:b/>
          <w:bCs/>
          <w:kern w:val="0"/>
          <w:sz w:val="24"/>
        </w:rPr>
        <w:t>7.4.10.2.</w:t>
      </w:r>
      <w:r w:rsidR="008A28D4" w:rsidRPr="00615AEA">
        <w:rPr>
          <w:rFonts w:hint="eastAsia"/>
          <w:b/>
          <w:bCs/>
          <w:kern w:val="0"/>
          <w:sz w:val="24"/>
        </w:rPr>
        <w:t>1</w:t>
      </w:r>
      <w:r w:rsidRPr="00615AEA">
        <w:rPr>
          <w:rFonts w:hint="eastAsia"/>
          <w:b/>
          <w:bCs/>
          <w:kern w:val="0"/>
          <w:sz w:val="24"/>
        </w:rPr>
        <w:t>基金管理费</w:t>
      </w:r>
    </w:p>
    <w:p w:rsidR="006D141C" w:rsidRPr="00615AEA" w:rsidRDefault="005B4215" w:rsidP="00615AEA">
      <w:pPr>
        <w:autoSpaceDE w:val="0"/>
        <w:autoSpaceDN w:val="0"/>
        <w:adjustRightInd w:val="0"/>
        <w:spacing w:before="29" w:line="288" w:lineRule="auto"/>
        <w:ind w:left="15" w:right="210"/>
        <w:jc w:val="right"/>
        <w:rPr>
          <w:sz w:val="24"/>
        </w:rPr>
      </w:pPr>
      <w:r w:rsidRPr="00615AEA">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jc w:val="center"/>
              <w:rPr>
                <w:sz w:val="24"/>
              </w:rPr>
            </w:pPr>
            <w:r w:rsidRPr="00615AEA">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本期</w:t>
            </w:r>
          </w:p>
          <w:p w:rsidR="006D141C" w:rsidRPr="00615AEA" w:rsidRDefault="006D141C" w:rsidP="00615AEA">
            <w:pPr>
              <w:widowControl/>
              <w:autoSpaceDE w:val="0"/>
              <w:autoSpaceDN w:val="0"/>
              <w:spacing w:before="29" w:line="288" w:lineRule="auto"/>
              <w:ind w:right="-15"/>
              <w:jc w:val="center"/>
              <w:textAlignment w:val="bottom"/>
              <w:rPr>
                <w:sz w:val="24"/>
              </w:rPr>
            </w:pPr>
            <w:r w:rsidRPr="00615AEA">
              <w:rPr>
                <w:rFonts w:hint="eastAsia"/>
                <w:sz w:val="24"/>
              </w:rPr>
              <w:t>2017</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2017</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15AEA" w:rsidRDefault="006D141C" w:rsidP="00615AEA">
            <w:pPr>
              <w:spacing w:before="29" w:line="288" w:lineRule="auto"/>
              <w:jc w:val="center"/>
              <w:rPr>
                <w:sz w:val="24"/>
              </w:rPr>
            </w:pPr>
            <w:r w:rsidRPr="00615AEA">
              <w:rPr>
                <w:rFonts w:hint="eastAsia"/>
                <w:sz w:val="24"/>
              </w:rPr>
              <w:t>上年度可比期间</w:t>
            </w:r>
          </w:p>
          <w:p w:rsidR="006D141C" w:rsidRPr="00615AEA" w:rsidRDefault="006D64C2" w:rsidP="00615AEA">
            <w:pPr>
              <w:widowControl/>
              <w:autoSpaceDE w:val="0"/>
              <w:autoSpaceDN w:val="0"/>
              <w:spacing w:before="29" w:line="288" w:lineRule="auto"/>
              <w:ind w:right="-15"/>
              <w:jc w:val="center"/>
              <w:textAlignment w:val="bottom"/>
              <w:rPr>
                <w:sz w:val="24"/>
              </w:rPr>
            </w:pPr>
            <w:r w:rsidRPr="00615AEA">
              <w:rPr>
                <w:rFonts w:hint="eastAsia"/>
                <w:sz w:val="24"/>
              </w:rPr>
              <w:t>2016</w:t>
            </w:r>
            <w:r w:rsidRPr="00615AEA">
              <w:rPr>
                <w:rFonts w:hint="eastAsia"/>
                <w:sz w:val="24"/>
              </w:rPr>
              <w:t>年</w:t>
            </w:r>
            <w:r w:rsidRPr="00615AEA">
              <w:rPr>
                <w:rFonts w:hint="eastAsia"/>
                <w:sz w:val="24"/>
              </w:rPr>
              <w:t>1</w:t>
            </w:r>
            <w:r w:rsidRPr="00615AEA">
              <w:rPr>
                <w:rFonts w:hint="eastAsia"/>
                <w:sz w:val="24"/>
              </w:rPr>
              <w:t>月</w:t>
            </w:r>
            <w:r w:rsidRPr="00615AEA">
              <w:rPr>
                <w:rFonts w:hint="eastAsia"/>
                <w:sz w:val="24"/>
              </w:rPr>
              <w:t>1</w:t>
            </w:r>
            <w:r w:rsidRPr="00615AEA">
              <w:rPr>
                <w:rFonts w:hint="eastAsia"/>
                <w:sz w:val="24"/>
              </w:rPr>
              <w:t>日至</w:t>
            </w:r>
            <w:r w:rsidRPr="00615AEA">
              <w:rPr>
                <w:rFonts w:hint="eastAsia"/>
                <w:sz w:val="24"/>
              </w:rPr>
              <w:t>2016</w:t>
            </w:r>
            <w:r w:rsidRPr="00615AEA">
              <w:rPr>
                <w:rFonts w:hint="eastAsia"/>
                <w:sz w:val="24"/>
              </w:rPr>
              <w:t>年</w:t>
            </w:r>
            <w:r w:rsidRPr="00615AEA">
              <w:rPr>
                <w:rFonts w:hint="eastAsia"/>
                <w:sz w:val="24"/>
              </w:rPr>
              <w:t>12</w:t>
            </w:r>
            <w:r w:rsidRPr="00615AEA">
              <w:rPr>
                <w:rFonts w:hint="eastAsia"/>
                <w:sz w:val="24"/>
              </w:rPr>
              <w:t>月</w:t>
            </w:r>
            <w:r w:rsidRPr="00615AEA">
              <w:rPr>
                <w:rFonts w:hint="eastAsia"/>
                <w:sz w:val="24"/>
              </w:rPr>
              <w:t>31</w:t>
            </w:r>
            <w:r w:rsidRPr="00615AEA">
              <w:rPr>
                <w:rFonts w:hint="eastAsia"/>
                <w:sz w:val="24"/>
              </w:rPr>
              <w:t>日</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5,074,769.90</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1,121,672.43</w:t>
            </w:r>
          </w:p>
        </w:tc>
      </w:tr>
      <w:tr w:rsidR="002C233F" w:rsidRPr="00D0515B"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5AEA" w:rsidRDefault="006D141C" w:rsidP="00615AEA">
            <w:pPr>
              <w:spacing w:before="29" w:line="288" w:lineRule="auto"/>
              <w:rPr>
                <w:sz w:val="24"/>
              </w:rPr>
            </w:pPr>
            <w:r w:rsidRPr="00615AEA">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4,710.52</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A38EC" w:rsidRDefault="006D141C" w:rsidP="00EA38EC">
            <w:pPr>
              <w:spacing w:before="29" w:line="288" w:lineRule="auto"/>
              <w:jc w:val="right"/>
              <w:rPr>
                <w:sz w:val="24"/>
              </w:rPr>
            </w:pPr>
            <w:r w:rsidRPr="00EA38EC">
              <w:rPr>
                <w:rFonts w:hint="eastAsia"/>
                <w:sz w:val="24"/>
              </w:rPr>
              <w:t>5,960.04</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1. 2016</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日到</w:t>
      </w:r>
      <w:r>
        <w:rPr>
          <w:rFonts w:hint="eastAsia"/>
          <w:kern w:val="0"/>
          <w:sz w:val="24"/>
        </w:rPr>
        <w:t>2016</w:t>
      </w:r>
      <w:r>
        <w:rPr>
          <w:rFonts w:hint="eastAsia"/>
          <w:kern w:val="0"/>
          <w:sz w:val="24"/>
        </w:rPr>
        <w:t>年</w:t>
      </w:r>
      <w:r>
        <w:rPr>
          <w:rFonts w:hint="eastAsia"/>
          <w:kern w:val="0"/>
          <w:sz w:val="24"/>
        </w:rPr>
        <w:t>11</w:t>
      </w:r>
      <w:r>
        <w:rPr>
          <w:rFonts w:hint="eastAsia"/>
          <w:kern w:val="0"/>
          <w:sz w:val="24"/>
        </w:rPr>
        <w:t>月</w:t>
      </w:r>
      <w:r>
        <w:rPr>
          <w:rFonts w:hint="eastAsia"/>
          <w:kern w:val="0"/>
          <w:sz w:val="24"/>
        </w:rPr>
        <w:t>15</w:t>
      </w:r>
      <w:r>
        <w:rPr>
          <w:rFonts w:hint="eastAsia"/>
          <w:kern w:val="0"/>
          <w:sz w:val="24"/>
        </w:rPr>
        <w:t>日，支付基金管理人的管理人报酬按前一日基金资产净值</w:t>
      </w:r>
      <w:r>
        <w:rPr>
          <w:rFonts w:hint="eastAsia"/>
          <w:kern w:val="0"/>
          <w:sz w:val="24"/>
        </w:rPr>
        <w:t>0.27%</w:t>
      </w:r>
      <w:r>
        <w:rPr>
          <w:rFonts w:hint="eastAsia"/>
          <w:kern w:val="0"/>
          <w:sz w:val="24"/>
        </w:rPr>
        <w:t>的年费率计提，逐日累计至每月月底，按月支付。其计算公式为：</w:t>
      </w:r>
    </w:p>
    <w:p w:rsidR="00B5600D" w:rsidRDefault="00D91A1A">
      <w:pPr>
        <w:tabs>
          <w:tab w:val="left" w:pos="426"/>
        </w:tabs>
        <w:spacing w:before="29" w:line="288" w:lineRule="auto"/>
        <w:jc w:val="left"/>
        <w:rPr>
          <w:kern w:val="0"/>
          <w:sz w:val="24"/>
        </w:rPr>
      </w:pPr>
      <w:r>
        <w:rPr>
          <w:rFonts w:hint="eastAsia"/>
          <w:kern w:val="0"/>
          <w:sz w:val="24"/>
        </w:rPr>
        <w:t>日管理人报酬＝前一日基金资产净值×</w:t>
      </w:r>
      <w:r>
        <w:rPr>
          <w:rFonts w:hint="eastAsia"/>
          <w:kern w:val="0"/>
          <w:sz w:val="24"/>
        </w:rPr>
        <w:t>0.27%</w:t>
      </w:r>
      <w:r>
        <w:rPr>
          <w:rFonts w:hint="eastAsia"/>
          <w:kern w:val="0"/>
          <w:sz w:val="24"/>
        </w:rPr>
        <w:t>÷当年天数；</w:t>
      </w:r>
    </w:p>
    <w:p w:rsidR="00643794" w:rsidRDefault="00D91A1A" w:rsidP="00643794">
      <w:pPr>
        <w:tabs>
          <w:tab w:val="left" w:pos="426"/>
        </w:tabs>
        <w:spacing w:before="29" w:line="288" w:lineRule="auto"/>
        <w:jc w:val="left"/>
        <w:rPr>
          <w:kern w:val="0"/>
          <w:sz w:val="24"/>
        </w:rPr>
      </w:pPr>
      <w:r>
        <w:rPr>
          <w:rFonts w:hint="eastAsia"/>
          <w:kern w:val="0"/>
          <w:sz w:val="24"/>
        </w:rPr>
        <w:t xml:space="preserve">    2. </w:t>
      </w:r>
      <w:r w:rsidR="00643794">
        <w:rPr>
          <w:rFonts w:hint="eastAsia"/>
          <w:kern w:val="0"/>
          <w:sz w:val="24"/>
        </w:rPr>
        <w:t>根据基金份额持有人大会表决通过的《关于交银施罗德理财</w:t>
      </w:r>
      <w:r w:rsidR="00643794">
        <w:rPr>
          <w:rFonts w:hint="eastAsia"/>
          <w:kern w:val="0"/>
          <w:sz w:val="24"/>
        </w:rPr>
        <w:t>60</w:t>
      </w:r>
      <w:r w:rsidR="00643794">
        <w:rPr>
          <w:rFonts w:hint="eastAsia"/>
          <w:kern w:val="0"/>
          <w:sz w:val="24"/>
        </w:rPr>
        <w:t>天债券型证券投资基金调整管理费率及基金合同修改有关事项的议案》，自</w:t>
      </w:r>
      <w:r w:rsidR="00643794">
        <w:rPr>
          <w:rFonts w:hint="eastAsia"/>
          <w:kern w:val="0"/>
          <w:sz w:val="24"/>
        </w:rPr>
        <w:t>2016</w:t>
      </w:r>
      <w:r w:rsidR="00643794">
        <w:rPr>
          <w:rFonts w:hint="eastAsia"/>
          <w:kern w:val="0"/>
          <w:sz w:val="24"/>
        </w:rPr>
        <w:t>年</w:t>
      </w:r>
      <w:r w:rsidR="00643794">
        <w:rPr>
          <w:rFonts w:hint="eastAsia"/>
          <w:kern w:val="0"/>
          <w:sz w:val="24"/>
        </w:rPr>
        <w:t>11</w:t>
      </w:r>
      <w:r w:rsidR="00643794">
        <w:rPr>
          <w:rFonts w:hint="eastAsia"/>
          <w:kern w:val="0"/>
          <w:sz w:val="24"/>
        </w:rPr>
        <w:t>月</w:t>
      </w:r>
      <w:r w:rsidR="00643794">
        <w:rPr>
          <w:rFonts w:hint="eastAsia"/>
          <w:kern w:val="0"/>
          <w:sz w:val="24"/>
        </w:rPr>
        <w:t>16</w:t>
      </w:r>
      <w:r w:rsidR="00643794">
        <w:rPr>
          <w:rFonts w:hint="eastAsia"/>
          <w:kern w:val="0"/>
          <w:sz w:val="24"/>
        </w:rPr>
        <w:t>日起，支付基金管理人的管理人报酬按前一日基金资产净值</w:t>
      </w:r>
      <w:r w:rsidR="00643794">
        <w:rPr>
          <w:rFonts w:hint="eastAsia"/>
          <w:kern w:val="0"/>
          <w:sz w:val="24"/>
        </w:rPr>
        <w:t>0.20%</w:t>
      </w:r>
      <w:r w:rsidR="00643794">
        <w:rPr>
          <w:rFonts w:hint="eastAsia"/>
          <w:kern w:val="0"/>
          <w:sz w:val="24"/>
        </w:rPr>
        <w:t>的年费率计提，逐日累计至每月月底，按月支付。其计算公式为：</w:t>
      </w:r>
    </w:p>
    <w:p w:rsidR="006D141C" w:rsidRPr="00EA38EC" w:rsidRDefault="00643794" w:rsidP="00643794">
      <w:pPr>
        <w:tabs>
          <w:tab w:val="left" w:pos="426"/>
        </w:tabs>
        <w:spacing w:before="29" w:line="288" w:lineRule="auto"/>
        <w:jc w:val="left"/>
        <w:rPr>
          <w:kern w:val="0"/>
          <w:sz w:val="24"/>
        </w:rPr>
      </w:pPr>
      <w:r w:rsidRPr="00EA38EC">
        <w:rPr>
          <w:rFonts w:hint="eastAsia"/>
          <w:kern w:val="0"/>
          <w:sz w:val="24"/>
        </w:rPr>
        <w:t>日管理人报酬＝前一日基金资产净值×</w:t>
      </w:r>
      <w:r w:rsidRPr="00EA38EC">
        <w:rPr>
          <w:rFonts w:hint="eastAsia"/>
          <w:kern w:val="0"/>
          <w:sz w:val="24"/>
        </w:rPr>
        <w:t>0.20%</w:t>
      </w:r>
      <w:r w:rsidRPr="00EA38EC">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6853D5" w:rsidRDefault="006D141C" w:rsidP="006853D5">
      <w:pPr>
        <w:autoSpaceDE w:val="0"/>
        <w:autoSpaceDN w:val="0"/>
        <w:adjustRightInd w:val="0"/>
        <w:spacing w:before="29" w:line="288" w:lineRule="auto"/>
        <w:jc w:val="left"/>
        <w:rPr>
          <w:b/>
          <w:bCs/>
          <w:kern w:val="0"/>
          <w:sz w:val="24"/>
        </w:rPr>
      </w:pPr>
      <w:r w:rsidRPr="006853D5">
        <w:rPr>
          <w:rFonts w:hint="eastAsia"/>
          <w:b/>
          <w:bCs/>
          <w:kern w:val="0"/>
          <w:sz w:val="24"/>
        </w:rPr>
        <w:t>7.4.10.2.</w:t>
      </w:r>
      <w:r w:rsidR="008A28D4" w:rsidRPr="006853D5">
        <w:rPr>
          <w:rFonts w:hint="eastAsia"/>
          <w:b/>
          <w:bCs/>
          <w:kern w:val="0"/>
          <w:sz w:val="24"/>
        </w:rPr>
        <w:t>2</w:t>
      </w:r>
      <w:r w:rsidRPr="006853D5">
        <w:rPr>
          <w:rFonts w:hint="eastAsia"/>
          <w:b/>
          <w:bCs/>
          <w:kern w:val="0"/>
          <w:sz w:val="24"/>
        </w:rPr>
        <w:t>基金托管费</w:t>
      </w:r>
    </w:p>
    <w:p w:rsidR="006D141C" w:rsidRPr="006853D5" w:rsidRDefault="005B4215" w:rsidP="006853D5">
      <w:pPr>
        <w:autoSpaceDE w:val="0"/>
        <w:autoSpaceDN w:val="0"/>
        <w:adjustRightInd w:val="0"/>
        <w:spacing w:before="29" w:line="288" w:lineRule="auto"/>
        <w:ind w:left="15" w:right="210"/>
        <w:jc w:val="right"/>
        <w:rPr>
          <w:sz w:val="24"/>
        </w:rPr>
      </w:pPr>
      <w:r w:rsidRPr="006853D5">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D0515B"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853D5" w:rsidRDefault="006D141C" w:rsidP="006853D5">
            <w:pPr>
              <w:spacing w:before="29" w:line="288" w:lineRule="auto"/>
              <w:jc w:val="center"/>
              <w:rPr>
                <w:sz w:val="24"/>
              </w:rPr>
            </w:pPr>
            <w:r w:rsidRPr="006853D5">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本期</w:t>
            </w:r>
          </w:p>
          <w:p w:rsidR="006D141C" w:rsidRPr="006853D5" w:rsidRDefault="006D141C" w:rsidP="006853D5">
            <w:pPr>
              <w:widowControl/>
              <w:autoSpaceDE w:val="0"/>
              <w:autoSpaceDN w:val="0"/>
              <w:spacing w:before="29" w:line="288" w:lineRule="auto"/>
              <w:ind w:right="-15"/>
              <w:jc w:val="center"/>
              <w:textAlignment w:val="bottom"/>
              <w:rPr>
                <w:sz w:val="24"/>
              </w:rPr>
            </w:pPr>
            <w:r w:rsidRPr="006853D5">
              <w:rPr>
                <w:rFonts w:hint="eastAsia"/>
                <w:sz w:val="24"/>
              </w:rPr>
              <w:t>2017</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2017</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6853D5" w:rsidRDefault="006D141C" w:rsidP="006853D5">
            <w:pPr>
              <w:spacing w:before="29" w:line="288" w:lineRule="auto"/>
              <w:jc w:val="center"/>
              <w:rPr>
                <w:sz w:val="24"/>
              </w:rPr>
            </w:pPr>
            <w:r w:rsidRPr="006853D5">
              <w:rPr>
                <w:rFonts w:hint="eastAsia"/>
                <w:sz w:val="24"/>
              </w:rPr>
              <w:t>上年度可比期间</w:t>
            </w:r>
          </w:p>
          <w:p w:rsidR="006D141C" w:rsidRPr="006853D5" w:rsidRDefault="006D64C2" w:rsidP="006853D5">
            <w:pPr>
              <w:widowControl/>
              <w:autoSpaceDE w:val="0"/>
              <w:autoSpaceDN w:val="0"/>
              <w:spacing w:before="29" w:line="288" w:lineRule="auto"/>
              <w:ind w:right="-15"/>
              <w:jc w:val="center"/>
              <w:textAlignment w:val="bottom"/>
              <w:rPr>
                <w:sz w:val="24"/>
              </w:rPr>
            </w:pPr>
            <w:r w:rsidRPr="006853D5">
              <w:rPr>
                <w:rFonts w:hint="eastAsia"/>
                <w:sz w:val="24"/>
              </w:rPr>
              <w:t>2016</w:t>
            </w:r>
            <w:r w:rsidRPr="006853D5">
              <w:rPr>
                <w:rFonts w:hint="eastAsia"/>
                <w:sz w:val="24"/>
              </w:rPr>
              <w:t>年</w:t>
            </w:r>
            <w:r w:rsidRPr="006853D5">
              <w:rPr>
                <w:rFonts w:hint="eastAsia"/>
                <w:sz w:val="24"/>
              </w:rPr>
              <w:t>1</w:t>
            </w:r>
            <w:r w:rsidRPr="006853D5">
              <w:rPr>
                <w:rFonts w:hint="eastAsia"/>
                <w:sz w:val="24"/>
              </w:rPr>
              <w:t>月</w:t>
            </w:r>
            <w:r w:rsidRPr="006853D5">
              <w:rPr>
                <w:rFonts w:hint="eastAsia"/>
                <w:sz w:val="24"/>
              </w:rPr>
              <w:t>1</w:t>
            </w:r>
            <w:r w:rsidRPr="006853D5">
              <w:rPr>
                <w:rFonts w:hint="eastAsia"/>
                <w:sz w:val="24"/>
              </w:rPr>
              <w:t>日至</w:t>
            </w:r>
            <w:r w:rsidRPr="006853D5">
              <w:rPr>
                <w:rFonts w:hint="eastAsia"/>
                <w:sz w:val="24"/>
              </w:rPr>
              <w:t>2016</w:t>
            </w:r>
            <w:r w:rsidRPr="006853D5">
              <w:rPr>
                <w:rFonts w:hint="eastAsia"/>
                <w:sz w:val="24"/>
              </w:rPr>
              <w:t>年</w:t>
            </w:r>
            <w:r w:rsidRPr="006853D5">
              <w:rPr>
                <w:rFonts w:hint="eastAsia"/>
                <w:sz w:val="24"/>
              </w:rPr>
              <w:t>12</w:t>
            </w:r>
            <w:r w:rsidRPr="006853D5">
              <w:rPr>
                <w:rFonts w:hint="eastAsia"/>
                <w:sz w:val="24"/>
              </w:rPr>
              <w:t>月</w:t>
            </w:r>
            <w:r w:rsidRPr="006853D5">
              <w:rPr>
                <w:rFonts w:hint="eastAsia"/>
                <w:sz w:val="24"/>
              </w:rPr>
              <w:t>31</w:t>
            </w:r>
            <w:r w:rsidRPr="006853D5">
              <w:rPr>
                <w:rFonts w:hint="eastAsia"/>
                <w:sz w:val="24"/>
              </w:rPr>
              <w:t>日</w:t>
            </w:r>
          </w:p>
        </w:tc>
      </w:tr>
      <w:tr w:rsidR="002C233F" w:rsidRPr="00D0515B"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D0515B" w:rsidRDefault="006D141C" w:rsidP="006853D5">
            <w:pPr>
              <w:spacing w:before="29" w:line="288" w:lineRule="auto"/>
              <w:rPr>
                <w:rFonts w:asciiTheme="minorEastAsia" w:eastAsiaTheme="minorEastAsia" w:hAnsiTheme="minorEastAsia"/>
                <w:szCs w:val="21"/>
              </w:rPr>
            </w:pPr>
            <w:r w:rsidRPr="006853D5">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2,029,908.06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5A797D" w:rsidRDefault="006D141C" w:rsidP="005A797D">
            <w:pPr>
              <w:spacing w:before="29" w:line="288" w:lineRule="auto"/>
              <w:jc w:val="right"/>
              <w:rPr>
                <w:sz w:val="24"/>
              </w:rPr>
            </w:pPr>
            <w:r w:rsidRPr="005A797D">
              <w:rPr>
                <w:rFonts w:hint="eastAsia"/>
                <w:sz w:val="24"/>
              </w:rPr>
              <w:t>368,900.70</w:t>
            </w:r>
          </w:p>
        </w:tc>
      </w:tr>
    </w:tbl>
    <w:p w:rsidR="00B5600D" w:rsidRDefault="00D91A1A">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0.08%</w:t>
      </w:r>
      <w:r>
        <w:rPr>
          <w:rFonts w:hint="eastAsia"/>
          <w:kern w:val="0"/>
          <w:sz w:val="24"/>
        </w:rPr>
        <w:t>的年费率计提，逐日累计至每月月底，按月支付。其计算公式为：</w:t>
      </w:r>
    </w:p>
    <w:p w:rsidR="006D141C" w:rsidRPr="005A797D" w:rsidRDefault="006D141C" w:rsidP="005A797D">
      <w:pPr>
        <w:tabs>
          <w:tab w:val="left" w:pos="426"/>
        </w:tabs>
        <w:spacing w:before="29" w:line="288" w:lineRule="auto"/>
        <w:jc w:val="left"/>
        <w:rPr>
          <w:kern w:val="0"/>
          <w:sz w:val="24"/>
        </w:rPr>
      </w:pPr>
      <w:r w:rsidRPr="005A797D">
        <w:rPr>
          <w:rFonts w:hint="eastAsia"/>
          <w:kern w:val="0"/>
          <w:sz w:val="24"/>
        </w:rPr>
        <w:t>日托管费＝前一日基金资产净值×</w:t>
      </w:r>
      <w:r w:rsidRPr="005A797D">
        <w:rPr>
          <w:rFonts w:hint="eastAsia"/>
          <w:kern w:val="0"/>
          <w:sz w:val="24"/>
        </w:rPr>
        <w:t>0.08%</w:t>
      </w:r>
      <w:r w:rsidRPr="005A797D">
        <w:rPr>
          <w:rFonts w:hint="eastAsia"/>
          <w:kern w:val="0"/>
          <w:sz w:val="24"/>
        </w:rPr>
        <w:t>÷当年天数。</w:t>
      </w:r>
    </w:p>
    <w:p w:rsidR="006D141C" w:rsidRPr="00D0515B" w:rsidRDefault="006D141C" w:rsidP="004B36C2">
      <w:pPr>
        <w:spacing w:line="360" w:lineRule="auto"/>
        <w:rPr>
          <w:rFonts w:asciiTheme="minorEastAsia" w:eastAsiaTheme="minorEastAsia" w:hAnsiTheme="minorEastAsia"/>
          <w:szCs w:val="21"/>
        </w:rPr>
      </w:pPr>
    </w:p>
    <w:p w:rsidR="006D141C" w:rsidRPr="00F2652F" w:rsidRDefault="006D141C" w:rsidP="00F2652F">
      <w:pPr>
        <w:autoSpaceDE w:val="0"/>
        <w:autoSpaceDN w:val="0"/>
        <w:adjustRightInd w:val="0"/>
        <w:spacing w:before="29" w:line="288" w:lineRule="auto"/>
        <w:jc w:val="left"/>
        <w:rPr>
          <w:b/>
          <w:bCs/>
          <w:kern w:val="0"/>
          <w:sz w:val="24"/>
        </w:rPr>
      </w:pPr>
      <w:r w:rsidRPr="00F2652F">
        <w:rPr>
          <w:rFonts w:hint="eastAsia"/>
          <w:b/>
          <w:bCs/>
          <w:kern w:val="0"/>
          <w:sz w:val="24"/>
        </w:rPr>
        <w:t>7.4.10.2.</w:t>
      </w:r>
      <w:r w:rsidR="008A28D4" w:rsidRPr="00F2652F">
        <w:rPr>
          <w:rFonts w:hint="eastAsia"/>
          <w:b/>
          <w:bCs/>
          <w:kern w:val="0"/>
          <w:sz w:val="24"/>
        </w:rPr>
        <w:t>3</w:t>
      </w:r>
      <w:r w:rsidRPr="00F2652F">
        <w:rPr>
          <w:rFonts w:hint="eastAsia"/>
          <w:b/>
          <w:bCs/>
          <w:kern w:val="0"/>
          <w:sz w:val="24"/>
        </w:rPr>
        <w:t>销售服务费</w:t>
      </w:r>
    </w:p>
    <w:p w:rsidR="00841386" w:rsidRPr="00656C9B" w:rsidRDefault="00841386" w:rsidP="00656C9B">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本期</w:t>
            </w:r>
          </w:p>
          <w:p w:rsidR="00841386" w:rsidRPr="008D3C85" w:rsidRDefault="00841386" w:rsidP="008D3C85">
            <w:pPr>
              <w:autoSpaceDE w:val="0"/>
              <w:autoSpaceDN w:val="0"/>
              <w:spacing w:before="29" w:line="288" w:lineRule="auto"/>
              <w:jc w:val="center"/>
              <w:textAlignment w:val="bottom"/>
              <w:rPr>
                <w:sz w:val="24"/>
              </w:rPr>
            </w:pPr>
            <w:r w:rsidRPr="008D3C85">
              <w:rPr>
                <w:sz w:val="24"/>
              </w:rPr>
              <w:t>2017</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2017</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spacing w:before="29" w:line="288" w:lineRule="auto"/>
              <w:ind w:leftChars="-51" w:left="-107" w:rightChars="-51" w:right="-107"/>
              <w:jc w:val="center"/>
              <w:rPr>
                <w:sz w:val="24"/>
              </w:rPr>
            </w:pPr>
            <w:r>
              <w:rPr>
                <w:sz w:val="24"/>
              </w:rPr>
              <w:t>交银理财</w:t>
            </w:r>
            <w:r>
              <w:rPr>
                <w:sz w:val="24"/>
              </w:rPr>
              <w:t>60</w:t>
            </w:r>
            <w:r>
              <w:rPr>
                <w:sz w:val="24"/>
              </w:rPr>
              <w:t>天债券</w:t>
            </w:r>
            <w:r>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ind w:leftChars="-51" w:left="-107" w:rightChars="-51" w:right="-107"/>
              <w:jc w:val="center"/>
              <w:rPr>
                <w:sz w:val="24"/>
              </w:rPr>
            </w:pPr>
            <w:r w:rsidRPr="008D3C85">
              <w:rPr>
                <w:sz w:val="24"/>
              </w:rPr>
              <w:t>合计</w:t>
            </w:r>
          </w:p>
        </w:tc>
      </w:tr>
      <w:tr w:rsidR="00B5600D">
        <w:tc>
          <w:tcPr>
            <w:tcW w:w="2000" w:type="dxa"/>
            <w:vAlign w:val="center"/>
          </w:tcPr>
          <w:p w:rsidR="00B5600D" w:rsidRDefault="00D91A1A">
            <w:pPr>
              <w:jc w:val="left"/>
            </w:pPr>
            <w:r>
              <w:rPr>
                <w:sz w:val="24"/>
              </w:rPr>
              <w:t>交通银行</w:t>
            </w:r>
          </w:p>
        </w:tc>
        <w:tc>
          <w:tcPr>
            <w:tcW w:w="1766" w:type="dxa"/>
            <w:vAlign w:val="center"/>
          </w:tcPr>
          <w:p w:rsidR="00B5600D" w:rsidRDefault="00D91A1A">
            <w:pPr>
              <w:jc w:val="right"/>
            </w:pPr>
            <w:r>
              <w:rPr>
                <w:sz w:val="24"/>
              </w:rPr>
              <w:t>4,764.04</w:t>
            </w:r>
          </w:p>
        </w:tc>
        <w:tc>
          <w:tcPr>
            <w:tcW w:w="2162" w:type="dxa"/>
            <w:vAlign w:val="center"/>
          </w:tcPr>
          <w:p w:rsidR="00B5600D" w:rsidRDefault="00D91A1A">
            <w:pPr>
              <w:jc w:val="right"/>
            </w:pPr>
            <w:r>
              <w:rPr>
                <w:sz w:val="24"/>
              </w:rPr>
              <w:t>-</w:t>
            </w:r>
          </w:p>
        </w:tc>
        <w:tc>
          <w:tcPr>
            <w:tcW w:w="3070" w:type="dxa"/>
            <w:vAlign w:val="center"/>
          </w:tcPr>
          <w:p w:rsidR="00B5600D" w:rsidRDefault="00D91A1A">
            <w:pPr>
              <w:jc w:val="right"/>
            </w:pPr>
            <w:r>
              <w:rPr>
                <w:sz w:val="24"/>
              </w:rPr>
              <w:t>4,764.04</w:t>
            </w:r>
          </w:p>
        </w:tc>
      </w:tr>
      <w:tr w:rsidR="00B5600D">
        <w:tc>
          <w:tcPr>
            <w:tcW w:w="2000" w:type="dxa"/>
            <w:vAlign w:val="center"/>
          </w:tcPr>
          <w:p w:rsidR="00B5600D" w:rsidRDefault="00D91A1A">
            <w:pPr>
              <w:jc w:val="left"/>
            </w:pPr>
            <w:r>
              <w:rPr>
                <w:sz w:val="24"/>
              </w:rPr>
              <w:t>中国建设银行</w:t>
            </w:r>
          </w:p>
        </w:tc>
        <w:tc>
          <w:tcPr>
            <w:tcW w:w="1766" w:type="dxa"/>
            <w:vAlign w:val="center"/>
          </w:tcPr>
          <w:p w:rsidR="00B5600D" w:rsidRDefault="00D91A1A">
            <w:pPr>
              <w:jc w:val="right"/>
            </w:pPr>
            <w:r>
              <w:rPr>
                <w:sz w:val="24"/>
              </w:rPr>
              <w:t>6,115.75</w:t>
            </w:r>
          </w:p>
        </w:tc>
        <w:tc>
          <w:tcPr>
            <w:tcW w:w="2162" w:type="dxa"/>
            <w:vAlign w:val="center"/>
          </w:tcPr>
          <w:p w:rsidR="00B5600D" w:rsidRDefault="00D91A1A">
            <w:pPr>
              <w:jc w:val="right"/>
            </w:pPr>
            <w:r>
              <w:rPr>
                <w:sz w:val="24"/>
              </w:rPr>
              <w:t>-</w:t>
            </w:r>
          </w:p>
        </w:tc>
        <w:tc>
          <w:tcPr>
            <w:tcW w:w="3070" w:type="dxa"/>
            <w:vAlign w:val="center"/>
          </w:tcPr>
          <w:p w:rsidR="00B5600D" w:rsidRDefault="00D91A1A">
            <w:pPr>
              <w:jc w:val="right"/>
            </w:pPr>
            <w:r>
              <w:rPr>
                <w:sz w:val="24"/>
              </w:rPr>
              <w:t>6,115.75</w:t>
            </w:r>
          </w:p>
        </w:tc>
      </w:tr>
      <w:tr w:rsidR="00B5600D">
        <w:tc>
          <w:tcPr>
            <w:tcW w:w="2000" w:type="dxa"/>
            <w:vAlign w:val="center"/>
          </w:tcPr>
          <w:p w:rsidR="00B5600D" w:rsidRDefault="00D91A1A">
            <w:pPr>
              <w:jc w:val="left"/>
            </w:pPr>
            <w:r>
              <w:rPr>
                <w:sz w:val="24"/>
              </w:rPr>
              <w:t>交银施罗德基金公司</w:t>
            </w:r>
          </w:p>
        </w:tc>
        <w:tc>
          <w:tcPr>
            <w:tcW w:w="1766" w:type="dxa"/>
            <w:vAlign w:val="center"/>
          </w:tcPr>
          <w:p w:rsidR="00B5600D" w:rsidRDefault="00D91A1A">
            <w:pPr>
              <w:jc w:val="right"/>
            </w:pPr>
            <w:r>
              <w:rPr>
                <w:sz w:val="24"/>
              </w:rPr>
              <w:t>12,350.84</w:t>
            </w:r>
          </w:p>
        </w:tc>
        <w:tc>
          <w:tcPr>
            <w:tcW w:w="2162" w:type="dxa"/>
            <w:vAlign w:val="center"/>
          </w:tcPr>
          <w:p w:rsidR="00B5600D" w:rsidRDefault="00D91A1A">
            <w:pPr>
              <w:jc w:val="right"/>
            </w:pPr>
            <w:r>
              <w:rPr>
                <w:sz w:val="24"/>
              </w:rPr>
              <w:t>252,904.29</w:t>
            </w:r>
          </w:p>
        </w:tc>
        <w:tc>
          <w:tcPr>
            <w:tcW w:w="3070" w:type="dxa"/>
            <w:vAlign w:val="center"/>
          </w:tcPr>
          <w:p w:rsidR="00B5600D" w:rsidRDefault="00D91A1A">
            <w:pPr>
              <w:jc w:val="right"/>
            </w:pPr>
            <w:r>
              <w:rPr>
                <w:sz w:val="24"/>
              </w:rPr>
              <w:t>265,255.13</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23,230.63</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D32085" w:rsidP="001F38DC">
            <w:pPr>
              <w:spacing w:before="29" w:line="288" w:lineRule="auto"/>
              <w:jc w:val="center"/>
              <w:rPr>
                <w:sz w:val="24"/>
              </w:rPr>
            </w:pPr>
            <w:r>
              <w:rPr>
                <w:sz w:val="24"/>
              </w:rPr>
              <w:t>252,904.29</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276,134.92</w:t>
            </w:r>
          </w:p>
        </w:tc>
      </w:tr>
      <w:tr w:rsidR="00841386" w:rsidRPr="00634FF6"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jc w:val="center"/>
              <w:textAlignment w:val="bottom"/>
              <w:rPr>
                <w:sz w:val="24"/>
              </w:rPr>
            </w:pPr>
            <w:r w:rsidRPr="008D3C85">
              <w:rPr>
                <w:sz w:val="24"/>
              </w:rPr>
              <w:t>上年度可比期间</w:t>
            </w:r>
          </w:p>
          <w:p w:rsidR="00841386" w:rsidRPr="008D3C85" w:rsidRDefault="00841386" w:rsidP="008D3C85">
            <w:pPr>
              <w:autoSpaceDE w:val="0"/>
              <w:autoSpaceDN w:val="0"/>
              <w:spacing w:before="29" w:line="288" w:lineRule="auto"/>
              <w:jc w:val="center"/>
              <w:textAlignment w:val="bottom"/>
              <w:rPr>
                <w:sz w:val="24"/>
              </w:rPr>
            </w:pPr>
            <w:r w:rsidRPr="008D3C85">
              <w:rPr>
                <w:sz w:val="24"/>
              </w:rPr>
              <w:t>2016</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2016</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841386" w:rsidRPr="00634FF6"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841386" w:rsidRPr="00634FF6"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交银理财</w:t>
            </w:r>
            <w:r w:rsidRPr="008D3C85">
              <w:rPr>
                <w:sz w:val="24"/>
              </w:rPr>
              <w:t>60</w:t>
            </w:r>
            <w:r w:rsidRPr="008D3C85">
              <w:rPr>
                <w:sz w:val="24"/>
              </w:rPr>
              <w:t>天债券</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D32085" w:rsidP="008D3C85">
            <w:pPr>
              <w:autoSpaceDE w:val="0"/>
              <w:autoSpaceDN w:val="0"/>
              <w:spacing w:before="29" w:line="288" w:lineRule="auto"/>
              <w:ind w:leftChars="-51" w:left="-107" w:rightChars="-51" w:right="-107"/>
              <w:jc w:val="center"/>
              <w:textAlignment w:val="bottom"/>
              <w:rPr>
                <w:sz w:val="24"/>
              </w:rPr>
            </w:pPr>
            <w:r>
              <w:rPr>
                <w:sz w:val="24"/>
              </w:rPr>
              <w:t>交银理财</w:t>
            </w:r>
            <w:r>
              <w:rPr>
                <w:sz w:val="24"/>
              </w:rPr>
              <w:t>60</w:t>
            </w:r>
            <w:r>
              <w:rPr>
                <w:sz w:val="24"/>
              </w:rPr>
              <w:t>天债券</w:t>
            </w:r>
            <w:r>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8D3C85" w:rsidRDefault="00841386" w:rsidP="008D3C85">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B5600D">
        <w:tc>
          <w:tcPr>
            <w:tcW w:w="2000" w:type="dxa"/>
            <w:vAlign w:val="center"/>
          </w:tcPr>
          <w:p w:rsidR="00B5600D" w:rsidRDefault="00D91A1A">
            <w:pPr>
              <w:jc w:val="left"/>
            </w:pPr>
            <w:r>
              <w:rPr>
                <w:sz w:val="24"/>
              </w:rPr>
              <w:t>交通银行</w:t>
            </w:r>
          </w:p>
        </w:tc>
        <w:tc>
          <w:tcPr>
            <w:tcW w:w="1766" w:type="dxa"/>
            <w:vAlign w:val="center"/>
          </w:tcPr>
          <w:p w:rsidR="00B5600D" w:rsidRDefault="00D91A1A">
            <w:pPr>
              <w:jc w:val="right"/>
            </w:pPr>
            <w:r>
              <w:rPr>
                <w:sz w:val="24"/>
              </w:rPr>
              <w:t>5,609.53</w:t>
            </w:r>
          </w:p>
        </w:tc>
        <w:tc>
          <w:tcPr>
            <w:tcW w:w="2162" w:type="dxa"/>
            <w:vAlign w:val="center"/>
          </w:tcPr>
          <w:p w:rsidR="00B5600D" w:rsidRDefault="00D91A1A">
            <w:pPr>
              <w:jc w:val="right"/>
            </w:pPr>
            <w:r>
              <w:rPr>
                <w:sz w:val="24"/>
              </w:rPr>
              <w:t>-</w:t>
            </w:r>
          </w:p>
        </w:tc>
        <w:tc>
          <w:tcPr>
            <w:tcW w:w="3070" w:type="dxa"/>
            <w:vAlign w:val="center"/>
          </w:tcPr>
          <w:p w:rsidR="00B5600D" w:rsidRDefault="00D91A1A">
            <w:pPr>
              <w:jc w:val="right"/>
            </w:pPr>
            <w:r>
              <w:rPr>
                <w:sz w:val="24"/>
              </w:rPr>
              <w:t>5,609.53</w:t>
            </w:r>
          </w:p>
        </w:tc>
      </w:tr>
      <w:tr w:rsidR="00B5600D">
        <w:tc>
          <w:tcPr>
            <w:tcW w:w="2000" w:type="dxa"/>
            <w:vAlign w:val="center"/>
          </w:tcPr>
          <w:p w:rsidR="00B5600D" w:rsidRDefault="00D91A1A">
            <w:pPr>
              <w:jc w:val="left"/>
            </w:pPr>
            <w:r>
              <w:rPr>
                <w:sz w:val="24"/>
              </w:rPr>
              <w:t>中国建设银行</w:t>
            </w:r>
          </w:p>
        </w:tc>
        <w:tc>
          <w:tcPr>
            <w:tcW w:w="1766" w:type="dxa"/>
            <w:vAlign w:val="center"/>
          </w:tcPr>
          <w:p w:rsidR="00B5600D" w:rsidRDefault="00D91A1A">
            <w:pPr>
              <w:jc w:val="right"/>
            </w:pPr>
            <w:r>
              <w:rPr>
                <w:sz w:val="24"/>
              </w:rPr>
              <w:t>7,841.57</w:t>
            </w:r>
          </w:p>
        </w:tc>
        <w:tc>
          <w:tcPr>
            <w:tcW w:w="2162" w:type="dxa"/>
            <w:vAlign w:val="center"/>
          </w:tcPr>
          <w:p w:rsidR="00B5600D" w:rsidRDefault="00D91A1A">
            <w:pPr>
              <w:jc w:val="right"/>
            </w:pPr>
            <w:r>
              <w:rPr>
                <w:sz w:val="24"/>
              </w:rPr>
              <w:t>-</w:t>
            </w:r>
          </w:p>
        </w:tc>
        <w:tc>
          <w:tcPr>
            <w:tcW w:w="3070" w:type="dxa"/>
            <w:vAlign w:val="center"/>
          </w:tcPr>
          <w:p w:rsidR="00B5600D" w:rsidRDefault="00D91A1A">
            <w:pPr>
              <w:jc w:val="right"/>
            </w:pPr>
            <w:r>
              <w:rPr>
                <w:sz w:val="24"/>
              </w:rPr>
              <w:t>7,841.57</w:t>
            </w:r>
          </w:p>
        </w:tc>
      </w:tr>
      <w:tr w:rsidR="00B5600D">
        <w:tc>
          <w:tcPr>
            <w:tcW w:w="2000" w:type="dxa"/>
            <w:vAlign w:val="center"/>
          </w:tcPr>
          <w:p w:rsidR="00B5600D" w:rsidRDefault="00D91A1A">
            <w:pPr>
              <w:jc w:val="left"/>
            </w:pPr>
            <w:r>
              <w:rPr>
                <w:sz w:val="24"/>
              </w:rPr>
              <w:t>交银施罗德基金公司</w:t>
            </w:r>
          </w:p>
        </w:tc>
        <w:tc>
          <w:tcPr>
            <w:tcW w:w="1766" w:type="dxa"/>
            <w:vAlign w:val="center"/>
          </w:tcPr>
          <w:p w:rsidR="00B5600D" w:rsidRDefault="00D91A1A">
            <w:pPr>
              <w:jc w:val="right"/>
            </w:pPr>
            <w:r>
              <w:rPr>
                <w:sz w:val="24"/>
              </w:rPr>
              <w:t>12,217.85</w:t>
            </w:r>
          </w:p>
        </w:tc>
        <w:tc>
          <w:tcPr>
            <w:tcW w:w="2162" w:type="dxa"/>
            <w:vAlign w:val="center"/>
          </w:tcPr>
          <w:p w:rsidR="00B5600D" w:rsidRDefault="00D91A1A">
            <w:pPr>
              <w:jc w:val="right"/>
            </w:pPr>
            <w:r>
              <w:rPr>
                <w:sz w:val="24"/>
              </w:rPr>
              <w:t>45,186.24</w:t>
            </w:r>
          </w:p>
        </w:tc>
        <w:tc>
          <w:tcPr>
            <w:tcW w:w="3070" w:type="dxa"/>
            <w:vAlign w:val="center"/>
          </w:tcPr>
          <w:p w:rsidR="00B5600D" w:rsidRDefault="00D91A1A">
            <w:pPr>
              <w:jc w:val="right"/>
            </w:pPr>
            <w:r>
              <w:rPr>
                <w:sz w:val="24"/>
              </w:rPr>
              <w:t>57,404.09</w:t>
            </w:r>
          </w:p>
        </w:tc>
      </w:tr>
      <w:tr w:rsidR="00841386" w:rsidRPr="00634FF6"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25,668.95</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45,186.24</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1F38DC" w:rsidRDefault="00841386" w:rsidP="001F38DC">
            <w:pPr>
              <w:spacing w:before="29" w:line="288" w:lineRule="auto"/>
              <w:jc w:val="center"/>
              <w:rPr>
                <w:sz w:val="24"/>
              </w:rPr>
            </w:pPr>
            <w:r w:rsidRPr="001F38DC">
              <w:rPr>
                <w:sz w:val="24"/>
              </w:rPr>
              <w:t>70,855.19</w:t>
            </w:r>
          </w:p>
        </w:tc>
      </w:tr>
    </w:tbl>
    <w:p w:rsidR="00B5600D" w:rsidRDefault="00D91A1A">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B5600D" w:rsidRDefault="00D91A1A">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841386" w:rsidRPr="006159B2" w:rsidRDefault="00841386" w:rsidP="006159B2">
      <w:pPr>
        <w:tabs>
          <w:tab w:val="left" w:pos="426"/>
        </w:tabs>
        <w:spacing w:before="29" w:line="288" w:lineRule="auto"/>
        <w:jc w:val="left"/>
        <w:rPr>
          <w:kern w:val="0"/>
          <w:sz w:val="24"/>
        </w:rPr>
      </w:pPr>
      <w:r w:rsidRPr="006159B2">
        <w:rPr>
          <w:kern w:val="0"/>
          <w:sz w:val="24"/>
        </w:rPr>
        <w:t>B</w:t>
      </w:r>
      <w:r w:rsidRPr="006159B2">
        <w:rPr>
          <w:kern w:val="0"/>
          <w:sz w:val="24"/>
        </w:rPr>
        <w:t>类基金日销售服务费＝前一日</w:t>
      </w:r>
      <w:r w:rsidRPr="006159B2">
        <w:rPr>
          <w:kern w:val="0"/>
          <w:sz w:val="24"/>
        </w:rPr>
        <w:t>B</w:t>
      </w:r>
      <w:r w:rsidRPr="006159B2">
        <w:rPr>
          <w:kern w:val="0"/>
          <w:sz w:val="24"/>
        </w:rPr>
        <w:t>类基金份额对应的资产净值</w:t>
      </w:r>
      <w:r w:rsidRPr="006159B2">
        <w:rPr>
          <w:kern w:val="0"/>
          <w:sz w:val="24"/>
        </w:rPr>
        <w:t>×0.01%÷</w:t>
      </w:r>
      <w:r w:rsidRPr="006159B2">
        <w:rPr>
          <w:kern w:val="0"/>
          <w:sz w:val="24"/>
        </w:rPr>
        <w:t>当年天数。</w:t>
      </w:r>
    </w:p>
    <w:p w:rsidR="00513207" w:rsidRPr="00D0515B" w:rsidRDefault="00513207" w:rsidP="004B36C2">
      <w:pPr>
        <w:spacing w:line="360" w:lineRule="auto"/>
        <w:rPr>
          <w:rFonts w:asciiTheme="minorEastAsia" w:eastAsiaTheme="minorEastAsia" w:hAnsiTheme="minorEastAsia"/>
          <w:szCs w:val="21"/>
        </w:rPr>
      </w:pPr>
    </w:p>
    <w:p w:rsidR="006D141C" w:rsidRPr="00FB41B1" w:rsidRDefault="006D141C" w:rsidP="00FB41B1">
      <w:pPr>
        <w:spacing w:before="29" w:line="288" w:lineRule="auto"/>
        <w:rPr>
          <w:b/>
          <w:bCs/>
          <w:kern w:val="0"/>
          <w:sz w:val="24"/>
        </w:rPr>
      </w:pPr>
      <w:r w:rsidRPr="00FB41B1">
        <w:rPr>
          <w:rFonts w:hint="eastAsia"/>
          <w:b/>
          <w:bCs/>
          <w:kern w:val="0"/>
          <w:sz w:val="24"/>
        </w:rPr>
        <w:t>7.4.10.</w:t>
      </w:r>
      <w:r w:rsidR="008A28D4" w:rsidRPr="00FB41B1">
        <w:rPr>
          <w:rFonts w:hint="eastAsia"/>
          <w:b/>
          <w:bCs/>
          <w:kern w:val="0"/>
          <w:sz w:val="24"/>
        </w:rPr>
        <w:t>3</w:t>
      </w:r>
      <w:r w:rsidRPr="00FB41B1">
        <w:rPr>
          <w:rFonts w:hint="eastAsia"/>
          <w:b/>
          <w:bCs/>
          <w:kern w:val="0"/>
          <w:sz w:val="24"/>
        </w:rPr>
        <w:t>与关联方进行银行间同业市场的债券</w:t>
      </w:r>
      <w:r w:rsidRPr="00FB41B1">
        <w:rPr>
          <w:rFonts w:hint="eastAsia"/>
          <w:b/>
          <w:bCs/>
          <w:kern w:val="0"/>
          <w:sz w:val="24"/>
        </w:rPr>
        <w:t>(</w:t>
      </w:r>
      <w:r w:rsidRPr="00FB41B1">
        <w:rPr>
          <w:rFonts w:hint="eastAsia"/>
          <w:b/>
          <w:bCs/>
          <w:kern w:val="0"/>
          <w:sz w:val="24"/>
        </w:rPr>
        <w:t>含回购</w:t>
      </w:r>
      <w:r w:rsidRPr="00FB41B1">
        <w:rPr>
          <w:rFonts w:hint="eastAsia"/>
          <w:b/>
          <w:bCs/>
          <w:kern w:val="0"/>
          <w:sz w:val="24"/>
        </w:rPr>
        <w:t>)</w:t>
      </w:r>
      <w:r w:rsidRPr="00FB41B1">
        <w:rPr>
          <w:rFonts w:hint="eastAsia"/>
          <w:b/>
          <w:bCs/>
          <w:kern w:val="0"/>
          <w:sz w:val="24"/>
        </w:rPr>
        <w:t>交易</w:t>
      </w:r>
    </w:p>
    <w:p w:rsidR="00972AAF" w:rsidRPr="002C75FF" w:rsidRDefault="00643794" w:rsidP="002C75FF">
      <w:pPr>
        <w:tabs>
          <w:tab w:val="left" w:pos="426"/>
        </w:tabs>
        <w:spacing w:before="29" w:line="288" w:lineRule="auto"/>
        <w:jc w:val="left"/>
        <w:rPr>
          <w:kern w:val="0"/>
          <w:sz w:val="24"/>
        </w:rPr>
      </w:pPr>
      <w:r w:rsidRPr="00643794">
        <w:rPr>
          <w:rFonts w:hint="eastAsia"/>
          <w:kern w:val="0"/>
          <w:sz w:val="24"/>
        </w:rPr>
        <w:t>本基金本报告期内及上年度可比期间未发生与关联方进行银行间同业市场的债券</w:t>
      </w:r>
      <w:r w:rsidRPr="00643794">
        <w:rPr>
          <w:rFonts w:hint="eastAsia"/>
          <w:kern w:val="0"/>
          <w:sz w:val="24"/>
        </w:rPr>
        <w:t>(</w:t>
      </w:r>
      <w:r w:rsidRPr="00643794">
        <w:rPr>
          <w:rFonts w:hint="eastAsia"/>
          <w:kern w:val="0"/>
          <w:sz w:val="24"/>
        </w:rPr>
        <w:t>含回购</w:t>
      </w:r>
      <w:r w:rsidRPr="00643794">
        <w:rPr>
          <w:rFonts w:hint="eastAsia"/>
          <w:kern w:val="0"/>
          <w:sz w:val="24"/>
        </w:rPr>
        <w:t>)</w:t>
      </w:r>
      <w:r w:rsidRPr="00643794">
        <w:rPr>
          <w:rFonts w:hint="eastAsia"/>
          <w:kern w:val="0"/>
          <w:sz w:val="24"/>
        </w:rPr>
        <w:t>交易。</w:t>
      </w:r>
    </w:p>
    <w:p w:rsidR="006D141C" w:rsidRPr="00721727" w:rsidRDefault="006D141C" w:rsidP="00721727">
      <w:pPr>
        <w:spacing w:before="29" w:line="288" w:lineRule="auto"/>
        <w:rPr>
          <w:b/>
          <w:bCs/>
          <w:kern w:val="0"/>
          <w:sz w:val="24"/>
        </w:rPr>
      </w:pPr>
    </w:p>
    <w:p w:rsidR="006D141C" w:rsidRPr="00721727" w:rsidRDefault="006D141C" w:rsidP="00721727">
      <w:pPr>
        <w:spacing w:before="29" w:line="288" w:lineRule="auto"/>
        <w:rPr>
          <w:b/>
          <w:bCs/>
          <w:kern w:val="0"/>
          <w:sz w:val="24"/>
        </w:rPr>
      </w:pPr>
      <w:r w:rsidRPr="00721727">
        <w:rPr>
          <w:rFonts w:hint="eastAsia"/>
          <w:b/>
          <w:bCs/>
          <w:kern w:val="0"/>
          <w:sz w:val="24"/>
        </w:rPr>
        <w:t>7.4.10.</w:t>
      </w:r>
      <w:r w:rsidR="008A28D4" w:rsidRPr="00721727">
        <w:rPr>
          <w:rFonts w:hint="eastAsia"/>
          <w:b/>
          <w:bCs/>
          <w:kern w:val="0"/>
          <w:sz w:val="24"/>
        </w:rPr>
        <w:t>4</w:t>
      </w:r>
      <w:r w:rsidRPr="00721727">
        <w:rPr>
          <w:rFonts w:hint="eastAsia"/>
          <w:b/>
          <w:bCs/>
          <w:kern w:val="0"/>
          <w:sz w:val="24"/>
        </w:rPr>
        <w:t>各关联方投资本基金的情况</w:t>
      </w:r>
    </w:p>
    <w:p w:rsidR="006D141C" w:rsidRPr="00721727" w:rsidRDefault="006D141C" w:rsidP="00721727">
      <w:pPr>
        <w:adjustRightInd w:val="0"/>
        <w:snapToGrid w:val="0"/>
        <w:spacing w:before="29" w:line="288" w:lineRule="auto"/>
        <w:rPr>
          <w:b/>
          <w:bCs/>
          <w:kern w:val="0"/>
          <w:sz w:val="24"/>
        </w:rPr>
      </w:pPr>
      <w:r w:rsidRPr="00721727">
        <w:rPr>
          <w:rFonts w:hint="eastAsia"/>
          <w:b/>
          <w:bCs/>
          <w:kern w:val="0"/>
          <w:sz w:val="24"/>
        </w:rPr>
        <w:t>7.4.10.4.</w:t>
      </w:r>
      <w:r w:rsidR="008A28D4" w:rsidRPr="00721727">
        <w:rPr>
          <w:rFonts w:hint="eastAsia"/>
          <w:b/>
          <w:bCs/>
          <w:kern w:val="0"/>
          <w:sz w:val="24"/>
        </w:rPr>
        <w:t>1</w:t>
      </w:r>
      <w:r w:rsidRPr="00721727">
        <w:rPr>
          <w:rFonts w:hint="eastAsia"/>
          <w:b/>
          <w:bCs/>
          <w:kern w:val="0"/>
          <w:sz w:val="24"/>
        </w:rPr>
        <w:t>报告期内基金管理人运用固有资金投资本基金的情况</w:t>
      </w:r>
    </w:p>
    <w:p w:rsidR="006D141C" w:rsidRDefault="006D141C" w:rsidP="00244FEC">
      <w:pPr>
        <w:tabs>
          <w:tab w:val="left" w:pos="426"/>
        </w:tabs>
        <w:spacing w:before="29" w:line="288" w:lineRule="auto"/>
        <w:jc w:val="left"/>
        <w:rPr>
          <w:kern w:val="0"/>
          <w:sz w:val="24"/>
        </w:rPr>
      </w:pPr>
      <w:r w:rsidRPr="00244FEC">
        <w:rPr>
          <w:rFonts w:hint="eastAsia"/>
          <w:kern w:val="0"/>
          <w:sz w:val="24"/>
        </w:rPr>
        <w:t>本报告期内及上年度可比期间未发生基金管理人运用固有资金投资本基金的情况。</w:t>
      </w:r>
    </w:p>
    <w:p w:rsidR="00415878" w:rsidRPr="00244FEC" w:rsidRDefault="00415878" w:rsidP="00244FEC">
      <w:pPr>
        <w:tabs>
          <w:tab w:val="left" w:pos="426"/>
        </w:tabs>
        <w:spacing w:before="29" w:line="288" w:lineRule="auto"/>
        <w:jc w:val="left"/>
        <w:rPr>
          <w:kern w:val="0"/>
          <w:sz w:val="24"/>
        </w:rPr>
      </w:pPr>
    </w:p>
    <w:p w:rsidR="006D141C" w:rsidRPr="00244FEC" w:rsidRDefault="006D141C" w:rsidP="00244FEC">
      <w:pPr>
        <w:adjustRightInd w:val="0"/>
        <w:snapToGrid w:val="0"/>
        <w:spacing w:before="29" w:line="288" w:lineRule="auto"/>
        <w:rPr>
          <w:b/>
          <w:bCs/>
          <w:kern w:val="0"/>
          <w:sz w:val="24"/>
        </w:rPr>
      </w:pPr>
      <w:r w:rsidRPr="00244FEC">
        <w:rPr>
          <w:rFonts w:hint="eastAsia"/>
          <w:b/>
          <w:bCs/>
          <w:kern w:val="0"/>
          <w:sz w:val="24"/>
        </w:rPr>
        <w:t>7.4.10.4.</w:t>
      </w:r>
      <w:r w:rsidR="008A28D4" w:rsidRPr="00244FEC">
        <w:rPr>
          <w:rFonts w:hint="eastAsia"/>
          <w:b/>
          <w:bCs/>
          <w:kern w:val="0"/>
          <w:sz w:val="24"/>
        </w:rPr>
        <w:t>2</w:t>
      </w:r>
      <w:r w:rsidRPr="00244FEC">
        <w:rPr>
          <w:rFonts w:hint="eastAsia"/>
          <w:b/>
          <w:bCs/>
          <w:kern w:val="0"/>
          <w:sz w:val="24"/>
        </w:rPr>
        <w:t>报告期末除基金管理人之外的其他关联方投资本基金的情况</w:t>
      </w:r>
    </w:p>
    <w:p w:rsidR="006D141C" w:rsidRPr="004F78B6" w:rsidRDefault="004F78B6" w:rsidP="00E9164E">
      <w:pPr>
        <w:tabs>
          <w:tab w:val="left" w:pos="426"/>
        </w:tabs>
        <w:spacing w:before="29" w:line="288" w:lineRule="auto"/>
        <w:jc w:val="left"/>
        <w:rPr>
          <w:rFonts w:asciiTheme="minorEastAsia" w:eastAsiaTheme="minorEastAsia" w:hAnsiTheme="minorEastAsia"/>
          <w:kern w:val="0"/>
          <w:szCs w:val="21"/>
        </w:rPr>
      </w:pPr>
      <w:r w:rsidRPr="00790CA1">
        <w:rPr>
          <w:rFonts w:hint="eastAsia"/>
          <w:kern w:val="0"/>
          <w:sz w:val="24"/>
        </w:rPr>
        <w:t>本报告期末及上年度末除基金管理人之外的其他关联方未持有本基金。</w:t>
      </w:r>
      <w:r w:rsidR="00E9164E">
        <w:rPr>
          <w:kern w:val="0"/>
          <w:sz w:val="24"/>
        </w:rPr>
        <w:br/>
      </w:r>
    </w:p>
    <w:p w:rsidR="006D141C" w:rsidRPr="00B151C3" w:rsidRDefault="006D141C" w:rsidP="00B151C3">
      <w:pPr>
        <w:spacing w:before="29" w:line="288" w:lineRule="auto"/>
        <w:rPr>
          <w:b/>
          <w:bCs/>
          <w:kern w:val="0"/>
          <w:sz w:val="24"/>
        </w:rPr>
      </w:pPr>
      <w:r w:rsidRPr="00B151C3">
        <w:rPr>
          <w:rFonts w:hint="eastAsia"/>
          <w:b/>
          <w:bCs/>
          <w:kern w:val="0"/>
          <w:sz w:val="24"/>
        </w:rPr>
        <w:t>7.4.10.</w:t>
      </w:r>
      <w:r w:rsidR="008A28D4" w:rsidRPr="00B151C3">
        <w:rPr>
          <w:rFonts w:hint="eastAsia"/>
          <w:b/>
          <w:bCs/>
          <w:kern w:val="0"/>
          <w:sz w:val="24"/>
        </w:rPr>
        <w:t>5</w:t>
      </w:r>
      <w:r w:rsidRPr="00B151C3">
        <w:rPr>
          <w:rFonts w:hint="eastAsia"/>
          <w:b/>
          <w:bCs/>
          <w:kern w:val="0"/>
          <w:sz w:val="24"/>
        </w:rPr>
        <w:t>由关联方保管的银行存款余额及当期产生的利息收入</w:t>
      </w:r>
    </w:p>
    <w:p w:rsidR="006D141C" w:rsidRPr="00B151C3" w:rsidRDefault="005B4215" w:rsidP="00B151C3">
      <w:pPr>
        <w:autoSpaceDE w:val="0"/>
        <w:autoSpaceDN w:val="0"/>
        <w:adjustRightInd w:val="0"/>
        <w:spacing w:before="29" w:line="288" w:lineRule="auto"/>
        <w:ind w:left="15" w:right="210"/>
        <w:jc w:val="right"/>
        <w:rPr>
          <w:sz w:val="24"/>
        </w:rPr>
      </w:pPr>
      <w:r w:rsidRPr="00B151C3">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2C233F" w:rsidRPr="004F00B6"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本期</w:t>
            </w:r>
          </w:p>
          <w:p w:rsidR="006D141C" w:rsidRPr="004F00B6" w:rsidRDefault="006D141C" w:rsidP="00B151C3">
            <w:pPr>
              <w:widowControl/>
              <w:autoSpaceDE w:val="0"/>
              <w:autoSpaceDN w:val="0"/>
              <w:spacing w:before="29" w:line="288" w:lineRule="auto"/>
              <w:ind w:right="-15"/>
              <w:jc w:val="center"/>
              <w:textAlignment w:val="bottom"/>
              <w:rPr>
                <w:szCs w:val="21"/>
              </w:rPr>
            </w:pPr>
            <w:r w:rsidRPr="004F00B6">
              <w:rPr>
                <w:rFonts w:hint="eastAsia"/>
                <w:szCs w:val="21"/>
              </w:rPr>
              <w:t>2017</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2017</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4F00B6" w:rsidRDefault="006D141C" w:rsidP="00B151C3">
            <w:pPr>
              <w:spacing w:before="29" w:line="288" w:lineRule="auto"/>
              <w:jc w:val="center"/>
              <w:rPr>
                <w:szCs w:val="21"/>
              </w:rPr>
            </w:pPr>
            <w:r w:rsidRPr="004F00B6">
              <w:rPr>
                <w:rFonts w:hint="eastAsia"/>
                <w:szCs w:val="21"/>
              </w:rPr>
              <w:t>上年度可比期间</w:t>
            </w:r>
          </w:p>
          <w:p w:rsidR="006D141C" w:rsidRPr="004F00B6" w:rsidRDefault="006D64C2" w:rsidP="00B151C3">
            <w:pPr>
              <w:widowControl/>
              <w:autoSpaceDE w:val="0"/>
              <w:autoSpaceDN w:val="0"/>
              <w:spacing w:before="29" w:line="288" w:lineRule="auto"/>
              <w:ind w:right="-15"/>
              <w:jc w:val="center"/>
              <w:textAlignment w:val="bottom"/>
              <w:rPr>
                <w:szCs w:val="21"/>
              </w:rPr>
            </w:pPr>
            <w:r w:rsidRPr="004F00B6">
              <w:rPr>
                <w:rFonts w:hint="eastAsia"/>
                <w:szCs w:val="21"/>
              </w:rPr>
              <w:t>2016</w:t>
            </w:r>
            <w:r w:rsidRPr="004F00B6">
              <w:rPr>
                <w:rFonts w:hint="eastAsia"/>
                <w:szCs w:val="21"/>
              </w:rPr>
              <w:t>年</w:t>
            </w:r>
            <w:r w:rsidRPr="004F00B6">
              <w:rPr>
                <w:rFonts w:hint="eastAsia"/>
                <w:szCs w:val="21"/>
              </w:rPr>
              <w:t>1</w:t>
            </w:r>
            <w:r w:rsidRPr="004F00B6">
              <w:rPr>
                <w:rFonts w:hint="eastAsia"/>
                <w:szCs w:val="21"/>
              </w:rPr>
              <w:t>月</w:t>
            </w:r>
            <w:r w:rsidRPr="004F00B6">
              <w:rPr>
                <w:rFonts w:hint="eastAsia"/>
                <w:szCs w:val="21"/>
              </w:rPr>
              <w:t>1</w:t>
            </w:r>
            <w:r w:rsidRPr="004F00B6">
              <w:rPr>
                <w:rFonts w:hint="eastAsia"/>
                <w:szCs w:val="21"/>
              </w:rPr>
              <w:t>日至</w:t>
            </w:r>
            <w:r w:rsidRPr="004F00B6">
              <w:rPr>
                <w:rFonts w:hint="eastAsia"/>
                <w:szCs w:val="21"/>
              </w:rPr>
              <w:t>2016</w:t>
            </w:r>
            <w:r w:rsidRPr="004F00B6">
              <w:rPr>
                <w:rFonts w:hint="eastAsia"/>
                <w:szCs w:val="21"/>
              </w:rPr>
              <w:t>年</w:t>
            </w:r>
            <w:r w:rsidRPr="004F00B6">
              <w:rPr>
                <w:rFonts w:hint="eastAsia"/>
                <w:szCs w:val="21"/>
              </w:rPr>
              <w:t>12</w:t>
            </w:r>
            <w:r w:rsidRPr="004F00B6">
              <w:rPr>
                <w:rFonts w:hint="eastAsia"/>
                <w:szCs w:val="21"/>
              </w:rPr>
              <w:t>月</w:t>
            </w:r>
            <w:r w:rsidRPr="004F00B6">
              <w:rPr>
                <w:rFonts w:hint="eastAsia"/>
                <w:szCs w:val="21"/>
              </w:rPr>
              <w:t>31</w:t>
            </w:r>
            <w:r w:rsidRPr="004F00B6">
              <w:rPr>
                <w:rFonts w:hint="eastAsia"/>
                <w:szCs w:val="21"/>
              </w:rPr>
              <w:t>日</w:t>
            </w:r>
          </w:p>
        </w:tc>
      </w:tr>
      <w:tr w:rsidR="002C233F" w:rsidRPr="004F00B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E22C2F">
            <w:pPr>
              <w:spacing w:before="29" w:line="288" w:lineRule="auto"/>
              <w:jc w:val="center"/>
              <w:rPr>
                <w:szCs w:val="21"/>
              </w:rPr>
            </w:pPr>
            <w:r w:rsidRPr="004F00B6">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4F00B6" w:rsidRDefault="006D141C" w:rsidP="00B151C3">
            <w:pPr>
              <w:spacing w:before="29" w:line="288" w:lineRule="auto"/>
              <w:jc w:val="center"/>
              <w:rPr>
                <w:szCs w:val="21"/>
              </w:rPr>
            </w:pPr>
            <w:r w:rsidRPr="004F00B6">
              <w:rPr>
                <w:rFonts w:hint="eastAsia"/>
                <w:szCs w:val="21"/>
              </w:rPr>
              <w:t>当期利息收入</w:t>
            </w:r>
          </w:p>
        </w:tc>
      </w:tr>
      <w:tr w:rsidR="00B5600D">
        <w:tc>
          <w:tcPr>
            <w:tcW w:w="1800" w:type="dxa"/>
            <w:vAlign w:val="center"/>
          </w:tcPr>
          <w:p w:rsidR="00B5600D" w:rsidRDefault="00D91A1A">
            <w:pPr>
              <w:jc w:val="center"/>
            </w:pPr>
            <w:r>
              <w:rPr>
                <w:rFonts w:hint="eastAsia"/>
                <w:szCs w:val="21"/>
              </w:rPr>
              <w:t>中国建设银行</w:t>
            </w:r>
          </w:p>
        </w:tc>
        <w:tc>
          <w:tcPr>
            <w:tcW w:w="1800" w:type="dxa"/>
            <w:vAlign w:val="center"/>
          </w:tcPr>
          <w:p w:rsidR="00B5600D" w:rsidRDefault="00D91A1A">
            <w:pPr>
              <w:jc w:val="center"/>
            </w:pPr>
            <w:r>
              <w:rPr>
                <w:rFonts w:hint="eastAsia"/>
                <w:szCs w:val="21"/>
              </w:rPr>
              <w:t>5,719,176.14</w:t>
            </w:r>
          </w:p>
        </w:tc>
        <w:tc>
          <w:tcPr>
            <w:tcW w:w="1800" w:type="dxa"/>
            <w:vAlign w:val="center"/>
          </w:tcPr>
          <w:p w:rsidR="00B5600D" w:rsidRDefault="00D91A1A">
            <w:pPr>
              <w:jc w:val="center"/>
            </w:pPr>
            <w:r>
              <w:rPr>
                <w:rFonts w:hint="eastAsia"/>
                <w:szCs w:val="21"/>
              </w:rPr>
              <w:t>131,503.92</w:t>
            </w:r>
          </w:p>
        </w:tc>
        <w:tc>
          <w:tcPr>
            <w:tcW w:w="1800" w:type="dxa"/>
            <w:vAlign w:val="center"/>
          </w:tcPr>
          <w:p w:rsidR="00B5600D" w:rsidRDefault="00D91A1A">
            <w:pPr>
              <w:jc w:val="center"/>
            </w:pPr>
            <w:r>
              <w:rPr>
                <w:rFonts w:hint="eastAsia"/>
                <w:szCs w:val="21"/>
              </w:rPr>
              <w:t>14,618,194.76</w:t>
            </w:r>
          </w:p>
        </w:tc>
        <w:tc>
          <w:tcPr>
            <w:tcW w:w="1800" w:type="dxa"/>
            <w:vAlign w:val="center"/>
          </w:tcPr>
          <w:p w:rsidR="00B5600D" w:rsidRDefault="00D91A1A">
            <w:pPr>
              <w:jc w:val="center"/>
            </w:pPr>
            <w:r>
              <w:rPr>
                <w:rFonts w:hint="eastAsia"/>
                <w:szCs w:val="21"/>
              </w:rPr>
              <w:t>77,033.60</w:t>
            </w:r>
          </w:p>
        </w:tc>
      </w:tr>
    </w:tbl>
    <w:p w:rsidR="006D141C" w:rsidRPr="00AF27E1" w:rsidRDefault="006D141C" w:rsidP="00AF27E1">
      <w:pPr>
        <w:tabs>
          <w:tab w:val="left" w:pos="426"/>
        </w:tabs>
        <w:spacing w:before="29" w:line="288" w:lineRule="auto"/>
        <w:jc w:val="left"/>
        <w:rPr>
          <w:kern w:val="0"/>
          <w:sz w:val="24"/>
        </w:rPr>
      </w:pPr>
      <w:r w:rsidRPr="00AF27E1">
        <w:rPr>
          <w:rFonts w:hint="eastAsia"/>
          <w:kern w:val="0"/>
          <w:sz w:val="24"/>
        </w:rPr>
        <w:t>注：本基金的银行存款由基金托管人保管，按银行同业利率计息。</w:t>
      </w:r>
    </w:p>
    <w:p w:rsidR="006D141C" w:rsidRPr="00B249DE" w:rsidRDefault="006D141C" w:rsidP="00B249DE">
      <w:pPr>
        <w:spacing w:before="29" w:line="288" w:lineRule="auto"/>
        <w:rPr>
          <w:b/>
          <w:bCs/>
          <w:kern w:val="0"/>
          <w:sz w:val="24"/>
        </w:rPr>
      </w:pPr>
    </w:p>
    <w:p w:rsidR="00643794" w:rsidRPr="00B249DE" w:rsidRDefault="00643794" w:rsidP="00643794">
      <w:pPr>
        <w:spacing w:before="29" w:line="288" w:lineRule="auto"/>
        <w:rPr>
          <w:b/>
          <w:bCs/>
          <w:kern w:val="0"/>
          <w:sz w:val="24"/>
        </w:rPr>
      </w:pPr>
      <w:r w:rsidRPr="00B249DE">
        <w:rPr>
          <w:rFonts w:hint="eastAsia"/>
          <w:b/>
          <w:bCs/>
          <w:kern w:val="0"/>
          <w:sz w:val="24"/>
        </w:rPr>
        <w:t>7.4.10.6</w:t>
      </w:r>
      <w:r w:rsidRPr="00B249DE">
        <w:rPr>
          <w:rFonts w:hint="eastAsia"/>
          <w:b/>
          <w:bCs/>
          <w:kern w:val="0"/>
          <w:sz w:val="24"/>
        </w:rPr>
        <w:t>本基金在承销期内参与关联方承销证券的情况</w:t>
      </w:r>
    </w:p>
    <w:p w:rsidR="00643794" w:rsidRDefault="00643794" w:rsidP="00643794">
      <w:pPr>
        <w:adjustRightInd w:val="0"/>
        <w:snapToGrid w:val="0"/>
        <w:spacing w:before="29" w:line="288" w:lineRule="auto"/>
        <w:rPr>
          <w:b/>
          <w:bCs/>
          <w:kern w:val="0"/>
          <w:sz w:val="24"/>
        </w:rPr>
      </w:pPr>
      <w:r w:rsidRPr="00C56924">
        <w:rPr>
          <w:kern w:val="0"/>
          <w:sz w:val="24"/>
        </w:rPr>
        <w:t>本基金本报告期内及上年度可比期间未在承销期内参与关联方承销的证券。</w:t>
      </w:r>
    </w:p>
    <w:p w:rsidR="00643794" w:rsidRDefault="00643794" w:rsidP="00EC0806">
      <w:pPr>
        <w:adjustRightInd w:val="0"/>
        <w:snapToGrid w:val="0"/>
        <w:spacing w:before="29" w:line="288" w:lineRule="auto"/>
        <w:rPr>
          <w:b/>
          <w:bCs/>
          <w:kern w:val="0"/>
          <w:sz w:val="24"/>
        </w:rPr>
      </w:pPr>
    </w:p>
    <w:p w:rsidR="006D141C" w:rsidRPr="00EC0806" w:rsidRDefault="006D141C" w:rsidP="00EC0806">
      <w:pPr>
        <w:adjustRightInd w:val="0"/>
        <w:snapToGrid w:val="0"/>
        <w:spacing w:before="29" w:line="288" w:lineRule="auto"/>
        <w:rPr>
          <w:b/>
          <w:bCs/>
          <w:kern w:val="0"/>
          <w:sz w:val="24"/>
        </w:rPr>
      </w:pPr>
      <w:r w:rsidRPr="00EC0806">
        <w:rPr>
          <w:rFonts w:hint="eastAsia"/>
          <w:b/>
          <w:bCs/>
          <w:kern w:val="0"/>
          <w:sz w:val="24"/>
        </w:rPr>
        <w:t>7.4.10.</w:t>
      </w:r>
      <w:r w:rsidR="00643794">
        <w:rPr>
          <w:b/>
          <w:bCs/>
          <w:kern w:val="0"/>
          <w:sz w:val="24"/>
        </w:rPr>
        <w:t>7</w:t>
      </w:r>
      <w:r w:rsidRPr="00EC0806">
        <w:rPr>
          <w:rFonts w:hint="eastAsia"/>
          <w:b/>
          <w:bCs/>
          <w:kern w:val="0"/>
          <w:sz w:val="24"/>
        </w:rPr>
        <w:t>其他关联交易事项的说明</w:t>
      </w:r>
    </w:p>
    <w:p w:rsidR="006D141C" w:rsidRPr="00EC0806" w:rsidRDefault="00643794" w:rsidP="00643794">
      <w:pPr>
        <w:tabs>
          <w:tab w:val="left" w:pos="426"/>
        </w:tabs>
        <w:spacing w:before="29" w:line="288" w:lineRule="auto"/>
        <w:rPr>
          <w:kern w:val="0"/>
          <w:sz w:val="24"/>
        </w:rPr>
      </w:pPr>
      <w:r w:rsidRPr="00643794">
        <w:rPr>
          <w:rFonts w:hint="eastAsia"/>
          <w:kern w:val="0"/>
          <w:sz w:val="24"/>
        </w:rPr>
        <w:t>本基金本报告期内及上年度可比期间无其他关联交易事项。</w:t>
      </w:r>
    </w:p>
    <w:p w:rsidR="006D141C" w:rsidRPr="00D0515B" w:rsidRDefault="006D141C" w:rsidP="00CA3CD8">
      <w:pPr>
        <w:spacing w:line="360" w:lineRule="auto"/>
        <w:rPr>
          <w:rFonts w:asciiTheme="minorEastAsia" w:eastAsiaTheme="minorEastAsia" w:hAnsiTheme="minorEastAsia"/>
          <w:szCs w:val="21"/>
        </w:rPr>
      </w:pPr>
    </w:p>
    <w:p w:rsidR="000A1B30" w:rsidRPr="00743A9A" w:rsidRDefault="000A1B30" w:rsidP="00743A9A">
      <w:pPr>
        <w:spacing w:before="29" w:line="288" w:lineRule="auto"/>
        <w:rPr>
          <w:b/>
          <w:bCs/>
          <w:kern w:val="0"/>
          <w:sz w:val="24"/>
        </w:rPr>
      </w:pPr>
      <w:r w:rsidRPr="00743A9A">
        <w:rPr>
          <w:rFonts w:hint="eastAsia"/>
          <w:b/>
          <w:bCs/>
          <w:kern w:val="0"/>
          <w:sz w:val="24"/>
        </w:rPr>
        <w:t>7.4.</w:t>
      </w:r>
      <w:r w:rsidR="008A28D4" w:rsidRPr="00743A9A">
        <w:rPr>
          <w:rFonts w:hint="eastAsia"/>
          <w:b/>
          <w:bCs/>
          <w:kern w:val="0"/>
          <w:sz w:val="24"/>
        </w:rPr>
        <w:t>11</w:t>
      </w:r>
      <w:r w:rsidRPr="00743A9A">
        <w:rPr>
          <w:rFonts w:hint="eastAsia"/>
          <w:b/>
          <w:bCs/>
          <w:kern w:val="0"/>
          <w:sz w:val="24"/>
        </w:rPr>
        <w:t>利润分配情况</w:t>
      </w:r>
    </w:p>
    <w:p w:rsidR="000A1B30" w:rsidRPr="00D31AAB" w:rsidRDefault="001D0BD2" w:rsidP="00D31AAB">
      <w:pPr>
        <w:spacing w:before="29" w:line="288" w:lineRule="auto"/>
        <w:rPr>
          <w:sz w:val="24"/>
        </w:rPr>
      </w:pPr>
      <w:r w:rsidRPr="00D31AAB">
        <w:rPr>
          <w:rFonts w:hint="eastAsia"/>
          <w:sz w:val="24"/>
        </w:rPr>
        <w:t>1</w:t>
      </w:r>
      <w:r w:rsidR="000A1B30" w:rsidRPr="00D31AAB">
        <w:rPr>
          <w:rFonts w:hint="eastAsia"/>
          <w:sz w:val="24"/>
        </w:rPr>
        <w:t>、交银理财</w:t>
      </w:r>
      <w:r w:rsidR="000A1B30" w:rsidRPr="00D31AAB">
        <w:rPr>
          <w:rFonts w:hint="eastAsia"/>
          <w:sz w:val="24"/>
        </w:rPr>
        <w:t>60</w:t>
      </w:r>
      <w:r w:rsidR="000A1B30" w:rsidRPr="00D31AAB">
        <w:rPr>
          <w:rFonts w:hint="eastAsia"/>
          <w:sz w:val="24"/>
        </w:rPr>
        <w:t>天债券</w:t>
      </w:r>
      <w:r w:rsidR="000A1B30" w:rsidRPr="00D31AAB">
        <w:rPr>
          <w:rFonts w:hint="eastAsia"/>
          <w:sz w:val="24"/>
        </w:rPr>
        <w:t>A</w:t>
      </w:r>
    </w:p>
    <w:p w:rsidR="000A1B30" w:rsidRPr="00D31AAB" w:rsidRDefault="000A1B30" w:rsidP="00D31AAB">
      <w:pPr>
        <w:autoSpaceDE w:val="0"/>
        <w:autoSpaceDN w:val="0"/>
        <w:adjustRightInd w:val="0"/>
        <w:spacing w:before="29" w:line="288" w:lineRule="auto"/>
        <w:ind w:left="15" w:right="210"/>
        <w:jc w:val="right"/>
        <w:rPr>
          <w:sz w:val="24"/>
        </w:rPr>
      </w:pPr>
      <w:r w:rsidRPr="00D31AAB">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867854">
        <w:trPr>
          <w:jc w:val="center"/>
        </w:trPr>
        <w:tc>
          <w:tcPr>
            <w:tcW w:w="1957"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已按</w:t>
            </w:r>
            <w:r w:rsidRPr="00D31AAB">
              <w:rPr>
                <w:sz w:val="24"/>
                <w:lang w:val="en-AU"/>
              </w:rPr>
              <w:t>再投资形式</w:t>
            </w:r>
            <w:r w:rsidRPr="00D31AAB">
              <w:rPr>
                <w:rFonts w:hint="eastAsia"/>
                <w:sz w:val="24"/>
                <w:lang w:val="en-AU"/>
              </w:rPr>
              <w:t>转实收基金</w:t>
            </w:r>
          </w:p>
        </w:tc>
        <w:tc>
          <w:tcPr>
            <w:tcW w:w="1984"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直接通过应付</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赎回款转出金额</w:t>
            </w:r>
          </w:p>
        </w:tc>
        <w:tc>
          <w:tcPr>
            <w:tcW w:w="1843" w:type="dxa"/>
            <w:vAlign w:val="center"/>
          </w:tcPr>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应付利润</w:t>
            </w:r>
          </w:p>
          <w:p w:rsidR="000A1B30" w:rsidRPr="00D31AAB" w:rsidRDefault="000A1B30" w:rsidP="00D31AAB">
            <w:pPr>
              <w:widowControl/>
              <w:tabs>
                <w:tab w:val="left" w:pos="1680"/>
              </w:tabs>
              <w:autoSpaceDE w:val="0"/>
              <w:autoSpaceDN w:val="0"/>
              <w:spacing w:before="29" w:line="288" w:lineRule="auto"/>
              <w:jc w:val="center"/>
              <w:textAlignment w:val="bottom"/>
              <w:rPr>
                <w:sz w:val="24"/>
                <w:lang w:val="en-AU"/>
              </w:rPr>
            </w:pPr>
            <w:r w:rsidRPr="00D31AAB">
              <w:rPr>
                <w:rFonts w:hint="eastAsia"/>
                <w:sz w:val="24"/>
                <w:lang w:val="en-AU"/>
              </w:rPr>
              <w:t>本年变动</w:t>
            </w:r>
          </w:p>
        </w:tc>
        <w:tc>
          <w:tcPr>
            <w:tcW w:w="197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本期利润分配</w:t>
            </w:r>
            <w:r w:rsidRPr="00D31AAB">
              <w:rPr>
                <w:sz w:val="24"/>
                <w:lang w:val="en-AU"/>
              </w:rPr>
              <w:t>合计</w:t>
            </w:r>
          </w:p>
        </w:tc>
        <w:tc>
          <w:tcPr>
            <w:tcW w:w="1260" w:type="dxa"/>
            <w:vAlign w:val="center"/>
          </w:tcPr>
          <w:p w:rsidR="000A1B30" w:rsidRPr="00D31AAB" w:rsidRDefault="000A1B30" w:rsidP="00D31AAB">
            <w:pPr>
              <w:spacing w:before="29" w:line="288" w:lineRule="auto"/>
              <w:jc w:val="center"/>
              <w:rPr>
                <w:sz w:val="24"/>
                <w:lang w:val="en-AU"/>
              </w:rPr>
            </w:pPr>
            <w:r w:rsidRPr="00D31AAB">
              <w:rPr>
                <w:rFonts w:hint="eastAsia"/>
                <w:sz w:val="24"/>
                <w:lang w:val="en-AU"/>
              </w:rPr>
              <w:t>备注</w:t>
            </w:r>
          </w:p>
        </w:tc>
      </w:tr>
      <w:tr w:rsidR="002C233F" w:rsidRPr="00D0515B" w:rsidTr="00867854">
        <w:trPr>
          <w:jc w:val="center"/>
        </w:trPr>
        <w:tc>
          <w:tcPr>
            <w:tcW w:w="1957"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308,243.10</w:t>
            </w:r>
          </w:p>
        </w:tc>
        <w:tc>
          <w:tcPr>
            <w:tcW w:w="1984"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9,804.09</w:t>
            </w:r>
          </w:p>
        </w:tc>
        <w:tc>
          <w:tcPr>
            <w:tcW w:w="1843"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11,413.58</w:t>
            </w:r>
          </w:p>
        </w:tc>
        <w:tc>
          <w:tcPr>
            <w:tcW w:w="197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329,460.77</w:t>
            </w:r>
          </w:p>
        </w:tc>
        <w:tc>
          <w:tcPr>
            <w:tcW w:w="1260" w:type="dxa"/>
            <w:vAlign w:val="center"/>
          </w:tcPr>
          <w:p w:rsidR="000A1B30" w:rsidRPr="004E4DF7" w:rsidRDefault="000A1B30" w:rsidP="00101262">
            <w:pPr>
              <w:widowControl/>
              <w:tabs>
                <w:tab w:val="left" w:pos="1680"/>
              </w:tabs>
              <w:autoSpaceDE w:val="0"/>
              <w:autoSpaceDN w:val="0"/>
              <w:spacing w:before="29" w:line="288" w:lineRule="auto"/>
              <w:jc w:val="right"/>
              <w:textAlignment w:val="bottom"/>
              <w:rPr>
                <w:sz w:val="24"/>
                <w:lang w:val="en-AU"/>
              </w:rPr>
            </w:pPr>
            <w:r w:rsidRPr="004E4DF7">
              <w:rPr>
                <w:sz w:val="24"/>
                <w:lang w:val="en-AU"/>
              </w:rPr>
              <w:t>-</w:t>
            </w:r>
          </w:p>
        </w:tc>
      </w:tr>
    </w:tbl>
    <w:p w:rsidR="000A1B30" w:rsidRPr="00D0515B" w:rsidRDefault="000A1B30" w:rsidP="004B36C2">
      <w:pPr>
        <w:spacing w:line="360" w:lineRule="auto"/>
        <w:rPr>
          <w:rFonts w:asciiTheme="minorEastAsia" w:eastAsiaTheme="minorEastAsia" w:hAnsiTheme="minorEastAsia"/>
          <w:szCs w:val="21"/>
        </w:rPr>
      </w:pPr>
    </w:p>
    <w:p w:rsidR="000A1B30" w:rsidRPr="00824C85" w:rsidRDefault="000A1B30" w:rsidP="00824C85">
      <w:pPr>
        <w:spacing w:before="29" w:line="288" w:lineRule="auto"/>
        <w:rPr>
          <w:sz w:val="24"/>
        </w:rPr>
      </w:pPr>
      <w:r w:rsidRPr="00824C85">
        <w:rPr>
          <w:rFonts w:hint="eastAsia"/>
          <w:sz w:val="24"/>
        </w:rPr>
        <w:t>2</w:t>
      </w:r>
      <w:r w:rsidRPr="00824C85">
        <w:rPr>
          <w:rFonts w:hint="eastAsia"/>
          <w:sz w:val="24"/>
        </w:rPr>
        <w:t>、</w:t>
      </w:r>
      <w:r w:rsidR="00D32085">
        <w:rPr>
          <w:rFonts w:hint="eastAsia"/>
          <w:sz w:val="24"/>
        </w:rPr>
        <w:t>交银理财</w:t>
      </w:r>
      <w:r w:rsidR="00D32085">
        <w:rPr>
          <w:rFonts w:hint="eastAsia"/>
          <w:sz w:val="24"/>
        </w:rPr>
        <w:t>60</w:t>
      </w:r>
      <w:r w:rsidR="00D32085">
        <w:rPr>
          <w:rFonts w:hint="eastAsia"/>
          <w:sz w:val="24"/>
        </w:rPr>
        <w:t>天债券</w:t>
      </w:r>
      <w:r w:rsidR="00D32085">
        <w:rPr>
          <w:rFonts w:hint="eastAsia"/>
          <w:sz w:val="24"/>
        </w:rPr>
        <w:t>B</w:t>
      </w:r>
    </w:p>
    <w:p w:rsidR="000A1B30" w:rsidRPr="00824C85" w:rsidRDefault="000A1B30" w:rsidP="00824C85">
      <w:pPr>
        <w:autoSpaceDE w:val="0"/>
        <w:autoSpaceDN w:val="0"/>
        <w:adjustRightInd w:val="0"/>
        <w:spacing w:before="29" w:line="288" w:lineRule="auto"/>
        <w:ind w:left="15" w:right="210"/>
        <w:jc w:val="right"/>
        <w:rPr>
          <w:sz w:val="24"/>
        </w:rPr>
      </w:pPr>
      <w:r w:rsidRPr="00824C85">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2C233F" w:rsidRPr="00D0515B" w:rsidTr="004C550C">
        <w:trPr>
          <w:jc w:val="center"/>
        </w:trPr>
        <w:tc>
          <w:tcPr>
            <w:tcW w:w="1957"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已按</w:t>
            </w:r>
            <w:r w:rsidRPr="00824C85">
              <w:rPr>
                <w:sz w:val="24"/>
                <w:lang w:val="en-AU"/>
              </w:rPr>
              <w:t>再投资形式</w:t>
            </w:r>
            <w:r w:rsidRPr="00824C85">
              <w:rPr>
                <w:rFonts w:hint="eastAsia"/>
                <w:sz w:val="24"/>
                <w:lang w:val="en-AU"/>
              </w:rPr>
              <w:t>转实收基金</w:t>
            </w:r>
          </w:p>
        </w:tc>
        <w:tc>
          <w:tcPr>
            <w:tcW w:w="1984"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直接通过应付</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赎回款转出金额</w:t>
            </w:r>
          </w:p>
        </w:tc>
        <w:tc>
          <w:tcPr>
            <w:tcW w:w="1843" w:type="dxa"/>
            <w:vAlign w:val="center"/>
          </w:tcPr>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应付利润</w:t>
            </w:r>
          </w:p>
          <w:p w:rsidR="000A1B30" w:rsidRPr="00824C85" w:rsidRDefault="000A1B30" w:rsidP="00945C8E">
            <w:pPr>
              <w:widowControl/>
              <w:tabs>
                <w:tab w:val="left" w:pos="1680"/>
              </w:tabs>
              <w:autoSpaceDE w:val="0"/>
              <w:autoSpaceDN w:val="0"/>
              <w:spacing w:before="29" w:line="288" w:lineRule="auto"/>
              <w:jc w:val="center"/>
              <w:textAlignment w:val="bottom"/>
              <w:rPr>
                <w:sz w:val="24"/>
                <w:lang w:val="en-AU"/>
              </w:rPr>
            </w:pPr>
            <w:r w:rsidRPr="00824C85">
              <w:rPr>
                <w:rFonts w:hint="eastAsia"/>
                <w:sz w:val="24"/>
                <w:lang w:val="en-AU"/>
              </w:rPr>
              <w:t>本年变动</w:t>
            </w:r>
          </w:p>
        </w:tc>
        <w:tc>
          <w:tcPr>
            <w:tcW w:w="197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本期利润分配</w:t>
            </w:r>
            <w:r w:rsidRPr="00824C85">
              <w:rPr>
                <w:sz w:val="24"/>
                <w:lang w:val="en-AU"/>
              </w:rPr>
              <w:t>合计</w:t>
            </w:r>
          </w:p>
        </w:tc>
        <w:tc>
          <w:tcPr>
            <w:tcW w:w="1260" w:type="dxa"/>
            <w:vAlign w:val="center"/>
          </w:tcPr>
          <w:p w:rsidR="000A1B30" w:rsidRPr="00824C85" w:rsidRDefault="000A1B30" w:rsidP="00945C8E">
            <w:pPr>
              <w:spacing w:before="29" w:line="288" w:lineRule="auto"/>
              <w:jc w:val="center"/>
              <w:rPr>
                <w:sz w:val="24"/>
                <w:lang w:val="en-AU"/>
              </w:rPr>
            </w:pPr>
            <w:r w:rsidRPr="00824C85">
              <w:rPr>
                <w:rFonts w:hint="eastAsia"/>
                <w:sz w:val="24"/>
                <w:lang w:val="en-AU"/>
              </w:rPr>
              <w:t>备注</w:t>
            </w:r>
          </w:p>
        </w:tc>
      </w:tr>
      <w:tr w:rsidR="002C233F" w:rsidRPr="00D0515B" w:rsidTr="004C550C">
        <w:trPr>
          <w:jc w:val="center"/>
        </w:trPr>
        <w:tc>
          <w:tcPr>
            <w:tcW w:w="1957"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100,893,227.54</w:t>
            </w:r>
          </w:p>
        </w:tc>
        <w:tc>
          <w:tcPr>
            <w:tcW w:w="1984"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732,802.59</w:t>
            </w:r>
          </w:p>
        </w:tc>
        <w:tc>
          <w:tcPr>
            <w:tcW w:w="1843"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6,693,144.35</w:t>
            </w:r>
          </w:p>
        </w:tc>
        <w:tc>
          <w:tcPr>
            <w:tcW w:w="197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108,319,174.48</w:t>
            </w:r>
          </w:p>
        </w:tc>
        <w:tc>
          <w:tcPr>
            <w:tcW w:w="1260" w:type="dxa"/>
            <w:vAlign w:val="center"/>
          </w:tcPr>
          <w:p w:rsidR="000A1B30" w:rsidRPr="00824C85" w:rsidRDefault="00D32085" w:rsidP="00824C85">
            <w:pPr>
              <w:widowControl/>
              <w:tabs>
                <w:tab w:val="left" w:pos="1680"/>
              </w:tabs>
              <w:autoSpaceDE w:val="0"/>
              <w:autoSpaceDN w:val="0"/>
              <w:spacing w:before="29" w:line="288" w:lineRule="auto"/>
              <w:jc w:val="right"/>
              <w:textAlignment w:val="bottom"/>
              <w:rPr>
                <w:sz w:val="24"/>
                <w:lang w:val="en-AU"/>
              </w:rPr>
            </w:pPr>
            <w:r>
              <w:rPr>
                <w:rFonts w:hint="eastAsia"/>
                <w:sz w:val="24"/>
                <w:lang w:val="en-AU"/>
              </w:rPr>
              <w:t>-</w:t>
            </w:r>
          </w:p>
        </w:tc>
      </w:tr>
    </w:tbl>
    <w:p w:rsidR="00D259FA" w:rsidRPr="00D0515B" w:rsidRDefault="00D259FA" w:rsidP="00B72207">
      <w:pPr>
        <w:spacing w:before="29" w:line="288" w:lineRule="auto"/>
        <w:jc w:val="left"/>
        <w:rPr>
          <w:rFonts w:asciiTheme="minorEastAsia" w:eastAsiaTheme="minorEastAsia" w:hAnsiTheme="minorEastAsia"/>
          <w:szCs w:val="21"/>
        </w:rPr>
      </w:pPr>
    </w:p>
    <w:p w:rsidR="006D141C" w:rsidRPr="00426A9F" w:rsidRDefault="006D141C" w:rsidP="00426A9F">
      <w:pPr>
        <w:spacing w:before="29" w:line="288" w:lineRule="auto"/>
        <w:rPr>
          <w:b/>
          <w:bCs/>
          <w:kern w:val="0"/>
          <w:sz w:val="24"/>
        </w:rPr>
      </w:pPr>
      <w:r w:rsidRPr="00426A9F">
        <w:rPr>
          <w:rFonts w:hint="eastAsia"/>
          <w:b/>
          <w:bCs/>
          <w:kern w:val="0"/>
          <w:sz w:val="24"/>
        </w:rPr>
        <w:t>7.4.</w:t>
      </w:r>
      <w:r w:rsidR="008A28D4" w:rsidRPr="00426A9F">
        <w:rPr>
          <w:rFonts w:hint="eastAsia"/>
          <w:b/>
          <w:bCs/>
          <w:kern w:val="0"/>
          <w:sz w:val="24"/>
        </w:rPr>
        <w:t>12</w:t>
      </w:r>
      <w:r w:rsidRPr="00426A9F">
        <w:rPr>
          <w:rFonts w:hint="eastAsia"/>
          <w:b/>
          <w:bCs/>
          <w:kern w:val="0"/>
          <w:sz w:val="24"/>
        </w:rPr>
        <w:t>期末（</w:t>
      </w:r>
      <w:r w:rsidRPr="00426A9F">
        <w:rPr>
          <w:rFonts w:hint="eastAsia"/>
          <w:b/>
          <w:bCs/>
          <w:kern w:val="0"/>
          <w:sz w:val="24"/>
        </w:rPr>
        <w:t>2017</w:t>
      </w:r>
      <w:r w:rsidRPr="00426A9F">
        <w:rPr>
          <w:rFonts w:hint="eastAsia"/>
          <w:b/>
          <w:bCs/>
          <w:kern w:val="0"/>
          <w:sz w:val="24"/>
        </w:rPr>
        <w:t>年</w:t>
      </w:r>
      <w:r w:rsidRPr="00426A9F">
        <w:rPr>
          <w:rFonts w:hint="eastAsia"/>
          <w:b/>
          <w:bCs/>
          <w:kern w:val="0"/>
          <w:sz w:val="24"/>
        </w:rPr>
        <w:t>12</w:t>
      </w:r>
      <w:r w:rsidRPr="00426A9F">
        <w:rPr>
          <w:rFonts w:hint="eastAsia"/>
          <w:b/>
          <w:bCs/>
          <w:kern w:val="0"/>
          <w:sz w:val="24"/>
        </w:rPr>
        <w:t>月</w:t>
      </w:r>
      <w:r w:rsidRPr="00426A9F">
        <w:rPr>
          <w:rFonts w:hint="eastAsia"/>
          <w:b/>
          <w:bCs/>
          <w:kern w:val="0"/>
          <w:sz w:val="24"/>
        </w:rPr>
        <w:t>31</w:t>
      </w:r>
      <w:r w:rsidRPr="00426A9F">
        <w:rPr>
          <w:rFonts w:hint="eastAsia"/>
          <w:b/>
          <w:bCs/>
          <w:kern w:val="0"/>
          <w:sz w:val="24"/>
        </w:rPr>
        <w:t>日）本基金持有的流通受限证券</w:t>
      </w:r>
    </w:p>
    <w:p w:rsidR="006D141C" w:rsidRPr="00426A9F" w:rsidRDefault="006D141C" w:rsidP="00426A9F">
      <w:pPr>
        <w:spacing w:before="29" w:line="288" w:lineRule="auto"/>
        <w:rPr>
          <w:b/>
          <w:bCs/>
          <w:kern w:val="0"/>
          <w:sz w:val="24"/>
        </w:rPr>
      </w:pPr>
      <w:r w:rsidRPr="00426A9F">
        <w:rPr>
          <w:rFonts w:hint="eastAsia"/>
          <w:b/>
          <w:bCs/>
          <w:kern w:val="0"/>
          <w:sz w:val="24"/>
        </w:rPr>
        <w:t>7.4.12.</w:t>
      </w:r>
      <w:r w:rsidR="008A28D4" w:rsidRPr="00426A9F">
        <w:rPr>
          <w:rFonts w:hint="eastAsia"/>
          <w:b/>
          <w:bCs/>
          <w:kern w:val="0"/>
          <w:sz w:val="24"/>
        </w:rPr>
        <w:t>1</w:t>
      </w:r>
      <w:r w:rsidRPr="00426A9F">
        <w:rPr>
          <w:rFonts w:hint="eastAsia"/>
          <w:b/>
          <w:bCs/>
          <w:kern w:val="0"/>
          <w:sz w:val="24"/>
        </w:rPr>
        <w:t>因认购新发</w:t>
      </w:r>
      <w:r w:rsidRPr="00426A9F">
        <w:rPr>
          <w:rFonts w:hint="eastAsia"/>
          <w:b/>
          <w:bCs/>
          <w:kern w:val="0"/>
          <w:sz w:val="24"/>
        </w:rPr>
        <w:t>/</w:t>
      </w:r>
      <w:r w:rsidRPr="00426A9F">
        <w:rPr>
          <w:rFonts w:hint="eastAsia"/>
          <w:b/>
          <w:bCs/>
          <w:kern w:val="0"/>
          <w:sz w:val="24"/>
        </w:rPr>
        <w:t>增发证券而于期末持有的流通受限证券</w:t>
      </w:r>
    </w:p>
    <w:p w:rsidR="006D141C" w:rsidRPr="005A5157" w:rsidRDefault="00643794" w:rsidP="005A5157">
      <w:pPr>
        <w:tabs>
          <w:tab w:val="left" w:pos="426"/>
        </w:tabs>
        <w:spacing w:before="29" w:line="288" w:lineRule="auto"/>
        <w:jc w:val="left"/>
        <w:rPr>
          <w:kern w:val="0"/>
          <w:sz w:val="24"/>
        </w:rPr>
      </w:pPr>
      <w:r w:rsidRPr="005D7912">
        <w:rPr>
          <w:rFonts w:hint="eastAsia"/>
          <w:kern w:val="0"/>
          <w:sz w:val="24"/>
        </w:rPr>
        <w:t>本基金本期末无因认购新发</w:t>
      </w:r>
      <w:r w:rsidRPr="005D7912">
        <w:rPr>
          <w:rFonts w:hint="eastAsia"/>
          <w:kern w:val="0"/>
          <w:sz w:val="24"/>
        </w:rPr>
        <w:t>/</w:t>
      </w:r>
      <w:r w:rsidRPr="005D7912">
        <w:rPr>
          <w:rFonts w:hint="eastAsia"/>
          <w:kern w:val="0"/>
          <w:sz w:val="24"/>
        </w:rPr>
        <w:t>增发证券而于期末持有的流通受限证券。</w:t>
      </w:r>
      <w:r w:rsidR="005A5157">
        <w:rPr>
          <w:rFonts w:hint="eastAsia"/>
          <w:kern w:val="0"/>
          <w:sz w:val="24"/>
        </w:rPr>
        <w:br/>
      </w:r>
    </w:p>
    <w:p w:rsidR="006D141C" w:rsidRPr="00DE7FD8" w:rsidRDefault="006D141C" w:rsidP="00DE7FD8">
      <w:pPr>
        <w:spacing w:before="29" w:line="288" w:lineRule="auto"/>
        <w:rPr>
          <w:b/>
          <w:bCs/>
          <w:kern w:val="0"/>
          <w:sz w:val="24"/>
        </w:rPr>
      </w:pPr>
      <w:r w:rsidRPr="00DE7FD8">
        <w:rPr>
          <w:rFonts w:hint="eastAsia"/>
          <w:b/>
          <w:bCs/>
          <w:kern w:val="0"/>
          <w:sz w:val="24"/>
        </w:rPr>
        <w:t>7.4.12.</w:t>
      </w:r>
      <w:r w:rsidR="008A28D4" w:rsidRPr="00DE7FD8">
        <w:rPr>
          <w:rFonts w:hint="eastAsia"/>
          <w:b/>
          <w:bCs/>
          <w:kern w:val="0"/>
          <w:sz w:val="24"/>
        </w:rPr>
        <w:t>2</w:t>
      </w:r>
      <w:r w:rsidRPr="00DE7FD8">
        <w:rPr>
          <w:rFonts w:hint="eastAsia"/>
          <w:b/>
          <w:bCs/>
          <w:kern w:val="0"/>
          <w:sz w:val="24"/>
        </w:rPr>
        <w:t>期末持有的暂时停牌等流通受限</w:t>
      </w:r>
      <w:r w:rsidR="00D02C5F">
        <w:rPr>
          <w:rFonts w:hint="eastAsia"/>
          <w:b/>
          <w:bCs/>
          <w:kern w:val="0"/>
          <w:sz w:val="24"/>
        </w:rPr>
        <w:t>证券</w:t>
      </w:r>
    </w:p>
    <w:p w:rsidR="00042E97" w:rsidRPr="00D754A9" w:rsidRDefault="00643794" w:rsidP="00042E97">
      <w:pPr>
        <w:tabs>
          <w:tab w:val="left" w:pos="426"/>
        </w:tabs>
        <w:spacing w:before="29" w:line="288" w:lineRule="auto"/>
        <w:jc w:val="left"/>
        <w:rPr>
          <w:kern w:val="0"/>
          <w:sz w:val="24"/>
        </w:rPr>
      </w:pPr>
      <w:r w:rsidRPr="00643794">
        <w:rPr>
          <w:rFonts w:hint="eastAsia"/>
          <w:kern w:val="0"/>
          <w:sz w:val="24"/>
        </w:rPr>
        <w:t>本基金本期末未持有暂时停牌等流通受限</w:t>
      </w:r>
      <w:r w:rsidR="00D02C5F" w:rsidRPr="00D02C5F">
        <w:rPr>
          <w:rFonts w:hint="eastAsia"/>
          <w:kern w:val="0"/>
          <w:sz w:val="24"/>
        </w:rPr>
        <w:t>证券</w:t>
      </w:r>
      <w:r w:rsidRPr="00643794">
        <w:rPr>
          <w:rFonts w:hint="eastAsia"/>
          <w:kern w:val="0"/>
          <w:sz w:val="24"/>
        </w:rPr>
        <w:t>。</w:t>
      </w:r>
    </w:p>
    <w:p w:rsidR="006D141C" w:rsidRPr="00042E97" w:rsidRDefault="006D141C" w:rsidP="00CA3CD8">
      <w:pPr>
        <w:spacing w:line="360" w:lineRule="auto"/>
        <w:rPr>
          <w:rFonts w:asciiTheme="minorEastAsia" w:eastAsiaTheme="minorEastAsia" w:hAnsiTheme="minorEastAsia"/>
          <w:szCs w:val="21"/>
        </w:rPr>
      </w:pPr>
    </w:p>
    <w:p w:rsidR="00DA3645" w:rsidRPr="003B397B" w:rsidRDefault="006D141C" w:rsidP="003B397B">
      <w:pPr>
        <w:spacing w:before="29" w:line="288" w:lineRule="auto"/>
        <w:rPr>
          <w:b/>
          <w:bCs/>
          <w:kern w:val="0"/>
          <w:sz w:val="24"/>
        </w:rPr>
      </w:pPr>
      <w:r w:rsidRPr="003B397B">
        <w:rPr>
          <w:rFonts w:hint="eastAsia"/>
          <w:b/>
          <w:bCs/>
          <w:kern w:val="0"/>
          <w:sz w:val="24"/>
        </w:rPr>
        <w:t>7.4.12.</w:t>
      </w:r>
      <w:r w:rsidR="008A28D4" w:rsidRPr="003B397B">
        <w:rPr>
          <w:rFonts w:hint="eastAsia"/>
          <w:b/>
          <w:bCs/>
          <w:kern w:val="0"/>
          <w:sz w:val="24"/>
        </w:rPr>
        <w:t>3</w:t>
      </w:r>
      <w:r w:rsidRPr="003B397B">
        <w:rPr>
          <w:rFonts w:hint="eastAsia"/>
          <w:b/>
          <w:bCs/>
          <w:kern w:val="0"/>
          <w:sz w:val="24"/>
        </w:rPr>
        <w:t>期末债券正回购交易中作为抵押的债券</w:t>
      </w:r>
    </w:p>
    <w:p w:rsidR="006D141C" w:rsidRPr="003B397B" w:rsidRDefault="006D141C" w:rsidP="003B397B">
      <w:pPr>
        <w:spacing w:before="29" w:line="288" w:lineRule="auto"/>
        <w:rPr>
          <w:b/>
          <w:bCs/>
          <w:kern w:val="0"/>
          <w:sz w:val="24"/>
        </w:rPr>
      </w:pPr>
      <w:r w:rsidRPr="003B397B">
        <w:rPr>
          <w:rFonts w:hint="eastAsia"/>
          <w:b/>
          <w:bCs/>
          <w:kern w:val="0"/>
          <w:sz w:val="24"/>
        </w:rPr>
        <w:t>7.4.12.3.</w:t>
      </w:r>
      <w:r w:rsidR="008A28D4" w:rsidRPr="003B397B">
        <w:rPr>
          <w:rFonts w:hint="eastAsia"/>
          <w:b/>
          <w:bCs/>
          <w:kern w:val="0"/>
          <w:sz w:val="24"/>
        </w:rPr>
        <w:t>1</w:t>
      </w:r>
      <w:r w:rsidRPr="003B397B">
        <w:rPr>
          <w:rFonts w:hint="eastAsia"/>
          <w:b/>
          <w:bCs/>
          <w:kern w:val="0"/>
          <w:sz w:val="24"/>
        </w:rPr>
        <w:t>银行间市场债券正回购</w:t>
      </w:r>
    </w:p>
    <w:p w:rsidR="006D141C" w:rsidRPr="003B397B" w:rsidRDefault="006D141C" w:rsidP="003B397B">
      <w:pPr>
        <w:tabs>
          <w:tab w:val="left" w:pos="426"/>
        </w:tabs>
        <w:spacing w:before="29" w:line="288" w:lineRule="auto"/>
        <w:rPr>
          <w:kern w:val="0"/>
          <w:sz w:val="24"/>
        </w:rPr>
      </w:pPr>
      <w:r w:rsidRPr="003B397B">
        <w:rPr>
          <w:rFonts w:hint="eastAsia"/>
          <w:kern w:val="0"/>
          <w:sz w:val="24"/>
        </w:rPr>
        <w:t>截至本报告期末</w:t>
      </w:r>
      <w:r w:rsidRPr="003B397B">
        <w:rPr>
          <w:rFonts w:hint="eastAsia"/>
          <w:kern w:val="0"/>
          <w:sz w:val="24"/>
        </w:rPr>
        <w:t>2017</w:t>
      </w:r>
      <w:r w:rsidRPr="003B397B">
        <w:rPr>
          <w:rFonts w:hint="eastAsia"/>
          <w:kern w:val="0"/>
          <w:sz w:val="24"/>
        </w:rPr>
        <w:t>年</w:t>
      </w:r>
      <w:r w:rsidRPr="003B397B">
        <w:rPr>
          <w:rFonts w:hint="eastAsia"/>
          <w:kern w:val="0"/>
          <w:sz w:val="24"/>
        </w:rPr>
        <w:t>12</w:t>
      </w:r>
      <w:r w:rsidRPr="003B397B">
        <w:rPr>
          <w:rFonts w:hint="eastAsia"/>
          <w:kern w:val="0"/>
          <w:sz w:val="24"/>
        </w:rPr>
        <w:t>月</w:t>
      </w:r>
      <w:r w:rsidRPr="003B397B">
        <w:rPr>
          <w:rFonts w:hint="eastAsia"/>
          <w:kern w:val="0"/>
          <w:sz w:val="24"/>
        </w:rPr>
        <w:t>31</w:t>
      </w:r>
      <w:r w:rsidRPr="003B397B">
        <w:rPr>
          <w:rFonts w:hint="eastAsia"/>
          <w:kern w:val="0"/>
          <w:sz w:val="24"/>
        </w:rPr>
        <w:t>日止，本基金从事银行间市场债券正回购交易形成的卖出回购证券款余额</w:t>
      </w:r>
      <w:r w:rsidRPr="003B397B">
        <w:rPr>
          <w:rFonts w:hint="eastAsia"/>
          <w:kern w:val="0"/>
          <w:sz w:val="24"/>
        </w:rPr>
        <w:t>716,143,653.61</w:t>
      </w:r>
      <w:r w:rsidRPr="003B397B">
        <w:rPr>
          <w:rFonts w:hint="eastAsia"/>
          <w:kern w:val="0"/>
          <w:sz w:val="24"/>
        </w:rPr>
        <w:t>元，是以如下债券作为抵押：</w:t>
      </w:r>
    </w:p>
    <w:p w:rsidR="006D141C" w:rsidRPr="003B397B" w:rsidRDefault="00644AB5" w:rsidP="003B397B">
      <w:pPr>
        <w:autoSpaceDE w:val="0"/>
        <w:autoSpaceDN w:val="0"/>
        <w:adjustRightInd w:val="0"/>
        <w:spacing w:before="29" w:line="288" w:lineRule="auto"/>
        <w:ind w:left="15"/>
        <w:jc w:val="right"/>
        <w:rPr>
          <w:sz w:val="24"/>
        </w:rPr>
      </w:pPr>
      <w:r w:rsidRPr="003B397B">
        <w:rPr>
          <w:rFonts w:hint="eastAsia"/>
          <w:sz w:val="24"/>
        </w:rPr>
        <w:t>金额单位</w:t>
      </w:r>
      <w:r w:rsidR="006D141C" w:rsidRPr="003B397B">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D0515B"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B397B" w:rsidRDefault="006D141C" w:rsidP="003B397B">
            <w:pPr>
              <w:spacing w:before="29" w:line="288" w:lineRule="auto"/>
              <w:jc w:val="center"/>
              <w:rPr>
                <w:sz w:val="24"/>
              </w:rPr>
            </w:pPr>
            <w:r w:rsidRPr="003B397B">
              <w:rPr>
                <w:rFonts w:hint="eastAsia"/>
                <w:sz w:val="24"/>
              </w:rPr>
              <w:t>期末估值总额</w:t>
            </w:r>
          </w:p>
        </w:tc>
      </w:tr>
      <w:tr w:rsidR="00AC4E3A">
        <w:tc>
          <w:tcPr>
            <w:tcW w:w="1500" w:type="dxa"/>
            <w:vAlign w:val="center"/>
          </w:tcPr>
          <w:p w:rsidR="00AC4E3A" w:rsidRDefault="00AC4E3A" w:rsidP="00AC4E3A">
            <w:pPr>
              <w:jc w:val="center"/>
            </w:pPr>
            <w:r>
              <w:rPr>
                <w:rFonts w:hint="eastAsia"/>
                <w:kern w:val="0"/>
                <w:sz w:val="24"/>
              </w:rPr>
              <w:t>111781498</w:t>
            </w:r>
          </w:p>
        </w:tc>
        <w:tc>
          <w:tcPr>
            <w:tcW w:w="1500" w:type="dxa"/>
            <w:vAlign w:val="center"/>
          </w:tcPr>
          <w:p w:rsidR="00AC4E3A" w:rsidRDefault="00AC4E3A" w:rsidP="00AC4E3A">
            <w:pPr>
              <w:jc w:val="center"/>
            </w:pPr>
            <w:r>
              <w:rPr>
                <w:rFonts w:hint="eastAsia"/>
                <w:kern w:val="0"/>
                <w:sz w:val="24"/>
              </w:rPr>
              <w:t>17</w:t>
            </w:r>
            <w:r>
              <w:rPr>
                <w:rFonts w:hint="eastAsia"/>
                <w:kern w:val="0"/>
                <w:sz w:val="24"/>
              </w:rPr>
              <w:t>赣州银行</w:t>
            </w:r>
            <w:r>
              <w:rPr>
                <w:rFonts w:hint="eastAsia"/>
                <w:kern w:val="0"/>
                <w:sz w:val="24"/>
              </w:rPr>
              <w:t>CD048</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99.76</w:t>
            </w:r>
          </w:p>
        </w:tc>
        <w:tc>
          <w:tcPr>
            <w:tcW w:w="1440" w:type="dxa"/>
            <w:vAlign w:val="center"/>
          </w:tcPr>
          <w:p w:rsidR="00AC4E3A" w:rsidRDefault="00AC4E3A" w:rsidP="00AC4E3A">
            <w:pPr>
              <w:jc w:val="right"/>
            </w:pPr>
            <w:r>
              <w:rPr>
                <w:rFonts w:hint="eastAsia"/>
                <w:kern w:val="0"/>
                <w:sz w:val="24"/>
              </w:rPr>
              <w:t>500,000</w:t>
            </w:r>
          </w:p>
        </w:tc>
        <w:tc>
          <w:tcPr>
            <w:tcW w:w="1836" w:type="dxa"/>
            <w:vAlign w:val="center"/>
          </w:tcPr>
          <w:p w:rsidR="00AC4E3A" w:rsidRDefault="00AC4E3A" w:rsidP="00AC4E3A">
            <w:pPr>
              <w:widowControl/>
              <w:jc w:val="right"/>
              <w:rPr>
                <w:color w:val="000000"/>
                <w:kern w:val="0"/>
                <w:sz w:val="24"/>
              </w:rPr>
            </w:pPr>
            <w:r>
              <w:rPr>
                <w:color w:val="000000"/>
              </w:rPr>
              <w:t>49,881,781.88</w:t>
            </w:r>
          </w:p>
        </w:tc>
      </w:tr>
      <w:tr w:rsidR="00AC4E3A">
        <w:tc>
          <w:tcPr>
            <w:tcW w:w="1500" w:type="dxa"/>
            <w:vAlign w:val="center"/>
          </w:tcPr>
          <w:p w:rsidR="00AC4E3A" w:rsidRDefault="00AC4E3A" w:rsidP="00AC4E3A">
            <w:pPr>
              <w:jc w:val="center"/>
            </w:pPr>
            <w:r>
              <w:rPr>
                <w:rFonts w:hint="eastAsia"/>
                <w:kern w:val="0"/>
                <w:sz w:val="24"/>
              </w:rPr>
              <w:t>111785233</w:t>
            </w:r>
          </w:p>
        </w:tc>
        <w:tc>
          <w:tcPr>
            <w:tcW w:w="1500" w:type="dxa"/>
            <w:vAlign w:val="center"/>
          </w:tcPr>
          <w:p w:rsidR="00AC4E3A" w:rsidRDefault="00AC4E3A" w:rsidP="00AC4E3A">
            <w:pPr>
              <w:jc w:val="center"/>
            </w:pPr>
            <w:r>
              <w:rPr>
                <w:rFonts w:hint="eastAsia"/>
                <w:kern w:val="0"/>
                <w:sz w:val="24"/>
              </w:rPr>
              <w:t>17</w:t>
            </w:r>
            <w:r>
              <w:rPr>
                <w:rFonts w:hint="eastAsia"/>
                <w:kern w:val="0"/>
                <w:sz w:val="24"/>
              </w:rPr>
              <w:t>杭州联合银行</w:t>
            </w:r>
            <w:r>
              <w:rPr>
                <w:rFonts w:hint="eastAsia"/>
                <w:kern w:val="0"/>
                <w:sz w:val="24"/>
              </w:rPr>
              <w:t>CD107</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99.02</w:t>
            </w:r>
          </w:p>
        </w:tc>
        <w:tc>
          <w:tcPr>
            <w:tcW w:w="1440" w:type="dxa"/>
            <w:vAlign w:val="center"/>
          </w:tcPr>
          <w:p w:rsidR="00AC4E3A" w:rsidRDefault="00AC4E3A" w:rsidP="00AC4E3A">
            <w:pPr>
              <w:jc w:val="right"/>
            </w:pPr>
            <w:r>
              <w:rPr>
                <w:rFonts w:hint="eastAsia"/>
                <w:kern w:val="0"/>
                <w:sz w:val="24"/>
              </w:rPr>
              <w:t>206,000</w:t>
            </w:r>
          </w:p>
        </w:tc>
        <w:tc>
          <w:tcPr>
            <w:tcW w:w="1836" w:type="dxa"/>
            <w:vAlign w:val="center"/>
          </w:tcPr>
          <w:p w:rsidR="00AC4E3A" w:rsidRDefault="00AC4E3A" w:rsidP="00AC4E3A">
            <w:pPr>
              <w:jc w:val="right"/>
              <w:rPr>
                <w:color w:val="000000"/>
              </w:rPr>
            </w:pPr>
            <w:r>
              <w:rPr>
                <w:color w:val="000000"/>
              </w:rPr>
              <w:t>20,397,443.54</w:t>
            </w:r>
          </w:p>
        </w:tc>
      </w:tr>
      <w:tr w:rsidR="00AC4E3A">
        <w:tc>
          <w:tcPr>
            <w:tcW w:w="1500" w:type="dxa"/>
            <w:vAlign w:val="center"/>
          </w:tcPr>
          <w:p w:rsidR="00AC4E3A" w:rsidRDefault="00AC4E3A" w:rsidP="00AC4E3A">
            <w:pPr>
              <w:jc w:val="center"/>
            </w:pPr>
            <w:r>
              <w:rPr>
                <w:rFonts w:hint="eastAsia"/>
                <w:kern w:val="0"/>
                <w:sz w:val="24"/>
              </w:rPr>
              <w:t>111771685</w:t>
            </w:r>
          </w:p>
        </w:tc>
        <w:tc>
          <w:tcPr>
            <w:tcW w:w="1500" w:type="dxa"/>
            <w:vAlign w:val="center"/>
          </w:tcPr>
          <w:p w:rsidR="00AC4E3A" w:rsidRDefault="00AC4E3A" w:rsidP="00AC4E3A">
            <w:pPr>
              <w:jc w:val="center"/>
            </w:pPr>
            <w:r>
              <w:rPr>
                <w:rFonts w:hint="eastAsia"/>
                <w:kern w:val="0"/>
                <w:sz w:val="24"/>
              </w:rPr>
              <w:t>17</w:t>
            </w:r>
            <w:r>
              <w:rPr>
                <w:rFonts w:hint="eastAsia"/>
                <w:kern w:val="0"/>
                <w:sz w:val="24"/>
              </w:rPr>
              <w:t>杭州银行</w:t>
            </w:r>
            <w:r>
              <w:rPr>
                <w:rFonts w:hint="eastAsia"/>
                <w:kern w:val="0"/>
                <w:sz w:val="24"/>
              </w:rPr>
              <w:t>CD258</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96.39</w:t>
            </w:r>
          </w:p>
        </w:tc>
        <w:tc>
          <w:tcPr>
            <w:tcW w:w="1440" w:type="dxa"/>
            <w:vAlign w:val="center"/>
          </w:tcPr>
          <w:p w:rsidR="00AC4E3A" w:rsidRDefault="00AC4E3A" w:rsidP="00AC4E3A">
            <w:pPr>
              <w:jc w:val="right"/>
            </w:pPr>
            <w:r>
              <w:rPr>
                <w:rFonts w:hint="eastAsia"/>
                <w:kern w:val="0"/>
                <w:sz w:val="24"/>
              </w:rPr>
              <w:t>1,500,000</w:t>
            </w:r>
          </w:p>
        </w:tc>
        <w:tc>
          <w:tcPr>
            <w:tcW w:w="1836" w:type="dxa"/>
            <w:vAlign w:val="center"/>
          </w:tcPr>
          <w:p w:rsidR="00AC4E3A" w:rsidRDefault="00AC4E3A" w:rsidP="00AC4E3A">
            <w:pPr>
              <w:jc w:val="right"/>
              <w:rPr>
                <w:color w:val="000000"/>
              </w:rPr>
            </w:pPr>
            <w:r>
              <w:rPr>
                <w:color w:val="000000"/>
              </w:rPr>
              <w:t>144,586,753.37</w:t>
            </w:r>
          </w:p>
        </w:tc>
      </w:tr>
      <w:tr w:rsidR="00AC4E3A">
        <w:tc>
          <w:tcPr>
            <w:tcW w:w="1500" w:type="dxa"/>
            <w:vAlign w:val="center"/>
          </w:tcPr>
          <w:p w:rsidR="00AC4E3A" w:rsidRDefault="00AC4E3A" w:rsidP="00AC4E3A">
            <w:pPr>
              <w:jc w:val="center"/>
            </w:pPr>
            <w:r>
              <w:rPr>
                <w:rFonts w:hint="eastAsia"/>
                <w:kern w:val="0"/>
                <w:sz w:val="24"/>
              </w:rPr>
              <w:t>111786947</w:t>
            </w:r>
          </w:p>
        </w:tc>
        <w:tc>
          <w:tcPr>
            <w:tcW w:w="1500" w:type="dxa"/>
            <w:vAlign w:val="center"/>
          </w:tcPr>
          <w:p w:rsidR="00AC4E3A" w:rsidRDefault="00AC4E3A" w:rsidP="00AC4E3A">
            <w:pPr>
              <w:jc w:val="center"/>
            </w:pPr>
            <w:r>
              <w:rPr>
                <w:rFonts w:hint="eastAsia"/>
                <w:kern w:val="0"/>
                <w:sz w:val="24"/>
              </w:rPr>
              <w:t>17</w:t>
            </w:r>
            <w:r>
              <w:rPr>
                <w:rFonts w:hint="eastAsia"/>
                <w:kern w:val="0"/>
                <w:sz w:val="24"/>
              </w:rPr>
              <w:t>湖北银行</w:t>
            </w:r>
            <w:r>
              <w:rPr>
                <w:rFonts w:hint="eastAsia"/>
                <w:kern w:val="0"/>
                <w:sz w:val="24"/>
              </w:rPr>
              <w:t>CD134</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99.76</w:t>
            </w:r>
          </w:p>
        </w:tc>
        <w:tc>
          <w:tcPr>
            <w:tcW w:w="1440" w:type="dxa"/>
            <w:vAlign w:val="center"/>
          </w:tcPr>
          <w:p w:rsidR="00AC4E3A" w:rsidRDefault="00AC4E3A" w:rsidP="00AC4E3A">
            <w:pPr>
              <w:jc w:val="right"/>
            </w:pPr>
            <w:r>
              <w:rPr>
                <w:rFonts w:hint="eastAsia"/>
                <w:kern w:val="0"/>
                <w:sz w:val="24"/>
              </w:rPr>
              <w:t>210,000</w:t>
            </w:r>
          </w:p>
        </w:tc>
        <w:tc>
          <w:tcPr>
            <w:tcW w:w="1836" w:type="dxa"/>
            <w:vAlign w:val="center"/>
          </w:tcPr>
          <w:p w:rsidR="00AC4E3A" w:rsidRDefault="00AC4E3A" w:rsidP="00AC4E3A">
            <w:pPr>
              <w:jc w:val="right"/>
              <w:rPr>
                <w:color w:val="000000"/>
              </w:rPr>
            </w:pPr>
            <w:r>
              <w:rPr>
                <w:color w:val="000000"/>
              </w:rPr>
              <w:t>20,949,014.73</w:t>
            </w:r>
          </w:p>
        </w:tc>
      </w:tr>
      <w:tr w:rsidR="00AC4E3A">
        <w:tc>
          <w:tcPr>
            <w:tcW w:w="1500" w:type="dxa"/>
            <w:vAlign w:val="center"/>
          </w:tcPr>
          <w:p w:rsidR="00AC4E3A" w:rsidRDefault="00AC4E3A" w:rsidP="00AC4E3A">
            <w:pPr>
              <w:jc w:val="center"/>
            </w:pPr>
            <w:r>
              <w:rPr>
                <w:rFonts w:hint="eastAsia"/>
                <w:kern w:val="0"/>
                <w:sz w:val="24"/>
              </w:rPr>
              <w:t>111771190</w:t>
            </w:r>
          </w:p>
        </w:tc>
        <w:tc>
          <w:tcPr>
            <w:tcW w:w="1500" w:type="dxa"/>
            <w:vAlign w:val="center"/>
          </w:tcPr>
          <w:p w:rsidR="00AC4E3A" w:rsidRDefault="00AC4E3A" w:rsidP="00AC4E3A">
            <w:pPr>
              <w:jc w:val="center"/>
            </w:pPr>
            <w:r>
              <w:rPr>
                <w:rFonts w:hint="eastAsia"/>
                <w:kern w:val="0"/>
                <w:sz w:val="24"/>
              </w:rPr>
              <w:t>17</w:t>
            </w:r>
            <w:r>
              <w:rPr>
                <w:rFonts w:hint="eastAsia"/>
                <w:kern w:val="0"/>
                <w:sz w:val="24"/>
              </w:rPr>
              <w:t>徽商银行</w:t>
            </w:r>
            <w:r>
              <w:rPr>
                <w:rFonts w:hint="eastAsia"/>
                <w:kern w:val="0"/>
                <w:sz w:val="24"/>
              </w:rPr>
              <w:t>CD230</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97.74</w:t>
            </w:r>
          </w:p>
        </w:tc>
        <w:tc>
          <w:tcPr>
            <w:tcW w:w="1440" w:type="dxa"/>
            <w:vAlign w:val="center"/>
          </w:tcPr>
          <w:p w:rsidR="00AC4E3A" w:rsidRDefault="00AC4E3A" w:rsidP="00AC4E3A">
            <w:pPr>
              <w:jc w:val="right"/>
            </w:pPr>
            <w:r>
              <w:rPr>
                <w:rFonts w:hint="eastAsia"/>
                <w:kern w:val="0"/>
                <w:sz w:val="24"/>
              </w:rPr>
              <w:t>527,000</w:t>
            </w:r>
          </w:p>
        </w:tc>
        <w:tc>
          <w:tcPr>
            <w:tcW w:w="1836" w:type="dxa"/>
            <w:vAlign w:val="center"/>
          </w:tcPr>
          <w:p w:rsidR="00AC4E3A" w:rsidRDefault="00AC4E3A" w:rsidP="00AC4E3A">
            <w:pPr>
              <w:jc w:val="right"/>
              <w:rPr>
                <w:color w:val="000000"/>
              </w:rPr>
            </w:pPr>
            <w:r>
              <w:rPr>
                <w:color w:val="000000"/>
              </w:rPr>
              <w:t>51,510,914.99</w:t>
            </w:r>
          </w:p>
        </w:tc>
      </w:tr>
      <w:tr w:rsidR="00AC4E3A">
        <w:tc>
          <w:tcPr>
            <w:tcW w:w="1500" w:type="dxa"/>
            <w:vAlign w:val="center"/>
          </w:tcPr>
          <w:p w:rsidR="00AC4E3A" w:rsidRDefault="00AC4E3A" w:rsidP="00AC4E3A">
            <w:pPr>
              <w:jc w:val="center"/>
            </w:pPr>
            <w:r>
              <w:rPr>
                <w:rFonts w:hint="eastAsia"/>
                <w:kern w:val="0"/>
                <w:sz w:val="24"/>
              </w:rPr>
              <w:t>170301</w:t>
            </w:r>
          </w:p>
        </w:tc>
        <w:tc>
          <w:tcPr>
            <w:tcW w:w="1500" w:type="dxa"/>
            <w:vAlign w:val="center"/>
          </w:tcPr>
          <w:p w:rsidR="00AC4E3A" w:rsidRDefault="00AC4E3A" w:rsidP="00AC4E3A">
            <w:pPr>
              <w:jc w:val="center"/>
            </w:pPr>
            <w:r>
              <w:rPr>
                <w:rFonts w:hint="eastAsia"/>
                <w:kern w:val="0"/>
                <w:sz w:val="24"/>
              </w:rPr>
              <w:t>17</w:t>
            </w:r>
            <w:r>
              <w:rPr>
                <w:rFonts w:hint="eastAsia"/>
                <w:kern w:val="0"/>
                <w:sz w:val="24"/>
              </w:rPr>
              <w:t>进出</w:t>
            </w:r>
            <w:r>
              <w:rPr>
                <w:rFonts w:hint="eastAsia"/>
                <w:kern w:val="0"/>
                <w:sz w:val="24"/>
              </w:rPr>
              <w:t>01</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99.92</w:t>
            </w:r>
          </w:p>
        </w:tc>
        <w:tc>
          <w:tcPr>
            <w:tcW w:w="1440" w:type="dxa"/>
            <w:vAlign w:val="center"/>
          </w:tcPr>
          <w:p w:rsidR="00AC4E3A" w:rsidRDefault="00AC4E3A" w:rsidP="00AC4E3A">
            <w:pPr>
              <w:jc w:val="right"/>
            </w:pPr>
            <w:r>
              <w:rPr>
                <w:rFonts w:hint="eastAsia"/>
                <w:kern w:val="0"/>
                <w:sz w:val="24"/>
              </w:rPr>
              <w:t>100,000</w:t>
            </w:r>
          </w:p>
        </w:tc>
        <w:tc>
          <w:tcPr>
            <w:tcW w:w="1836" w:type="dxa"/>
            <w:vAlign w:val="center"/>
          </w:tcPr>
          <w:p w:rsidR="00AC4E3A" w:rsidRDefault="00AC4E3A" w:rsidP="00AC4E3A">
            <w:pPr>
              <w:jc w:val="right"/>
              <w:rPr>
                <w:color w:val="000000"/>
              </w:rPr>
            </w:pPr>
            <w:r>
              <w:rPr>
                <w:color w:val="000000"/>
              </w:rPr>
              <w:t>9,991,914.29</w:t>
            </w:r>
          </w:p>
        </w:tc>
      </w:tr>
      <w:tr w:rsidR="00AC4E3A">
        <w:tc>
          <w:tcPr>
            <w:tcW w:w="1500" w:type="dxa"/>
            <w:vAlign w:val="center"/>
          </w:tcPr>
          <w:p w:rsidR="00AC4E3A" w:rsidRDefault="00AC4E3A" w:rsidP="00AC4E3A">
            <w:pPr>
              <w:jc w:val="center"/>
            </w:pPr>
            <w:r>
              <w:rPr>
                <w:rFonts w:hint="eastAsia"/>
                <w:kern w:val="0"/>
                <w:sz w:val="24"/>
              </w:rPr>
              <w:t>111715278</w:t>
            </w:r>
          </w:p>
        </w:tc>
        <w:tc>
          <w:tcPr>
            <w:tcW w:w="1500" w:type="dxa"/>
            <w:vAlign w:val="center"/>
          </w:tcPr>
          <w:p w:rsidR="00AC4E3A" w:rsidRDefault="00AC4E3A" w:rsidP="00AC4E3A">
            <w:pPr>
              <w:jc w:val="center"/>
            </w:pPr>
            <w:r>
              <w:rPr>
                <w:rFonts w:hint="eastAsia"/>
                <w:kern w:val="0"/>
                <w:sz w:val="24"/>
              </w:rPr>
              <w:t>17</w:t>
            </w:r>
            <w:r>
              <w:rPr>
                <w:rFonts w:hint="eastAsia"/>
                <w:kern w:val="0"/>
                <w:sz w:val="24"/>
              </w:rPr>
              <w:t>民生银行</w:t>
            </w:r>
            <w:r>
              <w:rPr>
                <w:rFonts w:hint="eastAsia"/>
                <w:kern w:val="0"/>
                <w:sz w:val="24"/>
              </w:rPr>
              <w:t>CD278</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99.41</w:t>
            </w:r>
          </w:p>
        </w:tc>
        <w:tc>
          <w:tcPr>
            <w:tcW w:w="1440" w:type="dxa"/>
            <w:vAlign w:val="center"/>
          </w:tcPr>
          <w:p w:rsidR="00AC4E3A" w:rsidRDefault="00AC4E3A" w:rsidP="00AC4E3A">
            <w:pPr>
              <w:jc w:val="right"/>
            </w:pPr>
            <w:r>
              <w:rPr>
                <w:rFonts w:hint="eastAsia"/>
                <w:kern w:val="0"/>
                <w:sz w:val="24"/>
              </w:rPr>
              <w:t>470,000</w:t>
            </w:r>
          </w:p>
        </w:tc>
        <w:tc>
          <w:tcPr>
            <w:tcW w:w="1836" w:type="dxa"/>
            <w:vAlign w:val="center"/>
          </w:tcPr>
          <w:p w:rsidR="00AC4E3A" w:rsidRDefault="00AC4E3A" w:rsidP="00AC4E3A">
            <w:pPr>
              <w:jc w:val="right"/>
              <w:rPr>
                <w:color w:val="000000"/>
              </w:rPr>
            </w:pPr>
            <w:r>
              <w:rPr>
                <w:color w:val="000000"/>
              </w:rPr>
              <w:t>46,724,772.72</w:t>
            </w:r>
          </w:p>
        </w:tc>
      </w:tr>
      <w:tr w:rsidR="00AC4E3A">
        <w:tc>
          <w:tcPr>
            <w:tcW w:w="1500" w:type="dxa"/>
            <w:vAlign w:val="center"/>
          </w:tcPr>
          <w:p w:rsidR="00AC4E3A" w:rsidRDefault="00AC4E3A" w:rsidP="00AC4E3A">
            <w:pPr>
              <w:jc w:val="center"/>
            </w:pPr>
            <w:r>
              <w:rPr>
                <w:rFonts w:hint="eastAsia"/>
                <w:kern w:val="0"/>
                <w:sz w:val="24"/>
              </w:rPr>
              <w:t>111782632</w:t>
            </w:r>
          </w:p>
        </w:tc>
        <w:tc>
          <w:tcPr>
            <w:tcW w:w="1500" w:type="dxa"/>
            <w:vAlign w:val="center"/>
          </w:tcPr>
          <w:p w:rsidR="00AC4E3A" w:rsidRDefault="00AC4E3A" w:rsidP="00AC4E3A">
            <w:pPr>
              <w:jc w:val="center"/>
            </w:pPr>
            <w:r>
              <w:rPr>
                <w:rFonts w:hint="eastAsia"/>
                <w:kern w:val="0"/>
                <w:sz w:val="24"/>
              </w:rPr>
              <w:t>17</w:t>
            </w:r>
            <w:r>
              <w:rPr>
                <w:rFonts w:hint="eastAsia"/>
                <w:kern w:val="0"/>
                <w:sz w:val="24"/>
              </w:rPr>
              <w:t>宁夏银行</w:t>
            </w:r>
            <w:r>
              <w:rPr>
                <w:rFonts w:hint="eastAsia"/>
                <w:kern w:val="0"/>
                <w:sz w:val="24"/>
              </w:rPr>
              <w:t>CD060</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99.50</w:t>
            </w:r>
          </w:p>
        </w:tc>
        <w:tc>
          <w:tcPr>
            <w:tcW w:w="1440" w:type="dxa"/>
            <w:vAlign w:val="center"/>
          </w:tcPr>
          <w:p w:rsidR="00AC4E3A" w:rsidRDefault="00AC4E3A" w:rsidP="00AC4E3A">
            <w:pPr>
              <w:jc w:val="right"/>
            </w:pPr>
            <w:r>
              <w:rPr>
                <w:rFonts w:hint="eastAsia"/>
                <w:kern w:val="0"/>
                <w:sz w:val="24"/>
              </w:rPr>
              <w:t>158,000</w:t>
            </w:r>
          </w:p>
        </w:tc>
        <w:tc>
          <w:tcPr>
            <w:tcW w:w="1836" w:type="dxa"/>
            <w:vAlign w:val="center"/>
          </w:tcPr>
          <w:p w:rsidR="00AC4E3A" w:rsidRDefault="00AC4E3A" w:rsidP="00AC4E3A">
            <w:pPr>
              <w:jc w:val="right"/>
              <w:rPr>
                <w:color w:val="000000"/>
              </w:rPr>
            </w:pPr>
            <w:r>
              <w:rPr>
                <w:color w:val="000000"/>
              </w:rPr>
              <w:t>15,721,788.72</w:t>
            </w:r>
          </w:p>
        </w:tc>
      </w:tr>
      <w:tr w:rsidR="00AC4E3A">
        <w:tc>
          <w:tcPr>
            <w:tcW w:w="1500" w:type="dxa"/>
            <w:vAlign w:val="center"/>
          </w:tcPr>
          <w:p w:rsidR="00AC4E3A" w:rsidRDefault="00AC4E3A" w:rsidP="00AC4E3A">
            <w:pPr>
              <w:jc w:val="center"/>
            </w:pPr>
            <w:r>
              <w:rPr>
                <w:rFonts w:hint="eastAsia"/>
                <w:kern w:val="0"/>
                <w:sz w:val="24"/>
              </w:rPr>
              <w:t>170408</w:t>
            </w:r>
          </w:p>
        </w:tc>
        <w:tc>
          <w:tcPr>
            <w:tcW w:w="1500" w:type="dxa"/>
            <w:vAlign w:val="center"/>
          </w:tcPr>
          <w:p w:rsidR="00AC4E3A" w:rsidRDefault="00AC4E3A" w:rsidP="00AC4E3A">
            <w:pPr>
              <w:jc w:val="center"/>
            </w:pPr>
            <w:r>
              <w:rPr>
                <w:rFonts w:hint="eastAsia"/>
                <w:kern w:val="0"/>
                <w:sz w:val="24"/>
              </w:rPr>
              <w:t>17</w:t>
            </w:r>
            <w:r>
              <w:rPr>
                <w:rFonts w:hint="eastAsia"/>
                <w:kern w:val="0"/>
                <w:sz w:val="24"/>
              </w:rPr>
              <w:t>农发</w:t>
            </w:r>
            <w:r>
              <w:rPr>
                <w:rFonts w:hint="eastAsia"/>
                <w:kern w:val="0"/>
                <w:sz w:val="24"/>
              </w:rPr>
              <w:t>08</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99.86</w:t>
            </w:r>
          </w:p>
        </w:tc>
        <w:tc>
          <w:tcPr>
            <w:tcW w:w="1440" w:type="dxa"/>
            <w:vAlign w:val="center"/>
          </w:tcPr>
          <w:p w:rsidR="00AC4E3A" w:rsidRDefault="00AC4E3A" w:rsidP="00AC4E3A">
            <w:pPr>
              <w:jc w:val="right"/>
            </w:pPr>
            <w:r>
              <w:rPr>
                <w:rFonts w:hint="eastAsia"/>
                <w:kern w:val="0"/>
                <w:sz w:val="24"/>
              </w:rPr>
              <w:t>1,000,000</w:t>
            </w:r>
          </w:p>
        </w:tc>
        <w:tc>
          <w:tcPr>
            <w:tcW w:w="1836" w:type="dxa"/>
            <w:vAlign w:val="center"/>
          </w:tcPr>
          <w:p w:rsidR="00AC4E3A" w:rsidRDefault="00AC4E3A" w:rsidP="00AC4E3A">
            <w:pPr>
              <w:jc w:val="right"/>
              <w:rPr>
                <w:color w:val="000000"/>
              </w:rPr>
            </w:pPr>
            <w:r>
              <w:rPr>
                <w:color w:val="000000"/>
              </w:rPr>
              <w:t>99,863,314.29</w:t>
            </w:r>
          </w:p>
        </w:tc>
      </w:tr>
      <w:tr w:rsidR="00AC4E3A">
        <w:tc>
          <w:tcPr>
            <w:tcW w:w="1500" w:type="dxa"/>
            <w:vAlign w:val="center"/>
          </w:tcPr>
          <w:p w:rsidR="00AC4E3A" w:rsidRDefault="00AC4E3A" w:rsidP="00AC4E3A">
            <w:pPr>
              <w:jc w:val="center"/>
            </w:pPr>
            <w:r>
              <w:rPr>
                <w:rFonts w:hint="eastAsia"/>
                <w:kern w:val="0"/>
                <w:sz w:val="24"/>
              </w:rPr>
              <w:t>111711343</w:t>
            </w:r>
          </w:p>
        </w:tc>
        <w:tc>
          <w:tcPr>
            <w:tcW w:w="1500" w:type="dxa"/>
            <w:vAlign w:val="center"/>
          </w:tcPr>
          <w:p w:rsidR="00AC4E3A" w:rsidRDefault="00AC4E3A" w:rsidP="00AC4E3A">
            <w:pPr>
              <w:jc w:val="center"/>
            </w:pPr>
            <w:r>
              <w:rPr>
                <w:rFonts w:hint="eastAsia"/>
                <w:kern w:val="0"/>
                <w:sz w:val="24"/>
              </w:rPr>
              <w:t>17</w:t>
            </w:r>
            <w:r>
              <w:rPr>
                <w:rFonts w:hint="eastAsia"/>
                <w:kern w:val="0"/>
                <w:sz w:val="24"/>
              </w:rPr>
              <w:t>平安银行</w:t>
            </w:r>
            <w:r>
              <w:rPr>
                <w:rFonts w:hint="eastAsia"/>
                <w:kern w:val="0"/>
                <w:sz w:val="24"/>
              </w:rPr>
              <w:t>CD343</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99.52</w:t>
            </w:r>
          </w:p>
        </w:tc>
        <w:tc>
          <w:tcPr>
            <w:tcW w:w="1440" w:type="dxa"/>
            <w:vAlign w:val="center"/>
          </w:tcPr>
          <w:p w:rsidR="00AC4E3A" w:rsidRDefault="00AC4E3A" w:rsidP="00AC4E3A">
            <w:pPr>
              <w:jc w:val="right"/>
            </w:pPr>
            <w:r>
              <w:rPr>
                <w:rFonts w:hint="eastAsia"/>
                <w:kern w:val="0"/>
                <w:sz w:val="24"/>
              </w:rPr>
              <w:t>1,000,000</w:t>
            </w:r>
          </w:p>
        </w:tc>
        <w:tc>
          <w:tcPr>
            <w:tcW w:w="1836" w:type="dxa"/>
            <w:vAlign w:val="center"/>
          </w:tcPr>
          <w:p w:rsidR="00AC4E3A" w:rsidRDefault="00AC4E3A" w:rsidP="00AC4E3A">
            <w:pPr>
              <w:jc w:val="right"/>
              <w:rPr>
                <w:color w:val="000000"/>
              </w:rPr>
            </w:pPr>
            <w:r>
              <w:rPr>
                <w:color w:val="000000"/>
              </w:rPr>
              <w:t>99,521,790.43</w:t>
            </w:r>
          </w:p>
        </w:tc>
      </w:tr>
      <w:tr w:rsidR="00AC4E3A">
        <w:tc>
          <w:tcPr>
            <w:tcW w:w="1500" w:type="dxa"/>
            <w:vAlign w:val="center"/>
          </w:tcPr>
          <w:p w:rsidR="00AC4E3A" w:rsidRDefault="00AC4E3A" w:rsidP="00AC4E3A">
            <w:pPr>
              <w:jc w:val="center"/>
            </w:pPr>
            <w:r>
              <w:rPr>
                <w:rFonts w:hint="eastAsia"/>
                <w:kern w:val="0"/>
                <w:sz w:val="24"/>
              </w:rPr>
              <w:t>111711352</w:t>
            </w:r>
          </w:p>
        </w:tc>
        <w:tc>
          <w:tcPr>
            <w:tcW w:w="1500" w:type="dxa"/>
            <w:vAlign w:val="center"/>
          </w:tcPr>
          <w:p w:rsidR="00AC4E3A" w:rsidRDefault="00AC4E3A" w:rsidP="00AC4E3A">
            <w:pPr>
              <w:jc w:val="center"/>
            </w:pPr>
            <w:r>
              <w:rPr>
                <w:rFonts w:hint="eastAsia"/>
                <w:kern w:val="0"/>
                <w:sz w:val="24"/>
              </w:rPr>
              <w:t>17</w:t>
            </w:r>
            <w:r>
              <w:rPr>
                <w:rFonts w:hint="eastAsia"/>
                <w:kern w:val="0"/>
                <w:sz w:val="24"/>
              </w:rPr>
              <w:t>平安银行</w:t>
            </w:r>
            <w:r>
              <w:rPr>
                <w:rFonts w:hint="eastAsia"/>
                <w:kern w:val="0"/>
                <w:sz w:val="24"/>
              </w:rPr>
              <w:t>CD352</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99.47</w:t>
            </w:r>
          </w:p>
        </w:tc>
        <w:tc>
          <w:tcPr>
            <w:tcW w:w="1440" w:type="dxa"/>
            <w:vAlign w:val="center"/>
          </w:tcPr>
          <w:p w:rsidR="00AC4E3A" w:rsidRDefault="00AC4E3A" w:rsidP="00AC4E3A">
            <w:pPr>
              <w:jc w:val="right"/>
            </w:pPr>
            <w:r>
              <w:rPr>
                <w:rFonts w:hint="eastAsia"/>
                <w:kern w:val="0"/>
                <w:sz w:val="24"/>
              </w:rPr>
              <w:t>872,000</w:t>
            </w:r>
          </w:p>
        </w:tc>
        <w:tc>
          <w:tcPr>
            <w:tcW w:w="1836" w:type="dxa"/>
            <w:vAlign w:val="center"/>
          </w:tcPr>
          <w:p w:rsidR="00AC4E3A" w:rsidRDefault="00AC4E3A" w:rsidP="00AC4E3A">
            <w:pPr>
              <w:jc w:val="right"/>
              <w:rPr>
                <w:color w:val="000000"/>
              </w:rPr>
            </w:pPr>
            <w:r>
              <w:rPr>
                <w:color w:val="000000"/>
              </w:rPr>
              <w:t>86,738,728.81</w:t>
            </w:r>
          </w:p>
        </w:tc>
      </w:tr>
      <w:tr w:rsidR="00AC4E3A">
        <w:tc>
          <w:tcPr>
            <w:tcW w:w="1500" w:type="dxa"/>
            <w:vAlign w:val="center"/>
          </w:tcPr>
          <w:p w:rsidR="00AC4E3A" w:rsidRDefault="00AC4E3A" w:rsidP="00AC4E3A">
            <w:pPr>
              <w:jc w:val="center"/>
            </w:pPr>
            <w:r>
              <w:rPr>
                <w:rFonts w:hint="eastAsia"/>
                <w:kern w:val="0"/>
                <w:sz w:val="24"/>
              </w:rPr>
              <w:t>111787476</w:t>
            </w:r>
          </w:p>
        </w:tc>
        <w:tc>
          <w:tcPr>
            <w:tcW w:w="1500" w:type="dxa"/>
            <w:vAlign w:val="center"/>
          </w:tcPr>
          <w:p w:rsidR="00AC4E3A" w:rsidRDefault="00AC4E3A" w:rsidP="00AC4E3A">
            <w:pPr>
              <w:jc w:val="center"/>
            </w:pPr>
            <w:r>
              <w:rPr>
                <w:rFonts w:hint="eastAsia"/>
                <w:kern w:val="0"/>
                <w:sz w:val="24"/>
              </w:rPr>
              <w:t>17</w:t>
            </w:r>
            <w:r>
              <w:rPr>
                <w:rFonts w:hint="eastAsia"/>
                <w:kern w:val="0"/>
                <w:sz w:val="24"/>
              </w:rPr>
              <w:t>瑞丰银行</w:t>
            </w:r>
            <w:r>
              <w:rPr>
                <w:rFonts w:hint="eastAsia"/>
                <w:kern w:val="0"/>
                <w:sz w:val="24"/>
              </w:rPr>
              <w:t>CD116</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99.68</w:t>
            </w:r>
          </w:p>
        </w:tc>
        <w:tc>
          <w:tcPr>
            <w:tcW w:w="1440" w:type="dxa"/>
            <w:vAlign w:val="center"/>
          </w:tcPr>
          <w:p w:rsidR="00AC4E3A" w:rsidRDefault="00AC4E3A" w:rsidP="00AC4E3A">
            <w:pPr>
              <w:jc w:val="right"/>
            </w:pPr>
            <w:r>
              <w:rPr>
                <w:rFonts w:hint="eastAsia"/>
                <w:kern w:val="0"/>
                <w:sz w:val="24"/>
              </w:rPr>
              <w:t>510,000</w:t>
            </w:r>
          </w:p>
        </w:tc>
        <w:tc>
          <w:tcPr>
            <w:tcW w:w="1836" w:type="dxa"/>
            <w:vAlign w:val="center"/>
          </w:tcPr>
          <w:p w:rsidR="00AC4E3A" w:rsidRDefault="00AC4E3A" w:rsidP="00AC4E3A">
            <w:pPr>
              <w:jc w:val="right"/>
              <w:rPr>
                <w:color w:val="000000"/>
              </w:rPr>
            </w:pPr>
            <w:r>
              <w:rPr>
                <w:color w:val="000000"/>
              </w:rPr>
              <w:t>50,837,098.78</w:t>
            </w:r>
          </w:p>
        </w:tc>
      </w:tr>
      <w:tr w:rsidR="00AC4E3A">
        <w:tc>
          <w:tcPr>
            <w:tcW w:w="1500" w:type="dxa"/>
            <w:vAlign w:val="center"/>
          </w:tcPr>
          <w:p w:rsidR="00AC4E3A" w:rsidRDefault="00AC4E3A" w:rsidP="00AC4E3A">
            <w:pPr>
              <w:jc w:val="center"/>
            </w:pPr>
            <w:r>
              <w:rPr>
                <w:rFonts w:hint="eastAsia"/>
                <w:kern w:val="0"/>
                <w:sz w:val="24"/>
              </w:rPr>
              <w:t>111781441</w:t>
            </w:r>
          </w:p>
        </w:tc>
        <w:tc>
          <w:tcPr>
            <w:tcW w:w="1500" w:type="dxa"/>
            <w:vAlign w:val="center"/>
          </w:tcPr>
          <w:p w:rsidR="00AC4E3A" w:rsidRDefault="00AC4E3A" w:rsidP="00AC4E3A">
            <w:pPr>
              <w:jc w:val="center"/>
            </w:pPr>
            <w:r>
              <w:rPr>
                <w:rFonts w:hint="eastAsia"/>
                <w:kern w:val="0"/>
                <w:sz w:val="24"/>
              </w:rPr>
              <w:t>17</w:t>
            </w:r>
            <w:r>
              <w:rPr>
                <w:rFonts w:hint="eastAsia"/>
                <w:kern w:val="0"/>
                <w:sz w:val="24"/>
              </w:rPr>
              <w:t>绍兴银行</w:t>
            </w:r>
            <w:r>
              <w:rPr>
                <w:rFonts w:hint="eastAsia"/>
                <w:kern w:val="0"/>
                <w:sz w:val="24"/>
              </w:rPr>
              <w:t>CD074</w:t>
            </w:r>
          </w:p>
        </w:tc>
        <w:tc>
          <w:tcPr>
            <w:tcW w:w="1500" w:type="dxa"/>
            <w:vAlign w:val="center"/>
          </w:tcPr>
          <w:p w:rsidR="00AC4E3A" w:rsidRDefault="00AC4E3A" w:rsidP="00AC4E3A">
            <w:pPr>
              <w:jc w:val="center"/>
            </w:pPr>
            <w:r>
              <w:rPr>
                <w:rFonts w:hint="eastAsia"/>
                <w:kern w:val="0"/>
                <w:sz w:val="24"/>
              </w:rPr>
              <w:t>2018-01-02</w:t>
            </w:r>
          </w:p>
        </w:tc>
        <w:tc>
          <w:tcPr>
            <w:tcW w:w="1260" w:type="dxa"/>
            <w:vAlign w:val="center"/>
          </w:tcPr>
          <w:p w:rsidR="00AC4E3A" w:rsidRDefault="00AC4E3A" w:rsidP="00AC4E3A">
            <w:pPr>
              <w:jc w:val="right"/>
            </w:pPr>
            <w:r>
              <w:rPr>
                <w:rFonts w:hint="eastAsia"/>
                <w:kern w:val="0"/>
                <w:sz w:val="24"/>
              </w:rPr>
              <w:t>99.78</w:t>
            </w:r>
          </w:p>
        </w:tc>
        <w:tc>
          <w:tcPr>
            <w:tcW w:w="1440" w:type="dxa"/>
            <w:vAlign w:val="center"/>
          </w:tcPr>
          <w:p w:rsidR="00AC4E3A" w:rsidRDefault="00AC4E3A" w:rsidP="00AC4E3A">
            <w:pPr>
              <w:jc w:val="right"/>
            </w:pPr>
            <w:r>
              <w:rPr>
                <w:rFonts w:hint="eastAsia"/>
                <w:kern w:val="0"/>
                <w:sz w:val="24"/>
              </w:rPr>
              <w:t>500,000</w:t>
            </w:r>
          </w:p>
        </w:tc>
        <w:tc>
          <w:tcPr>
            <w:tcW w:w="1836" w:type="dxa"/>
            <w:vAlign w:val="center"/>
          </w:tcPr>
          <w:p w:rsidR="00AC4E3A" w:rsidRDefault="00AC4E3A" w:rsidP="00AC4E3A">
            <w:pPr>
              <w:jc w:val="right"/>
              <w:rPr>
                <w:color w:val="000000"/>
              </w:rPr>
            </w:pPr>
            <w:r>
              <w:rPr>
                <w:color w:val="000000"/>
              </w:rPr>
              <w:t>49,891,602.69</w:t>
            </w:r>
          </w:p>
        </w:tc>
      </w:tr>
      <w:tr w:rsidR="00AC4E3A" w:rsidRPr="00D0515B" w:rsidTr="00851DD8">
        <w:tc>
          <w:tcPr>
            <w:tcW w:w="1500" w:type="dxa"/>
            <w:tcBorders>
              <w:top w:val="single" w:sz="4" w:space="0" w:color="000000"/>
              <w:left w:val="single" w:sz="4" w:space="0" w:color="000000"/>
              <w:bottom w:val="single" w:sz="4" w:space="0" w:color="000000"/>
              <w:right w:val="single" w:sz="4" w:space="0" w:color="000000"/>
            </w:tcBorders>
            <w:vAlign w:val="center"/>
            <w:hideMark/>
          </w:tcPr>
          <w:p w:rsidR="00AC4E3A" w:rsidRPr="003B397B" w:rsidRDefault="00AC4E3A" w:rsidP="00AC4E3A">
            <w:pPr>
              <w:spacing w:before="29" w:line="288" w:lineRule="auto"/>
              <w:jc w:val="center"/>
              <w:rPr>
                <w:sz w:val="24"/>
              </w:rPr>
            </w:pPr>
            <w:r w:rsidRPr="003B397B">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AC4E3A" w:rsidRPr="003B397B" w:rsidRDefault="00AC4E3A" w:rsidP="00AC4E3A">
            <w:pPr>
              <w:autoSpaceDE w:val="0"/>
              <w:autoSpaceDN w:val="0"/>
              <w:adjustRightInd w:val="0"/>
              <w:spacing w:before="29" w:line="360" w:lineRule="auto"/>
              <w:ind w:left="15"/>
              <w:jc w:val="right"/>
              <w:rPr>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AC4E3A" w:rsidRPr="003B397B" w:rsidRDefault="00AC4E3A" w:rsidP="00AC4E3A">
            <w:pPr>
              <w:autoSpaceDE w:val="0"/>
              <w:autoSpaceDN w:val="0"/>
              <w:adjustRightInd w:val="0"/>
              <w:spacing w:before="29" w:line="360" w:lineRule="auto"/>
              <w:ind w:left="15"/>
              <w:jc w:val="right"/>
              <w:rPr>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AC4E3A" w:rsidRPr="003B397B" w:rsidRDefault="00AC4E3A" w:rsidP="00AC4E3A">
            <w:pPr>
              <w:autoSpaceDE w:val="0"/>
              <w:autoSpaceDN w:val="0"/>
              <w:adjustRightInd w:val="0"/>
              <w:spacing w:before="29" w:line="360"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AC4E3A" w:rsidRPr="003B397B" w:rsidRDefault="00AC4E3A" w:rsidP="00AC4E3A">
            <w:pPr>
              <w:spacing w:line="360" w:lineRule="auto"/>
              <w:jc w:val="right"/>
              <w:rPr>
                <w:sz w:val="24"/>
              </w:rPr>
            </w:pPr>
            <w:r w:rsidRPr="003B397B">
              <w:rPr>
                <w:rFonts w:hint="eastAsia"/>
                <w:sz w:val="24"/>
              </w:rPr>
              <w:t>7,553,000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AC4E3A" w:rsidRDefault="0015215E" w:rsidP="00AC4E3A">
            <w:pPr>
              <w:jc w:val="right"/>
              <w:rPr>
                <w:color w:val="000000"/>
              </w:rPr>
            </w:pPr>
            <w:r w:rsidRPr="00504C53">
              <w:rPr>
                <w:sz w:val="24"/>
              </w:rPr>
              <w:t>746,616,919.24</w:t>
            </w:r>
          </w:p>
        </w:tc>
      </w:tr>
    </w:tbl>
    <w:p w:rsidR="0015215E" w:rsidRDefault="0015215E" w:rsidP="003661C9">
      <w:pPr>
        <w:spacing w:before="29" w:line="288" w:lineRule="auto"/>
        <w:rPr>
          <w:b/>
          <w:sz w:val="24"/>
        </w:rPr>
      </w:pPr>
    </w:p>
    <w:p w:rsidR="006D141C" w:rsidRPr="003661C9" w:rsidRDefault="006D141C" w:rsidP="003661C9">
      <w:pPr>
        <w:spacing w:before="29" w:line="288" w:lineRule="auto"/>
        <w:rPr>
          <w:b/>
          <w:sz w:val="24"/>
        </w:rPr>
      </w:pPr>
      <w:r w:rsidRPr="003661C9">
        <w:rPr>
          <w:rFonts w:hint="eastAsia"/>
          <w:b/>
          <w:sz w:val="24"/>
        </w:rPr>
        <w:t>7.4.12.3.</w:t>
      </w:r>
      <w:r w:rsidR="008A28D4" w:rsidRPr="003661C9">
        <w:rPr>
          <w:rFonts w:hint="eastAsia"/>
          <w:b/>
          <w:sz w:val="24"/>
        </w:rPr>
        <w:t>2</w:t>
      </w:r>
      <w:r w:rsidRPr="003661C9">
        <w:rPr>
          <w:rFonts w:hint="eastAsia"/>
          <w:b/>
          <w:sz w:val="24"/>
        </w:rPr>
        <w:t>交易所市场债券正回购</w:t>
      </w:r>
    </w:p>
    <w:p w:rsidR="006D141C" w:rsidRPr="00184E23" w:rsidRDefault="006D141C" w:rsidP="00184E23">
      <w:pPr>
        <w:spacing w:before="29" w:line="288" w:lineRule="auto"/>
        <w:ind w:firstLine="420"/>
        <w:rPr>
          <w:kern w:val="0"/>
          <w:sz w:val="24"/>
        </w:rPr>
      </w:pPr>
      <w:r w:rsidRPr="003661C9">
        <w:rPr>
          <w:rFonts w:hint="eastAsia"/>
          <w:kern w:val="0"/>
          <w:sz w:val="24"/>
        </w:rPr>
        <w:t>本基金本报告期末无从事交易所市场债券正回购交易形成的卖出回购证券款余额。</w:t>
      </w:r>
      <w:r w:rsidR="00184E23">
        <w:rPr>
          <w:rFonts w:hint="eastAsia"/>
          <w:kern w:val="0"/>
          <w:sz w:val="24"/>
        </w:rPr>
        <w:br/>
      </w:r>
    </w:p>
    <w:p w:rsidR="006D141C" w:rsidRPr="00450864" w:rsidRDefault="006D141C" w:rsidP="00450864">
      <w:pPr>
        <w:spacing w:before="29" w:line="288" w:lineRule="auto"/>
        <w:rPr>
          <w:b/>
          <w:sz w:val="24"/>
        </w:rPr>
      </w:pPr>
      <w:r w:rsidRPr="00450864">
        <w:rPr>
          <w:rFonts w:hint="eastAsia"/>
          <w:b/>
          <w:sz w:val="24"/>
        </w:rPr>
        <w:t>7.4.</w:t>
      </w:r>
      <w:r w:rsidR="008A28D4" w:rsidRPr="00450864">
        <w:rPr>
          <w:rFonts w:hint="eastAsia"/>
          <w:b/>
          <w:sz w:val="24"/>
        </w:rPr>
        <w:t>13</w:t>
      </w:r>
      <w:r w:rsidRPr="00450864">
        <w:rPr>
          <w:rFonts w:hint="eastAsia"/>
          <w:b/>
          <w:sz w:val="24"/>
        </w:rPr>
        <w:t>金融工具风险及管理</w:t>
      </w: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1</w:t>
      </w:r>
      <w:r w:rsidRPr="00450864">
        <w:rPr>
          <w:rFonts w:hint="eastAsia"/>
          <w:b/>
          <w:sz w:val="24"/>
        </w:rPr>
        <w:t>风险管理政策和组织架构</w:t>
      </w:r>
    </w:p>
    <w:p w:rsidR="00B5600D" w:rsidRDefault="00D91A1A">
      <w:pPr>
        <w:spacing w:before="29" w:line="288" w:lineRule="auto"/>
        <w:ind w:firstLine="420"/>
        <w:rPr>
          <w:kern w:val="0"/>
          <w:sz w:val="24"/>
        </w:rPr>
      </w:pPr>
      <w:r>
        <w:rPr>
          <w:rFonts w:hint="eastAsia"/>
          <w:kern w:val="0"/>
          <w:sz w:val="24"/>
        </w:rPr>
        <w:t>本基金为采用固定组合策略的短期理财债券型基金，属于证券投资基金中较低风险、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5600D" w:rsidRDefault="00D91A1A">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5600D" w:rsidRDefault="00D91A1A">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D0515B"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w:t>
      </w:r>
      <w:r w:rsidR="008A28D4" w:rsidRPr="00450864">
        <w:rPr>
          <w:rFonts w:hint="eastAsia"/>
          <w:b/>
          <w:sz w:val="24"/>
        </w:rPr>
        <w:t>2</w:t>
      </w:r>
      <w:r w:rsidRPr="00450864">
        <w:rPr>
          <w:rFonts w:hint="eastAsia"/>
          <w:b/>
          <w:sz w:val="24"/>
        </w:rPr>
        <w:t>信用风险</w:t>
      </w:r>
    </w:p>
    <w:p w:rsidR="00B5600D" w:rsidRDefault="00D91A1A">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B5600D" w:rsidRDefault="00D91A1A">
      <w:pPr>
        <w:spacing w:before="29" w:line="288" w:lineRule="auto"/>
        <w:ind w:firstLine="420"/>
        <w:rPr>
          <w:kern w:val="0"/>
          <w:sz w:val="24"/>
        </w:rPr>
      </w:pPr>
      <w:r>
        <w:rPr>
          <w:rFonts w:hint="eastAsia"/>
          <w:kern w:val="0"/>
          <w:sz w:val="24"/>
        </w:rPr>
        <w:t>本基金的基金管理人在交易前对交易对手的资信状况进行了充分的评估。本基金的银行存款存放在本基金的托管行中国建设银行，协议存款存放在光大银行股份有限公司、民生银行股份有限公司、九江银行股份有限公司、东莞银行股份有限公司、桂林银行股份有限公司、上海浦东发展股份有限公司、大连银行股份有限公司、苏州银行股份有限公司、青岛农村商业银行股份有限公司和浙商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3661C9" w:rsidRDefault="006D141C" w:rsidP="003661C9">
      <w:pPr>
        <w:spacing w:before="29" w:line="288" w:lineRule="auto"/>
        <w:ind w:firstLine="420"/>
        <w:rPr>
          <w:kern w:val="0"/>
          <w:sz w:val="24"/>
        </w:rPr>
      </w:pPr>
      <w:r w:rsidRPr="003661C9">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D141C" w:rsidRPr="00D0515B" w:rsidRDefault="006D141C" w:rsidP="00E70068">
      <w:pPr>
        <w:spacing w:line="360" w:lineRule="auto"/>
        <w:ind w:firstLineChars="200" w:firstLine="420"/>
        <w:jc w:val="left"/>
        <w:rPr>
          <w:rFonts w:asciiTheme="minorEastAsia" w:eastAsiaTheme="minorEastAsia" w:hAnsiTheme="minorEastAsia"/>
          <w:szCs w:val="21"/>
        </w:rPr>
      </w:pPr>
    </w:p>
    <w:p w:rsidR="006D141C" w:rsidRPr="00450864" w:rsidRDefault="006D141C" w:rsidP="00450864">
      <w:pPr>
        <w:spacing w:before="29" w:line="288" w:lineRule="auto"/>
        <w:rPr>
          <w:b/>
          <w:sz w:val="24"/>
        </w:rPr>
      </w:pPr>
      <w:r w:rsidRPr="00450864">
        <w:rPr>
          <w:rFonts w:hint="eastAsia"/>
          <w:b/>
          <w:sz w:val="24"/>
        </w:rPr>
        <w:t>7.4.13.2.</w:t>
      </w:r>
      <w:r w:rsidR="008A28D4" w:rsidRPr="00450864">
        <w:rPr>
          <w:rFonts w:hint="eastAsia"/>
          <w:b/>
          <w:sz w:val="24"/>
        </w:rPr>
        <w:t>1</w:t>
      </w:r>
      <w:r w:rsidRPr="00450864">
        <w:rPr>
          <w:rFonts w:hint="eastAsia"/>
          <w:b/>
          <w:sz w:val="24"/>
        </w:rPr>
        <w:t>按短期信用评级列示的债券投资</w:t>
      </w:r>
    </w:p>
    <w:p w:rsidR="006D141C" w:rsidRPr="00450864" w:rsidRDefault="005B4215" w:rsidP="00450864">
      <w:pPr>
        <w:tabs>
          <w:tab w:val="left" w:pos="7200"/>
          <w:tab w:val="left" w:pos="8280"/>
        </w:tabs>
        <w:spacing w:before="29" w:line="288" w:lineRule="auto"/>
        <w:ind w:rightChars="268" w:right="563"/>
        <w:jc w:val="right"/>
        <w:rPr>
          <w:sz w:val="24"/>
        </w:rPr>
      </w:pPr>
      <w:r w:rsidRPr="00450864">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spacing w:before="29" w:line="288" w:lineRule="auto"/>
              <w:jc w:val="center"/>
              <w:rPr>
                <w:sz w:val="24"/>
              </w:rPr>
            </w:pPr>
            <w:r w:rsidRPr="00450864">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本期末</w:t>
            </w:r>
          </w:p>
          <w:p w:rsidR="006D141C" w:rsidRPr="00450864" w:rsidRDefault="006D141C" w:rsidP="00450864">
            <w:pPr>
              <w:widowControl/>
              <w:autoSpaceDE w:val="0"/>
              <w:autoSpaceDN w:val="0"/>
              <w:spacing w:before="29" w:line="288" w:lineRule="auto"/>
              <w:ind w:right="-15"/>
              <w:jc w:val="center"/>
              <w:textAlignment w:val="bottom"/>
              <w:rPr>
                <w:sz w:val="24"/>
              </w:rPr>
            </w:pPr>
            <w:r w:rsidRPr="00450864">
              <w:rPr>
                <w:rFonts w:hint="eastAsia"/>
                <w:sz w:val="24"/>
              </w:rPr>
              <w:t>2017</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450864" w:rsidRDefault="006D64C2" w:rsidP="00450864">
            <w:pPr>
              <w:widowControl/>
              <w:autoSpaceDE w:val="0"/>
              <w:autoSpaceDN w:val="0"/>
              <w:spacing w:before="29" w:line="288" w:lineRule="auto"/>
              <w:ind w:right="-15"/>
              <w:jc w:val="center"/>
              <w:textAlignment w:val="bottom"/>
              <w:rPr>
                <w:sz w:val="24"/>
              </w:rPr>
            </w:pPr>
            <w:r w:rsidRPr="00450864">
              <w:rPr>
                <w:rFonts w:hint="eastAsia"/>
                <w:sz w:val="24"/>
              </w:rPr>
              <w:t>2016</w:t>
            </w:r>
            <w:r w:rsidRPr="00450864">
              <w:rPr>
                <w:rFonts w:hint="eastAsia"/>
                <w:sz w:val="24"/>
              </w:rPr>
              <w:t>年</w:t>
            </w:r>
            <w:r w:rsidRPr="00450864">
              <w:rPr>
                <w:rFonts w:hint="eastAsia"/>
                <w:sz w:val="24"/>
              </w:rPr>
              <w:t>12</w:t>
            </w:r>
            <w:r w:rsidRPr="00450864">
              <w:rPr>
                <w:rFonts w:hint="eastAsia"/>
                <w:sz w:val="24"/>
              </w:rPr>
              <w:t>月</w:t>
            </w:r>
            <w:r w:rsidRPr="00450864">
              <w:rPr>
                <w:rFonts w:hint="eastAsia"/>
                <w:sz w:val="24"/>
              </w:rPr>
              <w:t>31</w:t>
            </w:r>
            <w:r w:rsidRPr="00450864">
              <w:rPr>
                <w:rFonts w:hint="eastAsia"/>
                <w:sz w:val="24"/>
              </w:rPr>
              <w:t>日</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r>
      <w:tr w:rsidR="002C233F" w:rsidRPr="00D0515B"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B23367">
            <w:pPr>
              <w:spacing w:before="29" w:line="288" w:lineRule="auto"/>
              <w:rPr>
                <w:sz w:val="24"/>
              </w:rPr>
            </w:pPr>
            <w:r w:rsidRPr="001F3198">
              <w:rPr>
                <w:rFonts w:hint="eastAsia"/>
                <w:sz w:val="24"/>
              </w:rPr>
              <w:t>A-</w:t>
            </w:r>
            <w:r w:rsidR="007D663C" w:rsidRPr="001F3198">
              <w:rPr>
                <w:rFonts w:hint="eastAsia"/>
                <w:sz w:val="24"/>
              </w:rPr>
              <w:t>1</w:t>
            </w:r>
            <w:r w:rsidRPr="001F3198">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w:t>
            </w:r>
            <w:r w:rsidR="001939E6" w:rsidRPr="001F3198">
              <w:rPr>
                <w:rFonts w:hint="eastAsia"/>
                <w:sz w:val="24"/>
              </w:rPr>
              <w:t>-</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3,400,828,485.89</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1,895,245,310.10</w:t>
            </w:r>
          </w:p>
        </w:tc>
      </w:tr>
      <w:tr w:rsidR="002C233F" w:rsidRPr="00D0515B"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1F3198" w:rsidRDefault="006D141C" w:rsidP="00272D71">
            <w:pPr>
              <w:spacing w:before="29" w:line="288" w:lineRule="auto"/>
              <w:rPr>
                <w:sz w:val="24"/>
              </w:rPr>
            </w:pPr>
            <w:r w:rsidRPr="001F3198">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3,400,828,485.89</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1F3198" w:rsidRDefault="006D141C" w:rsidP="001F3198">
            <w:pPr>
              <w:spacing w:before="29" w:line="288" w:lineRule="auto"/>
              <w:jc w:val="right"/>
              <w:rPr>
                <w:sz w:val="24"/>
              </w:rPr>
            </w:pPr>
            <w:r w:rsidRPr="001F3198">
              <w:rPr>
                <w:rFonts w:hint="eastAsia"/>
                <w:sz w:val="24"/>
              </w:rPr>
              <w:t>1,895,245,310.10</w:t>
            </w:r>
          </w:p>
        </w:tc>
      </w:tr>
    </w:tbl>
    <w:p w:rsidR="006D141C" w:rsidRPr="001F3198" w:rsidRDefault="006D141C" w:rsidP="001F3198">
      <w:pPr>
        <w:tabs>
          <w:tab w:val="left" w:pos="426"/>
        </w:tabs>
        <w:spacing w:before="29" w:line="288" w:lineRule="auto"/>
        <w:jc w:val="left"/>
        <w:rPr>
          <w:kern w:val="0"/>
          <w:sz w:val="24"/>
        </w:rPr>
      </w:pPr>
      <w:r w:rsidRPr="001F3198">
        <w:rPr>
          <w:rFonts w:hint="eastAsia"/>
          <w:kern w:val="0"/>
          <w:sz w:val="24"/>
        </w:rPr>
        <w:t>注：未评级部分为国债、政策性金融债和同业存单。</w:t>
      </w:r>
    </w:p>
    <w:p w:rsidR="001F3198" w:rsidRPr="00D0515B"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D94AC7" w:rsidRDefault="006D141C" w:rsidP="00D94AC7">
      <w:pPr>
        <w:spacing w:before="29" w:line="288" w:lineRule="auto"/>
        <w:rPr>
          <w:b/>
          <w:sz w:val="24"/>
        </w:rPr>
      </w:pPr>
      <w:r w:rsidRPr="00D94AC7">
        <w:rPr>
          <w:rFonts w:hint="eastAsia"/>
          <w:b/>
          <w:sz w:val="24"/>
        </w:rPr>
        <w:t>7.4.13.2.</w:t>
      </w:r>
      <w:r w:rsidR="008A28D4" w:rsidRPr="00D94AC7">
        <w:rPr>
          <w:rFonts w:hint="eastAsia"/>
          <w:b/>
          <w:sz w:val="24"/>
        </w:rPr>
        <w:t>2</w:t>
      </w:r>
      <w:r w:rsidRPr="00D94AC7">
        <w:rPr>
          <w:rFonts w:hint="eastAsia"/>
          <w:b/>
          <w:sz w:val="24"/>
        </w:rPr>
        <w:t>按长期信用评级列示的债券投资</w:t>
      </w:r>
    </w:p>
    <w:p w:rsidR="006D141C" w:rsidRPr="00D94AC7" w:rsidRDefault="005B4215" w:rsidP="004B36C2">
      <w:pPr>
        <w:tabs>
          <w:tab w:val="left" w:pos="7200"/>
          <w:tab w:val="left" w:pos="8280"/>
        </w:tabs>
        <w:spacing w:line="360" w:lineRule="auto"/>
        <w:ind w:rightChars="268" w:right="563"/>
        <w:jc w:val="right"/>
        <w:rPr>
          <w:sz w:val="24"/>
        </w:rPr>
      </w:pPr>
      <w:r w:rsidRPr="00D94AC7">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2C233F" w:rsidRPr="00D0515B" w:rsidTr="0062755F">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spacing w:before="29" w:line="288" w:lineRule="auto"/>
              <w:jc w:val="center"/>
              <w:rPr>
                <w:sz w:val="24"/>
              </w:rPr>
            </w:pPr>
            <w:r w:rsidRPr="0062755F">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本期末</w:t>
            </w:r>
          </w:p>
          <w:p w:rsidR="006D141C" w:rsidRPr="0062755F" w:rsidRDefault="006D141C" w:rsidP="0062755F">
            <w:pPr>
              <w:widowControl/>
              <w:autoSpaceDE w:val="0"/>
              <w:autoSpaceDN w:val="0"/>
              <w:spacing w:before="29" w:line="288" w:lineRule="auto"/>
              <w:ind w:right="-15"/>
              <w:jc w:val="center"/>
              <w:textAlignment w:val="bottom"/>
              <w:rPr>
                <w:sz w:val="24"/>
              </w:rPr>
            </w:pPr>
            <w:r w:rsidRPr="0062755F">
              <w:rPr>
                <w:rFonts w:hint="eastAsia"/>
                <w:sz w:val="24"/>
              </w:rPr>
              <w:t>2017</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0C342B" w:rsidRDefault="00D0101B" w:rsidP="00D0101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6D141C" w:rsidRPr="0062755F" w:rsidRDefault="006D64C2" w:rsidP="0062755F">
            <w:pPr>
              <w:widowControl/>
              <w:autoSpaceDE w:val="0"/>
              <w:autoSpaceDN w:val="0"/>
              <w:spacing w:before="29" w:line="288" w:lineRule="auto"/>
              <w:ind w:right="-15"/>
              <w:jc w:val="center"/>
              <w:textAlignment w:val="bottom"/>
              <w:rPr>
                <w:sz w:val="24"/>
              </w:rPr>
            </w:pPr>
            <w:r w:rsidRPr="0062755F">
              <w:rPr>
                <w:rFonts w:hint="eastAsia"/>
                <w:sz w:val="24"/>
              </w:rPr>
              <w:t>2016</w:t>
            </w:r>
            <w:r w:rsidRPr="0062755F">
              <w:rPr>
                <w:rFonts w:hint="eastAsia"/>
                <w:sz w:val="24"/>
              </w:rPr>
              <w:t>年</w:t>
            </w:r>
            <w:r w:rsidRPr="0062755F">
              <w:rPr>
                <w:rFonts w:hint="eastAsia"/>
                <w:sz w:val="24"/>
              </w:rPr>
              <w:t>12</w:t>
            </w:r>
            <w:r w:rsidRPr="0062755F">
              <w:rPr>
                <w:rFonts w:hint="eastAsia"/>
                <w:sz w:val="24"/>
              </w:rPr>
              <w:t>月</w:t>
            </w:r>
            <w:r w:rsidRPr="0062755F">
              <w:rPr>
                <w:rFonts w:hint="eastAsia"/>
                <w:sz w:val="24"/>
              </w:rPr>
              <w:t>31</w:t>
            </w:r>
            <w:r w:rsidRPr="0062755F">
              <w:rPr>
                <w:rFonts w:hint="eastAsia"/>
                <w:sz w:val="24"/>
              </w:rPr>
              <w:t>日</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8E3905">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AAA</w:t>
            </w:r>
            <w:r w:rsidRPr="008E3905">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0D3CC4" w:rsidRDefault="006D141C" w:rsidP="000D3CC4">
            <w:pPr>
              <w:spacing w:before="29" w:line="288" w:lineRule="auto"/>
              <w:jc w:val="right"/>
              <w:rPr>
                <w:sz w:val="24"/>
              </w:rPr>
            </w:pPr>
            <w:r w:rsidRPr="000D3CC4">
              <w:rPr>
                <w:rFonts w:hint="eastAsia"/>
                <w:sz w:val="24"/>
              </w:rPr>
              <w:t>100,244,098.33</w:t>
            </w:r>
          </w:p>
        </w:tc>
      </w:tr>
      <w:tr w:rsidR="002C233F" w:rsidRPr="00D0515B" w:rsidTr="006D141C">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8E3905" w:rsidRDefault="006D141C" w:rsidP="008E3905">
            <w:pPr>
              <w:spacing w:before="29" w:line="288" w:lineRule="auto"/>
              <w:rPr>
                <w:sz w:val="24"/>
              </w:rPr>
            </w:pPr>
            <w:r w:rsidRPr="008E3905">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0D3CC4" w:rsidRDefault="006D141C" w:rsidP="000D3CC4">
            <w:pPr>
              <w:spacing w:before="29" w:line="288" w:lineRule="auto"/>
              <w:jc w:val="right"/>
              <w:rPr>
                <w:sz w:val="24"/>
              </w:rPr>
            </w:pPr>
            <w:r w:rsidRPr="000D3CC4">
              <w:rPr>
                <w:rFonts w:hint="eastAsia"/>
                <w:sz w:val="24"/>
              </w:rPr>
              <w:t>100,244,098.33</w:t>
            </w:r>
          </w:p>
        </w:tc>
      </w:tr>
    </w:tbl>
    <w:p w:rsidR="006D141C" w:rsidRPr="00761C3B" w:rsidRDefault="006D141C" w:rsidP="00761C3B">
      <w:pPr>
        <w:spacing w:before="29" w:line="288" w:lineRule="auto"/>
        <w:rPr>
          <w:b/>
          <w:bCs/>
          <w:kern w:val="0"/>
          <w:sz w:val="24"/>
        </w:rPr>
      </w:pPr>
      <w:r w:rsidRPr="00761C3B">
        <w:rPr>
          <w:rFonts w:hint="eastAsia"/>
          <w:b/>
          <w:bCs/>
          <w:kern w:val="0"/>
          <w:sz w:val="24"/>
        </w:rPr>
        <w:t>7.4.13.</w:t>
      </w:r>
      <w:r w:rsidR="008A28D4" w:rsidRPr="00761C3B">
        <w:rPr>
          <w:rFonts w:hint="eastAsia"/>
          <w:b/>
          <w:bCs/>
          <w:kern w:val="0"/>
          <w:sz w:val="24"/>
        </w:rPr>
        <w:t>3</w:t>
      </w:r>
      <w:r w:rsidRPr="00761C3B">
        <w:rPr>
          <w:rFonts w:hint="eastAsia"/>
          <w:b/>
          <w:bCs/>
          <w:kern w:val="0"/>
          <w:sz w:val="24"/>
        </w:rPr>
        <w:t>流动性风险</w:t>
      </w:r>
    </w:p>
    <w:p w:rsidR="00914E89" w:rsidRPr="005C1C56" w:rsidRDefault="00914E89" w:rsidP="00914E89">
      <w:pPr>
        <w:spacing w:before="29" w:line="288" w:lineRule="auto"/>
        <w:ind w:firstLineChars="200" w:firstLine="480"/>
        <w:rPr>
          <w:kern w:val="0"/>
          <w:sz w:val="24"/>
        </w:rPr>
      </w:pPr>
      <w:r w:rsidRPr="005C1C56">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14E89" w:rsidRDefault="00914E89" w:rsidP="00914E89">
      <w:pPr>
        <w:spacing w:before="29" w:line="288" w:lineRule="auto"/>
        <w:ind w:firstLine="420"/>
        <w:rPr>
          <w:kern w:val="0"/>
          <w:sz w:val="24"/>
        </w:rPr>
      </w:pPr>
      <w:r w:rsidRPr="005C1C56">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D141C" w:rsidRPr="00761C3B" w:rsidRDefault="006D141C" w:rsidP="00761C3B">
      <w:pPr>
        <w:spacing w:before="29" w:line="288" w:lineRule="auto"/>
        <w:ind w:firstLine="420"/>
        <w:rPr>
          <w:kern w:val="0"/>
          <w:sz w:val="24"/>
        </w:rPr>
      </w:pPr>
      <w:r w:rsidRPr="00761C3B">
        <w:rPr>
          <w:rFonts w:hint="eastAsia"/>
          <w:kern w:val="0"/>
          <w:sz w:val="24"/>
        </w:rPr>
        <w:t>于</w:t>
      </w:r>
      <w:r w:rsidRPr="00761C3B">
        <w:rPr>
          <w:rFonts w:hint="eastAsia"/>
          <w:kern w:val="0"/>
          <w:sz w:val="24"/>
        </w:rPr>
        <w:t>2017</w:t>
      </w:r>
      <w:r w:rsidRPr="00761C3B">
        <w:rPr>
          <w:rFonts w:hint="eastAsia"/>
          <w:kern w:val="0"/>
          <w:sz w:val="24"/>
        </w:rPr>
        <w:t>年</w:t>
      </w:r>
      <w:r w:rsidRPr="00761C3B">
        <w:rPr>
          <w:rFonts w:hint="eastAsia"/>
          <w:kern w:val="0"/>
          <w:sz w:val="24"/>
        </w:rPr>
        <w:t>12</w:t>
      </w:r>
      <w:r w:rsidRPr="00761C3B">
        <w:rPr>
          <w:rFonts w:hint="eastAsia"/>
          <w:kern w:val="0"/>
          <w:sz w:val="24"/>
        </w:rPr>
        <w:t>月</w:t>
      </w:r>
      <w:r w:rsidRPr="00761C3B">
        <w:rPr>
          <w:rFonts w:hint="eastAsia"/>
          <w:kern w:val="0"/>
          <w:sz w:val="24"/>
        </w:rPr>
        <w:t>31</w:t>
      </w:r>
      <w:r w:rsidRPr="00761C3B">
        <w:rPr>
          <w:rFonts w:hint="eastAsia"/>
          <w:kern w:val="0"/>
          <w:sz w:val="24"/>
        </w:rPr>
        <w:t>日，除卖出回购金融资产款余额中有</w:t>
      </w:r>
      <w:r w:rsidRPr="00761C3B">
        <w:rPr>
          <w:rFonts w:hint="eastAsia"/>
          <w:kern w:val="0"/>
          <w:sz w:val="24"/>
        </w:rPr>
        <w:t>716,143,653.61</w:t>
      </w:r>
      <w:r w:rsidRPr="00761C3B">
        <w:rPr>
          <w:rFonts w:hint="eastAsia"/>
          <w:kern w:val="0"/>
          <w:sz w:val="24"/>
        </w:rPr>
        <w:t>元将在一个月以内到期且计息</w:t>
      </w:r>
      <w:r w:rsidRPr="00761C3B">
        <w:rPr>
          <w:rFonts w:hint="eastAsia"/>
          <w:kern w:val="0"/>
          <w:sz w:val="24"/>
        </w:rPr>
        <w:t>(</w:t>
      </w:r>
      <w:r w:rsidRPr="00761C3B">
        <w:rPr>
          <w:rFonts w:hint="eastAsia"/>
          <w:kern w:val="0"/>
          <w:sz w:val="24"/>
        </w:rPr>
        <w:t>该利息金额不重大</w:t>
      </w:r>
      <w:r w:rsidRPr="00761C3B">
        <w:rPr>
          <w:rFonts w:hint="eastAsia"/>
          <w:kern w:val="0"/>
          <w:sz w:val="24"/>
        </w:rPr>
        <w:t>)</w:t>
      </w:r>
      <w:r w:rsidRPr="00761C3B">
        <w:rPr>
          <w:rFonts w:hint="eastAsia"/>
          <w:kern w:val="0"/>
          <w:sz w:val="24"/>
        </w:rPr>
        <w:t>外，本基金所承担的其他金融负债的合约约定到期日均为一个月以内且不计息，可赎回基金份额净值</w:t>
      </w:r>
      <w:r w:rsidRPr="00761C3B">
        <w:rPr>
          <w:rFonts w:hint="eastAsia"/>
          <w:kern w:val="0"/>
          <w:sz w:val="24"/>
        </w:rPr>
        <w:t>(</w:t>
      </w:r>
      <w:r w:rsidRPr="00761C3B">
        <w:rPr>
          <w:rFonts w:hint="eastAsia"/>
          <w:kern w:val="0"/>
          <w:sz w:val="24"/>
        </w:rPr>
        <w:t>所有者权益</w:t>
      </w:r>
      <w:r w:rsidRPr="00761C3B">
        <w:rPr>
          <w:rFonts w:hint="eastAsia"/>
          <w:kern w:val="0"/>
          <w:sz w:val="24"/>
        </w:rPr>
        <w:t>)</w:t>
      </w:r>
      <w:r w:rsidRPr="00761C3B">
        <w:rPr>
          <w:rFonts w:hint="eastAsia"/>
          <w:kern w:val="0"/>
          <w:sz w:val="24"/>
        </w:rPr>
        <w:t>无固定到期日且不计息，因此账面余额约为未折现的合约到期现金流量。</w:t>
      </w:r>
    </w:p>
    <w:p w:rsidR="00761C3B" w:rsidRPr="00D0515B" w:rsidRDefault="00761C3B" w:rsidP="00E70068">
      <w:pPr>
        <w:spacing w:line="360" w:lineRule="auto"/>
        <w:ind w:firstLineChars="200" w:firstLine="420"/>
        <w:rPr>
          <w:rFonts w:asciiTheme="minorEastAsia" w:eastAsiaTheme="minorEastAsia" w:hAnsiTheme="minorEastAsia"/>
          <w:szCs w:val="21"/>
        </w:rPr>
      </w:pPr>
    </w:p>
    <w:p w:rsidR="00914E89" w:rsidRPr="005C1C56" w:rsidRDefault="00914E89" w:rsidP="00914E89">
      <w:pPr>
        <w:spacing w:before="29" w:line="288" w:lineRule="auto"/>
        <w:rPr>
          <w:b/>
          <w:sz w:val="24"/>
        </w:rPr>
      </w:pPr>
      <w:r w:rsidRPr="005C1C56">
        <w:rPr>
          <w:b/>
          <w:sz w:val="24"/>
        </w:rPr>
        <w:t>7.4.13.3</w:t>
      </w:r>
      <w:r w:rsidRPr="005C1C56">
        <w:rPr>
          <w:rFonts w:hint="eastAsia"/>
          <w:b/>
          <w:sz w:val="24"/>
        </w:rPr>
        <w:t>.1</w:t>
      </w:r>
      <w:r w:rsidRPr="005C1C56">
        <w:rPr>
          <w:b/>
          <w:sz w:val="24"/>
        </w:rPr>
        <w:t xml:space="preserve"> </w:t>
      </w:r>
      <w:r w:rsidRPr="005C1C56">
        <w:rPr>
          <w:rFonts w:hint="eastAsia"/>
          <w:b/>
          <w:sz w:val="24"/>
        </w:rPr>
        <w:t>报告期内本基金组合资产的流动性风险分析</w:t>
      </w:r>
    </w:p>
    <w:p w:rsidR="00914E89" w:rsidRPr="005C1C56" w:rsidRDefault="00914E89" w:rsidP="00914E89">
      <w:pPr>
        <w:spacing w:line="288" w:lineRule="auto"/>
        <w:ind w:firstLineChars="200" w:firstLine="480"/>
        <w:jc w:val="left"/>
        <w:rPr>
          <w:kern w:val="0"/>
          <w:sz w:val="24"/>
        </w:rPr>
      </w:pPr>
      <w:r w:rsidRPr="005C1C56">
        <w:rPr>
          <w:rFonts w:hint="eastAsia"/>
          <w:kern w:val="0"/>
          <w:sz w:val="24"/>
        </w:rPr>
        <w:t>本基金的基金管理人在基金运作过程中严格按照《公开募集证券投资基金运作管理办法》及《公开募集开放式证券投资基金流动性风险管理规定》</w:t>
      </w:r>
      <w:r w:rsidRPr="005C1C56">
        <w:rPr>
          <w:rFonts w:hint="eastAsia"/>
          <w:kern w:val="0"/>
          <w:sz w:val="24"/>
        </w:rPr>
        <w:t>(</w:t>
      </w:r>
      <w:r w:rsidRPr="005C1C56">
        <w:rPr>
          <w:rFonts w:hint="eastAsia"/>
          <w:kern w:val="0"/>
          <w:sz w:val="24"/>
        </w:rPr>
        <w:t>自</w:t>
      </w:r>
      <w:r w:rsidRPr="005C1C56">
        <w:rPr>
          <w:rFonts w:hint="eastAsia"/>
          <w:kern w:val="0"/>
          <w:sz w:val="24"/>
        </w:rPr>
        <w:t>2017</w:t>
      </w:r>
      <w:r w:rsidRPr="005C1C56">
        <w:rPr>
          <w:rFonts w:hint="eastAsia"/>
          <w:kern w:val="0"/>
          <w:sz w:val="24"/>
        </w:rPr>
        <w:t>年</w:t>
      </w:r>
      <w:r w:rsidRPr="005C1C56">
        <w:rPr>
          <w:rFonts w:hint="eastAsia"/>
          <w:kern w:val="0"/>
          <w:sz w:val="24"/>
        </w:rPr>
        <w:t>10</w:t>
      </w:r>
      <w:r w:rsidRPr="005C1C56">
        <w:rPr>
          <w:rFonts w:hint="eastAsia"/>
          <w:kern w:val="0"/>
          <w:sz w:val="24"/>
        </w:rPr>
        <w:t>月</w:t>
      </w:r>
      <w:r w:rsidRPr="005C1C56">
        <w:rPr>
          <w:rFonts w:hint="eastAsia"/>
          <w:kern w:val="0"/>
          <w:sz w:val="24"/>
        </w:rPr>
        <w:t>1</w:t>
      </w:r>
      <w:r w:rsidRPr="005C1C56">
        <w:rPr>
          <w:rFonts w:hint="eastAsia"/>
          <w:kern w:val="0"/>
          <w:sz w:val="24"/>
        </w:rPr>
        <w:t>日起施行</w:t>
      </w:r>
      <w:r w:rsidRPr="005C1C56">
        <w:rPr>
          <w:rFonts w:hint="eastAsia"/>
          <w:kern w:val="0"/>
          <w:sz w:val="24"/>
        </w:rPr>
        <w:t>)</w:t>
      </w:r>
      <w:r w:rsidRPr="005C1C56">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914E89" w:rsidRDefault="00914E89" w:rsidP="00914E89">
      <w:pPr>
        <w:spacing w:line="288" w:lineRule="auto"/>
        <w:ind w:firstLineChars="200" w:firstLine="480"/>
        <w:jc w:val="left"/>
        <w:rPr>
          <w:kern w:val="0"/>
          <w:sz w:val="24"/>
        </w:rPr>
      </w:pPr>
      <w:r w:rsidRPr="005C1C56">
        <w:rPr>
          <w:rFonts w:hint="eastAsia"/>
          <w:kern w:val="0"/>
          <w:sz w:val="24"/>
        </w:rPr>
        <w:t>本基金投资于一家公司发行的证券市值不超过基金资产净值的</w:t>
      </w:r>
      <w:r w:rsidRPr="005C1C56">
        <w:rPr>
          <w:rFonts w:hint="eastAsia"/>
          <w:kern w:val="0"/>
          <w:sz w:val="24"/>
        </w:rPr>
        <w:t>10%</w:t>
      </w:r>
      <w:r w:rsidRPr="005C1C56">
        <w:rPr>
          <w:rFonts w:hint="eastAsia"/>
          <w:kern w:val="0"/>
          <w:sz w:val="24"/>
        </w:rPr>
        <w:t>，且本基金与由本基金的基金管理人管理的其他基金共同持有一家公司发行的证券不得超过该证券的</w:t>
      </w:r>
      <w:r w:rsidRPr="005C1C56">
        <w:rPr>
          <w:rFonts w:hint="eastAsia"/>
          <w:kern w:val="0"/>
          <w:sz w:val="24"/>
        </w:rPr>
        <w:t>10%</w:t>
      </w:r>
      <w:r w:rsidRPr="005C1C56">
        <w:rPr>
          <w:rFonts w:hint="eastAsia"/>
          <w:kern w:val="0"/>
          <w:sz w:val="24"/>
        </w:rPr>
        <w:t>。基金投资组合的平均剩余期限在每个交易日均不得超过</w:t>
      </w:r>
      <w:r>
        <w:rPr>
          <w:rFonts w:hint="eastAsia"/>
          <w:kern w:val="0"/>
          <w:sz w:val="24"/>
        </w:rPr>
        <w:t>180</w:t>
      </w:r>
      <w:r>
        <w:rPr>
          <w:rFonts w:hint="eastAsia"/>
          <w:kern w:val="0"/>
          <w:sz w:val="24"/>
        </w:rPr>
        <w:t>天</w:t>
      </w:r>
      <w:r w:rsidRPr="005C1C56">
        <w:rPr>
          <w:rFonts w:hint="eastAsia"/>
          <w:kern w:val="0"/>
          <w:sz w:val="24"/>
        </w:rPr>
        <w:t>，且能够通过出售所持有的银行间同业市场</w:t>
      </w:r>
      <w:r w:rsidRPr="005C1C56">
        <w:rPr>
          <w:rFonts w:hint="eastAsia"/>
          <w:kern w:val="0"/>
          <w:sz w:val="24"/>
        </w:rPr>
        <w:t xml:space="preserve"> </w:t>
      </w:r>
      <w:r w:rsidRPr="005C1C56">
        <w:rPr>
          <w:rFonts w:hint="eastAsia"/>
          <w:kern w:val="0"/>
          <w:sz w:val="24"/>
        </w:rPr>
        <w:t>交易债券应对流动性需求。此外，本基金可通过卖出回购金融资产方式借入短期资金应对流动性需求，银行间正回购上限一般不超过基金资产净值的</w:t>
      </w:r>
      <w:r w:rsidRPr="005C1C56">
        <w:rPr>
          <w:rFonts w:hint="eastAsia"/>
          <w:kern w:val="0"/>
          <w:sz w:val="24"/>
        </w:rPr>
        <w:t>40%</w:t>
      </w:r>
      <w:r w:rsidRPr="005C1C56">
        <w:rPr>
          <w:rFonts w:hint="eastAsia"/>
          <w:kern w:val="0"/>
          <w:sz w:val="24"/>
        </w:rPr>
        <w:t>。</w:t>
      </w:r>
    </w:p>
    <w:p w:rsidR="00914E89" w:rsidRPr="005C1C56" w:rsidRDefault="00914E89" w:rsidP="00914E89">
      <w:pPr>
        <w:spacing w:line="288" w:lineRule="auto"/>
        <w:ind w:firstLineChars="200" w:firstLine="480"/>
        <w:jc w:val="left"/>
        <w:rPr>
          <w:kern w:val="0"/>
          <w:sz w:val="24"/>
        </w:rPr>
      </w:pPr>
      <w:r w:rsidRPr="005C1C56">
        <w:rPr>
          <w:rFonts w:hint="eastAsia"/>
          <w:kern w:val="0"/>
          <w:sz w:val="24"/>
        </w:rPr>
        <w:t>本基金所持部分证券在证券交易所上市，其余亦可在银行间同业市场交易，部分基金资产流通暂时受限制不能自由转让的情况参见附注</w:t>
      </w:r>
      <w:r w:rsidRPr="005C1C56">
        <w:rPr>
          <w:rFonts w:hint="eastAsia"/>
          <w:kern w:val="0"/>
          <w:sz w:val="24"/>
        </w:rPr>
        <w:t>7.4.12</w:t>
      </w:r>
      <w:r w:rsidRPr="005C1C56">
        <w:rPr>
          <w:rFonts w:hint="eastAsia"/>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5C1C56">
        <w:rPr>
          <w:rFonts w:hint="eastAsia"/>
          <w:kern w:val="0"/>
          <w:sz w:val="24"/>
        </w:rPr>
        <w:t>15%</w:t>
      </w:r>
      <w:r w:rsidRPr="005C1C56">
        <w:rPr>
          <w:rFonts w:hint="eastAsia"/>
          <w:kern w:val="0"/>
          <w:sz w:val="24"/>
        </w:rPr>
        <w:t>。</w:t>
      </w:r>
    </w:p>
    <w:p w:rsidR="00914E89" w:rsidRPr="005C1C56" w:rsidRDefault="00914E89" w:rsidP="00914E89">
      <w:pPr>
        <w:spacing w:line="288" w:lineRule="auto"/>
        <w:ind w:firstLineChars="200" w:firstLine="480"/>
        <w:jc w:val="left"/>
        <w:rPr>
          <w:kern w:val="0"/>
          <w:sz w:val="24"/>
        </w:rPr>
      </w:pPr>
      <w:r w:rsidRPr="005C1C56">
        <w:rPr>
          <w:rFonts w:hint="eastAsia"/>
          <w:kern w:val="0"/>
          <w:sz w:val="24"/>
        </w:rPr>
        <w:t>本基金的基金管理人每日对基金组合资产中</w:t>
      </w:r>
      <w:r w:rsidRPr="005C1C56">
        <w:rPr>
          <w:rFonts w:hint="eastAsia"/>
          <w:kern w:val="0"/>
          <w:sz w:val="24"/>
        </w:rPr>
        <w:t>7</w:t>
      </w:r>
      <w:r w:rsidRPr="005C1C56">
        <w:rPr>
          <w:rFonts w:hint="eastAsia"/>
          <w:kern w:val="0"/>
          <w:sz w:val="24"/>
        </w:rPr>
        <w:t>个工作日可变现资产的可变现价值进行审慎评估与测算，确保每日确认的净赎回申请不得超过</w:t>
      </w:r>
      <w:r w:rsidRPr="005C1C56">
        <w:rPr>
          <w:rFonts w:hint="eastAsia"/>
          <w:kern w:val="0"/>
          <w:sz w:val="24"/>
        </w:rPr>
        <w:t>7</w:t>
      </w:r>
      <w:r w:rsidRPr="005C1C56">
        <w:rPr>
          <w:rFonts w:hint="eastAsia"/>
          <w:kern w:val="0"/>
          <w:sz w:val="24"/>
        </w:rPr>
        <w:t>个工作日可变现资产的可变现价值。</w:t>
      </w:r>
    </w:p>
    <w:p w:rsidR="00914E89" w:rsidRPr="005C1C56" w:rsidRDefault="00914E89" w:rsidP="00914E89">
      <w:pPr>
        <w:spacing w:line="288" w:lineRule="auto"/>
        <w:ind w:firstLineChars="200" w:firstLine="480"/>
        <w:jc w:val="left"/>
        <w:rPr>
          <w:kern w:val="0"/>
          <w:sz w:val="24"/>
        </w:rPr>
      </w:pPr>
      <w:r w:rsidRPr="005C1C56">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14E89" w:rsidRPr="005C1C56" w:rsidRDefault="00914E89" w:rsidP="00914E89">
      <w:pPr>
        <w:spacing w:line="288" w:lineRule="auto"/>
        <w:ind w:firstLineChars="200" w:firstLine="480"/>
        <w:jc w:val="left"/>
        <w:rPr>
          <w:kern w:val="0"/>
          <w:sz w:val="24"/>
        </w:rPr>
      </w:pPr>
      <w:r w:rsidRPr="005C1C56">
        <w:rPr>
          <w:rFonts w:hint="eastAsia"/>
          <w:kern w:val="0"/>
          <w:sz w:val="24"/>
        </w:rPr>
        <w:t>综合上述各项流动性指标的监测结果及流动性风险管理措施的实施，本基金在本报告期内流动性情况良好。</w:t>
      </w:r>
    </w:p>
    <w:p w:rsidR="006D141C" w:rsidRPr="00914E89" w:rsidRDefault="006D141C" w:rsidP="00D0515B">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w:t>
      </w:r>
      <w:r w:rsidR="008A28D4" w:rsidRPr="00B92184">
        <w:rPr>
          <w:rFonts w:hint="eastAsia"/>
          <w:b/>
          <w:sz w:val="24"/>
        </w:rPr>
        <w:t>4</w:t>
      </w:r>
      <w:r w:rsidRPr="00B92184">
        <w:rPr>
          <w:rFonts w:hint="eastAsia"/>
          <w:b/>
          <w:sz w:val="24"/>
        </w:rPr>
        <w:t>市场风险</w:t>
      </w:r>
    </w:p>
    <w:p w:rsidR="006D141C" w:rsidRPr="00B92184" w:rsidRDefault="006D141C" w:rsidP="00B92184">
      <w:pPr>
        <w:spacing w:before="29" w:line="288" w:lineRule="auto"/>
        <w:ind w:firstLineChars="200" w:firstLine="480"/>
        <w:rPr>
          <w:kern w:val="0"/>
          <w:sz w:val="24"/>
        </w:rPr>
      </w:pPr>
      <w:r w:rsidRPr="00B92184">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D0515B" w:rsidRDefault="006D141C" w:rsidP="00B12C50">
      <w:pPr>
        <w:spacing w:line="360" w:lineRule="auto"/>
        <w:ind w:firstLineChars="200" w:firstLine="420"/>
        <w:jc w:val="left"/>
        <w:rPr>
          <w:rFonts w:asciiTheme="minorEastAsia" w:eastAsiaTheme="minorEastAsia" w:hAnsiTheme="minorEastAsia"/>
          <w:szCs w:val="21"/>
        </w:rPr>
      </w:pPr>
    </w:p>
    <w:p w:rsidR="006D141C" w:rsidRPr="00B92184" w:rsidRDefault="006D141C" w:rsidP="00B92184">
      <w:pPr>
        <w:spacing w:before="29" w:line="288" w:lineRule="auto"/>
        <w:rPr>
          <w:b/>
          <w:sz w:val="24"/>
        </w:rPr>
      </w:pPr>
      <w:r w:rsidRPr="00B92184">
        <w:rPr>
          <w:rFonts w:hint="eastAsia"/>
          <w:b/>
          <w:sz w:val="24"/>
        </w:rPr>
        <w:t>7.4.13.4.</w:t>
      </w:r>
      <w:r w:rsidR="008A28D4" w:rsidRPr="00B92184">
        <w:rPr>
          <w:rFonts w:hint="eastAsia"/>
          <w:b/>
          <w:sz w:val="24"/>
        </w:rPr>
        <w:t>1</w:t>
      </w:r>
      <w:r w:rsidRPr="00B92184">
        <w:rPr>
          <w:rFonts w:hint="eastAsia"/>
          <w:b/>
          <w:sz w:val="24"/>
        </w:rPr>
        <w:t>利率风险</w:t>
      </w:r>
    </w:p>
    <w:p w:rsidR="00B5600D" w:rsidRDefault="00D91A1A">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910BD7" w:rsidRDefault="00910BD7" w:rsidP="00910BD7">
      <w:pPr>
        <w:spacing w:before="29" w:line="288" w:lineRule="auto"/>
        <w:ind w:firstLineChars="200" w:firstLine="480"/>
        <w:rPr>
          <w:kern w:val="0"/>
          <w:sz w:val="24"/>
        </w:rPr>
      </w:pPr>
      <w:r w:rsidRPr="00C172AA">
        <w:rPr>
          <w:rFonts w:hint="eastAsia"/>
          <w:kern w:val="0"/>
          <w:sz w:val="24"/>
        </w:rPr>
        <w:t>本基金主要投资于银行间同业市场交易的固定收益品种，因此存在相应的利率风险。本基金的基金管理人每日通过“影子定价”对本基金面临的市场风险进行监控，定期对本基金面临的利率敏感性缺口进行监控，并通过调整投资组合的久期等方法对上述利率风险进行管理。</w:t>
      </w:r>
    </w:p>
    <w:p w:rsidR="006D141C" w:rsidRPr="00D0515B" w:rsidRDefault="009048A5" w:rsidP="00B12C50">
      <w:pPr>
        <w:spacing w:line="360" w:lineRule="auto"/>
        <w:ind w:firstLineChars="200" w:firstLine="420"/>
        <w:jc w:val="left"/>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B92184" w:rsidRDefault="006D141C" w:rsidP="00B92184">
      <w:pPr>
        <w:spacing w:before="29" w:line="288" w:lineRule="auto"/>
        <w:rPr>
          <w:b/>
          <w:sz w:val="24"/>
        </w:rPr>
      </w:pPr>
      <w:r w:rsidRPr="00B92184">
        <w:rPr>
          <w:rFonts w:hint="eastAsia"/>
          <w:b/>
          <w:sz w:val="24"/>
        </w:rPr>
        <w:t>7.4.13.4.1.</w:t>
      </w:r>
      <w:r w:rsidR="000653CB" w:rsidRPr="00B92184">
        <w:rPr>
          <w:rFonts w:hint="eastAsia"/>
          <w:b/>
          <w:sz w:val="24"/>
        </w:rPr>
        <w:t>1</w:t>
      </w:r>
      <w:r w:rsidRPr="00B92184">
        <w:rPr>
          <w:rFonts w:hint="eastAsia"/>
          <w:b/>
          <w:sz w:val="24"/>
        </w:rPr>
        <w:t>利率风险敞口</w:t>
      </w:r>
    </w:p>
    <w:p w:rsidR="00126D14" w:rsidRPr="005E1AD8" w:rsidRDefault="00126D14" w:rsidP="00126D14">
      <w:pPr>
        <w:autoSpaceDE w:val="0"/>
        <w:autoSpaceDN w:val="0"/>
        <w:adjustRightInd w:val="0"/>
        <w:spacing w:before="29" w:line="288" w:lineRule="auto"/>
        <w:ind w:left="15"/>
        <w:jc w:val="right"/>
        <w:rPr>
          <w:sz w:val="24"/>
        </w:rPr>
      </w:pPr>
      <w:r w:rsidRPr="005E1AD8">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126D14" w:rsidRPr="005E1AD8" w:rsidTr="00BF370B">
        <w:tc>
          <w:tcPr>
            <w:tcW w:w="166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本期末</w:t>
            </w:r>
          </w:p>
          <w:p w:rsidR="00126D14" w:rsidRPr="00B25449" w:rsidRDefault="00126D14" w:rsidP="00BF370B">
            <w:pPr>
              <w:spacing w:before="29" w:line="288" w:lineRule="auto"/>
              <w:jc w:val="center"/>
              <w:rPr>
                <w:b/>
                <w:sz w:val="18"/>
                <w:szCs w:val="18"/>
              </w:rPr>
            </w:pPr>
            <w:r w:rsidRPr="00B25449">
              <w:rPr>
                <w:b/>
                <w:sz w:val="18"/>
                <w:szCs w:val="18"/>
              </w:rPr>
              <w:t>2017</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1265"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34" w:type="dxa"/>
            <w:gridSpan w:val="3"/>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42" w:type="dxa"/>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5"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82" w:type="dxa"/>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36"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65" w:type="dxa"/>
            <w:gridSpan w:val="2"/>
            <w:vAlign w:val="center"/>
          </w:tcPr>
          <w:p w:rsidR="00126D14" w:rsidRPr="005E1AD8" w:rsidRDefault="00126D14" w:rsidP="00BF370B">
            <w:pPr>
              <w:spacing w:before="29" w:line="288" w:lineRule="auto"/>
              <w:rPr>
                <w:sz w:val="18"/>
                <w:szCs w:val="18"/>
              </w:rPr>
            </w:pPr>
          </w:p>
        </w:tc>
        <w:tc>
          <w:tcPr>
            <w:tcW w:w="1134" w:type="dxa"/>
            <w:gridSpan w:val="3"/>
            <w:vAlign w:val="center"/>
          </w:tcPr>
          <w:p w:rsidR="00126D14" w:rsidRPr="005E1AD8" w:rsidRDefault="00126D14" w:rsidP="00BF370B">
            <w:pPr>
              <w:spacing w:before="29" w:line="288" w:lineRule="auto"/>
              <w:rPr>
                <w:sz w:val="18"/>
                <w:szCs w:val="18"/>
              </w:rPr>
            </w:pPr>
          </w:p>
        </w:tc>
        <w:tc>
          <w:tcPr>
            <w:tcW w:w="1142" w:type="dxa"/>
            <w:vAlign w:val="center"/>
          </w:tcPr>
          <w:p w:rsidR="00126D14" w:rsidRPr="005E1AD8" w:rsidRDefault="00126D14" w:rsidP="00BF370B">
            <w:pPr>
              <w:spacing w:before="29" w:line="288" w:lineRule="auto"/>
              <w:rPr>
                <w:sz w:val="18"/>
                <w:szCs w:val="18"/>
              </w:rPr>
            </w:pPr>
          </w:p>
        </w:tc>
        <w:tc>
          <w:tcPr>
            <w:tcW w:w="855"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82" w:type="dxa"/>
            <w:vAlign w:val="center"/>
          </w:tcPr>
          <w:p w:rsidR="00126D14" w:rsidRPr="005E1AD8" w:rsidRDefault="00126D14" w:rsidP="00BF370B">
            <w:pPr>
              <w:spacing w:before="29" w:line="288" w:lineRule="auto"/>
              <w:rPr>
                <w:sz w:val="18"/>
                <w:szCs w:val="18"/>
              </w:rPr>
            </w:pPr>
          </w:p>
        </w:tc>
        <w:tc>
          <w:tcPr>
            <w:tcW w:w="1036" w:type="dxa"/>
            <w:gridSpan w:val="2"/>
            <w:vAlign w:val="center"/>
          </w:tcPr>
          <w:p w:rsidR="00126D14" w:rsidRPr="005E1AD8" w:rsidRDefault="00126D14" w:rsidP="00BF370B">
            <w:pPr>
              <w:spacing w:before="29" w:line="288" w:lineRule="auto"/>
              <w:rPr>
                <w:sz w:val="18"/>
                <w:szCs w:val="18"/>
              </w:rPr>
            </w:pPr>
          </w:p>
        </w:tc>
      </w:tr>
      <w:tr w:rsidR="00B5600D">
        <w:tc>
          <w:tcPr>
            <w:tcW w:w="1666" w:type="dxa"/>
            <w:gridSpan w:val="2"/>
            <w:vAlign w:val="center"/>
          </w:tcPr>
          <w:p w:rsidR="00B5600D" w:rsidRDefault="00D91A1A">
            <w:pPr>
              <w:jc w:val="left"/>
            </w:pPr>
            <w:r>
              <w:rPr>
                <w:color w:val="000000"/>
                <w:sz w:val="18"/>
                <w:szCs w:val="18"/>
              </w:rPr>
              <w:t>银行存款</w:t>
            </w:r>
          </w:p>
        </w:tc>
        <w:tc>
          <w:tcPr>
            <w:tcW w:w="1265" w:type="dxa"/>
            <w:gridSpan w:val="2"/>
            <w:vAlign w:val="center"/>
          </w:tcPr>
          <w:p w:rsidR="00B5600D" w:rsidRDefault="00D91A1A">
            <w:pPr>
              <w:jc w:val="left"/>
            </w:pPr>
            <w:r>
              <w:rPr>
                <w:color w:val="000000"/>
                <w:sz w:val="18"/>
                <w:szCs w:val="18"/>
              </w:rPr>
              <w:t>555,719,176.14</w:t>
            </w:r>
          </w:p>
        </w:tc>
        <w:tc>
          <w:tcPr>
            <w:tcW w:w="1134" w:type="dxa"/>
            <w:gridSpan w:val="3"/>
            <w:vAlign w:val="center"/>
          </w:tcPr>
          <w:p w:rsidR="00B5600D" w:rsidRDefault="00D91A1A">
            <w:pPr>
              <w:jc w:val="left"/>
            </w:pPr>
            <w:r>
              <w:rPr>
                <w:color w:val="000000"/>
                <w:sz w:val="18"/>
                <w:szCs w:val="18"/>
              </w:rPr>
              <w:t>680,000,000.00</w:t>
            </w:r>
          </w:p>
        </w:tc>
        <w:tc>
          <w:tcPr>
            <w:tcW w:w="1142" w:type="dxa"/>
            <w:vAlign w:val="center"/>
          </w:tcPr>
          <w:p w:rsidR="00B5600D" w:rsidRDefault="00D91A1A">
            <w:pPr>
              <w:jc w:val="left"/>
            </w:pPr>
            <w:r>
              <w:rPr>
                <w:color w:val="000000"/>
                <w:sz w:val="18"/>
                <w:szCs w:val="18"/>
              </w:rPr>
              <w:t>1,030,000,000.00</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center"/>
            </w:pPr>
            <w:r>
              <w:rPr>
                <w:color w:val="000000"/>
                <w:sz w:val="18"/>
                <w:szCs w:val="18"/>
              </w:rPr>
              <w:t>-</w:t>
            </w:r>
          </w:p>
        </w:tc>
        <w:tc>
          <w:tcPr>
            <w:tcW w:w="982" w:type="dxa"/>
            <w:vAlign w:val="center"/>
          </w:tcPr>
          <w:p w:rsidR="00B5600D" w:rsidRDefault="00D91A1A">
            <w:pPr>
              <w:jc w:val="center"/>
            </w:pPr>
            <w:r>
              <w:rPr>
                <w:color w:val="000000"/>
                <w:sz w:val="18"/>
                <w:szCs w:val="18"/>
              </w:rPr>
              <w:t>-</w:t>
            </w:r>
          </w:p>
        </w:tc>
        <w:tc>
          <w:tcPr>
            <w:tcW w:w="1036" w:type="dxa"/>
            <w:gridSpan w:val="2"/>
            <w:vAlign w:val="center"/>
          </w:tcPr>
          <w:p w:rsidR="00B5600D" w:rsidRDefault="00D91A1A">
            <w:pPr>
              <w:jc w:val="center"/>
            </w:pPr>
            <w:r>
              <w:rPr>
                <w:color w:val="000000"/>
                <w:sz w:val="18"/>
                <w:szCs w:val="18"/>
              </w:rPr>
              <w:t>2,265,719,176.14</w:t>
            </w:r>
          </w:p>
        </w:tc>
      </w:tr>
      <w:tr w:rsidR="00B5600D">
        <w:tc>
          <w:tcPr>
            <w:tcW w:w="1666" w:type="dxa"/>
            <w:gridSpan w:val="2"/>
            <w:vAlign w:val="center"/>
          </w:tcPr>
          <w:p w:rsidR="00B5600D" w:rsidRDefault="00D91A1A">
            <w:pPr>
              <w:jc w:val="left"/>
            </w:pPr>
            <w:r>
              <w:rPr>
                <w:color w:val="000000"/>
                <w:sz w:val="18"/>
                <w:szCs w:val="18"/>
              </w:rPr>
              <w:t>交易性金融资产</w:t>
            </w:r>
          </w:p>
        </w:tc>
        <w:tc>
          <w:tcPr>
            <w:tcW w:w="1265" w:type="dxa"/>
            <w:gridSpan w:val="2"/>
            <w:vAlign w:val="center"/>
          </w:tcPr>
          <w:p w:rsidR="00B5600D" w:rsidRDefault="00D91A1A">
            <w:pPr>
              <w:jc w:val="left"/>
            </w:pPr>
            <w:r>
              <w:rPr>
                <w:color w:val="000000"/>
                <w:sz w:val="18"/>
                <w:szCs w:val="18"/>
              </w:rPr>
              <w:t>875,851,327.28</w:t>
            </w:r>
          </w:p>
        </w:tc>
        <w:tc>
          <w:tcPr>
            <w:tcW w:w="1134" w:type="dxa"/>
            <w:gridSpan w:val="3"/>
            <w:vAlign w:val="center"/>
          </w:tcPr>
          <w:p w:rsidR="00B5600D" w:rsidRDefault="00D91A1A">
            <w:pPr>
              <w:jc w:val="left"/>
            </w:pPr>
            <w:r>
              <w:rPr>
                <w:color w:val="000000"/>
                <w:sz w:val="18"/>
                <w:szCs w:val="18"/>
              </w:rPr>
              <w:t>1,720,299,386.14</w:t>
            </w:r>
          </w:p>
        </w:tc>
        <w:tc>
          <w:tcPr>
            <w:tcW w:w="1142" w:type="dxa"/>
            <w:vAlign w:val="center"/>
          </w:tcPr>
          <w:p w:rsidR="00B5600D" w:rsidRDefault="00D91A1A">
            <w:pPr>
              <w:jc w:val="left"/>
            </w:pPr>
            <w:r>
              <w:rPr>
                <w:color w:val="000000"/>
                <w:sz w:val="18"/>
                <w:szCs w:val="18"/>
              </w:rPr>
              <w:t>804,677,772.47</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center"/>
            </w:pPr>
            <w:r>
              <w:rPr>
                <w:color w:val="000000"/>
                <w:sz w:val="18"/>
                <w:szCs w:val="18"/>
              </w:rPr>
              <w:t>-</w:t>
            </w:r>
          </w:p>
        </w:tc>
        <w:tc>
          <w:tcPr>
            <w:tcW w:w="982" w:type="dxa"/>
            <w:vAlign w:val="center"/>
          </w:tcPr>
          <w:p w:rsidR="00B5600D" w:rsidRDefault="00D91A1A">
            <w:pPr>
              <w:jc w:val="center"/>
            </w:pPr>
            <w:r>
              <w:rPr>
                <w:color w:val="000000"/>
                <w:sz w:val="18"/>
                <w:szCs w:val="18"/>
              </w:rPr>
              <w:t>-</w:t>
            </w:r>
          </w:p>
        </w:tc>
        <w:tc>
          <w:tcPr>
            <w:tcW w:w="1036" w:type="dxa"/>
            <w:gridSpan w:val="2"/>
            <w:vAlign w:val="center"/>
          </w:tcPr>
          <w:p w:rsidR="00B5600D" w:rsidRDefault="00D91A1A">
            <w:pPr>
              <w:jc w:val="center"/>
            </w:pPr>
            <w:r>
              <w:rPr>
                <w:color w:val="000000"/>
                <w:sz w:val="18"/>
                <w:szCs w:val="18"/>
              </w:rPr>
              <w:t>3,400,828,485.89</w:t>
            </w:r>
          </w:p>
        </w:tc>
      </w:tr>
      <w:tr w:rsidR="00B5600D">
        <w:tc>
          <w:tcPr>
            <w:tcW w:w="1666" w:type="dxa"/>
            <w:gridSpan w:val="2"/>
            <w:vAlign w:val="center"/>
          </w:tcPr>
          <w:p w:rsidR="00B5600D" w:rsidRDefault="00D91A1A">
            <w:pPr>
              <w:jc w:val="left"/>
            </w:pPr>
            <w:r>
              <w:rPr>
                <w:color w:val="000000"/>
                <w:sz w:val="18"/>
                <w:szCs w:val="18"/>
              </w:rPr>
              <w:t>应收利息</w:t>
            </w:r>
          </w:p>
        </w:tc>
        <w:tc>
          <w:tcPr>
            <w:tcW w:w="1265" w:type="dxa"/>
            <w:gridSpan w:val="2"/>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center"/>
            </w:pPr>
            <w:r>
              <w:rPr>
                <w:color w:val="000000"/>
                <w:sz w:val="18"/>
                <w:szCs w:val="18"/>
              </w:rPr>
              <w:t>-</w:t>
            </w:r>
          </w:p>
        </w:tc>
        <w:tc>
          <w:tcPr>
            <w:tcW w:w="982" w:type="dxa"/>
            <w:vAlign w:val="center"/>
          </w:tcPr>
          <w:p w:rsidR="00B5600D" w:rsidRDefault="00D91A1A">
            <w:pPr>
              <w:jc w:val="center"/>
            </w:pPr>
            <w:r>
              <w:rPr>
                <w:color w:val="000000"/>
                <w:sz w:val="18"/>
                <w:szCs w:val="18"/>
              </w:rPr>
              <w:t>18,328,586.03</w:t>
            </w:r>
          </w:p>
        </w:tc>
        <w:tc>
          <w:tcPr>
            <w:tcW w:w="1036" w:type="dxa"/>
            <w:gridSpan w:val="2"/>
            <w:vAlign w:val="center"/>
          </w:tcPr>
          <w:p w:rsidR="00B5600D" w:rsidRDefault="00D91A1A">
            <w:pPr>
              <w:jc w:val="center"/>
            </w:pPr>
            <w:r>
              <w:rPr>
                <w:color w:val="000000"/>
                <w:sz w:val="18"/>
                <w:szCs w:val="18"/>
              </w:rPr>
              <w:t>18,328,586.03</w:t>
            </w:r>
          </w:p>
        </w:tc>
      </w:tr>
      <w:tr w:rsidR="00B5600D">
        <w:tc>
          <w:tcPr>
            <w:tcW w:w="1666" w:type="dxa"/>
            <w:gridSpan w:val="2"/>
            <w:vAlign w:val="center"/>
          </w:tcPr>
          <w:p w:rsidR="00B5600D" w:rsidRDefault="00D91A1A">
            <w:pPr>
              <w:jc w:val="left"/>
            </w:pPr>
            <w:r>
              <w:rPr>
                <w:color w:val="000000"/>
                <w:sz w:val="18"/>
                <w:szCs w:val="18"/>
              </w:rPr>
              <w:t>应收申购款</w:t>
            </w:r>
          </w:p>
        </w:tc>
        <w:tc>
          <w:tcPr>
            <w:tcW w:w="1265" w:type="dxa"/>
            <w:gridSpan w:val="2"/>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center"/>
            </w:pPr>
            <w:r>
              <w:rPr>
                <w:color w:val="000000"/>
                <w:sz w:val="18"/>
                <w:szCs w:val="18"/>
              </w:rPr>
              <w:t>-</w:t>
            </w:r>
          </w:p>
        </w:tc>
        <w:tc>
          <w:tcPr>
            <w:tcW w:w="982" w:type="dxa"/>
            <w:vAlign w:val="center"/>
          </w:tcPr>
          <w:p w:rsidR="00B5600D" w:rsidRDefault="00D91A1A">
            <w:pPr>
              <w:jc w:val="center"/>
            </w:pPr>
            <w:r>
              <w:rPr>
                <w:color w:val="000000"/>
                <w:sz w:val="18"/>
                <w:szCs w:val="18"/>
              </w:rPr>
              <w:t>80,000.00</w:t>
            </w:r>
          </w:p>
        </w:tc>
        <w:tc>
          <w:tcPr>
            <w:tcW w:w="1036" w:type="dxa"/>
            <w:gridSpan w:val="2"/>
            <w:vAlign w:val="center"/>
          </w:tcPr>
          <w:p w:rsidR="00B5600D" w:rsidRDefault="00D91A1A">
            <w:pPr>
              <w:jc w:val="center"/>
            </w:pPr>
            <w:r>
              <w:rPr>
                <w:color w:val="000000"/>
                <w:sz w:val="18"/>
                <w:szCs w:val="18"/>
              </w:rPr>
              <w:t>80,000.00</w:t>
            </w:r>
          </w:p>
        </w:tc>
      </w:tr>
      <w:tr w:rsidR="00126D14" w:rsidRPr="005E1AD8" w:rsidTr="003C4FFC">
        <w:tc>
          <w:tcPr>
            <w:tcW w:w="1666" w:type="dxa"/>
            <w:gridSpan w:val="2"/>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65"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1,431,570,503.42</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2,400,299,386.14</w:t>
            </w:r>
          </w:p>
          <w:p w:rsidR="00126D14" w:rsidRPr="0077393F" w:rsidRDefault="00126D14" w:rsidP="00BF370B">
            <w:pPr>
              <w:spacing w:before="29" w:line="288" w:lineRule="auto"/>
              <w:jc w:val="center"/>
              <w:rPr>
                <w:color w:val="000000"/>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1,834,677,772.47</w:t>
            </w:r>
          </w:p>
          <w:p w:rsidR="00126D14" w:rsidRPr="0077393F" w:rsidRDefault="00126D14" w:rsidP="00BF370B">
            <w:pPr>
              <w:spacing w:before="29" w:line="288" w:lineRule="auto"/>
              <w:jc w:val="center"/>
              <w:rPr>
                <w:color w:val="000000"/>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18,408,586.03</w:t>
            </w:r>
          </w:p>
          <w:p w:rsidR="00126D14" w:rsidRPr="0077393F" w:rsidRDefault="00126D14" w:rsidP="00BF370B">
            <w:pPr>
              <w:spacing w:before="29" w:line="288" w:lineRule="auto"/>
              <w:jc w:val="center"/>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5,684,956,248.06</w:t>
            </w:r>
          </w:p>
          <w:p w:rsidR="00126D14" w:rsidRPr="0077393F" w:rsidRDefault="00126D14" w:rsidP="00BF370B">
            <w:pPr>
              <w:spacing w:before="29" w:line="288" w:lineRule="auto"/>
              <w:jc w:val="center"/>
              <w:rPr>
                <w:sz w:val="18"/>
                <w:szCs w:val="18"/>
              </w:rPr>
            </w:pPr>
          </w:p>
        </w:tc>
      </w:tr>
      <w:tr w:rsidR="00126D14" w:rsidRPr="005E1AD8" w:rsidTr="003C4FFC">
        <w:tc>
          <w:tcPr>
            <w:tcW w:w="1658" w:type="dxa"/>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3" w:type="dxa"/>
            <w:gridSpan w:val="3"/>
            <w:vAlign w:val="center"/>
          </w:tcPr>
          <w:p w:rsidR="00126D14" w:rsidRPr="005E1AD8" w:rsidRDefault="00126D14" w:rsidP="00BF370B">
            <w:pPr>
              <w:spacing w:before="29" w:line="288" w:lineRule="auto"/>
              <w:jc w:val="center"/>
              <w:rPr>
                <w:sz w:val="18"/>
                <w:szCs w:val="18"/>
              </w:rPr>
            </w:pPr>
          </w:p>
        </w:tc>
        <w:tc>
          <w:tcPr>
            <w:tcW w:w="1134" w:type="dxa"/>
            <w:gridSpan w:val="3"/>
            <w:vAlign w:val="center"/>
          </w:tcPr>
          <w:p w:rsidR="00126D14" w:rsidRPr="005E1AD8" w:rsidRDefault="00126D14" w:rsidP="00BF370B">
            <w:pPr>
              <w:spacing w:before="29" w:line="288" w:lineRule="auto"/>
              <w:jc w:val="center"/>
              <w:rPr>
                <w:color w:val="000000"/>
                <w:sz w:val="18"/>
                <w:szCs w:val="18"/>
              </w:rPr>
            </w:pPr>
          </w:p>
        </w:tc>
        <w:tc>
          <w:tcPr>
            <w:tcW w:w="1142" w:type="dxa"/>
            <w:vAlign w:val="center"/>
          </w:tcPr>
          <w:p w:rsidR="00126D14" w:rsidRPr="005E1AD8" w:rsidRDefault="00126D14" w:rsidP="00BF370B">
            <w:pPr>
              <w:spacing w:before="29" w:line="288" w:lineRule="auto"/>
              <w:jc w:val="center"/>
              <w:rPr>
                <w:color w:val="000000"/>
                <w:sz w:val="18"/>
                <w:szCs w:val="18"/>
              </w:rPr>
            </w:pPr>
          </w:p>
        </w:tc>
        <w:tc>
          <w:tcPr>
            <w:tcW w:w="855"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82" w:type="dxa"/>
            <w:vAlign w:val="center"/>
          </w:tcPr>
          <w:p w:rsidR="00126D14" w:rsidRPr="005E1AD8" w:rsidRDefault="00126D14" w:rsidP="00BF370B">
            <w:pPr>
              <w:spacing w:before="29" w:line="288" w:lineRule="auto"/>
              <w:jc w:val="center"/>
              <w:rPr>
                <w:sz w:val="18"/>
                <w:szCs w:val="18"/>
              </w:rPr>
            </w:pPr>
          </w:p>
        </w:tc>
        <w:tc>
          <w:tcPr>
            <w:tcW w:w="1036" w:type="dxa"/>
            <w:gridSpan w:val="2"/>
            <w:vAlign w:val="center"/>
          </w:tcPr>
          <w:p w:rsidR="00126D14" w:rsidRPr="005E1AD8" w:rsidRDefault="00126D14" w:rsidP="00BF370B">
            <w:pPr>
              <w:spacing w:before="29" w:line="288" w:lineRule="auto"/>
              <w:jc w:val="center"/>
              <w:rPr>
                <w:sz w:val="18"/>
                <w:szCs w:val="18"/>
              </w:rPr>
            </w:pPr>
          </w:p>
        </w:tc>
      </w:tr>
      <w:tr w:rsidR="00B5600D">
        <w:tc>
          <w:tcPr>
            <w:tcW w:w="1658" w:type="dxa"/>
            <w:vAlign w:val="center"/>
          </w:tcPr>
          <w:p w:rsidR="00B5600D" w:rsidRDefault="00D91A1A">
            <w:pPr>
              <w:jc w:val="left"/>
            </w:pPr>
            <w:r>
              <w:rPr>
                <w:color w:val="000000"/>
                <w:sz w:val="18"/>
                <w:szCs w:val="18"/>
              </w:rPr>
              <w:t>卖出回购金融资产款</w:t>
            </w:r>
          </w:p>
        </w:tc>
        <w:tc>
          <w:tcPr>
            <w:tcW w:w="1273" w:type="dxa"/>
            <w:gridSpan w:val="3"/>
            <w:vAlign w:val="center"/>
          </w:tcPr>
          <w:p w:rsidR="00B5600D" w:rsidRDefault="00D91A1A">
            <w:pPr>
              <w:jc w:val="left"/>
            </w:pPr>
            <w:r>
              <w:rPr>
                <w:color w:val="000000"/>
                <w:sz w:val="18"/>
                <w:szCs w:val="18"/>
              </w:rPr>
              <w:t>716,143,653.61</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w:t>
            </w:r>
          </w:p>
        </w:tc>
        <w:tc>
          <w:tcPr>
            <w:tcW w:w="1036" w:type="dxa"/>
            <w:gridSpan w:val="2"/>
            <w:vAlign w:val="center"/>
          </w:tcPr>
          <w:p w:rsidR="00B5600D" w:rsidRDefault="00D91A1A">
            <w:pPr>
              <w:jc w:val="left"/>
            </w:pPr>
            <w:r>
              <w:rPr>
                <w:color w:val="000000"/>
                <w:sz w:val="18"/>
                <w:szCs w:val="18"/>
              </w:rPr>
              <w:t>716,143,653.61</w:t>
            </w:r>
          </w:p>
        </w:tc>
      </w:tr>
      <w:tr w:rsidR="00B5600D">
        <w:tc>
          <w:tcPr>
            <w:tcW w:w="1658" w:type="dxa"/>
            <w:vAlign w:val="center"/>
          </w:tcPr>
          <w:p w:rsidR="00B5600D" w:rsidRDefault="00D91A1A">
            <w:pPr>
              <w:jc w:val="left"/>
            </w:pPr>
            <w:r>
              <w:rPr>
                <w:color w:val="000000"/>
                <w:sz w:val="18"/>
                <w:szCs w:val="18"/>
              </w:rPr>
              <w:t>应付管理人报酬</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564,658.75</w:t>
            </w:r>
          </w:p>
        </w:tc>
        <w:tc>
          <w:tcPr>
            <w:tcW w:w="1036" w:type="dxa"/>
            <w:gridSpan w:val="2"/>
            <w:vAlign w:val="center"/>
          </w:tcPr>
          <w:p w:rsidR="00B5600D" w:rsidRDefault="00D91A1A">
            <w:pPr>
              <w:jc w:val="left"/>
            </w:pPr>
            <w:r>
              <w:rPr>
                <w:color w:val="000000"/>
                <w:sz w:val="18"/>
                <w:szCs w:val="18"/>
              </w:rPr>
              <w:t>564,658.75</w:t>
            </w:r>
          </w:p>
        </w:tc>
      </w:tr>
      <w:tr w:rsidR="00B5600D">
        <w:tc>
          <w:tcPr>
            <w:tcW w:w="1658" w:type="dxa"/>
            <w:vAlign w:val="center"/>
          </w:tcPr>
          <w:p w:rsidR="00B5600D" w:rsidRDefault="00D91A1A">
            <w:pPr>
              <w:jc w:val="left"/>
            </w:pPr>
            <w:r>
              <w:rPr>
                <w:color w:val="000000"/>
                <w:sz w:val="18"/>
                <w:szCs w:val="18"/>
              </w:rPr>
              <w:t>应付托管费</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225,863.47</w:t>
            </w:r>
          </w:p>
        </w:tc>
        <w:tc>
          <w:tcPr>
            <w:tcW w:w="1036" w:type="dxa"/>
            <w:gridSpan w:val="2"/>
            <w:vAlign w:val="center"/>
          </w:tcPr>
          <w:p w:rsidR="00B5600D" w:rsidRDefault="00D91A1A">
            <w:pPr>
              <w:jc w:val="left"/>
            </w:pPr>
            <w:r>
              <w:rPr>
                <w:color w:val="000000"/>
                <w:sz w:val="18"/>
                <w:szCs w:val="18"/>
              </w:rPr>
              <w:t>225,863.47</w:t>
            </w:r>
          </w:p>
        </w:tc>
      </w:tr>
      <w:tr w:rsidR="00B5600D">
        <w:tc>
          <w:tcPr>
            <w:tcW w:w="1658" w:type="dxa"/>
            <w:vAlign w:val="center"/>
          </w:tcPr>
          <w:p w:rsidR="00B5600D" w:rsidRDefault="00D91A1A">
            <w:pPr>
              <w:jc w:val="left"/>
            </w:pPr>
            <w:r>
              <w:rPr>
                <w:color w:val="000000"/>
                <w:sz w:val="18"/>
                <w:szCs w:val="18"/>
              </w:rPr>
              <w:t>应付销售服务费</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30,265.88</w:t>
            </w:r>
          </w:p>
        </w:tc>
        <w:tc>
          <w:tcPr>
            <w:tcW w:w="1036" w:type="dxa"/>
            <w:gridSpan w:val="2"/>
            <w:vAlign w:val="center"/>
          </w:tcPr>
          <w:p w:rsidR="00B5600D" w:rsidRDefault="00D91A1A">
            <w:pPr>
              <w:jc w:val="left"/>
            </w:pPr>
            <w:r>
              <w:rPr>
                <w:color w:val="000000"/>
                <w:sz w:val="18"/>
                <w:szCs w:val="18"/>
              </w:rPr>
              <w:t>30,265.88</w:t>
            </w:r>
          </w:p>
        </w:tc>
      </w:tr>
      <w:tr w:rsidR="00B5600D">
        <w:tc>
          <w:tcPr>
            <w:tcW w:w="1658" w:type="dxa"/>
            <w:vAlign w:val="center"/>
          </w:tcPr>
          <w:p w:rsidR="00B5600D" w:rsidRDefault="00D91A1A">
            <w:pPr>
              <w:jc w:val="left"/>
            </w:pPr>
            <w:r>
              <w:rPr>
                <w:color w:val="000000"/>
                <w:sz w:val="18"/>
                <w:szCs w:val="18"/>
              </w:rPr>
              <w:t>应付交易费用</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54,336.03</w:t>
            </w:r>
          </w:p>
        </w:tc>
        <w:tc>
          <w:tcPr>
            <w:tcW w:w="1036" w:type="dxa"/>
            <w:gridSpan w:val="2"/>
            <w:vAlign w:val="center"/>
          </w:tcPr>
          <w:p w:rsidR="00B5600D" w:rsidRDefault="00D91A1A">
            <w:pPr>
              <w:jc w:val="left"/>
            </w:pPr>
            <w:r>
              <w:rPr>
                <w:color w:val="000000"/>
                <w:sz w:val="18"/>
                <w:szCs w:val="18"/>
              </w:rPr>
              <w:t>54,336.03</w:t>
            </w:r>
          </w:p>
        </w:tc>
      </w:tr>
      <w:tr w:rsidR="00B5600D">
        <w:tc>
          <w:tcPr>
            <w:tcW w:w="1658" w:type="dxa"/>
            <w:vAlign w:val="center"/>
          </w:tcPr>
          <w:p w:rsidR="00B5600D" w:rsidRDefault="00D91A1A">
            <w:pPr>
              <w:jc w:val="left"/>
            </w:pPr>
            <w:r>
              <w:rPr>
                <w:color w:val="000000"/>
                <w:sz w:val="18"/>
                <w:szCs w:val="18"/>
              </w:rPr>
              <w:t>应付利息</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306,767.46</w:t>
            </w:r>
          </w:p>
        </w:tc>
        <w:tc>
          <w:tcPr>
            <w:tcW w:w="1036" w:type="dxa"/>
            <w:gridSpan w:val="2"/>
            <w:vAlign w:val="center"/>
          </w:tcPr>
          <w:p w:rsidR="00B5600D" w:rsidRDefault="00D91A1A">
            <w:pPr>
              <w:jc w:val="left"/>
            </w:pPr>
            <w:r>
              <w:rPr>
                <w:color w:val="000000"/>
                <w:sz w:val="18"/>
                <w:szCs w:val="18"/>
              </w:rPr>
              <w:t>306,767.46</w:t>
            </w:r>
          </w:p>
        </w:tc>
      </w:tr>
      <w:tr w:rsidR="00B5600D">
        <w:tc>
          <w:tcPr>
            <w:tcW w:w="1658" w:type="dxa"/>
            <w:vAlign w:val="center"/>
          </w:tcPr>
          <w:p w:rsidR="00B5600D" w:rsidRDefault="00D91A1A">
            <w:pPr>
              <w:jc w:val="left"/>
            </w:pPr>
            <w:r>
              <w:rPr>
                <w:color w:val="000000"/>
                <w:sz w:val="18"/>
                <w:szCs w:val="18"/>
              </w:rPr>
              <w:t>应付利润</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10,480,732.30</w:t>
            </w:r>
          </w:p>
        </w:tc>
        <w:tc>
          <w:tcPr>
            <w:tcW w:w="1036" w:type="dxa"/>
            <w:gridSpan w:val="2"/>
            <w:vAlign w:val="center"/>
          </w:tcPr>
          <w:p w:rsidR="00B5600D" w:rsidRDefault="00D91A1A">
            <w:pPr>
              <w:jc w:val="left"/>
            </w:pPr>
            <w:r>
              <w:rPr>
                <w:color w:val="000000"/>
                <w:sz w:val="18"/>
                <w:szCs w:val="18"/>
              </w:rPr>
              <w:t>10,480,732.30</w:t>
            </w:r>
          </w:p>
        </w:tc>
      </w:tr>
      <w:tr w:rsidR="00B5600D">
        <w:tc>
          <w:tcPr>
            <w:tcW w:w="1658" w:type="dxa"/>
            <w:vAlign w:val="center"/>
          </w:tcPr>
          <w:p w:rsidR="00B5600D" w:rsidRDefault="00D91A1A">
            <w:pPr>
              <w:jc w:val="left"/>
            </w:pPr>
            <w:r>
              <w:rPr>
                <w:color w:val="000000"/>
                <w:sz w:val="18"/>
                <w:szCs w:val="18"/>
              </w:rPr>
              <w:t>其他负债</w:t>
            </w:r>
          </w:p>
        </w:tc>
        <w:tc>
          <w:tcPr>
            <w:tcW w:w="1273" w:type="dxa"/>
            <w:gridSpan w:val="3"/>
            <w:vAlign w:val="center"/>
          </w:tcPr>
          <w:p w:rsidR="00B5600D" w:rsidRDefault="00D91A1A">
            <w:pPr>
              <w:jc w:val="left"/>
            </w:pPr>
            <w:r>
              <w:rPr>
                <w:color w:val="000000"/>
                <w:sz w:val="18"/>
                <w:szCs w:val="18"/>
              </w:rPr>
              <w:t>-</w:t>
            </w:r>
          </w:p>
        </w:tc>
        <w:tc>
          <w:tcPr>
            <w:tcW w:w="1134" w:type="dxa"/>
            <w:gridSpan w:val="3"/>
            <w:vAlign w:val="center"/>
          </w:tcPr>
          <w:p w:rsidR="00B5600D" w:rsidRDefault="00D91A1A">
            <w:pPr>
              <w:jc w:val="left"/>
            </w:pPr>
            <w:r>
              <w:rPr>
                <w:color w:val="000000"/>
                <w:sz w:val="18"/>
                <w:szCs w:val="18"/>
              </w:rPr>
              <w:t>-</w:t>
            </w:r>
          </w:p>
        </w:tc>
        <w:tc>
          <w:tcPr>
            <w:tcW w:w="1142" w:type="dxa"/>
            <w:vAlign w:val="center"/>
          </w:tcPr>
          <w:p w:rsidR="00B5600D" w:rsidRDefault="00D91A1A">
            <w:pPr>
              <w:jc w:val="left"/>
            </w:pPr>
            <w:r>
              <w:rPr>
                <w:color w:val="000000"/>
                <w:sz w:val="18"/>
                <w:szCs w:val="18"/>
              </w:rPr>
              <w:t>-</w:t>
            </w:r>
          </w:p>
        </w:tc>
        <w:tc>
          <w:tcPr>
            <w:tcW w:w="855"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82" w:type="dxa"/>
            <w:vAlign w:val="center"/>
          </w:tcPr>
          <w:p w:rsidR="00B5600D" w:rsidRDefault="00D91A1A">
            <w:pPr>
              <w:jc w:val="left"/>
            </w:pPr>
            <w:r>
              <w:rPr>
                <w:color w:val="000000"/>
                <w:sz w:val="18"/>
                <w:szCs w:val="18"/>
              </w:rPr>
              <w:t>239,300.00</w:t>
            </w:r>
          </w:p>
        </w:tc>
        <w:tc>
          <w:tcPr>
            <w:tcW w:w="1036" w:type="dxa"/>
            <w:gridSpan w:val="2"/>
            <w:vAlign w:val="center"/>
          </w:tcPr>
          <w:p w:rsidR="00B5600D" w:rsidRDefault="00D91A1A">
            <w:pPr>
              <w:jc w:val="left"/>
            </w:pPr>
            <w:r>
              <w:rPr>
                <w:color w:val="000000"/>
                <w:sz w:val="18"/>
                <w:szCs w:val="18"/>
              </w:rPr>
              <w:t>239,300.00</w:t>
            </w:r>
          </w:p>
        </w:tc>
      </w:tr>
      <w:tr w:rsidR="00126D14" w:rsidRPr="005E1AD8" w:rsidTr="003C4FFC">
        <w:tc>
          <w:tcPr>
            <w:tcW w:w="1658" w:type="dxa"/>
            <w:vAlign w:val="center"/>
          </w:tcPr>
          <w:p w:rsidR="00126D14" w:rsidRPr="0077393F" w:rsidRDefault="00126D14" w:rsidP="003C4FFC">
            <w:pPr>
              <w:spacing w:before="29" w:line="288" w:lineRule="auto"/>
              <w:rPr>
                <w:sz w:val="18"/>
                <w:szCs w:val="18"/>
              </w:rPr>
            </w:pPr>
            <w:r w:rsidRPr="0077393F">
              <w:rPr>
                <w:color w:val="000000"/>
                <w:sz w:val="18"/>
                <w:szCs w:val="18"/>
              </w:rPr>
              <w:t>负债总计</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716,143,653.61</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11,901,923.89</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728,045,577.50</w:t>
            </w:r>
          </w:p>
          <w:p w:rsidR="00126D14" w:rsidRPr="0077393F" w:rsidRDefault="00126D14" w:rsidP="00BF370B">
            <w:pPr>
              <w:spacing w:before="29" w:line="288" w:lineRule="auto"/>
              <w:jc w:val="right"/>
              <w:rPr>
                <w:sz w:val="18"/>
                <w:szCs w:val="18"/>
              </w:rPr>
            </w:pPr>
          </w:p>
        </w:tc>
      </w:tr>
      <w:tr w:rsidR="00126D14" w:rsidRPr="005E1AD8" w:rsidTr="003C4FFC">
        <w:tc>
          <w:tcPr>
            <w:tcW w:w="1658" w:type="dxa"/>
            <w:vAlign w:val="center"/>
          </w:tcPr>
          <w:p w:rsidR="00126D14" w:rsidRPr="0077393F" w:rsidRDefault="00126D14" w:rsidP="003C4FFC">
            <w:pPr>
              <w:spacing w:before="29" w:line="288" w:lineRule="auto"/>
              <w:rPr>
                <w:color w:val="000000"/>
                <w:sz w:val="18"/>
                <w:szCs w:val="18"/>
              </w:rPr>
            </w:pPr>
            <w:r w:rsidRPr="0077393F">
              <w:rPr>
                <w:color w:val="000000"/>
                <w:sz w:val="18"/>
                <w:szCs w:val="18"/>
              </w:rPr>
              <w:t>利率敏感度缺口</w:t>
            </w:r>
          </w:p>
        </w:tc>
        <w:tc>
          <w:tcPr>
            <w:tcW w:w="1273" w:type="dxa"/>
            <w:gridSpan w:val="3"/>
            <w:vAlign w:val="center"/>
          </w:tcPr>
          <w:p w:rsidR="00126D14" w:rsidRPr="0077393F" w:rsidRDefault="00126D14" w:rsidP="00BF370B">
            <w:pPr>
              <w:spacing w:before="29" w:line="288" w:lineRule="auto"/>
              <w:jc w:val="right"/>
              <w:rPr>
                <w:sz w:val="18"/>
                <w:szCs w:val="18"/>
              </w:rPr>
            </w:pPr>
            <w:r w:rsidRPr="0077393F">
              <w:rPr>
                <w:sz w:val="18"/>
                <w:szCs w:val="18"/>
              </w:rPr>
              <w:t>715,426,849.81</w:t>
            </w:r>
          </w:p>
          <w:p w:rsidR="00126D14" w:rsidRPr="0077393F" w:rsidRDefault="00126D14" w:rsidP="00BF370B">
            <w:pPr>
              <w:spacing w:before="29" w:line="288" w:lineRule="auto"/>
              <w:jc w:val="right"/>
              <w:rPr>
                <w:sz w:val="18"/>
                <w:szCs w:val="18"/>
              </w:rPr>
            </w:pPr>
          </w:p>
        </w:tc>
        <w:tc>
          <w:tcPr>
            <w:tcW w:w="1134" w:type="dxa"/>
            <w:gridSpan w:val="3"/>
            <w:vAlign w:val="center"/>
          </w:tcPr>
          <w:p w:rsidR="00126D14" w:rsidRPr="0077393F" w:rsidRDefault="00126D14" w:rsidP="00BF370B">
            <w:pPr>
              <w:spacing w:before="29" w:line="288" w:lineRule="auto"/>
              <w:jc w:val="right"/>
              <w:rPr>
                <w:sz w:val="18"/>
                <w:szCs w:val="18"/>
              </w:rPr>
            </w:pPr>
            <w:r w:rsidRPr="0077393F">
              <w:rPr>
                <w:sz w:val="18"/>
                <w:szCs w:val="18"/>
              </w:rPr>
              <w:t>2,400,299,386.14</w:t>
            </w:r>
          </w:p>
          <w:p w:rsidR="00126D14" w:rsidRPr="0077393F" w:rsidRDefault="00126D14" w:rsidP="00BF370B">
            <w:pPr>
              <w:spacing w:before="29" w:line="288" w:lineRule="auto"/>
              <w:jc w:val="right"/>
              <w:rPr>
                <w:sz w:val="18"/>
                <w:szCs w:val="18"/>
              </w:rPr>
            </w:pPr>
          </w:p>
        </w:tc>
        <w:tc>
          <w:tcPr>
            <w:tcW w:w="1142" w:type="dxa"/>
            <w:vAlign w:val="center"/>
          </w:tcPr>
          <w:p w:rsidR="00126D14" w:rsidRPr="0077393F" w:rsidRDefault="00126D14" w:rsidP="00BF370B">
            <w:pPr>
              <w:spacing w:before="29" w:line="288" w:lineRule="auto"/>
              <w:jc w:val="right"/>
              <w:rPr>
                <w:sz w:val="18"/>
                <w:szCs w:val="18"/>
              </w:rPr>
            </w:pPr>
            <w:r w:rsidRPr="0077393F">
              <w:rPr>
                <w:sz w:val="18"/>
                <w:szCs w:val="18"/>
              </w:rPr>
              <w:t>1,834,677,772.47</w:t>
            </w:r>
          </w:p>
          <w:p w:rsidR="00126D14" w:rsidRPr="0077393F" w:rsidRDefault="00126D14" w:rsidP="00BF370B">
            <w:pPr>
              <w:spacing w:before="29" w:line="288" w:lineRule="auto"/>
              <w:jc w:val="right"/>
              <w:rPr>
                <w:sz w:val="18"/>
                <w:szCs w:val="18"/>
              </w:rPr>
            </w:pPr>
          </w:p>
        </w:tc>
        <w:tc>
          <w:tcPr>
            <w:tcW w:w="855"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82" w:type="dxa"/>
            <w:vAlign w:val="center"/>
          </w:tcPr>
          <w:p w:rsidR="00126D14" w:rsidRPr="0077393F" w:rsidRDefault="00126D14" w:rsidP="00BF370B">
            <w:pPr>
              <w:spacing w:before="29" w:line="288" w:lineRule="auto"/>
              <w:jc w:val="right"/>
              <w:rPr>
                <w:sz w:val="18"/>
                <w:szCs w:val="18"/>
              </w:rPr>
            </w:pPr>
            <w:r w:rsidRPr="0077393F">
              <w:rPr>
                <w:sz w:val="18"/>
                <w:szCs w:val="18"/>
              </w:rPr>
              <w:t>6,506,662.14</w:t>
            </w:r>
          </w:p>
          <w:p w:rsidR="00126D14" w:rsidRPr="0077393F" w:rsidRDefault="00126D14" w:rsidP="00BF370B">
            <w:pPr>
              <w:spacing w:before="29" w:line="288" w:lineRule="auto"/>
              <w:jc w:val="right"/>
              <w:rPr>
                <w:sz w:val="18"/>
                <w:szCs w:val="18"/>
              </w:rPr>
            </w:pPr>
          </w:p>
        </w:tc>
        <w:tc>
          <w:tcPr>
            <w:tcW w:w="1036" w:type="dxa"/>
            <w:gridSpan w:val="2"/>
            <w:vAlign w:val="center"/>
          </w:tcPr>
          <w:p w:rsidR="00126D14" w:rsidRPr="0077393F" w:rsidRDefault="00126D14" w:rsidP="00BF370B">
            <w:pPr>
              <w:spacing w:before="29" w:line="288" w:lineRule="auto"/>
              <w:jc w:val="right"/>
              <w:rPr>
                <w:sz w:val="18"/>
                <w:szCs w:val="18"/>
              </w:rPr>
            </w:pPr>
            <w:r w:rsidRPr="0077393F">
              <w:rPr>
                <w:sz w:val="18"/>
                <w:szCs w:val="18"/>
              </w:rPr>
              <w:t>4,956,910,670.56</w:t>
            </w:r>
          </w:p>
          <w:p w:rsidR="00126D14" w:rsidRPr="0077393F" w:rsidRDefault="00126D14" w:rsidP="00BF370B">
            <w:pPr>
              <w:spacing w:before="29" w:line="288" w:lineRule="auto"/>
              <w:jc w:val="right"/>
              <w:rPr>
                <w:sz w:val="18"/>
                <w:szCs w:val="18"/>
              </w:rPr>
            </w:pPr>
          </w:p>
        </w:tc>
      </w:tr>
      <w:tr w:rsidR="00126D14" w:rsidRPr="005E1AD8" w:rsidTr="00BF370B">
        <w:tc>
          <w:tcPr>
            <w:tcW w:w="1670" w:type="dxa"/>
            <w:gridSpan w:val="3"/>
            <w:vAlign w:val="center"/>
          </w:tcPr>
          <w:p w:rsidR="00126D14" w:rsidRPr="005E1AD8" w:rsidRDefault="00126D14" w:rsidP="00BF370B">
            <w:pPr>
              <w:spacing w:before="29" w:line="288" w:lineRule="auto"/>
              <w:jc w:val="center"/>
              <w:rPr>
                <w:b/>
                <w:sz w:val="18"/>
                <w:szCs w:val="18"/>
              </w:rPr>
            </w:pPr>
            <w:r w:rsidRPr="005E1AD8">
              <w:rPr>
                <w:b/>
                <w:sz w:val="18"/>
                <w:szCs w:val="18"/>
              </w:rPr>
              <w:t>上年度末</w:t>
            </w:r>
          </w:p>
          <w:p w:rsidR="00126D14" w:rsidRPr="00B25449" w:rsidRDefault="00126D14" w:rsidP="00BF370B">
            <w:pPr>
              <w:spacing w:before="29" w:line="288" w:lineRule="auto"/>
              <w:jc w:val="center"/>
              <w:rPr>
                <w:b/>
                <w:sz w:val="18"/>
                <w:szCs w:val="18"/>
              </w:rPr>
            </w:pPr>
            <w:r w:rsidRPr="005E1AD8">
              <w:rPr>
                <w:b/>
                <w:sz w:val="18"/>
                <w:szCs w:val="18"/>
              </w:rPr>
              <w:t>2016</w:t>
            </w:r>
            <w:r w:rsidRPr="005E1AD8">
              <w:rPr>
                <w:b/>
                <w:sz w:val="18"/>
                <w:szCs w:val="18"/>
              </w:rPr>
              <w:t>年</w:t>
            </w:r>
            <w:r w:rsidRPr="005E1AD8">
              <w:rPr>
                <w:b/>
                <w:sz w:val="18"/>
                <w:szCs w:val="18"/>
              </w:rPr>
              <w:t>12</w:t>
            </w:r>
            <w:r w:rsidRPr="005E1AD8">
              <w:rPr>
                <w:b/>
                <w:sz w:val="18"/>
                <w:szCs w:val="18"/>
              </w:rPr>
              <w:t>月</w:t>
            </w:r>
            <w:r w:rsidRPr="005E1AD8">
              <w:rPr>
                <w:b/>
                <w:sz w:val="18"/>
                <w:szCs w:val="18"/>
              </w:rPr>
              <w:t>31</w:t>
            </w:r>
            <w:r w:rsidRPr="005E1AD8">
              <w:rPr>
                <w:b/>
                <w:sz w:val="18"/>
                <w:szCs w:val="18"/>
              </w:rPr>
              <w:t>日</w:t>
            </w:r>
          </w:p>
        </w:tc>
        <w:tc>
          <w:tcPr>
            <w:tcW w:w="127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1</w:t>
            </w:r>
            <w:r w:rsidRPr="00B25449">
              <w:rPr>
                <w:b/>
                <w:sz w:val="18"/>
                <w:szCs w:val="18"/>
              </w:rPr>
              <w:t>个月以内</w:t>
            </w:r>
          </w:p>
        </w:tc>
        <w:tc>
          <w:tcPr>
            <w:tcW w:w="1105" w:type="dxa"/>
            <w:vAlign w:val="center"/>
          </w:tcPr>
          <w:p w:rsidR="00126D14" w:rsidRPr="00B25449" w:rsidRDefault="00126D14" w:rsidP="00BF370B">
            <w:pPr>
              <w:spacing w:before="29" w:line="288" w:lineRule="auto"/>
              <w:jc w:val="center"/>
              <w:rPr>
                <w:b/>
                <w:sz w:val="18"/>
                <w:szCs w:val="18"/>
              </w:rPr>
            </w:pPr>
            <w:r w:rsidRPr="00B25449">
              <w:rPr>
                <w:b/>
                <w:sz w:val="18"/>
                <w:szCs w:val="18"/>
              </w:rPr>
              <w:t>1-3</w:t>
            </w:r>
            <w:r w:rsidRPr="00B25449">
              <w:rPr>
                <w:b/>
                <w:sz w:val="18"/>
                <w:szCs w:val="18"/>
              </w:rPr>
              <w:t>个月</w:t>
            </w:r>
          </w:p>
        </w:tc>
        <w:tc>
          <w:tcPr>
            <w:tcW w:w="1163"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851" w:type="dxa"/>
            <w:vAlign w:val="center"/>
          </w:tcPr>
          <w:p w:rsidR="00126D14" w:rsidRPr="00B25449" w:rsidRDefault="00126D14" w:rsidP="00BF370B">
            <w:pPr>
              <w:spacing w:before="29" w:line="288" w:lineRule="auto"/>
              <w:jc w:val="center"/>
              <w:rPr>
                <w:b/>
                <w:sz w:val="18"/>
                <w:szCs w:val="18"/>
              </w:rPr>
            </w:pPr>
            <w:r w:rsidRPr="00B25449">
              <w:rPr>
                <w:b/>
                <w:sz w:val="18"/>
                <w:szCs w:val="18"/>
              </w:rPr>
              <w:t>1-5</w:t>
            </w:r>
            <w:r w:rsidRPr="00B25449">
              <w:rPr>
                <w:b/>
                <w:sz w:val="18"/>
                <w:szCs w:val="18"/>
              </w:rPr>
              <w:t>年</w:t>
            </w:r>
          </w:p>
        </w:tc>
        <w:tc>
          <w:tcPr>
            <w:tcW w:w="992" w:type="dxa"/>
            <w:vAlign w:val="center"/>
          </w:tcPr>
          <w:p w:rsidR="00126D14" w:rsidRPr="00B25449" w:rsidRDefault="00126D14" w:rsidP="00BF370B">
            <w:pPr>
              <w:spacing w:before="29" w:line="288" w:lineRule="auto"/>
              <w:jc w:val="center"/>
              <w:rPr>
                <w:b/>
                <w:sz w:val="18"/>
                <w:szCs w:val="18"/>
              </w:rPr>
            </w:pPr>
            <w:r w:rsidRPr="00B25449">
              <w:rPr>
                <w:b/>
                <w:sz w:val="18"/>
                <w:szCs w:val="18"/>
              </w:rPr>
              <w:t>5</w:t>
            </w:r>
            <w:r w:rsidRPr="00B25449">
              <w:rPr>
                <w:b/>
                <w:sz w:val="18"/>
                <w:szCs w:val="18"/>
              </w:rPr>
              <w:t>年以上</w:t>
            </w:r>
          </w:p>
        </w:tc>
        <w:tc>
          <w:tcPr>
            <w:tcW w:w="992" w:type="dxa"/>
            <w:gridSpan w:val="2"/>
            <w:vAlign w:val="center"/>
          </w:tcPr>
          <w:p w:rsidR="00126D14" w:rsidRPr="00B25449" w:rsidRDefault="00126D14" w:rsidP="00BF370B">
            <w:pPr>
              <w:spacing w:before="29" w:line="288" w:lineRule="auto"/>
              <w:jc w:val="center"/>
              <w:rPr>
                <w:b/>
                <w:sz w:val="18"/>
                <w:szCs w:val="18"/>
              </w:rPr>
            </w:pPr>
            <w:r w:rsidRPr="00B25449">
              <w:rPr>
                <w:b/>
                <w:sz w:val="18"/>
                <w:szCs w:val="18"/>
              </w:rPr>
              <w:t>不计息</w:t>
            </w:r>
          </w:p>
        </w:tc>
        <w:tc>
          <w:tcPr>
            <w:tcW w:w="1026" w:type="dxa"/>
            <w:vAlign w:val="center"/>
          </w:tcPr>
          <w:p w:rsidR="00126D14" w:rsidRPr="00B25449" w:rsidRDefault="00126D14" w:rsidP="00BF370B">
            <w:pPr>
              <w:spacing w:before="29" w:line="288" w:lineRule="auto"/>
              <w:jc w:val="center"/>
              <w:rPr>
                <w:b/>
                <w:sz w:val="18"/>
                <w:szCs w:val="18"/>
              </w:rPr>
            </w:pPr>
            <w:r w:rsidRPr="00B25449">
              <w:rPr>
                <w:b/>
                <w:sz w:val="18"/>
                <w:szCs w:val="18"/>
              </w:rPr>
              <w:t>合计</w:t>
            </w:r>
          </w:p>
        </w:tc>
      </w:tr>
      <w:tr w:rsidR="00126D14" w:rsidRPr="005E1AD8"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w:t>
            </w:r>
          </w:p>
        </w:tc>
        <w:tc>
          <w:tcPr>
            <w:tcW w:w="1273" w:type="dxa"/>
            <w:gridSpan w:val="2"/>
            <w:vAlign w:val="center"/>
          </w:tcPr>
          <w:p w:rsidR="00126D14" w:rsidRPr="0077393F" w:rsidRDefault="00126D14" w:rsidP="00BF370B">
            <w:pPr>
              <w:spacing w:before="29" w:line="288" w:lineRule="auto"/>
              <w:rPr>
                <w:sz w:val="18"/>
                <w:szCs w:val="18"/>
              </w:rPr>
            </w:pPr>
          </w:p>
        </w:tc>
        <w:tc>
          <w:tcPr>
            <w:tcW w:w="1105" w:type="dxa"/>
            <w:vAlign w:val="center"/>
          </w:tcPr>
          <w:p w:rsidR="00126D14" w:rsidRPr="005E1AD8" w:rsidRDefault="00126D14" w:rsidP="00BF370B">
            <w:pPr>
              <w:spacing w:before="29" w:line="288" w:lineRule="auto"/>
              <w:rPr>
                <w:sz w:val="18"/>
                <w:szCs w:val="18"/>
              </w:rPr>
            </w:pPr>
          </w:p>
        </w:tc>
        <w:tc>
          <w:tcPr>
            <w:tcW w:w="1163" w:type="dxa"/>
            <w:gridSpan w:val="2"/>
            <w:vAlign w:val="center"/>
          </w:tcPr>
          <w:p w:rsidR="00126D14" w:rsidRPr="005E1AD8" w:rsidRDefault="00126D14" w:rsidP="00BF370B">
            <w:pPr>
              <w:spacing w:before="29" w:line="288" w:lineRule="auto"/>
              <w:rPr>
                <w:sz w:val="18"/>
                <w:szCs w:val="18"/>
              </w:rPr>
            </w:pPr>
          </w:p>
        </w:tc>
        <w:tc>
          <w:tcPr>
            <w:tcW w:w="851" w:type="dxa"/>
            <w:vAlign w:val="center"/>
          </w:tcPr>
          <w:p w:rsidR="00126D14" w:rsidRPr="005E1AD8" w:rsidRDefault="00126D14" w:rsidP="00BF370B">
            <w:pPr>
              <w:spacing w:before="29" w:line="288" w:lineRule="auto"/>
              <w:rPr>
                <w:sz w:val="18"/>
                <w:szCs w:val="18"/>
              </w:rPr>
            </w:pPr>
          </w:p>
        </w:tc>
        <w:tc>
          <w:tcPr>
            <w:tcW w:w="992" w:type="dxa"/>
            <w:vAlign w:val="center"/>
          </w:tcPr>
          <w:p w:rsidR="00126D14" w:rsidRPr="005E1AD8" w:rsidRDefault="00126D14" w:rsidP="00BF370B">
            <w:pPr>
              <w:spacing w:before="29" w:line="288" w:lineRule="auto"/>
              <w:rPr>
                <w:sz w:val="18"/>
                <w:szCs w:val="18"/>
              </w:rPr>
            </w:pPr>
          </w:p>
        </w:tc>
        <w:tc>
          <w:tcPr>
            <w:tcW w:w="992" w:type="dxa"/>
            <w:gridSpan w:val="2"/>
            <w:vAlign w:val="center"/>
          </w:tcPr>
          <w:p w:rsidR="00126D14" w:rsidRPr="005E1AD8" w:rsidRDefault="00126D14" w:rsidP="00BF370B">
            <w:pPr>
              <w:spacing w:before="29" w:line="288" w:lineRule="auto"/>
              <w:rPr>
                <w:sz w:val="18"/>
                <w:szCs w:val="18"/>
              </w:rPr>
            </w:pPr>
          </w:p>
        </w:tc>
        <w:tc>
          <w:tcPr>
            <w:tcW w:w="1026" w:type="dxa"/>
            <w:vAlign w:val="center"/>
          </w:tcPr>
          <w:p w:rsidR="00126D14" w:rsidRPr="005E1AD8" w:rsidRDefault="00126D14" w:rsidP="00BF370B">
            <w:pPr>
              <w:spacing w:before="29" w:line="288" w:lineRule="auto"/>
              <w:rPr>
                <w:sz w:val="18"/>
                <w:szCs w:val="18"/>
              </w:rPr>
            </w:pPr>
          </w:p>
        </w:tc>
      </w:tr>
      <w:tr w:rsidR="00B5600D">
        <w:tc>
          <w:tcPr>
            <w:tcW w:w="1670" w:type="dxa"/>
            <w:gridSpan w:val="3"/>
            <w:vAlign w:val="center"/>
          </w:tcPr>
          <w:p w:rsidR="00B5600D" w:rsidRDefault="00D91A1A">
            <w:pPr>
              <w:jc w:val="left"/>
            </w:pPr>
            <w:r>
              <w:rPr>
                <w:color w:val="000000"/>
                <w:sz w:val="18"/>
                <w:szCs w:val="18"/>
              </w:rPr>
              <w:t>银行存款</w:t>
            </w:r>
          </w:p>
        </w:tc>
        <w:tc>
          <w:tcPr>
            <w:tcW w:w="1273" w:type="dxa"/>
            <w:gridSpan w:val="2"/>
            <w:vAlign w:val="center"/>
          </w:tcPr>
          <w:p w:rsidR="00B5600D" w:rsidRDefault="00D91A1A">
            <w:pPr>
              <w:jc w:val="left"/>
            </w:pPr>
            <w:r>
              <w:rPr>
                <w:color w:val="000000"/>
                <w:sz w:val="18"/>
                <w:szCs w:val="18"/>
              </w:rPr>
              <w:t>14,618,194.76</w:t>
            </w:r>
          </w:p>
        </w:tc>
        <w:tc>
          <w:tcPr>
            <w:tcW w:w="1105" w:type="dxa"/>
            <w:vAlign w:val="center"/>
          </w:tcPr>
          <w:p w:rsidR="00B5600D" w:rsidRDefault="00D91A1A">
            <w:pPr>
              <w:jc w:val="left"/>
            </w:pPr>
            <w:r>
              <w:rPr>
                <w:color w:val="000000"/>
                <w:sz w:val="18"/>
                <w:szCs w:val="18"/>
              </w:rPr>
              <w:t>-</w:t>
            </w:r>
          </w:p>
        </w:tc>
        <w:tc>
          <w:tcPr>
            <w:tcW w:w="1163"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left"/>
            </w:pPr>
            <w:r>
              <w:rPr>
                <w:color w:val="000000"/>
                <w:sz w:val="18"/>
                <w:szCs w:val="18"/>
              </w:rPr>
              <w:t>-</w:t>
            </w:r>
          </w:p>
        </w:tc>
        <w:tc>
          <w:tcPr>
            <w:tcW w:w="1026" w:type="dxa"/>
            <w:vAlign w:val="center"/>
          </w:tcPr>
          <w:p w:rsidR="00B5600D" w:rsidRDefault="00D91A1A">
            <w:pPr>
              <w:jc w:val="left"/>
            </w:pPr>
            <w:r>
              <w:rPr>
                <w:color w:val="000000"/>
                <w:sz w:val="18"/>
                <w:szCs w:val="18"/>
              </w:rPr>
              <w:t>14,618,194.76</w:t>
            </w:r>
          </w:p>
        </w:tc>
      </w:tr>
      <w:tr w:rsidR="00B5600D">
        <w:tc>
          <w:tcPr>
            <w:tcW w:w="1670" w:type="dxa"/>
            <w:gridSpan w:val="3"/>
            <w:vAlign w:val="center"/>
          </w:tcPr>
          <w:p w:rsidR="00B5600D" w:rsidRDefault="00D91A1A">
            <w:pPr>
              <w:jc w:val="left"/>
            </w:pPr>
            <w:r>
              <w:rPr>
                <w:color w:val="000000"/>
                <w:sz w:val="18"/>
                <w:szCs w:val="18"/>
              </w:rPr>
              <w:t>交易性金融资产</w:t>
            </w:r>
          </w:p>
        </w:tc>
        <w:tc>
          <w:tcPr>
            <w:tcW w:w="1273" w:type="dxa"/>
            <w:gridSpan w:val="2"/>
            <w:vAlign w:val="center"/>
          </w:tcPr>
          <w:p w:rsidR="00B5600D" w:rsidRDefault="00D91A1A">
            <w:pPr>
              <w:jc w:val="left"/>
            </w:pPr>
            <w:r>
              <w:rPr>
                <w:color w:val="000000"/>
                <w:sz w:val="18"/>
                <w:szCs w:val="18"/>
              </w:rPr>
              <w:t>52,864,923.58</w:t>
            </w:r>
          </w:p>
        </w:tc>
        <w:tc>
          <w:tcPr>
            <w:tcW w:w="1105" w:type="dxa"/>
            <w:vAlign w:val="center"/>
          </w:tcPr>
          <w:p w:rsidR="00B5600D" w:rsidRDefault="00D91A1A">
            <w:pPr>
              <w:jc w:val="left"/>
            </w:pPr>
            <w:r>
              <w:rPr>
                <w:color w:val="000000"/>
                <w:sz w:val="18"/>
                <w:szCs w:val="18"/>
              </w:rPr>
              <w:t>388,719,746.82</w:t>
            </w:r>
          </w:p>
        </w:tc>
        <w:tc>
          <w:tcPr>
            <w:tcW w:w="1163" w:type="dxa"/>
            <w:gridSpan w:val="2"/>
            <w:vAlign w:val="center"/>
          </w:tcPr>
          <w:p w:rsidR="00B5600D" w:rsidRDefault="00D91A1A">
            <w:pPr>
              <w:jc w:val="left"/>
            </w:pPr>
            <w:r>
              <w:rPr>
                <w:color w:val="000000"/>
                <w:sz w:val="18"/>
                <w:szCs w:val="18"/>
              </w:rPr>
              <w:t>1,553,904,738.03</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left"/>
            </w:pPr>
            <w:r>
              <w:rPr>
                <w:color w:val="000000"/>
                <w:sz w:val="18"/>
                <w:szCs w:val="18"/>
              </w:rPr>
              <w:t>-</w:t>
            </w:r>
          </w:p>
        </w:tc>
        <w:tc>
          <w:tcPr>
            <w:tcW w:w="1026" w:type="dxa"/>
            <w:vAlign w:val="center"/>
          </w:tcPr>
          <w:p w:rsidR="00B5600D" w:rsidRDefault="00D91A1A">
            <w:pPr>
              <w:jc w:val="left"/>
            </w:pPr>
            <w:r>
              <w:rPr>
                <w:color w:val="000000"/>
                <w:sz w:val="18"/>
                <w:szCs w:val="18"/>
              </w:rPr>
              <w:t>1,995,489,408.43</w:t>
            </w:r>
          </w:p>
        </w:tc>
      </w:tr>
      <w:tr w:rsidR="00B5600D">
        <w:tc>
          <w:tcPr>
            <w:tcW w:w="1670" w:type="dxa"/>
            <w:gridSpan w:val="3"/>
            <w:vAlign w:val="center"/>
          </w:tcPr>
          <w:p w:rsidR="00B5600D" w:rsidRDefault="00D91A1A">
            <w:pPr>
              <w:jc w:val="left"/>
            </w:pPr>
            <w:r>
              <w:rPr>
                <w:color w:val="000000"/>
                <w:sz w:val="18"/>
                <w:szCs w:val="18"/>
              </w:rPr>
              <w:t>买入返售金融资产</w:t>
            </w:r>
          </w:p>
        </w:tc>
        <w:tc>
          <w:tcPr>
            <w:tcW w:w="1273" w:type="dxa"/>
            <w:gridSpan w:val="2"/>
            <w:vAlign w:val="center"/>
          </w:tcPr>
          <w:p w:rsidR="00B5600D" w:rsidRDefault="00D91A1A">
            <w:pPr>
              <w:jc w:val="left"/>
            </w:pPr>
            <w:r>
              <w:rPr>
                <w:color w:val="000000"/>
                <w:sz w:val="18"/>
                <w:szCs w:val="18"/>
              </w:rPr>
              <w:t>14,000,000.00</w:t>
            </w:r>
          </w:p>
        </w:tc>
        <w:tc>
          <w:tcPr>
            <w:tcW w:w="1105" w:type="dxa"/>
            <w:vAlign w:val="center"/>
          </w:tcPr>
          <w:p w:rsidR="00B5600D" w:rsidRDefault="00D91A1A">
            <w:pPr>
              <w:jc w:val="left"/>
            </w:pPr>
            <w:r>
              <w:rPr>
                <w:color w:val="000000"/>
                <w:sz w:val="18"/>
                <w:szCs w:val="18"/>
              </w:rPr>
              <w:t>-</w:t>
            </w:r>
          </w:p>
        </w:tc>
        <w:tc>
          <w:tcPr>
            <w:tcW w:w="1163"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left"/>
            </w:pPr>
            <w:r>
              <w:rPr>
                <w:color w:val="000000"/>
                <w:sz w:val="18"/>
                <w:szCs w:val="18"/>
              </w:rPr>
              <w:t>-</w:t>
            </w:r>
          </w:p>
        </w:tc>
        <w:tc>
          <w:tcPr>
            <w:tcW w:w="1026" w:type="dxa"/>
            <w:vAlign w:val="center"/>
          </w:tcPr>
          <w:p w:rsidR="00B5600D" w:rsidRDefault="00D91A1A">
            <w:pPr>
              <w:jc w:val="left"/>
            </w:pPr>
            <w:r>
              <w:rPr>
                <w:color w:val="000000"/>
                <w:sz w:val="18"/>
                <w:szCs w:val="18"/>
              </w:rPr>
              <w:t>14,000,000.00</w:t>
            </w:r>
          </w:p>
        </w:tc>
      </w:tr>
      <w:tr w:rsidR="00B5600D">
        <w:tc>
          <w:tcPr>
            <w:tcW w:w="1670" w:type="dxa"/>
            <w:gridSpan w:val="3"/>
            <w:vAlign w:val="center"/>
          </w:tcPr>
          <w:p w:rsidR="00B5600D" w:rsidRDefault="00D91A1A">
            <w:pPr>
              <w:jc w:val="left"/>
            </w:pPr>
            <w:r>
              <w:rPr>
                <w:color w:val="000000"/>
                <w:sz w:val="18"/>
                <w:szCs w:val="18"/>
              </w:rPr>
              <w:t>应收利息</w:t>
            </w:r>
          </w:p>
        </w:tc>
        <w:tc>
          <w:tcPr>
            <w:tcW w:w="1273" w:type="dxa"/>
            <w:gridSpan w:val="2"/>
            <w:vAlign w:val="center"/>
          </w:tcPr>
          <w:p w:rsidR="00B5600D" w:rsidRDefault="00D91A1A">
            <w:pPr>
              <w:jc w:val="left"/>
            </w:pPr>
            <w:r>
              <w:rPr>
                <w:color w:val="000000"/>
                <w:sz w:val="18"/>
                <w:szCs w:val="18"/>
              </w:rPr>
              <w:t>-</w:t>
            </w:r>
          </w:p>
        </w:tc>
        <w:tc>
          <w:tcPr>
            <w:tcW w:w="1105" w:type="dxa"/>
            <w:vAlign w:val="center"/>
          </w:tcPr>
          <w:p w:rsidR="00B5600D" w:rsidRDefault="00D91A1A">
            <w:pPr>
              <w:jc w:val="left"/>
            </w:pPr>
            <w:r>
              <w:rPr>
                <w:color w:val="000000"/>
                <w:sz w:val="18"/>
                <w:szCs w:val="18"/>
              </w:rPr>
              <w:t>-</w:t>
            </w:r>
          </w:p>
        </w:tc>
        <w:tc>
          <w:tcPr>
            <w:tcW w:w="1163"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left"/>
            </w:pPr>
            <w:r>
              <w:rPr>
                <w:color w:val="000000"/>
                <w:sz w:val="18"/>
                <w:szCs w:val="18"/>
              </w:rPr>
              <w:t>3,032,494.59</w:t>
            </w:r>
          </w:p>
        </w:tc>
        <w:tc>
          <w:tcPr>
            <w:tcW w:w="1026" w:type="dxa"/>
            <w:vAlign w:val="center"/>
          </w:tcPr>
          <w:p w:rsidR="00B5600D" w:rsidRDefault="00D91A1A">
            <w:pPr>
              <w:jc w:val="left"/>
            </w:pPr>
            <w:r>
              <w:rPr>
                <w:color w:val="000000"/>
                <w:sz w:val="18"/>
                <w:szCs w:val="18"/>
              </w:rPr>
              <w:t>3,032,494.59</w:t>
            </w:r>
          </w:p>
        </w:tc>
      </w:tr>
      <w:tr w:rsidR="00B5600D">
        <w:tc>
          <w:tcPr>
            <w:tcW w:w="1670" w:type="dxa"/>
            <w:gridSpan w:val="3"/>
            <w:vAlign w:val="center"/>
          </w:tcPr>
          <w:p w:rsidR="00B5600D" w:rsidRDefault="00D91A1A">
            <w:pPr>
              <w:jc w:val="left"/>
            </w:pPr>
            <w:r>
              <w:rPr>
                <w:color w:val="000000"/>
                <w:sz w:val="18"/>
                <w:szCs w:val="18"/>
              </w:rPr>
              <w:t>应收申购款</w:t>
            </w:r>
          </w:p>
        </w:tc>
        <w:tc>
          <w:tcPr>
            <w:tcW w:w="1273" w:type="dxa"/>
            <w:gridSpan w:val="2"/>
            <w:vAlign w:val="center"/>
          </w:tcPr>
          <w:p w:rsidR="00B5600D" w:rsidRDefault="00D91A1A">
            <w:pPr>
              <w:jc w:val="left"/>
            </w:pPr>
            <w:r>
              <w:rPr>
                <w:color w:val="000000"/>
                <w:sz w:val="18"/>
                <w:szCs w:val="18"/>
              </w:rPr>
              <w:t>-</w:t>
            </w:r>
          </w:p>
        </w:tc>
        <w:tc>
          <w:tcPr>
            <w:tcW w:w="1105" w:type="dxa"/>
            <w:vAlign w:val="center"/>
          </w:tcPr>
          <w:p w:rsidR="00B5600D" w:rsidRDefault="00D91A1A">
            <w:pPr>
              <w:jc w:val="left"/>
            </w:pPr>
            <w:r>
              <w:rPr>
                <w:color w:val="000000"/>
                <w:sz w:val="18"/>
                <w:szCs w:val="18"/>
              </w:rPr>
              <w:t>-</w:t>
            </w:r>
          </w:p>
        </w:tc>
        <w:tc>
          <w:tcPr>
            <w:tcW w:w="1163"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left"/>
            </w:pPr>
            <w:r>
              <w:rPr>
                <w:color w:val="000000"/>
                <w:sz w:val="18"/>
                <w:szCs w:val="18"/>
              </w:rPr>
              <w:t>600.00</w:t>
            </w:r>
          </w:p>
        </w:tc>
        <w:tc>
          <w:tcPr>
            <w:tcW w:w="1026" w:type="dxa"/>
            <w:vAlign w:val="center"/>
          </w:tcPr>
          <w:p w:rsidR="00B5600D" w:rsidRDefault="00D91A1A">
            <w:pPr>
              <w:jc w:val="left"/>
            </w:pPr>
            <w:r>
              <w:rPr>
                <w:color w:val="000000"/>
                <w:sz w:val="18"/>
                <w:szCs w:val="18"/>
              </w:rPr>
              <w:t>600.00</w:t>
            </w:r>
          </w:p>
        </w:tc>
      </w:tr>
      <w:tr w:rsidR="00126D14" w:rsidRPr="0077393F" w:rsidTr="003C4FFC">
        <w:tc>
          <w:tcPr>
            <w:tcW w:w="1670" w:type="dxa"/>
            <w:gridSpan w:val="3"/>
            <w:vAlign w:val="center"/>
          </w:tcPr>
          <w:p w:rsidR="00126D14" w:rsidRPr="0077393F" w:rsidRDefault="00126D14" w:rsidP="003C4FFC">
            <w:pPr>
              <w:spacing w:before="29" w:line="288" w:lineRule="auto"/>
              <w:rPr>
                <w:sz w:val="18"/>
                <w:szCs w:val="18"/>
              </w:rPr>
            </w:pPr>
            <w:r w:rsidRPr="0077393F">
              <w:rPr>
                <w:color w:val="000000"/>
                <w:sz w:val="18"/>
                <w:szCs w:val="18"/>
              </w:rPr>
              <w:t>资产总计</w:t>
            </w:r>
          </w:p>
        </w:tc>
        <w:tc>
          <w:tcPr>
            <w:tcW w:w="127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81,483,118.34</w:t>
            </w:r>
          </w:p>
        </w:tc>
        <w:tc>
          <w:tcPr>
            <w:tcW w:w="1105" w:type="dxa"/>
            <w:vAlign w:val="center"/>
          </w:tcPr>
          <w:p w:rsidR="00126D14" w:rsidRPr="0077393F" w:rsidRDefault="00126D14" w:rsidP="00BF370B">
            <w:pPr>
              <w:spacing w:before="29" w:line="288" w:lineRule="auto"/>
              <w:jc w:val="right"/>
              <w:rPr>
                <w:sz w:val="18"/>
                <w:szCs w:val="18"/>
              </w:rPr>
            </w:pPr>
            <w:r w:rsidRPr="0077393F">
              <w:rPr>
                <w:sz w:val="18"/>
                <w:szCs w:val="18"/>
              </w:rPr>
              <w:t>388,719,746.82</w:t>
            </w:r>
          </w:p>
        </w:tc>
        <w:tc>
          <w:tcPr>
            <w:tcW w:w="1163"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1,553,904,738.03</w:t>
            </w: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center"/>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3,033,094.59</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2,027,140,697.78</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w:t>
            </w:r>
          </w:p>
        </w:tc>
        <w:tc>
          <w:tcPr>
            <w:tcW w:w="1271" w:type="dxa"/>
            <w:gridSpan w:val="2"/>
            <w:vAlign w:val="center"/>
          </w:tcPr>
          <w:p w:rsidR="00126D14" w:rsidRPr="005E1AD8" w:rsidRDefault="00126D14" w:rsidP="00BF370B">
            <w:pPr>
              <w:spacing w:before="29" w:line="288" w:lineRule="auto"/>
              <w:jc w:val="center"/>
              <w:rPr>
                <w:sz w:val="18"/>
                <w:szCs w:val="18"/>
              </w:rPr>
            </w:pPr>
          </w:p>
        </w:tc>
        <w:tc>
          <w:tcPr>
            <w:tcW w:w="1104" w:type="dxa"/>
            <w:vAlign w:val="center"/>
          </w:tcPr>
          <w:p w:rsidR="00126D14" w:rsidRPr="005E1AD8" w:rsidRDefault="00126D14" w:rsidP="00BF370B">
            <w:pPr>
              <w:spacing w:before="29" w:line="288" w:lineRule="auto"/>
              <w:jc w:val="center"/>
              <w:rPr>
                <w:color w:val="000000"/>
                <w:sz w:val="18"/>
                <w:szCs w:val="18"/>
              </w:rPr>
            </w:pPr>
          </w:p>
        </w:tc>
        <w:tc>
          <w:tcPr>
            <w:tcW w:w="1164" w:type="dxa"/>
            <w:gridSpan w:val="2"/>
            <w:vAlign w:val="center"/>
          </w:tcPr>
          <w:p w:rsidR="00126D14" w:rsidRPr="005E1AD8" w:rsidRDefault="00126D14" w:rsidP="00BF370B">
            <w:pPr>
              <w:spacing w:before="29" w:line="288" w:lineRule="auto"/>
              <w:jc w:val="center"/>
              <w:rPr>
                <w:color w:val="000000"/>
                <w:sz w:val="18"/>
                <w:szCs w:val="18"/>
              </w:rPr>
            </w:pPr>
          </w:p>
        </w:tc>
        <w:tc>
          <w:tcPr>
            <w:tcW w:w="851" w:type="dxa"/>
            <w:vAlign w:val="center"/>
          </w:tcPr>
          <w:p w:rsidR="00126D14" w:rsidRPr="005E1AD8" w:rsidRDefault="00126D14" w:rsidP="00BF370B">
            <w:pPr>
              <w:spacing w:before="29" w:line="288" w:lineRule="auto"/>
              <w:jc w:val="center"/>
              <w:rPr>
                <w:sz w:val="18"/>
                <w:szCs w:val="18"/>
              </w:rPr>
            </w:pPr>
          </w:p>
        </w:tc>
        <w:tc>
          <w:tcPr>
            <w:tcW w:w="992" w:type="dxa"/>
            <w:vAlign w:val="center"/>
          </w:tcPr>
          <w:p w:rsidR="00126D14" w:rsidRPr="005E1AD8" w:rsidRDefault="00126D14" w:rsidP="00BF370B">
            <w:pPr>
              <w:spacing w:before="29" w:line="288" w:lineRule="auto"/>
              <w:jc w:val="center"/>
              <w:rPr>
                <w:sz w:val="18"/>
                <w:szCs w:val="18"/>
              </w:rPr>
            </w:pPr>
          </w:p>
        </w:tc>
        <w:tc>
          <w:tcPr>
            <w:tcW w:w="992" w:type="dxa"/>
            <w:gridSpan w:val="2"/>
            <w:vAlign w:val="center"/>
          </w:tcPr>
          <w:p w:rsidR="00126D14" w:rsidRPr="005E1AD8" w:rsidRDefault="00126D14" w:rsidP="00BF370B">
            <w:pPr>
              <w:spacing w:before="29" w:line="288" w:lineRule="auto"/>
              <w:jc w:val="center"/>
              <w:rPr>
                <w:sz w:val="18"/>
                <w:szCs w:val="18"/>
              </w:rPr>
            </w:pPr>
          </w:p>
        </w:tc>
        <w:tc>
          <w:tcPr>
            <w:tcW w:w="1026" w:type="dxa"/>
            <w:vAlign w:val="center"/>
          </w:tcPr>
          <w:p w:rsidR="00126D14" w:rsidRPr="005E1AD8" w:rsidRDefault="00126D14" w:rsidP="00BF370B">
            <w:pPr>
              <w:spacing w:before="29" w:line="288" w:lineRule="auto"/>
              <w:jc w:val="center"/>
              <w:rPr>
                <w:sz w:val="18"/>
                <w:szCs w:val="18"/>
              </w:rPr>
            </w:pPr>
          </w:p>
        </w:tc>
      </w:tr>
      <w:tr w:rsidR="00B5600D">
        <w:tc>
          <w:tcPr>
            <w:tcW w:w="1672" w:type="dxa"/>
            <w:gridSpan w:val="3"/>
            <w:vAlign w:val="center"/>
          </w:tcPr>
          <w:p w:rsidR="00B5600D" w:rsidRDefault="00D91A1A">
            <w:pPr>
              <w:jc w:val="left"/>
            </w:pPr>
            <w:r>
              <w:rPr>
                <w:color w:val="000000"/>
                <w:sz w:val="18"/>
                <w:szCs w:val="18"/>
              </w:rPr>
              <w:t>应付证券清算款</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14,000,000.00</w:t>
            </w:r>
          </w:p>
        </w:tc>
        <w:tc>
          <w:tcPr>
            <w:tcW w:w="1026" w:type="dxa"/>
            <w:vAlign w:val="center"/>
          </w:tcPr>
          <w:p w:rsidR="00B5600D" w:rsidRDefault="00D91A1A">
            <w:pPr>
              <w:jc w:val="left"/>
            </w:pPr>
            <w:r>
              <w:rPr>
                <w:color w:val="000000"/>
                <w:sz w:val="18"/>
                <w:szCs w:val="18"/>
              </w:rPr>
              <w:t>14,000,000.00</w:t>
            </w:r>
          </w:p>
        </w:tc>
      </w:tr>
      <w:tr w:rsidR="00B5600D">
        <w:tc>
          <w:tcPr>
            <w:tcW w:w="1672" w:type="dxa"/>
            <w:gridSpan w:val="3"/>
            <w:vAlign w:val="center"/>
          </w:tcPr>
          <w:p w:rsidR="00B5600D" w:rsidRDefault="00D91A1A">
            <w:pPr>
              <w:jc w:val="left"/>
            </w:pPr>
            <w:r>
              <w:rPr>
                <w:color w:val="000000"/>
                <w:sz w:val="18"/>
                <w:szCs w:val="18"/>
              </w:rPr>
              <w:t>应付管理人报酬</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269,465.50</w:t>
            </w:r>
          </w:p>
        </w:tc>
        <w:tc>
          <w:tcPr>
            <w:tcW w:w="1026" w:type="dxa"/>
            <w:vAlign w:val="center"/>
          </w:tcPr>
          <w:p w:rsidR="00B5600D" w:rsidRDefault="00D91A1A">
            <w:pPr>
              <w:jc w:val="left"/>
            </w:pPr>
            <w:r>
              <w:rPr>
                <w:color w:val="000000"/>
                <w:sz w:val="18"/>
                <w:szCs w:val="18"/>
              </w:rPr>
              <w:t>269,465.50</w:t>
            </w:r>
          </w:p>
        </w:tc>
      </w:tr>
      <w:tr w:rsidR="00B5600D">
        <w:tc>
          <w:tcPr>
            <w:tcW w:w="1672" w:type="dxa"/>
            <w:gridSpan w:val="3"/>
            <w:vAlign w:val="center"/>
          </w:tcPr>
          <w:p w:rsidR="00B5600D" w:rsidRDefault="00D91A1A">
            <w:pPr>
              <w:jc w:val="left"/>
            </w:pPr>
            <w:r>
              <w:rPr>
                <w:color w:val="000000"/>
                <w:sz w:val="18"/>
                <w:szCs w:val="18"/>
              </w:rPr>
              <w:t>应付托管费</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107,786.18</w:t>
            </w:r>
          </w:p>
        </w:tc>
        <w:tc>
          <w:tcPr>
            <w:tcW w:w="1026" w:type="dxa"/>
            <w:vAlign w:val="center"/>
          </w:tcPr>
          <w:p w:rsidR="00B5600D" w:rsidRDefault="00D91A1A">
            <w:pPr>
              <w:jc w:val="left"/>
            </w:pPr>
            <w:r>
              <w:rPr>
                <w:color w:val="000000"/>
                <w:sz w:val="18"/>
                <w:szCs w:val="18"/>
              </w:rPr>
              <w:t>107,786.18</w:t>
            </w:r>
          </w:p>
        </w:tc>
      </w:tr>
      <w:tr w:rsidR="00B5600D">
        <w:tc>
          <w:tcPr>
            <w:tcW w:w="1672" w:type="dxa"/>
            <w:gridSpan w:val="3"/>
            <w:vAlign w:val="center"/>
          </w:tcPr>
          <w:p w:rsidR="00B5600D" w:rsidRDefault="00D91A1A">
            <w:pPr>
              <w:jc w:val="left"/>
            </w:pPr>
            <w:r>
              <w:rPr>
                <w:color w:val="000000"/>
                <w:sz w:val="18"/>
                <w:szCs w:val="18"/>
              </w:rPr>
              <w:t>应付销售服务费</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15,590.37</w:t>
            </w:r>
          </w:p>
        </w:tc>
        <w:tc>
          <w:tcPr>
            <w:tcW w:w="1026" w:type="dxa"/>
            <w:vAlign w:val="center"/>
          </w:tcPr>
          <w:p w:rsidR="00B5600D" w:rsidRDefault="00D91A1A">
            <w:pPr>
              <w:jc w:val="left"/>
            </w:pPr>
            <w:r>
              <w:rPr>
                <w:color w:val="000000"/>
                <w:sz w:val="18"/>
                <w:szCs w:val="18"/>
              </w:rPr>
              <w:t>15,590.37</w:t>
            </w:r>
          </w:p>
        </w:tc>
      </w:tr>
      <w:tr w:rsidR="00B5600D">
        <w:tc>
          <w:tcPr>
            <w:tcW w:w="1672" w:type="dxa"/>
            <w:gridSpan w:val="3"/>
            <w:vAlign w:val="center"/>
          </w:tcPr>
          <w:p w:rsidR="00B5600D" w:rsidRDefault="00D91A1A">
            <w:pPr>
              <w:jc w:val="left"/>
            </w:pPr>
            <w:r>
              <w:rPr>
                <w:color w:val="000000"/>
                <w:sz w:val="18"/>
                <w:szCs w:val="18"/>
              </w:rPr>
              <w:t>应付交易费用</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24,618.00</w:t>
            </w:r>
          </w:p>
        </w:tc>
        <w:tc>
          <w:tcPr>
            <w:tcW w:w="1026" w:type="dxa"/>
            <w:vAlign w:val="center"/>
          </w:tcPr>
          <w:p w:rsidR="00B5600D" w:rsidRDefault="00D91A1A">
            <w:pPr>
              <w:jc w:val="left"/>
            </w:pPr>
            <w:r>
              <w:rPr>
                <w:color w:val="000000"/>
                <w:sz w:val="18"/>
                <w:szCs w:val="18"/>
              </w:rPr>
              <w:t>24,618.00</w:t>
            </w:r>
          </w:p>
        </w:tc>
      </w:tr>
      <w:tr w:rsidR="00B5600D">
        <w:tc>
          <w:tcPr>
            <w:tcW w:w="1672" w:type="dxa"/>
            <w:gridSpan w:val="3"/>
            <w:vAlign w:val="center"/>
          </w:tcPr>
          <w:p w:rsidR="00B5600D" w:rsidRDefault="00D91A1A">
            <w:pPr>
              <w:jc w:val="left"/>
            </w:pPr>
            <w:r>
              <w:rPr>
                <w:color w:val="000000"/>
                <w:sz w:val="18"/>
                <w:szCs w:val="18"/>
              </w:rPr>
              <w:t>应付利润</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3,776,174.37</w:t>
            </w:r>
          </w:p>
        </w:tc>
        <w:tc>
          <w:tcPr>
            <w:tcW w:w="1026" w:type="dxa"/>
            <w:vAlign w:val="center"/>
          </w:tcPr>
          <w:p w:rsidR="00B5600D" w:rsidRDefault="00D91A1A">
            <w:pPr>
              <w:jc w:val="left"/>
            </w:pPr>
            <w:r>
              <w:rPr>
                <w:color w:val="000000"/>
                <w:sz w:val="18"/>
                <w:szCs w:val="18"/>
              </w:rPr>
              <w:t>3,776,174.37</w:t>
            </w:r>
          </w:p>
        </w:tc>
      </w:tr>
      <w:tr w:rsidR="00B5600D">
        <w:tc>
          <w:tcPr>
            <w:tcW w:w="1672" w:type="dxa"/>
            <w:gridSpan w:val="3"/>
            <w:vAlign w:val="center"/>
          </w:tcPr>
          <w:p w:rsidR="00B5600D" w:rsidRDefault="00D91A1A">
            <w:pPr>
              <w:jc w:val="left"/>
            </w:pPr>
            <w:r>
              <w:rPr>
                <w:color w:val="000000"/>
                <w:sz w:val="18"/>
                <w:szCs w:val="18"/>
              </w:rPr>
              <w:t>其他负债</w:t>
            </w:r>
          </w:p>
        </w:tc>
        <w:tc>
          <w:tcPr>
            <w:tcW w:w="1271" w:type="dxa"/>
            <w:gridSpan w:val="2"/>
            <w:vAlign w:val="center"/>
          </w:tcPr>
          <w:p w:rsidR="00B5600D" w:rsidRDefault="00D91A1A">
            <w:pPr>
              <w:jc w:val="left"/>
            </w:pPr>
            <w:r>
              <w:rPr>
                <w:color w:val="000000"/>
                <w:sz w:val="18"/>
                <w:szCs w:val="18"/>
              </w:rPr>
              <w:t>-</w:t>
            </w:r>
          </w:p>
        </w:tc>
        <w:tc>
          <w:tcPr>
            <w:tcW w:w="1104" w:type="dxa"/>
            <w:vAlign w:val="center"/>
          </w:tcPr>
          <w:p w:rsidR="00B5600D" w:rsidRDefault="00D91A1A">
            <w:pPr>
              <w:jc w:val="left"/>
            </w:pPr>
            <w:r>
              <w:rPr>
                <w:color w:val="000000"/>
                <w:sz w:val="18"/>
                <w:szCs w:val="18"/>
              </w:rPr>
              <w:t>-</w:t>
            </w:r>
          </w:p>
        </w:tc>
        <w:tc>
          <w:tcPr>
            <w:tcW w:w="1164" w:type="dxa"/>
            <w:gridSpan w:val="2"/>
            <w:vAlign w:val="center"/>
          </w:tcPr>
          <w:p w:rsidR="00B5600D" w:rsidRDefault="00D91A1A">
            <w:pPr>
              <w:jc w:val="left"/>
            </w:pPr>
            <w:r>
              <w:rPr>
                <w:color w:val="000000"/>
                <w:sz w:val="18"/>
                <w:szCs w:val="18"/>
              </w:rPr>
              <w:t>-</w:t>
            </w:r>
          </w:p>
        </w:tc>
        <w:tc>
          <w:tcPr>
            <w:tcW w:w="851" w:type="dxa"/>
            <w:vAlign w:val="center"/>
          </w:tcPr>
          <w:p w:rsidR="00B5600D" w:rsidRDefault="00D91A1A">
            <w:pPr>
              <w:jc w:val="left"/>
            </w:pPr>
            <w:r>
              <w:rPr>
                <w:color w:val="000000"/>
                <w:sz w:val="18"/>
                <w:szCs w:val="18"/>
              </w:rPr>
              <w:t>-</w:t>
            </w:r>
          </w:p>
        </w:tc>
        <w:tc>
          <w:tcPr>
            <w:tcW w:w="992" w:type="dxa"/>
            <w:vAlign w:val="center"/>
          </w:tcPr>
          <w:p w:rsidR="00B5600D" w:rsidRDefault="00D91A1A">
            <w:pPr>
              <w:jc w:val="left"/>
            </w:pPr>
            <w:r>
              <w:rPr>
                <w:color w:val="000000"/>
                <w:sz w:val="18"/>
                <w:szCs w:val="18"/>
              </w:rPr>
              <w:t>-</w:t>
            </w:r>
          </w:p>
        </w:tc>
        <w:tc>
          <w:tcPr>
            <w:tcW w:w="992" w:type="dxa"/>
            <w:gridSpan w:val="2"/>
            <w:vAlign w:val="center"/>
          </w:tcPr>
          <w:p w:rsidR="00B5600D" w:rsidRDefault="00D91A1A">
            <w:pPr>
              <w:jc w:val="center"/>
            </w:pPr>
            <w:r>
              <w:rPr>
                <w:color w:val="000000"/>
                <w:sz w:val="18"/>
                <w:szCs w:val="18"/>
              </w:rPr>
              <w:t>89,300.00</w:t>
            </w:r>
          </w:p>
        </w:tc>
        <w:tc>
          <w:tcPr>
            <w:tcW w:w="1026" w:type="dxa"/>
            <w:vAlign w:val="center"/>
          </w:tcPr>
          <w:p w:rsidR="00B5600D" w:rsidRDefault="00D91A1A">
            <w:pPr>
              <w:jc w:val="left"/>
            </w:pPr>
            <w:r>
              <w:rPr>
                <w:color w:val="000000"/>
                <w:sz w:val="18"/>
                <w:szCs w:val="18"/>
              </w:rPr>
              <w:t>89,300.00</w:t>
            </w:r>
          </w:p>
        </w:tc>
      </w:tr>
      <w:tr w:rsidR="00126D14" w:rsidRPr="005E1AD8" w:rsidTr="003C4FFC">
        <w:tc>
          <w:tcPr>
            <w:tcW w:w="1672" w:type="dxa"/>
            <w:gridSpan w:val="3"/>
            <w:vAlign w:val="center"/>
          </w:tcPr>
          <w:p w:rsidR="00126D14" w:rsidRPr="00E7293B" w:rsidRDefault="00126D14" w:rsidP="003C4FFC">
            <w:pPr>
              <w:spacing w:before="29" w:line="288" w:lineRule="auto"/>
              <w:rPr>
                <w:sz w:val="18"/>
                <w:szCs w:val="18"/>
              </w:rPr>
            </w:pPr>
            <w:r w:rsidRPr="00E7293B">
              <w:rPr>
                <w:color w:val="000000"/>
                <w:sz w:val="18"/>
                <w:szCs w:val="18"/>
              </w:rPr>
              <w:t>负债总计</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18,282,934.42</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18,282,934.42</w:t>
            </w:r>
          </w:p>
          <w:p w:rsidR="00126D14" w:rsidRPr="0077393F" w:rsidRDefault="00126D14" w:rsidP="00BF370B">
            <w:pPr>
              <w:spacing w:before="29" w:line="288" w:lineRule="auto"/>
              <w:jc w:val="right"/>
              <w:rPr>
                <w:sz w:val="18"/>
                <w:szCs w:val="18"/>
              </w:rPr>
            </w:pPr>
          </w:p>
        </w:tc>
      </w:tr>
      <w:tr w:rsidR="00126D14" w:rsidRPr="005E1AD8" w:rsidTr="003C4FFC">
        <w:tc>
          <w:tcPr>
            <w:tcW w:w="1672" w:type="dxa"/>
            <w:gridSpan w:val="3"/>
            <w:vAlign w:val="center"/>
          </w:tcPr>
          <w:p w:rsidR="00126D14" w:rsidRPr="00E7293B" w:rsidRDefault="00126D14" w:rsidP="003C4FFC">
            <w:pPr>
              <w:spacing w:before="29" w:line="288" w:lineRule="auto"/>
              <w:rPr>
                <w:color w:val="000000"/>
                <w:sz w:val="18"/>
                <w:szCs w:val="18"/>
              </w:rPr>
            </w:pPr>
            <w:r w:rsidRPr="00E7293B">
              <w:rPr>
                <w:color w:val="000000"/>
                <w:sz w:val="18"/>
                <w:szCs w:val="18"/>
              </w:rPr>
              <w:t>利率敏感度缺口</w:t>
            </w:r>
          </w:p>
        </w:tc>
        <w:tc>
          <w:tcPr>
            <w:tcW w:w="1271" w:type="dxa"/>
            <w:gridSpan w:val="2"/>
            <w:vAlign w:val="center"/>
          </w:tcPr>
          <w:p w:rsidR="00126D14" w:rsidRPr="0077393F" w:rsidRDefault="00126D14" w:rsidP="00BF370B">
            <w:pPr>
              <w:spacing w:before="29" w:line="288" w:lineRule="auto"/>
              <w:jc w:val="right"/>
              <w:rPr>
                <w:sz w:val="18"/>
                <w:szCs w:val="18"/>
              </w:rPr>
            </w:pPr>
            <w:r w:rsidRPr="0077393F">
              <w:rPr>
                <w:sz w:val="18"/>
                <w:szCs w:val="18"/>
              </w:rPr>
              <w:t>81,483,118.34</w:t>
            </w:r>
          </w:p>
          <w:p w:rsidR="00126D14" w:rsidRPr="0077393F" w:rsidRDefault="00126D14" w:rsidP="00BF370B">
            <w:pPr>
              <w:spacing w:before="29" w:line="288" w:lineRule="auto"/>
              <w:jc w:val="right"/>
              <w:rPr>
                <w:sz w:val="18"/>
                <w:szCs w:val="18"/>
              </w:rPr>
            </w:pPr>
          </w:p>
        </w:tc>
        <w:tc>
          <w:tcPr>
            <w:tcW w:w="1104" w:type="dxa"/>
            <w:vAlign w:val="center"/>
          </w:tcPr>
          <w:p w:rsidR="00126D14" w:rsidRPr="0077393F" w:rsidRDefault="00126D14" w:rsidP="00BF370B">
            <w:pPr>
              <w:spacing w:before="29" w:line="288" w:lineRule="auto"/>
              <w:jc w:val="right"/>
              <w:rPr>
                <w:sz w:val="18"/>
                <w:szCs w:val="18"/>
              </w:rPr>
            </w:pPr>
            <w:r w:rsidRPr="0077393F">
              <w:rPr>
                <w:sz w:val="18"/>
                <w:szCs w:val="18"/>
              </w:rPr>
              <w:t>388,719,746.82</w:t>
            </w:r>
          </w:p>
          <w:p w:rsidR="00126D14" w:rsidRPr="0077393F" w:rsidRDefault="00126D14" w:rsidP="00BF370B">
            <w:pPr>
              <w:spacing w:before="29" w:line="288" w:lineRule="auto"/>
              <w:jc w:val="right"/>
              <w:rPr>
                <w:sz w:val="18"/>
                <w:szCs w:val="18"/>
              </w:rPr>
            </w:pPr>
          </w:p>
        </w:tc>
        <w:tc>
          <w:tcPr>
            <w:tcW w:w="1164"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1,553,904,738.03</w:t>
            </w:r>
          </w:p>
          <w:p w:rsidR="00126D14" w:rsidRPr="0077393F" w:rsidRDefault="00126D14" w:rsidP="00BF370B">
            <w:pPr>
              <w:spacing w:before="29" w:line="288" w:lineRule="auto"/>
              <w:jc w:val="right"/>
              <w:rPr>
                <w:sz w:val="18"/>
                <w:szCs w:val="18"/>
              </w:rPr>
            </w:pPr>
          </w:p>
        </w:tc>
        <w:tc>
          <w:tcPr>
            <w:tcW w:w="851"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vAlign w:val="center"/>
          </w:tcPr>
          <w:p w:rsidR="00126D14" w:rsidRPr="0077393F" w:rsidRDefault="00126D14" w:rsidP="00BF370B">
            <w:pPr>
              <w:spacing w:before="29" w:line="288" w:lineRule="auto"/>
              <w:jc w:val="right"/>
              <w:rPr>
                <w:sz w:val="18"/>
                <w:szCs w:val="18"/>
              </w:rPr>
            </w:pPr>
            <w:r w:rsidRPr="0077393F">
              <w:rPr>
                <w:sz w:val="18"/>
                <w:szCs w:val="18"/>
              </w:rPr>
              <w:t>-</w:t>
            </w:r>
          </w:p>
          <w:p w:rsidR="00126D14" w:rsidRPr="0077393F" w:rsidRDefault="00126D14" w:rsidP="00BF370B">
            <w:pPr>
              <w:spacing w:before="29" w:line="288" w:lineRule="auto"/>
              <w:jc w:val="right"/>
              <w:rPr>
                <w:sz w:val="18"/>
                <w:szCs w:val="18"/>
              </w:rPr>
            </w:pPr>
          </w:p>
        </w:tc>
        <w:tc>
          <w:tcPr>
            <w:tcW w:w="992" w:type="dxa"/>
            <w:gridSpan w:val="2"/>
            <w:vAlign w:val="center"/>
          </w:tcPr>
          <w:p w:rsidR="00126D14" w:rsidRPr="0077393F" w:rsidRDefault="00126D14" w:rsidP="00BF370B">
            <w:pPr>
              <w:spacing w:before="29" w:line="288" w:lineRule="auto"/>
              <w:jc w:val="right"/>
              <w:rPr>
                <w:sz w:val="18"/>
                <w:szCs w:val="18"/>
              </w:rPr>
            </w:pPr>
            <w:r w:rsidRPr="0077393F">
              <w:rPr>
                <w:sz w:val="18"/>
                <w:szCs w:val="18"/>
              </w:rPr>
              <w:t>-15,249,839.83</w:t>
            </w:r>
          </w:p>
          <w:p w:rsidR="00126D14" w:rsidRPr="0077393F" w:rsidRDefault="00126D14" w:rsidP="00BF370B">
            <w:pPr>
              <w:spacing w:before="29" w:line="288" w:lineRule="auto"/>
              <w:jc w:val="right"/>
              <w:rPr>
                <w:sz w:val="18"/>
                <w:szCs w:val="18"/>
              </w:rPr>
            </w:pPr>
          </w:p>
        </w:tc>
        <w:tc>
          <w:tcPr>
            <w:tcW w:w="1026" w:type="dxa"/>
            <w:vAlign w:val="center"/>
          </w:tcPr>
          <w:p w:rsidR="00126D14" w:rsidRPr="0077393F" w:rsidRDefault="00126D14" w:rsidP="00BF370B">
            <w:pPr>
              <w:spacing w:before="29" w:line="288" w:lineRule="auto"/>
              <w:jc w:val="right"/>
              <w:rPr>
                <w:sz w:val="18"/>
                <w:szCs w:val="18"/>
              </w:rPr>
            </w:pPr>
            <w:r w:rsidRPr="0077393F">
              <w:rPr>
                <w:sz w:val="18"/>
                <w:szCs w:val="18"/>
              </w:rPr>
              <w:t>2,008,857,763.36</w:t>
            </w:r>
          </w:p>
          <w:p w:rsidR="00126D14" w:rsidRPr="0077393F" w:rsidRDefault="00126D14" w:rsidP="00BF370B">
            <w:pPr>
              <w:spacing w:before="29" w:line="288" w:lineRule="auto"/>
              <w:jc w:val="right"/>
              <w:rPr>
                <w:sz w:val="18"/>
                <w:szCs w:val="18"/>
              </w:rPr>
            </w:pPr>
          </w:p>
        </w:tc>
      </w:tr>
    </w:tbl>
    <w:p w:rsidR="00126D14" w:rsidRPr="005E1AD8" w:rsidRDefault="00126D14" w:rsidP="00126D14">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126D14" w:rsidRDefault="00126D14" w:rsidP="003350B0">
      <w:pPr>
        <w:spacing w:before="29" w:line="288" w:lineRule="auto"/>
        <w:rPr>
          <w:b/>
          <w:sz w:val="24"/>
        </w:rPr>
      </w:pPr>
    </w:p>
    <w:p w:rsidR="006D141C" w:rsidRPr="003350B0" w:rsidRDefault="006D141C" w:rsidP="003350B0">
      <w:pPr>
        <w:spacing w:before="29" w:line="288" w:lineRule="auto"/>
        <w:rPr>
          <w:b/>
          <w:sz w:val="24"/>
        </w:rPr>
      </w:pPr>
      <w:r w:rsidRPr="003350B0">
        <w:rPr>
          <w:rFonts w:hint="eastAsia"/>
          <w:b/>
          <w:sz w:val="24"/>
        </w:rPr>
        <w:t>7.4.13.4.1.</w:t>
      </w:r>
      <w:r w:rsidR="000653CB" w:rsidRPr="003350B0">
        <w:rPr>
          <w:rFonts w:hint="eastAsia"/>
          <w:b/>
          <w:sz w:val="24"/>
        </w:rPr>
        <w:t>2</w:t>
      </w:r>
      <w:r w:rsidRPr="003350B0">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B5600D">
        <w:tc>
          <w:tcPr>
            <w:tcW w:w="851" w:type="dxa"/>
            <w:vAlign w:val="center"/>
          </w:tcPr>
          <w:p w:rsidR="00B5600D" w:rsidRDefault="00D91A1A">
            <w:pPr>
              <w:jc w:val="left"/>
            </w:pPr>
            <w:r>
              <w:rPr>
                <w:rFonts w:hint="eastAsia"/>
                <w:sz w:val="24"/>
              </w:rPr>
              <w:t>假设</w:t>
            </w:r>
          </w:p>
        </w:tc>
        <w:tc>
          <w:tcPr>
            <w:tcW w:w="8221" w:type="dxa"/>
            <w:gridSpan w:val="3"/>
            <w:vAlign w:val="center"/>
          </w:tcPr>
          <w:p w:rsidR="00B5600D" w:rsidRDefault="00D91A1A">
            <w:pPr>
              <w:jc w:val="center"/>
            </w:pPr>
            <w:r>
              <w:rPr>
                <w:rFonts w:hint="eastAsia"/>
                <w:sz w:val="24"/>
              </w:rPr>
              <w:t>除市场利率以外的其他市场变量保持不变</w:t>
            </w:r>
          </w:p>
        </w:tc>
      </w:tr>
      <w:tr w:rsidR="002C233F" w:rsidRPr="00D0515B"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D0515B" w:rsidRDefault="009A3662" w:rsidP="004B36C2">
            <w:pPr>
              <w:pStyle w:val="ad"/>
              <w:spacing w:line="360" w:lineRule="auto"/>
              <w:jc w:val="center"/>
              <w:rPr>
                <w:rFonts w:asciiTheme="minorEastAsia" w:eastAsiaTheme="minorEastAsia" w:hAnsiTheme="minorEastAsia"/>
                <w:sz w:val="21"/>
                <w:szCs w:val="21"/>
              </w:rPr>
            </w:pPr>
            <w:r w:rsidRPr="0033391C">
              <w:rPr>
                <w:rFonts w:hint="eastAsia"/>
                <w:bCs/>
                <w:szCs w:val="24"/>
              </w:rPr>
              <w:t>分</w:t>
            </w:r>
            <w:r w:rsidRPr="0083355E">
              <w:rPr>
                <w:rFonts w:hint="eastAsia"/>
                <w:bCs/>
                <w:szCs w:val="24"/>
              </w:rPr>
              <w:t>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EE6404">
            <w:pPr>
              <w:widowControl/>
              <w:autoSpaceDE w:val="0"/>
              <w:autoSpaceDN w:val="0"/>
              <w:spacing w:before="29" w:line="288" w:lineRule="auto"/>
              <w:ind w:right="-15"/>
              <w:jc w:val="center"/>
              <w:textAlignment w:val="bottom"/>
              <w:rPr>
                <w:bCs/>
                <w:sz w:val="24"/>
              </w:rPr>
            </w:pPr>
            <w:r w:rsidRPr="0083355E">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spacing w:before="29" w:line="288" w:lineRule="auto"/>
              <w:jc w:val="center"/>
              <w:rPr>
                <w:bCs/>
                <w:sz w:val="24"/>
              </w:rPr>
            </w:pPr>
            <w:r w:rsidRPr="0083355E">
              <w:rPr>
                <w:rFonts w:hint="eastAsia"/>
                <w:bCs/>
                <w:sz w:val="24"/>
              </w:rPr>
              <w:t>对资产负债表日基金资产净值的</w:t>
            </w:r>
          </w:p>
          <w:p w:rsidR="009A3662" w:rsidRPr="0083355E" w:rsidRDefault="009A3662" w:rsidP="0083355E">
            <w:pPr>
              <w:widowControl/>
              <w:autoSpaceDE w:val="0"/>
              <w:autoSpaceDN w:val="0"/>
              <w:spacing w:before="29" w:line="288" w:lineRule="auto"/>
              <w:ind w:right="-15"/>
              <w:jc w:val="center"/>
              <w:textAlignment w:val="bottom"/>
              <w:rPr>
                <w:bCs/>
                <w:sz w:val="24"/>
              </w:rPr>
            </w:pPr>
            <w:r w:rsidRPr="0083355E">
              <w:rPr>
                <w:rFonts w:hint="eastAsia"/>
                <w:bCs/>
                <w:sz w:val="24"/>
              </w:rPr>
              <w:t>影响金额（单位：人民币万元）</w:t>
            </w:r>
          </w:p>
        </w:tc>
      </w:tr>
      <w:tr w:rsidR="002C233F" w:rsidRPr="00D0515B" w:rsidTr="00171C19">
        <w:tc>
          <w:tcPr>
            <w:tcW w:w="851" w:type="dxa"/>
            <w:vMerge/>
            <w:tcBorders>
              <w:left w:val="single" w:sz="4" w:space="0" w:color="000000"/>
              <w:right w:val="single" w:sz="4" w:space="0" w:color="000000"/>
            </w:tcBorders>
            <w:vAlign w:val="center"/>
            <w:hideMark/>
          </w:tcPr>
          <w:p w:rsidR="009A3662" w:rsidRPr="00D0515B"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83355E"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50" w:firstLine="840"/>
              <w:jc w:val="center"/>
              <w:textAlignment w:val="bottom"/>
              <w:rPr>
                <w:bCs/>
                <w:sz w:val="24"/>
              </w:rPr>
            </w:pPr>
            <w:r w:rsidRPr="0083355E">
              <w:rPr>
                <w:rFonts w:hint="eastAsia"/>
                <w:bCs/>
                <w:sz w:val="24"/>
              </w:rPr>
              <w:t>本期末</w:t>
            </w:r>
          </w:p>
          <w:p w:rsidR="009A3662" w:rsidRPr="0083355E" w:rsidRDefault="009A3662" w:rsidP="0083355E">
            <w:pPr>
              <w:autoSpaceDE w:val="0"/>
              <w:autoSpaceDN w:val="0"/>
              <w:spacing w:before="29" w:line="288" w:lineRule="auto"/>
              <w:ind w:right="-15"/>
              <w:jc w:val="center"/>
              <w:textAlignment w:val="bottom"/>
              <w:rPr>
                <w:bCs/>
                <w:sz w:val="24"/>
              </w:rPr>
            </w:pPr>
            <w:r w:rsidRPr="0083355E">
              <w:rPr>
                <w:rFonts w:hint="eastAsia"/>
                <w:bCs/>
                <w:sz w:val="24"/>
              </w:rPr>
              <w:t>2017</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83355E" w:rsidRDefault="009A3662" w:rsidP="0083355E">
            <w:pPr>
              <w:autoSpaceDE w:val="0"/>
              <w:autoSpaceDN w:val="0"/>
              <w:spacing w:before="29" w:line="288" w:lineRule="auto"/>
              <w:ind w:right="-15" w:firstLineChars="300" w:firstLine="720"/>
              <w:jc w:val="center"/>
              <w:textAlignment w:val="bottom"/>
              <w:rPr>
                <w:bCs/>
                <w:sz w:val="24"/>
              </w:rPr>
            </w:pPr>
            <w:r w:rsidRPr="0083355E">
              <w:rPr>
                <w:rFonts w:hint="eastAsia"/>
                <w:bCs/>
                <w:sz w:val="24"/>
              </w:rPr>
              <w:t>上年度末</w:t>
            </w:r>
          </w:p>
          <w:p w:rsidR="009A3662" w:rsidRPr="0083355E" w:rsidRDefault="006D64C2" w:rsidP="0083355E">
            <w:pPr>
              <w:autoSpaceDE w:val="0"/>
              <w:autoSpaceDN w:val="0"/>
              <w:spacing w:before="29" w:line="288" w:lineRule="auto"/>
              <w:ind w:right="-15"/>
              <w:jc w:val="center"/>
              <w:textAlignment w:val="bottom"/>
              <w:rPr>
                <w:bCs/>
                <w:sz w:val="24"/>
              </w:rPr>
            </w:pPr>
            <w:r w:rsidRPr="0083355E">
              <w:rPr>
                <w:rFonts w:hint="eastAsia"/>
                <w:bCs/>
                <w:sz w:val="24"/>
              </w:rPr>
              <w:t>2016</w:t>
            </w:r>
            <w:r w:rsidRPr="0083355E">
              <w:rPr>
                <w:rFonts w:hint="eastAsia"/>
                <w:bCs/>
                <w:sz w:val="24"/>
              </w:rPr>
              <w:t>年</w:t>
            </w:r>
            <w:r w:rsidRPr="0083355E">
              <w:rPr>
                <w:rFonts w:hint="eastAsia"/>
                <w:bCs/>
                <w:sz w:val="24"/>
              </w:rPr>
              <w:t>12</w:t>
            </w:r>
            <w:r w:rsidRPr="0083355E">
              <w:rPr>
                <w:rFonts w:hint="eastAsia"/>
                <w:bCs/>
                <w:sz w:val="24"/>
              </w:rPr>
              <w:t>月</w:t>
            </w:r>
            <w:r w:rsidRPr="0083355E">
              <w:rPr>
                <w:rFonts w:hint="eastAsia"/>
                <w:bCs/>
                <w:sz w:val="24"/>
              </w:rPr>
              <w:t>31</w:t>
            </w:r>
            <w:r w:rsidRPr="0083355E">
              <w:rPr>
                <w:rFonts w:hint="eastAsia"/>
                <w:bCs/>
                <w:sz w:val="24"/>
              </w:rPr>
              <w:t>日</w:t>
            </w:r>
          </w:p>
        </w:tc>
      </w:tr>
      <w:tr w:rsidR="00B5600D">
        <w:tc>
          <w:tcPr>
            <w:tcW w:w="851" w:type="dxa"/>
            <w:vMerge/>
          </w:tcPr>
          <w:p w:rsidR="00B5600D" w:rsidRDefault="00B5600D"/>
        </w:tc>
        <w:tc>
          <w:tcPr>
            <w:tcW w:w="2693" w:type="dxa"/>
            <w:vAlign w:val="center"/>
          </w:tcPr>
          <w:p w:rsidR="00B5600D" w:rsidRDefault="00D91A1A">
            <w:pPr>
              <w:jc w:val="left"/>
            </w:pPr>
            <w:r>
              <w:rPr>
                <w:rFonts w:hint="eastAsia"/>
                <w:sz w:val="24"/>
              </w:rPr>
              <w:t>市场利率下降</w:t>
            </w:r>
            <w:r>
              <w:rPr>
                <w:rFonts w:hint="eastAsia"/>
                <w:sz w:val="24"/>
              </w:rPr>
              <w:t>25</w:t>
            </w:r>
            <w:r>
              <w:rPr>
                <w:rFonts w:hint="eastAsia"/>
                <w:sz w:val="24"/>
              </w:rPr>
              <w:t>个基点</w:t>
            </w:r>
          </w:p>
        </w:tc>
        <w:tc>
          <w:tcPr>
            <w:tcW w:w="2777" w:type="dxa"/>
            <w:vAlign w:val="center"/>
          </w:tcPr>
          <w:p w:rsidR="00B5600D" w:rsidRDefault="00D91A1A">
            <w:pPr>
              <w:jc w:val="right"/>
            </w:pPr>
            <w:r>
              <w:rPr>
                <w:rFonts w:hint="eastAsia"/>
                <w:sz w:val="24"/>
              </w:rPr>
              <w:t>增加约</w:t>
            </w:r>
            <w:r>
              <w:rPr>
                <w:rFonts w:hint="eastAsia"/>
                <w:sz w:val="24"/>
              </w:rPr>
              <w:t>215</w:t>
            </w:r>
          </w:p>
        </w:tc>
        <w:tc>
          <w:tcPr>
            <w:tcW w:w="2751" w:type="dxa"/>
            <w:vAlign w:val="center"/>
          </w:tcPr>
          <w:p w:rsidR="00B5600D" w:rsidRDefault="00D91A1A">
            <w:pPr>
              <w:jc w:val="right"/>
            </w:pPr>
            <w:r>
              <w:rPr>
                <w:rFonts w:hint="eastAsia"/>
                <w:sz w:val="24"/>
              </w:rPr>
              <w:t>增加约</w:t>
            </w:r>
            <w:r>
              <w:rPr>
                <w:rFonts w:hint="eastAsia"/>
                <w:sz w:val="24"/>
              </w:rPr>
              <w:t>161</w:t>
            </w:r>
          </w:p>
        </w:tc>
      </w:tr>
      <w:tr w:rsidR="00B5600D">
        <w:tc>
          <w:tcPr>
            <w:tcW w:w="851" w:type="dxa"/>
            <w:vMerge/>
          </w:tcPr>
          <w:p w:rsidR="00B5600D" w:rsidRDefault="00B5600D"/>
        </w:tc>
        <w:tc>
          <w:tcPr>
            <w:tcW w:w="2693" w:type="dxa"/>
            <w:vAlign w:val="center"/>
          </w:tcPr>
          <w:p w:rsidR="00B5600D" w:rsidRDefault="00D91A1A">
            <w:pPr>
              <w:jc w:val="left"/>
            </w:pPr>
            <w:r>
              <w:rPr>
                <w:rFonts w:hint="eastAsia"/>
                <w:sz w:val="24"/>
              </w:rPr>
              <w:t>市场利率上升</w:t>
            </w:r>
            <w:r>
              <w:rPr>
                <w:rFonts w:hint="eastAsia"/>
                <w:sz w:val="24"/>
              </w:rPr>
              <w:t>25</w:t>
            </w:r>
            <w:r>
              <w:rPr>
                <w:rFonts w:hint="eastAsia"/>
                <w:sz w:val="24"/>
              </w:rPr>
              <w:t>个基点</w:t>
            </w:r>
          </w:p>
        </w:tc>
        <w:tc>
          <w:tcPr>
            <w:tcW w:w="2777" w:type="dxa"/>
            <w:vAlign w:val="center"/>
          </w:tcPr>
          <w:p w:rsidR="00B5600D" w:rsidRDefault="00D91A1A">
            <w:pPr>
              <w:jc w:val="right"/>
            </w:pPr>
            <w:r>
              <w:rPr>
                <w:rFonts w:hint="eastAsia"/>
                <w:sz w:val="24"/>
              </w:rPr>
              <w:t>减少约</w:t>
            </w:r>
            <w:r>
              <w:rPr>
                <w:rFonts w:hint="eastAsia"/>
                <w:sz w:val="24"/>
              </w:rPr>
              <w:t>215</w:t>
            </w:r>
          </w:p>
        </w:tc>
        <w:tc>
          <w:tcPr>
            <w:tcW w:w="2751" w:type="dxa"/>
            <w:vAlign w:val="center"/>
          </w:tcPr>
          <w:p w:rsidR="00B5600D" w:rsidRDefault="00D91A1A">
            <w:pPr>
              <w:jc w:val="right"/>
            </w:pPr>
            <w:r>
              <w:rPr>
                <w:rFonts w:hint="eastAsia"/>
                <w:sz w:val="24"/>
              </w:rPr>
              <w:t>减少约</w:t>
            </w:r>
            <w:r>
              <w:rPr>
                <w:rFonts w:hint="eastAsia"/>
                <w:sz w:val="24"/>
              </w:rPr>
              <w:t>161</w:t>
            </w:r>
          </w:p>
        </w:tc>
      </w:tr>
    </w:tbl>
    <w:p w:rsidR="006D141C" w:rsidRPr="00D0515B" w:rsidRDefault="009048A5" w:rsidP="004B36C2">
      <w:pPr>
        <w:spacing w:line="360" w:lineRule="auto"/>
        <w:ind w:firstLine="420"/>
        <w:rPr>
          <w:rFonts w:asciiTheme="minorEastAsia" w:eastAsiaTheme="minorEastAsia" w:hAnsiTheme="minorEastAsia"/>
          <w:szCs w:val="21"/>
        </w:rPr>
      </w:pPr>
      <w:r w:rsidRPr="00D0515B">
        <w:rPr>
          <w:rFonts w:asciiTheme="minorEastAsia" w:eastAsiaTheme="minorEastAsia" w:hAnsiTheme="minorEastAsia" w:hint="eastAsia"/>
          <w:szCs w:val="21"/>
        </w:rPr>
        <w:tab/>
      </w:r>
    </w:p>
    <w:p w:rsidR="006D141C" w:rsidRPr="005F1ACB" w:rsidRDefault="006D141C" w:rsidP="005F1ACB">
      <w:pPr>
        <w:spacing w:before="29" w:line="288" w:lineRule="auto"/>
        <w:rPr>
          <w:b/>
          <w:sz w:val="24"/>
        </w:rPr>
      </w:pPr>
      <w:r w:rsidRPr="005F1ACB">
        <w:rPr>
          <w:rFonts w:hint="eastAsia"/>
          <w:b/>
          <w:sz w:val="24"/>
        </w:rPr>
        <w:t>7.4.13.4.</w:t>
      </w:r>
      <w:r w:rsidR="008A28D4" w:rsidRPr="005F1ACB">
        <w:rPr>
          <w:rFonts w:hint="eastAsia"/>
          <w:b/>
          <w:sz w:val="24"/>
        </w:rPr>
        <w:t>2</w:t>
      </w:r>
      <w:r w:rsidRPr="005F1ACB">
        <w:rPr>
          <w:rFonts w:hint="eastAsia"/>
          <w:b/>
          <w:sz w:val="24"/>
        </w:rPr>
        <w:t>外汇风险</w:t>
      </w:r>
    </w:p>
    <w:p w:rsidR="00A53135" w:rsidRDefault="00A53135" w:rsidP="005F1ACB">
      <w:pPr>
        <w:spacing w:before="29" w:line="288" w:lineRule="auto"/>
        <w:ind w:firstLineChars="200" w:firstLine="480"/>
        <w:rPr>
          <w:rFonts w:asciiTheme="minorEastAsia" w:eastAsiaTheme="minorEastAsia" w:hAnsiTheme="minorEastAsia"/>
          <w:szCs w:val="21"/>
        </w:rPr>
      </w:pPr>
      <w:r w:rsidRPr="005F1ACB">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D0515B" w:rsidRDefault="005F1ACB" w:rsidP="00B1591D">
      <w:pPr>
        <w:spacing w:line="360" w:lineRule="auto"/>
        <w:ind w:firstLineChars="200" w:firstLine="420"/>
        <w:rPr>
          <w:rFonts w:asciiTheme="minorEastAsia" w:eastAsiaTheme="minorEastAsia" w:hAnsiTheme="minorEastAsia"/>
          <w:szCs w:val="21"/>
        </w:rPr>
      </w:pPr>
    </w:p>
    <w:p w:rsidR="006D141C" w:rsidRPr="00CB6FB0" w:rsidRDefault="006D141C" w:rsidP="00CB6FB0">
      <w:pPr>
        <w:spacing w:before="29" w:line="288" w:lineRule="auto"/>
        <w:rPr>
          <w:b/>
          <w:sz w:val="24"/>
        </w:rPr>
      </w:pPr>
      <w:r w:rsidRPr="00CB6FB0">
        <w:rPr>
          <w:rFonts w:hint="eastAsia"/>
          <w:b/>
          <w:sz w:val="24"/>
        </w:rPr>
        <w:t>7.4.13.4.</w:t>
      </w:r>
      <w:r w:rsidR="008A28D4" w:rsidRPr="00CB6FB0">
        <w:rPr>
          <w:rFonts w:hint="eastAsia"/>
          <w:b/>
          <w:sz w:val="24"/>
        </w:rPr>
        <w:t>3</w:t>
      </w:r>
      <w:r w:rsidRPr="00CB6FB0">
        <w:rPr>
          <w:rFonts w:hint="eastAsia"/>
          <w:b/>
          <w:sz w:val="24"/>
        </w:rPr>
        <w:t>其他价格风险</w:t>
      </w:r>
    </w:p>
    <w:p w:rsidR="006D141C" w:rsidRPr="00CB6FB0" w:rsidRDefault="006D141C" w:rsidP="00CB6FB0">
      <w:pPr>
        <w:spacing w:before="29" w:line="288" w:lineRule="auto"/>
        <w:ind w:firstLineChars="200" w:firstLine="480"/>
        <w:rPr>
          <w:kern w:val="0"/>
          <w:sz w:val="24"/>
        </w:rPr>
      </w:pPr>
      <w:r w:rsidRPr="00CB6FB0">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D0515B" w:rsidRDefault="006D141C" w:rsidP="00B1591D">
      <w:pPr>
        <w:spacing w:line="360" w:lineRule="auto"/>
        <w:ind w:firstLineChars="200" w:firstLine="422"/>
        <w:rPr>
          <w:rFonts w:asciiTheme="minorEastAsia" w:eastAsiaTheme="minorEastAsia" w:hAnsiTheme="minorEastAsia"/>
          <w:b/>
          <w:bCs/>
          <w:szCs w:val="21"/>
        </w:rPr>
      </w:pPr>
    </w:p>
    <w:p w:rsidR="006D141C" w:rsidRPr="003F0D5A" w:rsidRDefault="006D141C" w:rsidP="003F0D5A">
      <w:pPr>
        <w:adjustRightInd w:val="0"/>
        <w:snapToGrid w:val="0"/>
        <w:spacing w:before="29" w:line="288" w:lineRule="auto"/>
        <w:rPr>
          <w:b/>
          <w:sz w:val="24"/>
        </w:rPr>
      </w:pPr>
      <w:r w:rsidRPr="003F0D5A">
        <w:rPr>
          <w:rFonts w:hint="eastAsia"/>
          <w:b/>
          <w:sz w:val="24"/>
        </w:rPr>
        <w:t>7.4.</w:t>
      </w:r>
      <w:r w:rsidR="008A28D4" w:rsidRPr="003F0D5A">
        <w:rPr>
          <w:rFonts w:hint="eastAsia"/>
          <w:b/>
          <w:sz w:val="24"/>
        </w:rPr>
        <w:t>14</w:t>
      </w:r>
      <w:r w:rsidRPr="003F0D5A">
        <w:rPr>
          <w:rFonts w:hint="eastAsia"/>
          <w:b/>
          <w:sz w:val="24"/>
        </w:rPr>
        <w:t>有助于理解和分析会计报表需要说明的其他事项</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公允价值</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(a) </w:t>
      </w:r>
      <w:r>
        <w:rPr>
          <w:rFonts w:hint="eastAsia"/>
          <w:kern w:val="0"/>
          <w:sz w:val="24"/>
        </w:rPr>
        <w:t>金融工具公允价值计量的方法</w:t>
      </w:r>
    </w:p>
    <w:p w:rsidR="00B5600D" w:rsidRDefault="00D91A1A">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B5600D" w:rsidRDefault="00D91A1A">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B5600D" w:rsidRDefault="00D91A1A">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B5600D" w:rsidRDefault="00D91A1A">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 </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 (b)</w:t>
      </w:r>
      <w:r>
        <w:rPr>
          <w:rFonts w:hint="eastAsia"/>
          <w:kern w:val="0"/>
          <w:sz w:val="24"/>
        </w:rPr>
        <w:tab/>
      </w:r>
      <w:r>
        <w:rPr>
          <w:rFonts w:hint="eastAsia"/>
          <w:kern w:val="0"/>
          <w:sz w:val="24"/>
        </w:rPr>
        <w:t>持续的以公允价值计量的金融工具</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(i) </w:t>
      </w:r>
      <w:r>
        <w:rPr>
          <w:rFonts w:hint="eastAsia"/>
          <w:kern w:val="0"/>
          <w:sz w:val="24"/>
        </w:rPr>
        <w:t>各层次金融工具公允价值</w:t>
      </w:r>
    </w:p>
    <w:p w:rsidR="00B5600D" w:rsidRDefault="00E03D90">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日，本基金持有的以公允价值计量且其变动计入当期损益的金融工具中属于第二层次的余额为</w:t>
      </w:r>
      <w:r w:rsidR="009B739E" w:rsidRPr="009D6BE4">
        <w:rPr>
          <w:kern w:val="0"/>
          <w:sz w:val="24"/>
        </w:rPr>
        <w:t>3,400,828,485.89</w:t>
      </w:r>
      <w:r>
        <w:rPr>
          <w:rFonts w:hint="eastAsia"/>
          <w:kern w:val="0"/>
          <w:sz w:val="24"/>
        </w:rPr>
        <w:t>元，无属于第一层次</w:t>
      </w:r>
      <w:r w:rsidR="009B739E">
        <w:rPr>
          <w:rFonts w:hint="eastAsia"/>
          <w:kern w:val="0"/>
          <w:sz w:val="24"/>
        </w:rPr>
        <w:t>或</w:t>
      </w:r>
      <w:r>
        <w:rPr>
          <w:rFonts w:hint="eastAsia"/>
          <w:kern w:val="0"/>
          <w:sz w:val="24"/>
        </w:rPr>
        <w:t>第三层次的余额</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日：第二层次</w:t>
      </w:r>
      <w:r>
        <w:rPr>
          <w:rFonts w:hint="eastAsia"/>
          <w:kern w:val="0"/>
          <w:sz w:val="24"/>
        </w:rPr>
        <w:t>1,995,489,408.43</w:t>
      </w:r>
      <w:r>
        <w:rPr>
          <w:rFonts w:hint="eastAsia"/>
          <w:kern w:val="0"/>
          <w:sz w:val="24"/>
        </w:rPr>
        <w:t>元，无第一层次及第三层次</w:t>
      </w:r>
      <w:r>
        <w:rPr>
          <w:rFonts w:hint="eastAsia"/>
          <w:kern w:val="0"/>
          <w:sz w:val="24"/>
        </w:rPr>
        <w:t>)</w:t>
      </w:r>
      <w:r>
        <w:rPr>
          <w:rFonts w:hint="eastAsia"/>
          <w:kern w:val="0"/>
          <w:sz w:val="24"/>
        </w:rPr>
        <w:t>。</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(ii) </w:t>
      </w:r>
      <w:r>
        <w:rPr>
          <w:rFonts w:hint="eastAsia"/>
          <w:kern w:val="0"/>
          <w:sz w:val="24"/>
        </w:rPr>
        <w:t>公允价值所属层次间的重大变动</w:t>
      </w:r>
    </w:p>
    <w:p w:rsidR="00B5600D" w:rsidRDefault="00D91A1A">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(iii) </w:t>
      </w:r>
      <w:r>
        <w:rPr>
          <w:rFonts w:hint="eastAsia"/>
          <w:kern w:val="0"/>
          <w:sz w:val="24"/>
        </w:rPr>
        <w:t>第三层次公允价值余额和本期变动金额</w:t>
      </w:r>
    </w:p>
    <w:p w:rsidR="00B5600D" w:rsidRDefault="00D91A1A">
      <w:pPr>
        <w:tabs>
          <w:tab w:val="left" w:pos="426"/>
        </w:tabs>
        <w:spacing w:before="29" w:line="288" w:lineRule="auto"/>
        <w:ind w:firstLineChars="200" w:firstLine="480"/>
        <w:rPr>
          <w:kern w:val="0"/>
          <w:sz w:val="24"/>
        </w:rPr>
      </w:pPr>
      <w:r>
        <w:rPr>
          <w:rFonts w:hint="eastAsia"/>
          <w:kern w:val="0"/>
          <w:sz w:val="24"/>
        </w:rPr>
        <w:t>无。</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(c) </w:t>
      </w:r>
      <w:r>
        <w:rPr>
          <w:rFonts w:hint="eastAsia"/>
          <w:kern w:val="0"/>
          <w:sz w:val="24"/>
        </w:rPr>
        <w:t>非持续的以公允价值计量的金融工具</w:t>
      </w:r>
    </w:p>
    <w:p w:rsidR="00B5600D" w:rsidRDefault="00D91A1A">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w:t>
      </w:r>
      <w:r w:rsidR="00E03D90">
        <w:rPr>
          <w:kern w:val="0"/>
          <w:sz w:val="24"/>
        </w:rPr>
        <w:t>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r>
        <w:rPr>
          <w:rFonts w:hint="eastAsia"/>
          <w:kern w:val="0"/>
          <w:sz w:val="24"/>
        </w:rPr>
        <w:t>(201</w:t>
      </w:r>
      <w:r w:rsidR="00E03D90">
        <w:rPr>
          <w:kern w:val="0"/>
          <w:sz w:val="24"/>
        </w:rPr>
        <w:t>6</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日：同</w:t>
      </w:r>
      <w:r>
        <w:rPr>
          <w:rFonts w:hint="eastAsia"/>
          <w:kern w:val="0"/>
          <w:sz w:val="24"/>
        </w:rPr>
        <w:t>)</w:t>
      </w:r>
      <w:r>
        <w:rPr>
          <w:rFonts w:hint="eastAsia"/>
          <w:kern w:val="0"/>
          <w:sz w:val="24"/>
        </w:rPr>
        <w:t>。</w:t>
      </w:r>
    </w:p>
    <w:p w:rsidR="00B5600D" w:rsidRDefault="00D91A1A">
      <w:pPr>
        <w:tabs>
          <w:tab w:val="left" w:pos="426"/>
        </w:tabs>
        <w:spacing w:before="29" w:line="288" w:lineRule="auto"/>
        <w:ind w:firstLineChars="200" w:firstLine="480"/>
        <w:rPr>
          <w:kern w:val="0"/>
          <w:sz w:val="24"/>
        </w:rPr>
      </w:pPr>
      <w:r>
        <w:rPr>
          <w:rFonts w:hint="eastAsia"/>
          <w:kern w:val="0"/>
          <w:sz w:val="24"/>
        </w:rPr>
        <w:t xml:space="preserve">(d) </w:t>
      </w:r>
      <w:r>
        <w:rPr>
          <w:rFonts w:hint="eastAsia"/>
          <w:kern w:val="0"/>
          <w:sz w:val="24"/>
        </w:rPr>
        <w:t>不以公允价值计量的金融工具</w:t>
      </w:r>
    </w:p>
    <w:p w:rsidR="00B5600D" w:rsidRDefault="00D91A1A">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E03D90" w:rsidRDefault="006D141C" w:rsidP="00E03D90">
      <w:pPr>
        <w:tabs>
          <w:tab w:val="left" w:pos="426"/>
        </w:tabs>
        <w:spacing w:before="29" w:line="288" w:lineRule="auto"/>
        <w:ind w:firstLineChars="200" w:firstLine="480"/>
        <w:rPr>
          <w:kern w:val="0"/>
          <w:sz w:val="24"/>
        </w:rPr>
      </w:pPr>
      <w:r w:rsidRPr="003F0D5A">
        <w:rPr>
          <w:rFonts w:hint="eastAsia"/>
          <w:kern w:val="0"/>
          <w:sz w:val="24"/>
        </w:rPr>
        <w:t xml:space="preserve">(2) </w:t>
      </w:r>
      <w:r w:rsidR="00E03D90">
        <w:rPr>
          <w:rFonts w:hint="eastAsia"/>
          <w:kern w:val="0"/>
          <w:sz w:val="24"/>
        </w:rPr>
        <w:t>增值税</w:t>
      </w:r>
    </w:p>
    <w:p w:rsidR="00E03D90" w:rsidRDefault="00E03D90" w:rsidP="00E03D90">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2016</w:t>
      </w:r>
      <w:r>
        <w:rPr>
          <w:rFonts w:hint="eastAsia"/>
          <w:kern w:val="0"/>
          <w:sz w:val="24"/>
        </w:rPr>
        <w:t>年</w:t>
      </w:r>
      <w:r>
        <w:rPr>
          <w:rFonts w:hint="eastAsia"/>
          <w:kern w:val="0"/>
          <w:sz w:val="24"/>
        </w:rPr>
        <w:t>12</w:t>
      </w:r>
      <w:r>
        <w:rPr>
          <w:rFonts w:hint="eastAsia"/>
          <w:kern w:val="0"/>
          <w:sz w:val="24"/>
        </w:rPr>
        <w:t>月</w:t>
      </w:r>
      <w:r>
        <w:rPr>
          <w:rFonts w:hint="eastAsia"/>
          <w:kern w:val="0"/>
          <w:sz w:val="24"/>
        </w:rPr>
        <w:t>21</w:t>
      </w:r>
      <w:r>
        <w:rPr>
          <w:rFonts w:hint="eastAsia"/>
          <w:kern w:val="0"/>
          <w:sz w:val="24"/>
        </w:rPr>
        <w:t>日颁布的财税</w:t>
      </w:r>
      <w:r>
        <w:rPr>
          <w:rFonts w:hint="eastAsia"/>
          <w:kern w:val="0"/>
          <w:sz w:val="24"/>
        </w:rPr>
        <w:t>[2016]140</w:t>
      </w:r>
      <w:r>
        <w:rPr>
          <w:rFonts w:hint="eastAsia"/>
          <w:kern w:val="0"/>
          <w:sz w:val="24"/>
        </w:rPr>
        <w:t>号《关于明确金融</w:t>
      </w:r>
      <w:r>
        <w:rPr>
          <w:rFonts w:hint="eastAsia"/>
          <w:kern w:val="0"/>
          <w:sz w:val="24"/>
        </w:rPr>
        <w:t xml:space="preserve"> </w:t>
      </w:r>
      <w:r>
        <w:rPr>
          <w:rFonts w:hint="eastAsia"/>
          <w:kern w:val="0"/>
          <w:sz w:val="24"/>
        </w:rPr>
        <w:t>房地产开发</w:t>
      </w:r>
      <w:r>
        <w:rPr>
          <w:rFonts w:hint="eastAsia"/>
          <w:kern w:val="0"/>
          <w:sz w:val="24"/>
        </w:rPr>
        <w:t xml:space="preserve"> </w:t>
      </w:r>
      <w:r>
        <w:rPr>
          <w:rFonts w:hint="eastAsia"/>
          <w:kern w:val="0"/>
          <w:sz w:val="24"/>
        </w:rPr>
        <w:t>教育辅助服务等增值税政策的通知》的规定，资管产品运营过程中发生的增值税应税行为，以资管产品管理人为增值税纳税人。</w:t>
      </w:r>
    </w:p>
    <w:p w:rsidR="00E03D90" w:rsidRDefault="00E03D90" w:rsidP="00E03D90">
      <w:pPr>
        <w:tabs>
          <w:tab w:val="left" w:pos="426"/>
        </w:tabs>
        <w:spacing w:before="29" w:line="288" w:lineRule="auto"/>
        <w:ind w:firstLineChars="200" w:firstLine="480"/>
        <w:rPr>
          <w:kern w:val="0"/>
          <w:sz w:val="24"/>
        </w:rPr>
      </w:pPr>
      <w:r>
        <w:rPr>
          <w:rFonts w:hint="eastAsia"/>
          <w:kern w:val="0"/>
          <w:sz w:val="24"/>
        </w:rPr>
        <w:t>根据财政部、国家税务总局于</w:t>
      </w:r>
      <w:r>
        <w:rPr>
          <w:rFonts w:hint="eastAsia"/>
          <w:kern w:val="0"/>
          <w:sz w:val="24"/>
        </w:rPr>
        <w:t>2017</w:t>
      </w:r>
      <w:r>
        <w:rPr>
          <w:rFonts w:hint="eastAsia"/>
          <w:kern w:val="0"/>
          <w:sz w:val="24"/>
        </w:rPr>
        <w:t>年</w:t>
      </w:r>
      <w:r>
        <w:rPr>
          <w:rFonts w:hint="eastAsia"/>
          <w:kern w:val="0"/>
          <w:sz w:val="24"/>
        </w:rPr>
        <w:t>6</w:t>
      </w:r>
      <w:r>
        <w:rPr>
          <w:rFonts w:hint="eastAsia"/>
          <w:kern w:val="0"/>
          <w:sz w:val="24"/>
        </w:rPr>
        <w:t>月</w:t>
      </w:r>
      <w:r>
        <w:rPr>
          <w:rFonts w:hint="eastAsia"/>
          <w:kern w:val="0"/>
          <w:sz w:val="24"/>
        </w:rPr>
        <w:t>30</w:t>
      </w:r>
      <w:r>
        <w:rPr>
          <w:rFonts w:hint="eastAsia"/>
          <w:kern w:val="0"/>
          <w:sz w:val="24"/>
        </w:rPr>
        <w:t>日颁布的财税</w:t>
      </w:r>
      <w:r>
        <w:rPr>
          <w:rFonts w:hint="eastAsia"/>
          <w:kern w:val="0"/>
          <w:sz w:val="24"/>
        </w:rPr>
        <w:t>[2017]56</w:t>
      </w:r>
      <w:r>
        <w:rPr>
          <w:rFonts w:hint="eastAsia"/>
          <w:kern w:val="0"/>
          <w:sz w:val="24"/>
        </w:rPr>
        <w:t>号《关于资管产品增值税有关问题的通知》的规定，资管产品管理人运营资管产品过程中发生的增值税应税行为，暂适用简易计税方法，按照</w:t>
      </w:r>
      <w:r>
        <w:rPr>
          <w:rFonts w:hint="eastAsia"/>
          <w:kern w:val="0"/>
          <w:sz w:val="24"/>
        </w:rPr>
        <w:t>3%</w:t>
      </w:r>
      <w:r>
        <w:rPr>
          <w:rFonts w:hint="eastAsia"/>
          <w:kern w:val="0"/>
          <w:sz w:val="24"/>
        </w:rPr>
        <w:t>的征收率缴纳增值税。对资管产品在</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日前运营过程中发生的增值税应税行为，未缴纳增值税的，不再缴纳；已缴纳增值税的，已纳税额从资管产品管理人以后月份的增值税应纳税额中抵减。</w:t>
      </w:r>
    </w:p>
    <w:p w:rsidR="00E03D90" w:rsidRDefault="00E03D90" w:rsidP="00E03D90">
      <w:pPr>
        <w:tabs>
          <w:tab w:val="left" w:pos="426"/>
        </w:tabs>
        <w:spacing w:before="29" w:line="288" w:lineRule="auto"/>
        <w:ind w:firstLineChars="200" w:firstLine="480"/>
        <w:rPr>
          <w:kern w:val="0"/>
          <w:sz w:val="24"/>
        </w:rPr>
      </w:pPr>
      <w:r>
        <w:rPr>
          <w:rFonts w:hint="eastAsia"/>
          <w:kern w:val="0"/>
          <w:sz w:val="24"/>
        </w:rPr>
        <w:t>此外，财政部、国家税务总局于</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25</w:t>
      </w:r>
      <w:r>
        <w:rPr>
          <w:rFonts w:hint="eastAsia"/>
          <w:kern w:val="0"/>
          <w:sz w:val="24"/>
        </w:rPr>
        <w:t>日颁布的财税</w:t>
      </w:r>
      <w:r>
        <w:rPr>
          <w:rFonts w:hint="eastAsia"/>
          <w:kern w:val="0"/>
          <w:sz w:val="24"/>
        </w:rPr>
        <w:t>[2017]90</w:t>
      </w:r>
      <w:r>
        <w:rPr>
          <w:rFonts w:hint="eastAsia"/>
          <w:kern w:val="0"/>
          <w:sz w:val="24"/>
        </w:rPr>
        <w:t>号《关于租入固定资产进行税额抵扣等增值税政策的通知》对资管产品管理人自</w:t>
      </w:r>
      <w:r>
        <w:rPr>
          <w:rFonts w:hint="eastAsia"/>
          <w:kern w:val="0"/>
          <w:sz w:val="24"/>
        </w:rPr>
        <w:t>2018</w:t>
      </w:r>
      <w:r>
        <w:rPr>
          <w:rFonts w:hint="eastAsia"/>
          <w:kern w:val="0"/>
          <w:sz w:val="24"/>
        </w:rPr>
        <w:t>年</w:t>
      </w:r>
      <w:r>
        <w:rPr>
          <w:rFonts w:hint="eastAsia"/>
          <w:kern w:val="0"/>
          <w:sz w:val="24"/>
        </w:rPr>
        <w:t>1</w:t>
      </w:r>
      <w:r>
        <w:rPr>
          <w:rFonts w:hint="eastAsia"/>
          <w:kern w:val="0"/>
          <w:sz w:val="24"/>
        </w:rPr>
        <w:t>月</w:t>
      </w:r>
      <w:r>
        <w:rPr>
          <w:rFonts w:hint="eastAsia"/>
          <w:kern w:val="0"/>
          <w:sz w:val="24"/>
        </w:rPr>
        <w:t>1</w:t>
      </w:r>
      <w:r>
        <w:rPr>
          <w:rFonts w:hint="eastAsia"/>
          <w:kern w:val="0"/>
          <w:sz w:val="24"/>
        </w:rPr>
        <w:t>日起运营资管产品提供的贷款服务、发生的部分金融商品转让业务的销售额确定做出规定。</w:t>
      </w:r>
    </w:p>
    <w:p w:rsidR="00E03D90" w:rsidRDefault="00E03D90" w:rsidP="00E03D90">
      <w:pPr>
        <w:tabs>
          <w:tab w:val="left" w:pos="426"/>
        </w:tabs>
        <w:spacing w:before="29" w:line="288" w:lineRule="auto"/>
        <w:ind w:firstLineChars="200" w:firstLine="480"/>
        <w:rPr>
          <w:kern w:val="0"/>
          <w:sz w:val="24"/>
        </w:rPr>
      </w:pPr>
      <w:r>
        <w:rPr>
          <w:rFonts w:hint="eastAsia"/>
          <w:kern w:val="0"/>
          <w:sz w:val="24"/>
        </w:rPr>
        <w:t>上述税收政策对本基金截至</w:t>
      </w:r>
      <w:r>
        <w:rPr>
          <w:rFonts w:hint="eastAsia"/>
          <w:kern w:val="0"/>
          <w:sz w:val="24"/>
        </w:rPr>
        <w:t>2017</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日止的财务状况和经营成果无影响。</w:t>
      </w:r>
    </w:p>
    <w:p w:rsidR="006D141C" w:rsidRDefault="00E03D90" w:rsidP="00E03D90">
      <w:pPr>
        <w:tabs>
          <w:tab w:val="left" w:pos="426"/>
        </w:tabs>
        <w:spacing w:before="29" w:line="288" w:lineRule="auto"/>
        <w:ind w:firstLineChars="200" w:firstLine="480"/>
        <w:rPr>
          <w:kern w:val="0"/>
          <w:sz w:val="24"/>
        </w:rPr>
      </w:pPr>
      <w:r w:rsidRPr="003F0D5A">
        <w:rPr>
          <w:rFonts w:hint="eastAsia"/>
          <w:kern w:val="0"/>
          <w:sz w:val="24"/>
        </w:rPr>
        <w:t>(3)</w:t>
      </w:r>
      <w:r w:rsidRPr="003F0D5A">
        <w:rPr>
          <w:rFonts w:hint="eastAsia"/>
          <w:kern w:val="0"/>
          <w:sz w:val="24"/>
        </w:rPr>
        <w:t>除公允价值和增值税外，截至资产负债表日本基金无需要说明的其他重要事项。</w:t>
      </w:r>
    </w:p>
    <w:p w:rsidR="003F0D5A" w:rsidRPr="003F0D5A" w:rsidRDefault="003F0D5A" w:rsidP="003F0D5A">
      <w:pPr>
        <w:tabs>
          <w:tab w:val="left" w:pos="426"/>
        </w:tabs>
        <w:spacing w:before="29" w:line="288" w:lineRule="auto"/>
        <w:ind w:firstLineChars="200" w:firstLine="480"/>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43" w:name="_Toc331410101"/>
      <w:bookmarkStart w:id="44" w:name="_Toc225498272"/>
      <w:bookmarkStart w:id="45" w:name="_Toc509761005"/>
      <w:r w:rsidRPr="00241227">
        <w:rPr>
          <w:rFonts w:hint="eastAsia"/>
          <w:b/>
          <w:bCs/>
          <w:szCs w:val="24"/>
          <w:lang w:val="en-US"/>
        </w:rPr>
        <w:t>§</w:t>
      </w:r>
      <w:r w:rsidR="008F51AA" w:rsidRPr="00241227">
        <w:rPr>
          <w:rFonts w:hint="eastAsia"/>
          <w:b/>
          <w:bCs/>
          <w:szCs w:val="24"/>
          <w:lang w:val="en-US"/>
        </w:rPr>
        <w:t>8</w:t>
      </w:r>
      <w:r w:rsidR="00250A79" w:rsidRPr="00241227">
        <w:rPr>
          <w:rFonts w:hint="eastAsia"/>
          <w:b/>
          <w:bCs/>
          <w:szCs w:val="24"/>
          <w:lang w:val="en-US"/>
        </w:rPr>
        <w:t xml:space="preserve">  </w:t>
      </w:r>
      <w:r w:rsidRPr="00241227">
        <w:rPr>
          <w:rFonts w:hint="eastAsia"/>
          <w:b/>
          <w:bCs/>
          <w:szCs w:val="24"/>
          <w:lang w:val="en-US"/>
        </w:rPr>
        <w:t>投资组合报告</w:t>
      </w:r>
      <w:bookmarkEnd w:id="43"/>
      <w:bookmarkEnd w:id="44"/>
      <w:bookmarkEnd w:id="45"/>
    </w:p>
    <w:p w:rsidR="006D141C" w:rsidRPr="00D0515B"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6" w:name="_Toc331410102"/>
      <w:bookmarkStart w:id="47" w:name="_Toc225498273"/>
      <w:bookmarkStart w:id="48" w:name="_Toc509761006"/>
      <w:r w:rsidRPr="00241227">
        <w:rPr>
          <w:rFonts w:ascii="Times New Roman" w:hAnsi="Times New Roman" w:cs="Times New Roman" w:hint="eastAsia"/>
          <w:szCs w:val="24"/>
        </w:rPr>
        <w:t>8.1</w:t>
      </w:r>
      <w:r w:rsidRPr="00241227">
        <w:rPr>
          <w:rFonts w:ascii="Times New Roman" w:hAnsi="Times New Roman" w:cs="Times New Roman" w:hint="eastAsia"/>
          <w:szCs w:val="24"/>
        </w:rPr>
        <w:t>期末基金资产组合情况</w:t>
      </w:r>
      <w:bookmarkEnd w:id="46"/>
      <w:bookmarkEnd w:id="47"/>
      <w:bookmarkEnd w:id="48"/>
    </w:p>
    <w:p w:rsidR="006D141C" w:rsidRPr="00241227" w:rsidRDefault="00644AB5" w:rsidP="00241227">
      <w:pPr>
        <w:autoSpaceDE w:val="0"/>
        <w:autoSpaceDN w:val="0"/>
        <w:adjustRightInd w:val="0"/>
        <w:spacing w:before="29" w:line="288" w:lineRule="auto"/>
        <w:ind w:left="15"/>
        <w:jc w:val="right"/>
        <w:rPr>
          <w:sz w:val="24"/>
        </w:rPr>
      </w:pPr>
      <w:r w:rsidRPr="00241227">
        <w:rPr>
          <w:rFonts w:hint="eastAsia"/>
          <w:sz w:val="24"/>
        </w:rPr>
        <w:t>金额单位</w:t>
      </w:r>
      <w:r w:rsidR="006D141C" w:rsidRPr="00241227">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2C233F" w:rsidRPr="00D0515B"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占基金总资产的比例（</w:t>
            </w:r>
            <w:r w:rsidRPr="0022722F">
              <w:rPr>
                <w:rFonts w:hint="eastAsia"/>
                <w:sz w:val="24"/>
              </w:rPr>
              <w:t>%</w:t>
            </w:r>
            <w:r w:rsidRPr="0022722F">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146CD7" w:rsidP="0022722F">
            <w:pPr>
              <w:spacing w:before="29" w:line="288" w:lineRule="auto"/>
              <w:jc w:val="center"/>
              <w:rPr>
                <w:sz w:val="24"/>
              </w:rPr>
            </w:pPr>
            <w:r w:rsidRPr="0022722F">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8039DA" w:rsidP="0022722F">
            <w:pPr>
              <w:spacing w:before="29" w:line="288" w:lineRule="auto"/>
              <w:ind w:leftChars="50" w:left="105"/>
              <w:rPr>
                <w:sz w:val="24"/>
              </w:rPr>
            </w:pPr>
            <w:r w:rsidRPr="0022722F">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3,400,828,485.89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59.82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991A56" w:rsidP="0022722F">
            <w:pPr>
              <w:spacing w:before="29" w:line="288" w:lineRule="auto"/>
              <w:ind w:leftChars="50" w:left="105"/>
              <w:rPr>
                <w:sz w:val="24"/>
              </w:rPr>
            </w:pPr>
            <w:r w:rsidRPr="0022722F">
              <w:rPr>
                <w:rFonts w:hint="eastAsia"/>
                <w:sz w:val="24"/>
              </w:rPr>
              <w:t>其中：</w:t>
            </w:r>
            <w:r w:rsidRPr="0022722F">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3,400,828,485.89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59.82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22722F" w:rsidRDefault="00460672" w:rsidP="0022722F">
            <w:pPr>
              <w:spacing w:before="29" w:line="288" w:lineRule="auto"/>
              <w:ind w:leftChars="50" w:left="105"/>
              <w:rPr>
                <w:sz w:val="24"/>
              </w:rPr>
            </w:pPr>
            <w:r w:rsidRPr="0022722F">
              <w:rPr>
                <w:rFonts w:hint="eastAsia"/>
                <w:sz w:val="24"/>
              </w:rPr>
              <w:t xml:space="preserve">      </w:t>
            </w:r>
            <w:r w:rsidR="002B3873">
              <w:rPr>
                <w:rFonts w:hint="eastAsia"/>
                <w:sz w:val="24"/>
              </w:rPr>
              <w:t xml:space="preserve"> </w:t>
            </w:r>
            <w:r w:rsidRPr="0022722F">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FC7D17" w:rsidRDefault="00460672"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460672" w:rsidP="0022722F">
            <w:pPr>
              <w:spacing w:before="29" w:line="288" w:lineRule="auto"/>
              <w:jc w:val="center"/>
              <w:rPr>
                <w:sz w:val="24"/>
              </w:rPr>
            </w:pPr>
            <w:r w:rsidRPr="0022722F">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460672" w:rsidP="0022722F">
            <w:pPr>
              <w:spacing w:before="29" w:line="288" w:lineRule="auto"/>
              <w:ind w:leftChars="50" w:left="105"/>
              <w:rPr>
                <w:sz w:val="24"/>
              </w:rPr>
            </w:pPr>
            <w:r w:rsidRPr="0022722F">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22722F"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DB354F" w:rsidP="0022722F">
            <w:pPr>
              <w:spacing w:before="29" w:line="288" w:lineRule="auto"/>
              <w:ind w:leftChars="50" w:left="105"/>
              <w:rPr>
                <w:sz w:val="24"/>
              </w:rPr>
            </w:pPr>
            <w:r w:rsidRPr="0022722F">
              <w:rPr>
                <w:sz w:val="24"/>
              </w:rPr>
              <w:t>其中：买断式回购的买入返售</w:t>
            </w:r>
            <w:r w:rsidRPr="0022722F">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AF5FD2" w:rsidP="0022722F">
            <w:pPr>
              <w:spacing w:before="29" w:line="288" w:lineRule="auto"/>
              <w:ind w:leftChars="50" w:left="105"/>
              <w:rPr>
                <w:sz w:val="24"/>
              </w:rPr>
            </w:pPr>
            <w:r w:rsidRPr="0022722F">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2,265,719,176.14</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39.85</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18,408,586.03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0.32</w:t>
            </w:r>
          </w:p>
        </w:tc>
      </w:tr>
      <w:tr w:rsidR="002C233F" w:rsidRPr="00D0515B"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before="29" w:line="288" w:lineRule="auto"/>
              <w:jc w:val="center"/>
              <w:rPr>
                <w:sz w:val="24"/>
              </w:rPr>
            </w:pPr>
            <w:r w:rsidRPr="0022722F">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22722F" w:rsidRDefault="006D141C" w:rsidP="0022722F">
            <w:pPr>
              <w:spacing w:line="288" w:lineRule="auto"/>
              <w:ind w:leftChars="50" w:left="105"/>
              <w:rPr>
                <w:sz w:val="24"/>
              </w:rPr>
            </w:pPr>
            <w:r w:rsidRPr="0022722F">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5,684,956,248.06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FC7D17" w:rsidRDefault="006D141C" w:rsidP="00FC7D17">
            <w:pPr>
              <w:spacing w:before="29" w:line="288" w:lineRule="auto"/>
              <w:ind w:left="17"/>
              <w:jc w:val="right"/>
              <w:rPr>
                <w:sz w:val="24"/>
              </w:rPr>
            </w:pPr>
            <w:r w:rsidRPr="00FC7D17">
              <w:rPr>
                <w:rFonts w:hint="eastAsia"/>
                <w:sz w:val="24"/>
              </w:rPr>
              <w:t>100.00</w:t>
            </w:r>
          </w:p>
        </w:tc>
      </w:tr>
    </w:tbl>
    <w:p w:rsidR="004B171B" w:rsidRPr="00D0515B" w:rsidRDefault="004B171B" w:rsidP="00B1591D">
      <w:pPr>
        <w:spacing w:line="360" w:lineRule="auto"/>
        <w:rPr>
          <w:rFonts w:asciiTheme="minorEastAsia" w:eastAsiaTheme="minorEastAsia" w:hAnsiTheme="minorEastAsia"/>
          <w:szCs w:val="21"/>
        </w:rPr>
      </w:pPr>
    </w:p>
    <w:p w:rsidR="006D141C" w:rsidRDefault="006D141C" w:rsidP="002F6F51">
      <w:pPr>
        <w:pStyle w:val="20"/>
        <w:spacing w:before="29" w:after="0" w:line="288" w:lineRule="auto"/>
        <w:rPr>
          <w:rFonts w:ascii="Times New Roman" w:hAnsi="Times New Roman" w:cs="Times New Roman"/>
          <w:szCs w:val="24"/>
        </w:rPr>
      </w:pPr>
      <w:bookmarkStart w:id="49" w:name="_Toc331410103"/>
      <w:bookmarkStart w:id="50" w:name="_Toc225498274"/>
      <w:bookmarkStart w:id="51" w:name="_Toc509761007"/>
      <w:r w:rsidRPr="002F6F51">
        <w:rPr>
          <w:rFonts w:ascii="Times New Roman" w:hAnsi="Times New Roman" w:cs="Times New Roman" w:hint="eastAsia"/>
          <w:szCs w:val="24"/>
        </w:rPr>
        <w:t>8.2</w:t>
      </w:r>
      <w:bookmarkEnd w:id="49"/>
      <w:bookmarkEnd w:id="50"/>
      <w:r w:rsidR="00AF5FD2" w:rsidRPr="002F6F51">
        <w:rPr>
          <w:rFonts w:ascii="Times New Roman" w:hAnsi="Times New Roman" w:cs="Times New Roman"/>
          <w:szCs w:val="24"/>
        </w:rPr>
        <w:t>债券回购融资情况</w:t>
      </w:r>
      <w:bookmarkEnd w:id="51"/>
    </w:p>
    <w:p w:rsidR="002F6F51" w:rsidRPr="002F6F51" w:rsidRDefault="002F6F51" w:rsidP="002F6F51">
      <w:pPr>
        <w:autoSpaceDE w:val="0"/>
        <w:autoSpaceDN w:val="0"/>
        <w:adjustRightInd w:val="0"/>
        <w:spacing w:before="29" w:line="288" w:lineRule="auto"/>
        <w:ind w:left="15"/>
        <w:jc w:val="right"/>
      </w:pPr>
      <w:r w:rsidRPr="005E1AD8">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2C233F" w:rsidRPr="00D0515B" w:rsidTr="004B171B">
        <w:trPr>
          <w:trHeight w:val="390"/>
          <w:jc w:val="center"/>
        </w:trPr>
        <w:tc>
          <w:tcPr>
            <w:tcW w:w="712" w:type="dxa"/>
            <w:vAlign w:val="center"/>
          </w:tcPr>
          <w:p w:rsidR="00A27C85" w:rsidRPr="00652313" w:rsidRDefault="00A27C85" w:rsidP="00652313">
            <w:pPr>
              <w:spacing w:before="29" w:line="288" w:lineRule="auto"/>
              <w:jc w:val="center"/>
              <w:rPr>
                <w:kern w:val="0"/>
                <w:sz w:val="24"/>
              </w:rPr>
            </w:pPr>
            <w:r w:rsidRPr="00652313">
              <w:rPr>
                <w:kern w:val="0"/>
                <w:sz w:val="24"/>
              </w:rPr>
              <w:t>序号</w:t>
            </w:r>
          </w:p>
        </w:tc>
        <w:tc>
          <w:tcPr>
            <w:tcW w:w="3116" w:type="dxa"/>
            <w:tcMar>
              <w:top w:w="15" w:type="dxa"/>
              <w:left w:w="15" w:type="dxa"/>
              <w:bottom w:w="0" w:type="dxa"/>
              <w:right w:w="15" w:type="dxa"/>
            </w:tcMar>
            <w:vAlign w:val="center"/>
          </w:tcPr>
          <w:p w:rsidR="00A27C85" w:rsidRPr="00652313" w:rsidRDefault="00A27C85" w:rsidP="00652313">
            <w:pPr>
              <w:spacing w:before="29" w:line="288" w:lineRule="auto"/>
              <w:jc w:val="center"/>
              <w:rPr>
                <w:kern w:val="0"/>
                <w:sz w:val="24"/>
              </w:rPr>
            </w:pPr>
            <w:r w:rsidRPr="00652313">
              <w:rPr>
                <w:kern w:val="0"/>
                <w:sz w:val="24"/>
              </w:rPr>
              <w:t>项目</w:t>
            </w:r>
          </w:p>
        </w:tc>
        <w:tc>
          <w:tcPr>
            <w:tcW w:w="5532" w:type="dxa"/>
            <w:gridSpan w:val="3"/>
            <w:vAlign w:val="center"/>
          </w:tcPr>
          <w:p w:rsidR="00A27C85" w:rsidRPr="00652313" w:rsidRDefault="00A27C85" w:rsidP="00652313">
            <w:pPr>
              <w:spacing w:before="29" w:line="288" w:lineRule="auto"/>
              <w:jc w:val="center"/>
              <w:rPr>
                <w:kern w:val="0"/>
                <w:sz w:val="24"/>
              </w:rPr>
            </w:pPr>
            <w:r w:rsidRPr="00652313">
              <w:rPr>
                <w:kern w:val="0"/>
                <w:sz w:val="24"/>
              </w:rPr>
              <w:t>占基金资产净值比例（％）</w:t>
            </w:r>
          </w:p>
        </w:tc>
      </w:tr>
      <w:tr w:rsidR="005E4B48" w:rsidRPr="00D0515B" w:rsidTr="004B171B">
        <w:trPr>
          <w:trHeight w:val="285"/>
          <w:jc w:val="center"/>
        </w:trPr>
        <w:tc>
          <w:tcPr>
            <w:tcW w:w="712" w:type="dxa"/>
            <w:vMerge w:val="restart"/>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r w:rsidRPr="00652313">
              <w:rPr>
                <w:rFonts w:hint="eastAsia"/>
                <w:sz w:val="24"/>
              </w:rPr>
              <w:t>1</w:t>
            </w:r>
          </w:p>
        </w:tc>
        <w:tc>
          <w:tcPr>
            <w:tcW w:w="3116" w:type="dxa"/>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r w:rsidRPr="00652313">
              <w:rPr>
                <w:sz w:val="24"/>
              </w:rPr>
              <w:t>报告期内债券回购融资余额</w:t>
            </w:r>
          </w:p>
        </w:tc>
        <w:tc>
          <w:tcPr>
            <w:tcW w:w="5532" w:type="dxa"/>
            <w:gridSpan w:val="3"/>
            <w:vAlign w:val="center"/>
          </w:tcPr>
          <w:p w:rsidR="005E4B48" w:rsidRPr="00652313" w:rsidRDefault="005E4B48" w:rsidP="005E4B48">
            <w:pPr>
              <w:spacing w:before="29" w:line="288" w:lineRule="auto"/>
              <w:jc w:val="right"/>
              <w:rPr>
                <w:sz w:val="24"/>
              </w:rPr>
            </w:pPr>
            <w:r w:rsidRPr="00995642">
              <w:rPr>
                <w:sz w:val="24"/>
              </w:rPr>
              <w:t>6.54</w:t>
            </w:r>
          </w:p>
        </w:tc>
      </w:tr>
      <w:tr w:rsidR="005E4B48" w:rsidRPr="00D0515B" w:rsidTr="004B171B">
        <w:trPr>
          <w:trHeight w:val="285"/>
          <w:jc w:val="center"/>
        </w:trPr>
        <w:tc>
          <w:tcPr>
            <w:tcW w:w="712" w:type="dxa"/>
            <w:vMerge/>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r w:rsidRPr="00652313">
              <w:rPr>
                <w:sz w:val="24"/>
              </w:rPr>
              <w:t>其中：买断式回购融资</w:t>
            </w:r>
          </w:p>
        </w:tc>
        <w:tc>
          <w:tcPr>
            <w:tcW w:w="5532" w:type="dxa"/>
            <w:gridSpan w:val="3"/>
            <w:vAlign w:val="center"/>
          </w:tcPr>
          <w:p w:rsidR="005E4B48" w:rsidRPr="00652313" w:rsidRDefault="005E4B48" w:rsidP="005E4B48">
            <w:pPr>
              <w:spacing w:before="29" w:line="288" w:lineRule="auto"/>
              <w:jc w:val="right"/>
              <w:rPr>
                <w:sz w:val="24"/>
              </w:rPr>
            </w:pPr>
            <w:r w:rsidRPr="00995642">
              <w:rPr>
                <w:sz w:val="24"/>
              </w:rPr>
              <w:t>0.03</w:t>
            </w:r>
          </w:p>
        </w:tc>
      </w:tr>
      <w:tr w:rsidR="002C233F" w:rsidRPr="00D0515B" w:rsidTr="004B171B">
        <w:trPr>
          <w:gridAfter w:val="1"/>
          <w:wAfter w:w="10" w:type="dxa"/>
          <w:trHeight w:val="285"/>
          <w:jc w:val="center"/>
        </w:trPr>
        <w:tc>
          <w:tcPr>
            <w:tcW w:w="712"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序号</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jc w:val="center"/>
              <w:rPr>
                <w:sz w:val="24"/>
              </w:rPr>
            </w:pPr>
            <w:r w:rsidRPr="00652313">
              <w:rPr>
                <w:sz w:val="24"/>
              </w:rPr>
              <w:t>项目</w:t>
            </w:r>
          </w:p>
        </w:tc>
        <w:tc>
          <w:tcPr>
            <w:tcW w:w="3212" w:type="dxa"/>
            <w:vAlign w:val="center"/>
          </w:tcPr>
          <w:p w:rsidR="00C86197" w:rsidRPr="00652313" w:rsidRDefault="00C86197" w:rsidP="00652313">
            <w:pPr>
              <w:spacing w:line="360" w:lineRule="auto"/>
              <w:jc w:val="center"/>
              <w:rPr>
                <w:sz w:val="24"/>
              </w:rPr>
            </w:pPr>
            <w:r w:rsidRPr="00652313">
              <w:rPr>
                <w:sz w:val="24"/>
              </w:rPr>
              <w:t>金额</w:t>
            </w:r>
          </w:p>
        </w:tc>
        <w:tc>
          <w:tcPr>
            <w:tcW w:w="2310" w:type="dxa"/>
            <w:tcMar>
              <w:top w:w="15" w:type="dxa"/>
              <w:left w:w="15" w:type="dxa"/>
              <w:bottom w:w="0" w:type="dxa"/>
              <w:right w:w="15" w:type="dxa"/>
            </w:tcMar>
            <w:vAlign w:val="center"/>
          </w:tcPr>
          <w:p w:rsidR="00C86197" w:rsidRPr="00652313" w:rsidRDefault="00C86197" w:rsidP="00652313">
            <w:pPr>
              <w:spacing w:line="360" w:lineRule="auto"/>
              <w:jc w:val="center"/>
              <w:rPr>
                <w:sz w:val="24"/>
              </w:rPr>
            </w:pPr>
            <w:r w:rsidRPr="00652313">
              <w:rPr>
                <w:sz w:val="24"/>
              </w:rPr>
              <w:t>占基金资产净值的比例（％）</w:t>
            </w:r>
          </w:p>
        </w:tc>
      </w:tr>
      <w:tr w:rsidR="002C233F" w:rsidRPr="00D0515B"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2</w:t>
            </w:r>
          </w:p>
        </w:tc>
        <w:tc>
          <w:tcPr>
            <w:tcW w:w="3116" w:type="dxa"/>
            <w:tcMar>
              <w:top w:w="15" w:type="dxa"/>
              <w:left w:w="15" w:type="dxa"/>
              <w:bottom w:w="0" w:type="dxa"/>
              <w:right w:w="15" w:type="dxa"/>
            </w:tcMar>
            <w:vAlign w:val="center"/>
          </w:tcPr>
          <w:p w:rsidR="00C86197" w:rsidRPr="00652313" w:rsidRDefault="00C86197" w:rsidP="00652313">
            <w:pPr>
              <w:spacing w:before="29" w:line="288" w:lineRule="auto"/>
              <w:ind w:leftChars="50" w:left="105"/>
              <w:jc w:val="center"/>
              <w:rPr>
                <w:sz w:val="24"/>
              </w:rPr>
            </w:pPr>
            <w:r w:rsidRPr="00652313">
              <w:rPr>
                <w:sz w:val="24"/>
              </w:rPr>
              <w:t>报告期末债券回购融资余额</w:t>
            </w:r>
          </w:p>
        </w:tc>
        <w:tc>
          <w:tcPr>
            <w:tcW w:w="3212" w:type="dxa"/>
            <w:vAlign w:val="center"/>
          </w:tcPr>
          <w:p w:rsidR="00C86197" w:rsidRPr="00652313" w:rsidRDefault="00C86197" w:rsidP="00652313">
            <w:pPr>
              <w:spacing w:before="29" w:line="288" w:lineRule="auto"/>
              <w:jc w:val="right"/>
              <w:rPr>
                <w:sz w:val="24"/>
              </w:rPr>
            </w:pPr>
            <w:r w:rsidRPr="00652313">
              <w:rPr>
                <w:rFonts w:hint="eastAsia"/>
                <w:sz w:val="24"/>
              </w:rPr>
              <w:t>716,143,653.61</w:t>
            </w:r>
          </w:p>
        </w:tc>
        <w:tc>
          <w:tcPr>
            <w:tcW w:w="2310" w:type="dxa"/>
            <w:tcMar>
              <w:top w:w="15" w:type="dxa"/>
              <w:left w:w="15" w:type="dxa"/>
              <w:bottom w:w="0" w:type="dxa"/>
              <w:right w:w="15" w:type="dxa"/>
            </w:tcMar>
            <w:vAlign w:val="center"/>
          </w:tcPr>
          <w:p w:rsidR="00C86197" w:rsidRPr="00652313" w:rsidRDefault="00D13184" w:rsidP="00652313">
            <w:pPr>
              <w:spacing w:before="29" w:line="288" w:lineRule="auto"/>
              <w:jc w:val="right"/>
              <w:rPr>
                <w:sz w:val="24"/>
              </w:rPr>
            </w:pPr>
            <w:r w:rsidRPr="00652313">
              <w:rPr>
                <w:rFonts w:hint="eastAsia"/>
                <w:sz w:val="24"/>
              </w:rPr>
              <w:t>14.45</w:t>
            </w:r>
          </w:p>
        </w:tc>
      </w:tr>
      <w:tr w:rsidR="005E4B48" w:rsidRPr="00D0515B" w:rsidTr="004B171B">
        <w:trPr>
          <w:gridAfter w:val="1"/>
          <w:wAfter w:w="10" w:type="dxa"/>
          <w:trHeight w:val="285"/>
          <w:jc w:val="center"/>
        </w:trPr>
        <w:tc>
          <w:tcPr>
            <w:tcW w:w="712" w:type="dxa"/>
            <w:vMerge/>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5E4B48" w:rsidRPr="00652313" w:rsidRDefault="005E4B48" w:rsidP="005E4B48">
            <w:pPr>
              <w:spacing w:before="29" w:line="288" w:lineRule="auto"/>
              <w:ind w:leftChars="50" w:left="105"/>
              <w:jc w:val="center"/>
              <w:rPr>
                <w:sz w:val="24"/>
              </w:rPr>
            </w:pPr>
            <w:r w:rsidRPr="00652313">
              <w:rPr>
                <w:sz w:val="24"/>
              </w:rPr>
              <w:t>其中：买断式回购融资</w:t>
            </w:r>
          </w:p>
        </w:tc>
        <w:tc>
          <w:tcPr>
            <w:tcW w:w="3212" w:type="dxa"/>
            <w:vAlign w:val="center"/>
          </w:tcPr>
          <w:p w:rsidR="005E4B48" w:rsidRPr="00652313" w:rsidRDefault="005E4B48" w:rsidP="005E4B48">
            <w:pPr>
              <w:spacing w:before="29" w:line="288" w:lineRule="auto"/>
              <w:jc w:val="right"/>
              <w:rPr>
                <w:sz w:val="24"/>
              </w:rPr>
            </w:pPr>
            <w:r w:rsidRPr="00E55CAB">
              <w:rPr>
                <w:sz w:val="24"/>
              </w:rPr>
              <w:t>135,164,060.77</w:t>
            </w:r>
          </w:p>
        </w:tc>
        <w:tc>
          <w:tcPr>
            <w:tcW w:w="2310" w:type="dxa"/>
            <w:tcMar>
              <w:top w:w="15" w:type="dxa"/>
              <w:left w:w="15" w:type="dxa"/>
              <w:bottom w:w="0" w:type="dxa"/>
              <w:right w:w="15" w:type="dxa"/>
            </w:tcMar>
            <w:vAlign w:val="center"/>
          </w:tcPr>
          <w:p w:rsidR="005E4B48" w:rsidRPr="00652313" w:rsidRDefault="005E4B48" w:rsidP="005E4B48">
            <w:pPr>
              <w:spacing w:before="29" w:line="288" w:lineRule="auto"/>
              <w:jc w:val="right"/>
              <w:rPr>
                <w:sz w:val="24"/>
              </w:rPr>
            </w:pPr>
            <w:r w:rsidRPr="00E55CAB">
              <w:rPr>
                <w:sz w:val="24"/>
              </w:rPr>
              <w:t>2.73</w:t>
            </w:r>
          </w:p>
        </w:tc>
      </w:tr>
    </w:tbl>
    <w:p w:rsidR="006D141C" w:rsidRPr="000D1FBF" w:rsidRDefault="006D141C" w:rsidP="000D1FBF">
      <w:pPr>
        <w:tabs>
          <w:tab w:val="left" w:pos="426"/>
        </w:tabs>
        <w:spacing w:before="29" w:line="288" w:lineRule="auto"/>
        <w:jc w:val="left"/>
        <w:rPr>
          <w:kern w:val="0"/>
          <w:sz w:val="24"/>
        </w:rPr>
      </w:pPr>
      <w:r w:rsidRPr="000D1FBF">
        <w:rPr>
          <w:rFonts w:hint="eastAsia"/>
          <w:kern w:val="0"/>
          <w:sz w:val="24"/>
        </w:rPr>
        <w:t>注：报告期内债券回购融资余额占基金资产净值的比例为报告期内每个银行间市场交易日融资余额占资产净值比例的简单平均值。</w:t>
      </w:r>
    </w:p>
    <w:p w:rsidR="006D141C" w:rsidRPr="00D0515B"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AF0F80" w:rsidRDefault="002313DE" w:rsidP="00AF0F80">
      <w:pPr>
        <w:autoSpaceDE w:val="0"/>
        <w:autoSpaceDN w:val="0"/>
        <w:adjustRightInd w:val="0"/>
        <w:spacing w:before="29" w:line="288" w:lineRule="auto"/>
        <w:rPr>
          <w:b/>
          <w:kern w:val="0"/>
          <w:sz w:val="24"/>
        </w:rPr>
      </w:pPr>
      <w:bookmarkStart w:id="52" w:name="_Toc247957040"/>
      <w:bookmarkStart w:id="53" w:name="_Toc255486552"/>
      <w:r w:rsidRPr="00AF0F80">
        <w:rPr>
          <w:b/>
          <w:kern w:val="0"/>
          <w:sz w:val="24"/>
        </w:rPr>
        <w:t>债券正回购的资金余额超过基金资产净值的</w:t>
      </w:r>
      <w:r w:rsidRPr="00AF0F80">
        <w:rPr>
          <w:b/>
          <w:kern w:val="0"/>
          <w:sz w:val="24"/>
        </w:rPr>
        <w:t>20%</w:t>
      </w:r>
      <w:r w:rsidRPr="00AF0F80">
        <w:rPr>
          <w:b/>
          <w:kern w:val="0"/>
          <w:sz w:val="24"/>
        </w:rPr>
        <w:t>的说明</w:t>
      </w:r>
      <w:bookmarkEnd w:id="52"/>
      <w:bookmarkEnd w:id="53"/>
    </w:p>
    <w:p w:rsidR="002313DE" w:rsidRPr="00CE5696" w:rsidRDefault="00985B68" w:rsidP="00CE5696">
      <w:pPr>
        <w:tabs>
          <w:tab w:val="left" w:pos="426"/>
        </w:tabs>
        <w:spacing w:before="29" w:line="288" w:lineRule="auto"/>
        <w:jc w:val="left"/>
        <w:rPr>
          <w:kern w:val="0"/>
          <w:sz w:val="24"/>
        </w:rPr>
      </w:pPr>
      <w:r w:rsidRPr="00CE5696">
        <w:rPr>
          <w:rFonts w:hint="eastAsia"/>
          <w:kern w:val="0"/>
          <w:sz w:val="24"/>
        </w:rPr>
        <w:t>本基金合同约定：“本基金进入全国银行间同业市场进行债券回购的资金余额不得超过基金资产净值的</w:t>
      </w:r>
      <w:r w:rsidRPr="00CE5696">
        <w:rPr>
          <w:rFonts w:hint="eastAsia"/>
          <w:kern w:val="0"/>
          <w:sz w:val="24"/>
        </w:rPr>
        <w:t>40%</w:t>
      </w:r>
      <w:r w:rsidRPr="00CE5696">
        <w:rPr>
          <w:rFonts w:hint="eastAsia"/>
          <w:kern w:val="0"/>
          <w:sz w:val="24"/>
        </w:rPr>
        <w:t>”。本报告期内，本基金未发生超标情况。</w:t>
      </w:r>
    </w:p>
    <w:p w:rsidR="002313DE" w:rsidRPr="00D0515B"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5152BC" w:rsidRDefault="006D141C" w:rsidP="005152BC">
      <w:pPr>
        <w:spacing w:before="29" w:line="288" w:lineRule="auto"/>
        <w:rPr>
          <w:b/>
          <w:bCs/>
          <w:sz w:val="24"/>
        </w:rPr>
      </w:pPr>
      <w:bookmarkStart w:id="54" w:name="_Toc275523745"/>
      <w:r w:rsidRPr="005152BC">
        <w:rPr>
          <w:rFonts w:hint="eastAsia"/>
          <w:b/>
          <w:bCs/>
          <w:sz w:val="24"/>
        </w:rPr>
        <w:t>8.3</w:t>
      </w:r>
      <w:bookmarkEnd w:id="54"/>
      <w:r w:rsidR="00344CF8" w:rsidRPr="005152BC">
        <w:rPr>
          <w:b/>
          <w:bCs/>
          <w:sz w:val="24"/>
        </w:rPr>
        <w:t>基金投资组合平均剩余期限</w:t>
      </w:r>
    </w:p>
    <w:p w:rsidR="00F15C96" w:rsidRPr="005152BC" w:rsidRDefault="00F15C96" w:rsidP="005152BC">
      <w:pPr>
        <w:spacing w:before="29" w:line="288" w:lineRule="auto"/>
        <w:rPr>
          <w:b/>
          <w:bCs/>
          <w:sz w:val="24"/>
        </w:rPr>
      </w:pPr>
      <w:r w:rsidRPr="005152BC">
        <w:rPr>
          <w:rFonts w:hint="eastAsia"/>
          <w:b/>
          <w:bCs/>
          <w:sz w:val="24"/>
        </w:rPr>
        <w:t>8.3.</w:t>
      </w:r>
      <w:r w:rsidR="008A28D4" w:rsidRPr="005152BC">
        <w:rPr>
          <w:rFonts w:hint="eastAsia"/>
          <w:b/>
          <w:bCs/>
          <w:sz w:val="24"/>
        </w:rPr>
        <w:t>1</w:t>
      </w:r>
      <w:r w:rsidRPr="005152BC">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2C233F" w:rsidRPr="00D0515B" w:rsidTr="004F7EBF">
        <w:trPr>
          <w:trHeight w:val="375"/>
          <w:jc w:val="center"/>
        </w:trPr>
        <w:tc>
          <w:tcPr>
            <w:tcW w:w="5062" w:type="dxa"/>
            <w:vAlign w:val="center"/>
          </w:tcPr>
          <w:p w:rsidR="00F15C96" w:rsidRPr="007616BC" w:rsidRDefault="00F15C96" w:rsidP="007616BC">
            <w:pPr>
              <w:widowControl/>
              <w:spacing w:before="29" w:line="288" w:lineRule="auto"/>
              <w:jc w:val="center"/>
              <w:rPr>
                <w:kern w:val="0"/>
                <w:sz w:val="24"/>
              </w:rPr>
            </w:pPr>
            <w:r w:rsidRPr="007616BC">
              <w:rPr>
                <w:kern w:val="0"/>
                <w:sz w:val="24"/>
              </w:rPr>
              <w:t>项目</w:t>
            </w:r>
          </w:p>
        </w:tc>
        <w:tc>
          <w:tcPr>
            <w:tcW w:w="4294" w:type="dxa"/>
            <w:vAlign w:val="center"/>
          </w:tcPr>
          <w:p w:rsidR="00F15C96" w:rsidRPr="007616BC" w:rsidRDefault="00F15C96" w:rsidP="007616BC">
            <w:pPr>
              <w:widowControl/>
              <w:spacing w:before="29" w:line="288" w:lineRule="auto"/>
              <w:jc w:val="center"/>
              <w:rPr>
                <w:kern w:val="0"/>
                <w:sz w:val="24"/>
              </w:rPr>
            </w:pPr>
            <w:r w:rsidRPr="007616BC">
              <w:rPr>
                <w:kern w:val="0"/>
                <w:sz w:val="24"/>
              </w:rPr>
              <w:t>天数</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报告期末投资组合平均剩余期限</w:t>
            </w:r>
            <w:r w:rsidRPr="00A412DE">
              <w:rPr>
                <w:sz w:val="24"/>
              </w:rPr>
              <w:t xml:space="preserve"> </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89</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报告期内投资组合平均剩余期限最高值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116</w:t>
            </w:r>
          </w:p>
        </w:tc>
      </w:tr>
      <w:tr w:rsidR="002C233F" w:rsidRPr="00D0515B" w:rsidTr="00914C41">
        <w:trPr>
          <w:trHeight w:val="295"/>
          <w:jc w:val="center"/>
        </w:trPr>
        <w:tc>
          <w:tcPr>
            <w:tcW w:w="5062" w:type="dxa"/>
            <w:vAlign w:val="center"/>
          </w:tcPr>
          <w:p w:rsidR="00F15C96" w:rsidRPr="00A412DE" w:rsidRDefault="00F15C96" w:rsidP="00A412DE">
            <w:pPr>
              <w:spacing w:before="29" w:line="288" w:lineRule="auto"/>
              <w:rPr>
                <w:sz w:val="24"/>
              </w:rPr>
            </w:pPr>
            <w:r w:rsidRPr="00A412DE">
              <w:rPr>
                <w:sz w:val="24"/>
              </w:rPr>
              <w:t>报告期内投资组合平均剩余期限最低值</w:t>
            </w:r>
          </w:p>
        </w:tc>
        <w:tc>
          <w:tcPr>
            <w:tcW w:w="4294" w:type="dxa"/>
            <w:vAlign w:val="center"/>
          </w:tcPr>
          <w:p w:rsidR="00F15C96" w:rsidRPr="00C42988" w:rsidRDefault="00F15C96" w:rsidP="00914C41">
            <w:pPr>
              <w:spacing w:before="29" w:line="288" w:lineRule="auto"/>
              <w:jc w:val="center"/>
              <w:rPr>
                <w:sz w:val="24"/>
              </w:rPr>
            </w:pPr>
            <w:r w:rsidRPr="00C42988">
              <w:rPr>
                <w:rFonts w:hint="eastAsia"/>
                <w:sz w:val="24"/>
              </w:rPr>
              <w:t>50</w:t>
            </w:r>
          </w:p>
        </w:tc>
      </w:tr>
    </w:tbl>
    <w:p w:rsidR="006D141C" w:rsidRPr="00D0515B" w:rsidRDefault="006D141C" w:rsidP="00B1591D">
      <w:pPr>
        <w:spacing w:line="360" w:lineRule="auto"/>
        <w:rPr>
          <w:rFonts w:asciiTheme="minorEastAsia" w:eastAsiaTheme="minorEastAsia" w:hAnsiTheme="minorEastAsia"/>
          <w:szCs w:val="21"/>
        </w:rPr>
      </w:pPr>
    </w:p>
    <w:p w:rsidR="00B109D0" w:rsidRPr="00567FE0" w:rsidRDefault="00B109D0" w:rsidP="00B1591D">
      <w:pPr>
        <w:spacing w:line="360" w:lineRule="auto"/>
        <w:rPr>
          <w:b/>
          <w:sz w:val="24"/>
        </w:rPr>
      </w:pPr>
      <w:r w:rsidRPr="00567FE0">
        <w:rPr>
          <w:b/>
          <w:sz w:val="24"/>
        </w:rPr>
        <w:t>报告期内投资组合平均剩余期限超过</w:t>
      </w:r>
      <w:r w:rsidR="007550EC" w:rsidRPr="00567FE0">
        <w:rPr>
          <w:rFonts w:hint="eastAsia"/>
          <w:b/>
          <w:sz w:val="24"/>
        </w:rPr>
        <w:t>1</w:t>
      </w:r>
      <w:r w:rsidR="007F5DE6">
        <w:rPr>
          <w:b/>
          <w:sz w:val="24"/>
        </w:rPr>
        <w:t>2</w:t>
      </w:r>
      <w:r w:rsidRPr="00567FE0">
        <w:rPr>
          <w:b/>
          <w:sz w:val="24"/>
        </w:rPr>
        <w:t>0</w:t>
      </w:r>
      <w:r w:rsidRPr="00567FE0">
        <w:rPr>
          <w:b/>
          <w:sz w:val="24"/>
        </w:rPr>
        <w:t>天情况说明</w:t>
      </w:r>
    </w:p>
    <w:p w:rsidR="00140036" w:rsidRDefault="0007580E" w:rsidP="004B36C2">
      <w:pPr>
        <w:spacing w:line="360" w:lineRule="auto"/>
        <w:rPr>
          <w:kern w:val="0"/>
          <w:sz w:val="24"/>
        </w:rPr>
      </w:pPr>
      <w:r w:rsidRPr="0007580E">
        <w:rPr>
          <w:kern w:val="0"/>
          <w:sz w:val="24"/>
        </w:rPr>
        <w:t>本基金合同约定：</w:t>
      </w:r>
      <w:r w:rsidRPr="0007580E">
        <w:rPr>
          <w:kern w:val="0"/>
          <w:sz w:val="24"/>
        </w:rPr>
        <w:t>“</w:t>
      </w:r>
      <w:r w:rsidRPr="0007580E">
        <w:rPr>
          <w:kern w:val="0"/>
          <w:sz w:val="24"/>
        </w:rPr>
        <w:t>本基金投资组合的平均剩余期限控制在</w:t>
      </w:r>
      <w:r w:rsidRPr="0007580E">
        <w:rPr>
          <w:kern w:val="0"/>
          <w:sz w:val="24"/>
        </w:rPr>
        <w:t xml:space="preserve">180 </w:t>
      </w:r>
      <w:r w:rsidRPr="0007580E">
        <w:rPr>
          <w:kern w:val="0"/>
          <w:sz w:val="24"/>
        </w:rPr>
        <w:t>天（含）以内。</w:t>
      </w:r>
      <w:r w:rsidRPr="0007580E">
        <w:rPr>
          <w:kern w:val="0"/>
          <w:sz w:val="24"/>
        </w:rPr>
        <w:t>”</w:t>
      </w:r>
      <w:r w:rsidRPr="0007580E">
        <w:rPr>
          <w:kern w:val="0"/>
          <w:sz w:val="24"/>
        </w:rPr>
        <w:t>本基金本报告期内投资组合平均剩余期限未超过</w:t>
      </w:r>
      <w:r w:rsidRPr="0007580E">
        <w:rPr>
          <w:kern w:val="0"/>
          <w:sz w:val="24"/>
        </w:rPr>
        <w:t>180</w:t>
      </w:r>
      <w:r w:rsidRPr="0007580E">
        <w:rPr>
          <w:kern w:val="0"/>
          <w:sz w:val="24"/>
        </w:rPr>
        <w:t>天。</w:t>
      </w:r>
    </w:p>
    <w:p w:rsidR="0007580E" w:rsidRPr="0007580E" w:rsidRDefault="0007580E" w:rsidP="004B36C2">
      <w:pPr>
        <w:spacing w:line="360" w:lineRule="auto"/>
        <w:rPr>
          <w:rFonts w:asciiTheme="minorEastAsia" w:eastAsiaTheme="minorEastAsia" w:hAnsiTheme="minorEastAsia" w:cs="宋体"/>
          <w:szCs w:val="21"/>
        </w:rPr>
      </w:pPr>
    </w:p>
    <w:p w:rsidR="00140036" w:rsidRPr="007B4634" w:rsidRDefault="00140036" w:rsidP="007B4634">
      <w:pPr>
        <w:spacing w:before="29" w:line="288" w:lineRule="auto"/>
        <w:rPr>
          <w:b/>
          <w:bCs/>
          <w:sz w:val="24"/>
        </w:rPr>
      </w:pPr>
      <w:r w:rsidRPr="007B4634">
        <w:rPr>
          <w:rFonts w:hint="eastAsia"/>
          <w:b/>
          <w:bCs/>
          <w:sz w:val="24"/>
        </w:rPr>
        <w:t>8.3.</w:t>
      </w:r>
      <w:r w:rsidR="008A28D4" w:rsidRPr="007B4634">
        <w:rPr>
          <w:rFonts w:hint="eastAsia"/>
          <w:b/>
          <w:bCs/>
          <w:sz w:val="24"/>
        </w:rPr>
        <w:t>2</w:t>
      </w:r>
      <w:r w:rsidRPr="007B4634">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2C233F" w:rsidRPr="00D0515B" w:rsidTr="004339AD">
        <w:trPr>
          <w:jc w:val="center"/>
        </w:trPr>
        <w:tc>
          <w:tcPr>
            <w:tcW w:w="993" w:type="dxa"/>
            <w:vAlign w:val="center"/>
          </w:tcPr>
          <w:p w:rsidR="004339AD" w:rsidRPr="007B4634" w:rsidRDefault="004339AD" w:rsidP="007B4634">
            <w:pPr>
              <w:spacing w:before="29" w:line="288" w:lineRule="auto"/>
              <w:jc w:val="center"/>
              <w:rPr>
                <w:sz w:val="24"/>
              </w:rPr>
            </w:pPr>
            <w:r w:rsidRPr="007B4634">
              <w:rPr>
                <w:sz w:val="24"/>
              </w:rPr>
              <w:t>序号</w:t>
            </w:r>
          </w:p>
        </w:tc>
        <w:tc>
          <w:tcPr>
            <w:tcW w:w="3187" w:type="dxa"/>
            <w:vAlign w:val="center"/>
          </w:tcPr>
          <w:p w:rsidR="004339AD" w:rsidRPr="007B4634" w:rsidRDefault="004339AD" w:rsidP="007B4634">
            <w:pPr>
              <w:spacing w:before="29" w:line="288" w:lineRule="auto"/>
              <w:jc w:val="center"/>
              <w:rPr>
                <w:sz w:val="24"/>
              </w:rPr>
            </w:pPr>
            <w:r w:rsidRPr="007B4634">
              <w:rPr>
                <w:sz w:val="24"/>
              </w:rPr>
              <w:t>平均剩余期限</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各期限资产占基金资产净值的比例（</w:t>
            </w:r>
            <w:r w:rsidRPr="007B4634">
              <w:rPr>
                <w:rFonts w:hint="eastAsia"/>
                <w:sz w:val="24"/>
              </w:rPr>
              <w:t>％</w:t>
            </w:r>
            <w:r w:rsidRPr="007B4634">
              <w:rPr>
                <w:sz w:val="24"/>
              </w:rPr>
              <w:t>）</w:t>
            </w:r>
          </w:p>
        </w:tc>
        <w:tc>
          <w:tcPr>
            <w:tcW w:w="2588" w:type="dxa"/>
            <w:vAlign w:val="center"/>
          </w:tcPr>
          <w:p w:rsidR="004339AD" w:rsidRPr="007B4634" w:rsidRDefault="004339AD" w:rsidP="007B4634">
            <w:pPr>
              <w:spacing w:before="29" w:line="288" w:lineRule="auto"/>
              <w:jc w:val="center"/>
              <w:rPr>
                <w:sz w:val="24"/>
              </w:rPr>
            </w:pPr>
            <w:r w:rsidRPr="007B4634">
              <w:rPr>
                <w:sz w:val="24"/>
              </w:rPr>
              <w:t>各期限负债占基金资产净值的比例（</w:t>
            </w:r>
            <w:r w:rsidRPr="007B4634">
              <w:rPr>
                <w:rFonts w:hint="eastAsia"/>
                <w:sz w:val="24"/>
              </w:rPr>
              <w:t>％</w:t>
            </w:r>
            <w:r w:rsidRPr="007B4634">
              <w:rPr>
                <w:sz w:val="24"/>
              </w:rPr>
              <w:t>）</w:t>
            </w:r>
          </w:p>
        </w:tc>
      </w:tr>
      <w:tr w:rsidR="002C233F" w:rsidRPr="00D0515B" w:rsidTr="004835CE">
        <w:trPr>
          <w:jc w:val="center"/>
        </w:trPr>
        <w:tc>
          <w:tcPr>
            <w:tcW w:w="993" w:type="dxa"/>
            <w:vAlign w:val="center"/>
          </w:tcPr>
          <w:p w:rsidR="004339AD" w:rsidRPr="004835CE" w:rsidRDefault="0086274D" w:rsidP="004835CE">
            <w:pPr>
              <w:spacing w:before="29" w:line="288" w:lineRule="auto"/>
              <w:jc w:val="center"/>
              <w:rPr>
                <w:sz w:val="24"/>
              </w:rPr>
            </w:pPr>
            <w:r w:rsidRPr="004835CE">
              <w:rPr>
                <w:rFonts w:hint="eastAsia"/>
                <w:sz w:val="24"/>
              </w:rPr>
              <w:t>1</w:t>
            </w:r>
          </w:p>
        </w:tc>
        <w:tc>
          <w:tcPr>
            <w:tcW w:w="3187" w:type="dxa"/>
            <w:vAlign w:val="center"/>
          </w:tcPr>
          <w:p w:rsidR="004339AD" w:rsidRPr="004835CE" w:rsidRDefault="004339AD" w:rsidP="004835CE">
            <w:pPr>
              <w:spacing w:line="360" w:lineRule="auto"/>
              <w:jc w:val="center"/>
              <w:rPr>
                <w:sz w:val="24"/>
              </w:rPr>
            </w:pPr>
            <w:r w:rsidRPr="004835CE">
              <w:rPr>
                <w:sz w:val="24"/>
              </w:rPr>
              <w:t>30</w:t>
            </w:r>
            <w:r w:rsidRPr="004835CE">
              <w:rPr>
                <w:sz w:val="24"/>
              </w:rPr>
              <w:t>天以内</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28.88</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14.45</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2</w:t>
            </w:r>
          </w:p>
        </w:tc>
        <w:tc>
          <w:tcPr>
            <w:tcW w:w="3187" w:type="dxa"/>
            <w:vAlign w:val="center"/>
          </w:tcPr>
          <w:p w:rsidR="004339AD" w:rsidRPr="004835CE" w:rsidRDefault="004339AD" w:rsidP="004835CE">
            <w:pPr>
              <w:spacing w:before="29" w:line="288" w:lineRule="auto"/>
              <w:jc w:val="center"/>
              <w:rPr>
                <w:sz w:val="24"/>
              </w:rPr>
            </w:pPr>
            <w:r w:rsidRPr="004835CE">
              <w:rPr>
                <w:sz w:val="24"/>
              </w:rPr>
              <w:t>30</w:t>
            </w:r>
            <w:r w:rsidRPr="004835CE">
              <w:rPr>
                <w:sz w:val="24"/>
              </w:rPr>
              <w:t>天（含）</w:t>
            </w:r>
            <w:r w:rsidRPr="004835CE">
              <w:rPr>
                <w:sz w:val="24"/>
              </w:rPr>
              <w:t>—60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24.23</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3</w:t>
            </w:r>
          </w:p>
        </w:tc>
        <w:tc>
          <w:tcPr>
            <w:tcW w:w="3187" w:type="dxa"/>
            <w:vAlign w:val="center"/>
          </w:tcPr>
          <w:p w:rsidR="004339AD" w:rsidRPr="004835CE" w:rsidRDefault="004339AD" w:rsidP="004835CE">
            <w:pPr>
              <w:spacing w:before="29" w:line="288" w:lineRule="auto"/>
              <w:jc w:val="center"/>
              <w:rPr>
                <w:sz w:val="24"/>
              </w:rPr>
            </w:pPr>
            <w:r w:rsidRPr="004835CE">
              <w:rPr>
                <w:sz w:val="24"/>
              </w:rPr>
              <w:t>60</w:t>
            </w:r>
            <w:r w:rsidRPr="004835CE">
              <w:rPr>
                <w:sz w:val="24"/>
              </w:rPr>
              <w:t>天（含）</w:t>
            </w:r>
            <w:r w:rsidRPr="004835CE">
              <w:rPr>
                <w:sz w:val="24"/>
              </w:rPr>
              <w:t>—90</w:t>
            </w:r>
            <w:r w:rsidRPr="004835CE">
              <w:rPr>
                <w:sz w:val="24"/>
              </w:rPr>
              <w:t>天</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24.20</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c>
          <w:tcPr>
            <w:tcW w:w="2588" w:type="dxa"/>
            <w:vAlign w:val="center"/>
          </w:tcPr>
          <w:p w:rsidR="004339AD" w:rsidRPr="002F7CDB" w:rsidRDefault="004339AD" w:rsidP="002F7CDB">
            <w:pPr>
              <w:spacing w:before="29" w:line="288" w:lineRule="auto"/>
              <w:jc w:val="right"/>
              <w:rPr>
                <w:sz w:val="24"/>
              </w:rPr>
            </w:pPr>
            <w:r w:rsidRPr="002F7CDB">
              <w:rPr>
                <w:rFonts w:hint="eastAsia"/>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4</w:t>
            </w:r>
          </w:p>
        </w:tc>
        <w:tc>
          <w:tcPr>
            <w:tcW w:w="3187" w:type="dxa"/>
            <w:vAlign w:val="center"/>
          </w:tcPr>
          <w:p w:rsidR="004339AD" w:rsidRPr="004835CE" w:rsidRDefault="004339AD" w:rsidP="004835CE">
            <w:pPr>
              <w:spacing w:before="29" w:line="288" w:lineRule="auto"/>
              <w:jc w:val="center"/>
              <w:rPr>
                <w:sz w:val="24"/>
              </w:rPr>
            </w:pPr>
            <w:r w:rsidRPr="004835CE">
              <w:rPr>
                <w:sz w:val="24"/>
              </w:rPr>
              <w:t>90</w:t>
            </w:r>
            <w:r w:rsidRPr="004835CE">
              <w:rPr>
                <w:sz w:val="24"/>
              </w:rPr>
              <w:t>天（含）</w:t>
            </w:r>
            <w:r w:rsidRPr="004835CE">
              <w:rPr>
                <w:sz w:val="24"/>
              </w:rPr>
              <w:t>—</w:t>
            </w:r>
            <w:r w:rsidR="00783599" w:rsidRPr="004835CE">
              <w:rPr>
                <w:rFonts w:hint="eastAsia"/>
                <w:sz w:val="24"/>
              </w:rPr>
              <w:t>1</w:t>
            </w:r>
            <w:r w:rsidR="007F5DE6">
              <w:rPr>
                <w:sz w:val="24"/>
              </w:rPr>
              <w:t>2</w:t>
            </w:r>
            <w:r w:rsidRPr="004835CE">
              <w:rPr>
                <w:sz w:val="24"/>
              </w:rPr>
              <w:t>0</w:t>
            </w:r>
            <w:r w:rsidRPr="004835CE">
              <w:rPr>
                <w:sz w:val="24"/>
              </w:rPr>
              <w:t>天</w:t>
            </w:r>
          </w:p>
        </w:tc>
        <w:tc>
          <w:tcPr>
            <w:tcW w:w="2588" w:type="dxa"/>
            <w:vAlign w:val="center"/>
          </w:tcPr>
          <w:p w:rsidR="004339AD" w:rsidRPr="002F7CDB" w:rsidRDefault="007F5DE6" w:rsidP="002F7CDB">
            <w:pPr>
              <w:spacing w:before="29" w:line="288" w:lineRule="auto"/>
              <w:jc w:val="right"/>
              <w:rPr>
                <w:sz w:val="24"/>
              </w:rPr>
            </w:pPr>
            <w:r w:rsidRPr="007F5DE6">
              <w:rPr>
                <w:sz w:val="24"/>
              </w:rPr>
              <w:t>12.30</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r w:rsidRPr="004835CE">
              <w:rPr>
                <w:rFonts w:hint="eastAsia"/>
                <w:sz w:val="24"/>
              </w:rPr>
              <w:t>5</w:t>
            </w:r>
          </w:p>
        </w:tc>
        <w:tc>
          <w:tcPr>
            <w:tcW w:w="3187" w:type="dxa"/>
            <w:vAlign w:val="center"/>
          </w:tcPr>
          <w:p w:rsidR="004339AD" w:rsidRPr="004835CE" w:rsidRDefault="00783599" w:rsidP="004835CE">
            <w:pPr>
              <w:spacing w:before="29" w:line="288" w:lineRule="auto"/>
              <w:jc w:val="center"/>
              <w:rPr>
                <w:sz w:val="24"/>
              </w:rPr>
            </w:pPr>
            <w:r w:rsidRPr="004835CE">
              <w:rPr>
                <w:rFonts w:hint="eastAsia"/>
                <w:sz w:val="24"/>
              </w:rPr>
              <w:t>1</w:t>
            </w:r>
            <w:r w:rsidR="007F5DE6">
              <w:rPr>
                <w:sz w:val="24"/>
              </w:rPr>
              <w:t>2</w:t>
            </w:r>
            <w:r w:rsidR="004339AD" w:rsidRPr="004835CE">
              <w:rPr>
                <w:sz w:val="24"/>
              </w:rPr>
              <w:t>0</w:t>
            </w:r>
            <w:r w:rsidR="004339AD" w:rsidRPr="004835CE">
              <w:rPr>
                <w:sz w:val="24"/>
              </w:rPr>
              <w:t>天（含）</w:t>
            </w:r>
            <w:r w:rsidR="004339AD" w:rsidRPr="004835CE">
              <w:rPr>
                <w:sz w:val="24"/>
              </w:rPr>
              <w:t>—397</w:t>
            </w:r>
            <w:r w:rsidR="004339AD" w:rsidRPr="004835CE">
              <w:rPr>
                <w:sz w:val="24"/>
              </w:rPr>
              <w:t>天（含）</w:t>
            </w:r>
          </w:p>
        </w:tc>
        <w:tc>
          <w:tcPr>
            <w:tcW w:w="2588" w:type="dxa"/>
            <w:vAlign w:val="center"/>
          </w:tcPr>
          <w:p w:rsidR="004339AD" w:rsidRPr="002F7CDB" w:rsidRDefault="007F5DE6" w:rsidP="002F7CDB">
            <w:pPr>
              <w:spacing w:before="29" w:line="288" w:lineRule="auto"/>
              <w:jc w:val="right"/>
              <w:rPr>
                <w:sz w:val="24"/>
              </w:rPr>
            </w:pPr>
            <w:r w:rsidRPr="007F5DE6">
              <w:rPr>
                <w:sz w:val="24"/>
              </w:rPr>
              <w:t>24.71</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2C233F" w:rsidRPr="00D0515B" w:rsidTr="004835CE">
        <w:trPr>
          <w:jc w:val="center"/>
        </w:trPr>
        <w:tc>
          <w:tcPr>
            <w:tcW w:w="993" w:type="dxa"/>
            <w:vAlign w:val="center"/>
          </w:tcPr>
          <w:p w:rsidR="004339AD" w:rsidRPr="004835CE" w:rsidRDefault="004339AD" w:rsidP="004835CE">
            <w:pPr>
              <w:spacing w:before="29" w:line="288" w:lineRule="auto"/>
              <w:jc w:val="center"/>
              <w:rPr>
                <w:sz w:val="24"/>
              </w:rPr>
            </w:pPr>
          </w:p>
        </w:tc>
        <w:tc>
          <w:tcPr>
            <w:tcW w:w="3187" w:type="dxa"/>
            <w:vAlign w:val="center"/>
          </w:tcPr>
          <w:p w:rsidR="004339AD" w:rsidRPr="004835CE" w:rsidRDefault="004339AD" w:rsidP="004835CE">
            <w:pPr>
              <w:spacing w:before="29" w:line="288" w:lineRule="auto"/>
              <w:jc w:val="center"/>
              <w:rPr>
                <w:sz w:val="24"/>
              </w:rPr>
            </w:pPr>
            <w:r w:rsidRPr="004835CE">
              <w:rPr>
                <w:rFonts w:hint="eastAsia"/>
                <w:sz w:val="24"/>
              </w:rPr>
              <w:t>其中：剩余存续期超过</w:t>
            </w:r>
            <w:r w:rsidRPr="004835CE">
              <w:rPr>
                <w:sz w:val="24"/>
              </w:rPr>
              <w:t>397</w:t>
            </w:r>
            <w:r w:rsidRPr="004835CE">
              <w:rPr>
                <w:rFonts w:hint="eastAsia"/>
                <w:sz w:val="24"/>
              </w:rPr>
              <w:t>天的浮动利率债</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c>
          <w:tcPr>
            <w:tcW w:w="2588" w:type="dxa"/>
            <w:vAlign w:val="center"/>
          </w:tcPr>
          <w:p w:rsidR="004339AD" w:rsidRPr="002F7CDB" w:rsidRDefault="007F5DE6" w:rsidP="002F7CDB">
            <w:pPr>
              <w:spacing w:before="29" w:line="288" w:lineRule="auto"/>
              <w:jc w:val="right"/>
              <w:rPr>
                <w:sz w:val="24"/>
              </w:rPr>
            </w:pPr>
            <w:r w:rsidRPr="007F5DE6">
              <w:rPr>
                <w:sz w:val="24"/>
              </w:rPr>
              <w:t>-</w:t>
            </w:r>
          </w:p>
        </w:tc>
      </w:tr>
      <w:tr w:rsidR="00AE514A" w:rsidRPr="00D0515B" w:rsidTr="00AE514A">
        <w:trPr>
          <w:jc w:val="center"/>
        </w:trPr>
        <w:tc>
          <w:tcPr>
            <w:tcW w:w="994" w:type="dxa"/>
            <w:vAlign w:val="center"/>
          </w:tcPr>
          <w:p w:rsidR="00AE514A" w:rsidRPr="004835CE" w:rsidRDefault="00AE514A" w:rsidP="004835CE">
            <w:pPr>
              <w:spacing w:before="29" w:line="288" w:lineRule="auto"/>
              <w:jc w:val="center"/>
              <w:rPr>
                <w:sz w:val="24"/>
              </w:rPr>
            </w:pPr>
            <w:r>
              <w:rPr>
                <w:rFonts w:hint="eastAsia"/>
                <w:sz w:val="24"/>
              </w:rPr>
              <w:t>6</w:t>
            </w:r>
          </w:p>
        </w:tc>
        <w:tc>
          <w:tcPr>
            <w:tcW w:w="3186" w:type="dxa"/>
            <w:vAlign w:val="center"/>
          </w:tcPr>
          <w:p w:rsidR="00AE514A" w:rsidRPr="004835CE" w:rsidRDefault="00AE514A" w:rsidP="004835CE">
            <w:pPr>
              <w:spacing w:before="29" w:line="288" w:lineRule="auto"/>
              <w:jc w:val="center"/>
              <w:rPr>
                <w:sz w:val="24"/>
              </w:rPr>
            </w:pPr>
            <w:r w:rsidRPr="004835CE">
              <w:rPr>
                <w:rFonts w:hint="eastAsia"/>
                <w:sz w:val="24"/>
              </w:rPr>
              <w:t>合计</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114.32</w:t>
            </w:r>
          </w:p>
        </w:tc>
        <w:tc>
          <w:tcPr>
            <w:tcW w:w="2588" w:type="dxa"/>
            <w:vAlign w:val="center"/>
          </w:tcPr>
          <w:p w:rsidR="00AE514A" w:rsidRPr="002F7CDB" w:rsidRDefault="00AE514A" w:rsidP="002F7CDB">
            <w:pPr>
              <w:spacing w:before="29" w:line="288" w:lineRule="auto"/>
              <w:jc w:val="right"/>
              <w:rPr>
                <w:sz w:val="24"/>
              </w:rPr>
            </w:pPr>
            <w:r w:rsidRPr="002F7CDB">
              <w:rPr>
                <w:rFonts w:hint="eastAsia"/>
                <w:sz w:val="24"/>
              </w:rPr>
              <w:t>14.45</w:t>
            </w:r>
          </w:p>
        </w:tc>
      </w:tr>
    </w:tbl>
    <w:p w:rsidR="006D141C" w:rsidRDefault="006D141C" w:rsidP="004B36C2">
      <w:pPr>
        <w:spacing w:line="360" w:lineRule="auto"/>
        <w:rPr>
          <w:rFonts w:asciiTheme="minorEastAsia" w:eastAsiaTheme="minorEastAsia" w:hAnsiTheme="minorEastAsia"/>
          <w:szCs w:val="21"/>
        </w:rPr>
      </w:pPr>
    </w:p>
    <w:p w:rsidR="007F5DE6" w:rsidRPr="007F5DE6" w:rsidRDefault="007F5DE6" w:rsidP="007F5DE6">
      <w:pPr>
        <w:pStyle w:val="20"/>
        <w:spacing w:before="0" w:after="0"/>
        <w:rPr>
          <w:rFonts w:ascii="Times New Roman" w:hAnsi="Times New Roman" w:cs="Times New Roman"/>
          <w:kern w:val="0"/>
          <w:szCs w:val="24"/>
        </w:rPr>
      </w:pPr>
      <w:bookmarkStart w:id="55" w:name="_Toc509761008"/>
      <w:r w:rsidRPr="007F5DE6">
        <w:rPr>
          <w:rFonts w:ascii="Times New Roman" w:hAnsi="Times New Roman" w:cs="Times New Roman"/>
          <w:kern w:val="0"/>
          <w:szCs w:val="24"/>
        </w:rPr>
        <w:t>8.4</w:t>
      </w:r>
      <w:r w:rsidRPr="007F5DE6">
        <w:rPr>
          <w:rFonts w:ascii="Times New Roman" w:hAnsi="Times New Roman" w:cs="Times New Roman" w:hint="eastAsia"/>
          <w:kern w:val="0"/>
          <w:szCs w:val="24"/>
        </w:rPr>
        <w:t>报告期内投资组合平均剩余存续期超过</w:t>
      </w:r>
      <w:r w:rsidRPr="007F5DE6">
        <w:rPr>
          <w:rFonts w:ascii="Times New Roman" w:hAnsi="Times New Roman" w:cs="Times New Roman" w:hint="eastAsia"/>
          <w:kern w:val="0"/>
          <w:szCs w:val="24"/>
        </w:rPr>
        <w:t>240</w:t>
      </w:r>
      <w:r w:rsidRPr="007F5DE6">
        <w:rPr>
          <w:rFonts w:ascii="宋体" w:hAnsi="宋体" w:cs="Times New Roman" w:hint="eastAsia"/>
          <w:kern w:val="0"/>
          <w:szCs w:val="24"/>
        </w:rPr>
        <w:t>天情况说明</w:t>
      </w:r>
      <w:bookmarkEnd w:id="55"/>
    </w:p>
    <w:p w:rsidR="007F5DE6" w:rsidRPr="007F5DE6" w:rsidRDefault="007F5DE6" w:rsidP="007F5DE6">
      <w:pPr>
        <w:spacing w:line="360" w:lineRule="auto"/>
        <w:ind w:firstLineChars="200" w:firstLine="480"/>
        <w:jc w:val="left"/>
        <w:rPr>
          <w:sz w:val="24"/>
        </w:rPr>
      </w:pPr>
      <w:r w:rsidRPr="007F5DE6">
        <w:rPr>
          <w:rFonts w:hint="eastAsia"/>
          <w:sz w:val="24"/>
        </w:rPr>
        <w:t>本基金本报告期内投资组合平均剩余存续期未超过</w:t>
      </w:r>
      <w:r w:rsidRPr="007F5DE6">
        <w:rPr>
          <w:rFonts w:hint="eastAsia"/>
          <w:sz w:val="24"/>
        </w:rPr>
        <w:t>240</w:t>
      </w:r>
      <w:r w:rsidRPr="007F5DE6">
        <w:rPr>
          <w:rFonts w:hint="eastAsia"/>
          <w:sz w:val="24"/>
        </w:rPr>
        <w:t>天。</w:t>
      </w:r>
    </w:p>
    <w:p w:rsidR="007F5DE6" w:rsidRPr="007F5DE6" w:rsidRDefault="007F5DE6" w:rsidP="004B36C2">
      <w:pPr>
        <w:spacing w:line="360" w:lineRule="auto"/>
        <w:rPr>
          <w:rFonts w:asciiTheme="minorEastAsia" w:eastAsiaTheme="minorEastAsia" w:hAnsiTheme="minorEastAsia"/>
          <w:szCs w:val="21"/>
        </w:rPr>
      </w:pPr>
    </w:p>
    <w:p w:rsidR="006D141C" w:rsidRPr="008E6CCD" w:rsidRDefault="006D141C" w:rsidP="008E6CCD">
      <w:pPr>
        <w:pStyle w:val="20"/>
        <w:spacing w:before="29" w:after="0" w:line="288" w:lineRule="auto"/>
        <w:rPr>
          <w:rFonts w:ascii="Times New Roman" w:hAnsi="Times New Roman" w:cs="Times New Roman"/>
          <w:kern w:val="0"/>
          <w:szCs w:val="24"/>
        </w:rPr>
      </w:pPr>
      <w:bookmarkStart w:id="56" w:name="_Toc331410106"/>
      <w:bookmarkStart w:id="57" w:name="_Toc234814104"/>
      <w:bookmarkStart w:id="58" w:name="_Toc509761009"/>
      <w:r w:rsidRPr="008E6CCD">
        <w:rPr>
          <w:rFonts w:ascii="Times New Roman" w:hAnsi="Times New Roman" w:cs="Times New Roman" w:hint="eastAsia"/>
          <w:kern w:val="0"/>
          <w:szCs w:val="24"/>
        </w:rPr>
        <w:t>8.5</w:t>
      </w:r>
      <w:r w:rsidRPr="008E6CCD">
        <w:rPr>
          <w:rFonts w:ascii="Times New Roman" w:hAnsi="Times New Roman" w:cs="Times New Roman" w:hint="eastAsia"/>
          <w:kern w:val="0"/>
          <w:szCs w:val="24"/>
        </w:rPr>
        <w:t>期末按债券品种分类的债券投资组合</w:t>
      </w:r>
      <w:bookmarkEnd w:id="56"/>
      <w:bookmarkEnd w:id="57"/>
      <w:bookmarkEnd w:id="58"/>
    </w:p>
    <w:p w:rsidR="00260867" w:rsidRPr="00E22B0E" w:rsidRDefault="00644AB5" w:rsidP="00E22B0E">
      <w:pPr>
        <w:autoSpaceDE w:val="0"/>
        <w:autoSpaceDN w:val="0"/>
        <w:adjustRightInd w:val="0"/>
        <w:spacing w:before="29" w:line="288" w:lineRule="auto"/>
        <w:ind w:left="15"/>
        <w:jc w:val="right"/>
        <w:rPr>
          <w:sz w:val="24"/>
        </w:rPr>
      </w:pPr>
      <w:r w:rsidRPr="00E22B0E">
        <w:rPr>
          <w:rFonts w:hint="eastAsia"/>
          <w:sz w:val="24"/>
        </w:rPr>
        <w:t>金额单位</w:t>
      </w:r>
      <w:r w:rsidR="006D141C" w:rsidRPr="00E22B0E">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2C233F" w:rsidRPr="00D0515B" w:rsidTr="00260867">
        <w:trPr>
          <w:trHeight w:val="315"/>
          <w:jc w:val="center"/>
        </w:trPr>
        <w:tc>
          <w:tcPr>
            <w:tcW w:w="793" w:type="dxa"/>
            <w:vAlign w:val="center"/>
          </w:tcPr>
          <w:p w:rsidR="00260867" w:rsidRPr="00E266FE" w:rsidRDefault="00260867" w:rsidP="00E266FE">
            <w:pPr>
              <w:spacing w:before="29" w:line="288" w:lineRule="auto"/>
              <w:ind w:left="17"/>
              <w:jc w:val="center"/>
              <w:rPr>
                <w:sz w:val="24"/>
              </w:rPr>
            </w:pPr>
            <w:r w:rsidRPr="00E266FE">
              <w:rPr>
                <w:rFonts w:hint="eastAsia"/>
                <w:sz w:val="24"/>
              </w:rPr>
              <w:t>序号</w:t>
            </w:r>
          </w:p>
        </w:tc>
        <w:tc>
          <w:tcPr>
            <w:tcW w:w="4330" w:type="dxa"/>
            <w:vAlign w:val="center"/>
          </w:tcPr>
          <w:p w:rsidR="00260867" w:rsidRPr="00E266FE" w:rsidRDefault="00260867" w:rsidP="00E266FE">
            <w:pPr>
              <w:spacing w:before="29" w:line="288" w:lineRule="auto"/>
              <w:ind w:left="17"/>
              <w:jc w:val="center"/>
              <w:rPr>
                <w:sz w:val="24"/>
              </w:rPr>
            </w:pPr>
            <w:r w:rsidRPr="00E266FE">
              <w:rPr>
                <w:rFonts w:hint="eastAsia"/>
                <w:sz w:val="24"/>
              </w:rPr>
              <w:t>债券品种</w:t>
            </w:r>
          </w:p>
        </w:tc>
        <w:tc>
          <w:tcPr>
            <w:tcW w:w="2631" w:type="dxa"/>
            <w:vAlign w:val="center"/>
          </w:tcPr>
          <w:p w:rsidR="00260867" w:rsidRPr="00E266FE" w:rsidRDefault="00765477" w:rsidP="00E266FE">
            <w:pPr>
              <w:spacing w:before="29" w:line="288" w:lineRule="auto"/>
              <w:ind w:left="17"/>
              <w:jc w:val="center"/>
              <w:rPr>
                <w:sz w:val="24"/>
              </w:rPr>
            </w:pPr>
            <w:r w:rsidRPr="00E266FE">
              <w:rPr>
                <w:rFonts w:hint="eastAsia"/>
                <w:sz w:val="24"/>
              </w:rPr>
              <w:t>摊余成本</w:t>
            </w:r>
          </w:p>
        </w:tc>
        <w:tc>
          <w:tcPr>
            <w:tcW w:w="1602" w:type="dxa"/>
            <w:vAlign w:val="center"/>
          </w:tcPr>
          <w:p w:rsidR="00260867" w:rsidRPr="00E266FE" w:rsidRDefault="00260867" w:rsidP="00E266FE">
            <w:pPr>
              <w:spacing w:before="29" w:line="288" w:lineRule="auto"/>
              <w:ind w:left="17"/>
              <w:jc w:val="center"/>
              <w:rPr>
                <w:sz w:val="24"/>
              </w:rPr>
            </w:pPr>
            <w:r w:rsidRPr="00E266FE">
              <w:rPr>
                <w:rFonts w:hint="eastAsia"/>
                <w:sz w:val="24"/>
              </w:rPr>
              <w:t>占基金资产净值比例</w:t>
            </w:r>
            <w:r w:rsidRPr="00E266FE">
              <w:rPr>
                <w:rFonts w:hint="eastAsia"/>
                <w:sz w:val="24"/>
              </w:rPr>
              <w:t>(</w:t>
            </w:r>
            <w:r w:rsidRPr="00E266FE">
              <w:rPr>
                <w:rFonts w:hint="eastAsia"/>
                <w:sz w:val="24"/>
              </w:rPr>
              <w:t>％</w:t>
            </w:r>
            <w:r w:rsidRPr="00E266FE">
              <w:rPr>
                <w:rFonts w:hint="eastAsia"/>
                <w:sz w:val="24"/>
              </w:rPr>
              <w:t>)</w:t>
            </w:r>
          </w:p>
        </w:tc>
      </w:tr>
      <w:tr w:rsidR="002C233F" w:rsidRPr="00D0515B" w:rsidTr="00B936F3">
        <w:trPr>
          <w:trHeight w:val="315"/>
          <w:jc w:val="center"/>
        </w:trPr>
        <w:tc>
          <w:tcPr>
            <w:tcW w:w="793" w:type="dxa"/>
            <w:vAlign w:val="center"/>
          </w:tcPr>
          <w:p w:rsidR="00260867" w:rsidRPr="00B936F3" w:rsidRDefault="00485680" w:rsidP="00B936F3">
            <w:pPr>
              <w:spacing w:before="29" w:line="288" w:lineRule="auto"/>
              <w:ind w:left="17"/>
              <w:jc w:val="center"/>
              <w:rPr>
                <w:sz w:val="24"/>
              </w:rPr>
            </w:pPr>
            <w:r w:rsidRPr="00B936F3">
              <w:rPr>
                <w:rFonts w:hint="eastAsia"/>
                <w:sz w:val="24"/>
              </w:rPr>
              <w:t>1</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国家债券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39,812,436.54</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0.80</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2</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央行票据</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3</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金融债券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234,743,853.88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4.74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其中：政策性金融债</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234,743,853.88</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4.74</w:t>
            </w:r>
          </w:p>
        </w:tc>
      </w:tr>
      <w:tr w:rsidR="002C233F" w:rsidRPr="00D0515B" w:rsidTr="00B936F3">
        <w:trPr>
          <w:trHeight w:val="315"/>
          <w:jc w:val="center"/>
        </w:trPr>
        <w:tc>
          <w:tcPr>
            <w:tcW w:w="793" w:type="dxa"/>
            <w:vAlign w:val="center"/>
          </w:tcPr>
          <w:p w:rsidR="00260867" w:rsidRPr="00B936F3" w:rsidRDefault="00260867" w:rsidP="00B936F3">
            <w:pPr>
              <w:spacing w:before="29" w:line="288" w:lineRule="auto"/>
              <w:ind w:left="17"/>
              <w:jc w:val="center"/>
              <w:rPr>
                <w:sz w:val="24"/>
              </w:rPr>
            </w:pPr>
            <w:r w:rsidRPr="00B936F3">
              <w:rPr>
                <w:rFonts w:hint="eastAsia"/>
                <w:sz w:val="24"/>
              </w:rPr>
              <w:t>4</w:t>
            </w:r>
          </w:p>
        </w:tc>
        <w:tc>
          <w:tcPr>
            <w:tcW w:w="4330" w:type="dxa"/>
            <w:vAlign w:val="center"/>
          </w:tcPr>
          <w:p w:rsidR="00260867" w:rsidRPr="00B936F3" w:rsidRDefault="00260867" w:rsidP="00B936F3">
            <w:pPr>
              <w:spacing w:before="29" w:line="288" w:lineRule="auto"/>
              <w:ind w:left="17"/>
              <w:rPr>
                <w:sz w:val="24"/>
              </w:rPr>
            </w:pPr>
            <w:r w:rsidRPr="00B936F3">
              <w:rPr>
                <w:rFonts w:hint="eastAsia"/>
                <w:sz w:val="24"/>
              </w:rPr>
              <w:t>企业债券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2C233F" w:rsidRPr="00D0515B" w:rsidTr="00B47E37">
        <w:trPr>
          <w:trHeight w:val="315"/>
          <w:jc w:val="center"/>
        </w:trPr>
        <w:tc>
          <w:tcPr>
            <w:tcW w:w="793" w:type="dxa"/>
            <w:tcBorders>
              <w:bottom w:val="single" w:sz="4" w:space="0" w:color="000000"/>
            </w:tcBorders>
            <w:vAlign w:val="center"/>
          </w:tcPr>
          <w:p w:rsidR="00260867" w:rsidRPr="00B936F3" w:rsidRDefault="00260867" w:rsidP="00B936F3">
            <w:pPr>
              <w:spacing w:before="29" w:line="288" w:lineRule="auto"/>
              <w:ind w:left="17"/>
              <w:jc w:val="center"/>
              <w:rPr>
                <w:sz w:val="24"/>
              </w:rPr>
            </w:pPr>
            <w:r w:rsidRPr="00B936F3">
              <w:rPr>
                <w:rFonts w:hint="eastAsia"/>
                <w:sz w:val="24"/>
              </w:rPr>
              <w:t>5</w:t>
            </w:r>
          </w:p>
        </w:tc>
        <w:tc>
          <w:tcPr>
            <w:tcW w:w="4330" w:type="dxa"/>
            <w:tcBorders>
              <w:bottom w:val="single" w:sz="4" w:space="0" w:color="000000"/>
            </w:tcBorders>
            <w:vAlign w:val="center"/>
          </w:tcPr>
          <w:p w:rsidR="00260867" w:rsidRPr="00B936F3" w:rsidRDefault="00260867" w:rsidP="00B936F3">
            <w:pPr>
              <w:spacing w:before="29" w:line="288" w:lineRule="auto"/>
              <w:ind w:left="17"/>
              <w:rPr>
                <w:sz w:val="24"/>
              </w:rPr>
            </w:pPr>
            <w:r w:rsidRPr="00B936F3">
              <w:rPr>
                <w:rFonts w:hint="eastAsia"/>
                <w:sz w:val="24"/>
              </w:rPr>
              <w:t>企业短期融资</w:t>
            </w:r>
            <w:r w:rsidR="00827EC3" w:rsidRPr="00B936F3">
              <w:rPr>
                <w:rFonts w:hint="eastAsia"/>
                <w:sz w:val="24"/>
              </w:rPr>
              <w:t>券</w:t>
            </w:r>
          </w:p>
        </w:tc>
        <w:tc>
          <w:tcPr>
            <w:tcW w:w="2631" w:type="dxa"/>
            <w:vAlign w:val="center"/>
          </w:tcPr>
          <w:p w:rsidR="00260867" w:rsidRPr="00875D01" w:rsidRDefault="00260867" w:rsidP="00875D01">
            <w:pPr>
              <w:spacing w:before="29" w:line="288" w:lineRule="auto"/>
              <w:jc w:val="right"/>
              <w:rPr>
                <w:sz w:val="24"/>
              </w:rPr>
            </w:pPr>
            <w:r w:rsidRPr="00875D01">
              <w:rPr>
                <w:rFonts w:hint="eastAsia"/>
                <w:sz w:val="24"/>
              </w:rPr>
              <w:t>-</w:t>
            </w:r>
          </w:p>
        </w:tc>
        <w:tc>
          <w:tcPr>
            <w:tcW w:w="1602" w:type="dxa"/>
            <w:vAlign w:val="center"/>
          </w:tcPr>
          <w:p w:rsidR="00260867" w:rsidRPr="00875D01" w:rsidRDefault="00260867" w:rsidP="00875D01">
            <w:pPr>
              <w:spacing w:before="29" w:line="288" w:lineRule="auto"/>
              <w:jc w:val="right"/>
              <w:rPr>
                <w:sz w:val="24"/>
              </w:rPr>
            </w:pPr>
            <w:r w:rsidRPr="00875D01">
              <w:rPr>
                <w:rFonts w:hint="eastAsia"/>
                <w:sz w:val="24"/>
              </w:rPr>
              <w:t>-</w:t>
            </w:r>
          </w:p>
        </w:tc>
      </w:tr>
      <w:tr w:rsidR="00F32C86" w:rsidRPr="00875D01" w:rsidTr="00D32085">
        <w:trPr>
          <w:trHeight w:val="315"/>
          <w:jc w:val="center"/>
        </w:trPr>
        <w:tc>
          <w:tcPr>
            <w:tcW w:w="793" w:type="dxa"/>
            <w:shd w:val="clear" w:color="auto" w:fill="auto"/>
            <w:vAlign w:val="center"/>
          </w:tcPr>
          <w:p w:rsidR="00F32C86" w:rsidRPr="00B936F3" w:rsidRDefault="00F32C86" w:rsidP="00D32085">
            <w:pPr>
              <w:spacing w:before="29" w:line="288" w:lineRule="auto"/>
              <w:ind w:left="17"/>
              <w:jc w:val="center"/>
              <w:rPr>
                <w:sz w:val="24"/>
              </w:rPr>
            </w:pPr>
            <w:r w:rsidRPr="00B936F3">
              <w:rPr>
                <w:rFonts w:hint="eastAsia"/>
                <w:sz w:val="24"/>
              </w:rPr>
              <w:t>6</w:t>
            </w:r>
          </w:p>
        </w:tc>
        <w:tc>
          <w:tcPr>
            <w:tcW w:w="4330" w:type="dxa"/>
            <w:shd w:val="clear" w:color="auto" w:fill="auto"/>
            <w:vAlign w:val="center"/>
          </w:tcPr>
          <w:p w:rsidR="00F32C86" w:rsidRPr="00B936F3" w:rsidRDefault="00F32C86" w:rsidP="00D32085">
            <w:pPr>
              <w:spacing w:before="29" w:line="288" w:lineRule="auto"/>
              <w:ind w:left="17"/>
              <w:rPr>
                <w:sz w:val="24"/>
              </w:rPr>
            </w:pPr>
            <w:r w:rsidRPr="00B936F3">
              <w:rPr>
                <w:rFonts w:hint="eastAsia"/>
                <w:sz w:val="24"/>
              </w:rPr>
              <w:t>中期票据</w:t>
            </w:r>
          </w:p>
        </w:tc>
        <w:tc>
          <w:tcPr>
            <w:tcW w:w="2631" w:type="dxa"/>
            <w:vAlign w:val="center"/>
          </w:tcPr>
          <w:p w:rsidR="00F32C86" w:rsidRPr="00875D01" w:rsidRDefault="00F32C86" w:rsidP="00D32085">
            <w:pPr>
              <w:spacing w:before="29" w:line="288" w:lineRule="auto"/>
              <w:jc w:val="right"/>
              <w:rPr>
                <w:sz w:val="24"/>
              </w:rPr>
            </w:pPr>
            <w:r w:rsidRPr="00875D01">
              <w:rPr>
                <w:rFonts w:hint="eastAsia"/>
                <w:sz w:val="24"/>
              </w:rPr>
              <w:t>-</w:t>
            </w:r>
          </w:p>
        </w:tc>
        <w:tc>
          <w:tcPr>
            <w:tcW w:w="1602" w:type="dxa"/>
            <w:vAlign w:val="center"/>
          </w:tcPr>
          <w:p w:rsidR="00F32C86" w:rsidRPr="00875D01" w:rsidRDefault="00F32C86" w:rsidP="00D32085">
            <w:pPr>
              <w:spacing w:before="29" w:line="288" w:lineRule="auto"/>
              <w:jc w:val="right"/>
              <w:rPr>
                <w:sz w:val="24"/>
              </w:rPr>
            </w:pPr>
            <w:r w:rsidRPr="00875D01">
              <w:rPr>
                <w:rFonts w:hint="eastAsia"/>
                <w:sz w:val="24"/>
              </w:rPr>
              <w:t>-</w:t>
            </w:r>
          </w:p>
        </w:tc>
      </w:tr>
      <w:tr w:rsidR="00F32C86" w:rsidRPr="00D0515B" w:rsidTr="00B47E37">
        <w:trPr>
          <w:trHeight w:val="315"/>
          <w:jc w:val="center"/>
        </w:trPr>
        <w:tc>
          <w:tcPr>
            <w:tcW w:w="793" w:type="dxa"/>
            <w:shd w:val="clear" w:color="auto" w:fill="auto"/>
            <w:vAlign w:val="center"/>
          </w:tcPr>
          <w:p w:rsidR="00F32C86" w:rsidRPr="00B936F3" w:rsidRDefault="00F32C86" w:rsidP="00F32C86">
            <w:pPr>
              <w:spacing w:before="29" w:line="288" w:lineRule="auto"/>
              <w:ind w:left="17"/>
              <w:jc w:val="center"/>
              <w:rPr>
                <w:sz w:val="24"/>
              </w:rPr>
            </w:pPr>
            <w:r>
              <w:rPr>
                <w:sz w:val="24"/>
              </w:rPr>
              <w:t>7</w:t>
            </w:r>
          </w:p>
        </w:tc>
        <w:tc>
          <w:tcPr>
            <w:tcW w:w="4330" w:type="dxa"/>
            <w:shd w:val="clear" w:color="auto" w:fill="auto"/>
            <w:vAlign w:val="center"/>
          </w:tcPr>
          <w:p w:rsidR="00F32C86" w:rsidRPr="00D83C34" w:rsidRDefault="00F32C86" w:rsidP="00F32C86">
            <w:pPr>
              <w:spacing w:before="29" w:line="288" w:lineRule="auto"/>
              <w:ind w:left="17"/>
              <w:rPr>
                <w:sz w:val="24"/>
              </w:rPr>
            </w:pPr>
            <w:r w:rsidRPr="00D83C34">
              <w:rPr>
                <w:rFonts w:hint="eastAsia"/>
                <w:sz w:val="24"/>
              </w:rPr>
              <w:t>同业存单</w:t>
            </w:r>
          </w:p>
        </w:tc>
        <w:tc>
          <w:tcPr>
            <w:tcW w:w="2631" w:type="dxa"/>
            <w:vAlign w:val="center"/>
          </w:tcPr>
          <w:p w:rsidR="00F32C86" w:rsidRPr="00D83C34" w:rsidRDefault="00F32C86" w:rsidP="004E2E89">
            <w:pPr>
              <w:spacing w:before="29" w:line="288" w:lineRule="auto"/>
              <w:ind w:left="17"/>
              <w:jc w:val="right"/>
              <w:rPr>
                <w:sz w:val="24"/>
              </w:rPr>
            </w:pPr>
            <w:r w:rsidRPr="00D83C34">
              <w:rPr>
                <w:rFonts w:hint="eastAsia"/>
                <w:sz w:val="24"/>
              </w:rPr>
              <w:t>3,126,272,195.47</w:t>
            </w:r>
          </w:p>
        </w:tc>
        <w:tc>
          <w:tcPr>
            <w:tcW w:w="1602" w:type="dxa"/>
            <w:vAlign w:val="center"/>
          </w:tcPr>
          <w:p w:rsidR="00F32C86" w:rsidRPr="00D83C34" w:rsidRDefault="00F32C86" w:rsidP="004E2E89">
            <w:pPr>
              <w:spacing w:before="29" w:line="288" w:lineRule="auto"/>
              <w:ind w:left="17"/>
              <w:jc w:val="right"/>
              <w:rPr>
                <w:sz w:val="24"/>
              </w:rPr>
            </w:pPr>
            <w:r w:rsidRPr="00D83C34">
              <w:rPr>
                <w:rFonts w:hint="eastAsia"/>
                <w:sz w:val="24"/>
              </w:rPr>
              <w:t>63.07</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8</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其他</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w:t>
            </w:r>
          </w:p>
        </w:tc>
      </w:tr>
      <w:tr w:rsidR="002C233F" w:rsidRPr="00D0515B" w:rsidTr="00B936F3">
        <w:trPr>
          <w:trHeight w:val="315"/>
          <w:jc w:val="center"/>
        </w:trPr>
        <w:tc>
          <w:tcPr>
            <w:tcW w:w="793" w:type="dxa"/>
            <w:vAlign w:val="center"/>
          </w:tcPr>
          <w:p w:rsidR="008C40A4" w:rsidRPr="00B936F3" w:rsidRDefault="008C40A4" w:rsidP="00B936F3">
            <w:pPr>
              <w:spacing w:before="29" w:line="288" w:lineRule="auto"/>
              <w:ind w:left="17"/>
              <w:jc w:val="center"/>
              <w:rPr>
                <w:sz w:val="24"/>
              </w:rPr>
            </w:pPr>
            <w:r w:rsidRPr="00B936F3">
              <w:rPr>
                <w:rFonts w:hint="eastAsia"/>
                <w:sz w:val="24"/>
              </w:rPr>
              <w:t>9</w:t>
            </w:r>
          </w:p>
        </w:tc>
        <w:tc>
          <w:tcPr>
            <w:tcW w:w="4330" w:type="dxa"/>
            <w:vAlign w:val="center"/>
          </w:tcPr>
          <w:p w:rsidR="008C40A4" w:rsidRPr="00B936F3" w:rsidRDefault="008C40A4" w:rsidP="00B936F3">
            <w:pPr>
              <w:spacing w:before="29" w:line="288" w:lineRule="auto"/>
              <w:ind w:left="17"/>
              <w:rPr>
                <w:sz w:val="24"/>
              </w:rPr>
            </w:pPr>
            <w:r w:rsidRPr="00B936F3">
              <w:rPr>
                <w:rFonts w:hint="eastAsia"/>
                <w:sz w:val="24"/>
              </w:rPr>
              <w:t>合计</w:t>
            </w:r>
          </w:p>
        </w:tc>
        <w:tc>
          <w:tcPr>
            <w:tcW w:w="2631" w:type="dxa"/>
            <w:vAlign w:val="center"/>
          </w:tcPr>
          <w:p w:rsidR="008C40A4" w:rsidRPr="00875D01" w:rsidRDefault="008C40A4" w:rsidP="00875D01">
            <w:pPr>
              <w:spacing w:before="29" w:line="288" w:lineRule="auto"/>
              <w:jc w:val="right"/>
              <w:rPr>
                <w:sz w:val="24"/>
              </w:rPr>
            </w:pPr>
            <w:r w:rsidRPr="00875D01">
              <w:rPr>
                <w:rFonts w:hint="eastAsia"/>
                <w:sz w:val="24"/>
              </w:rPr>
              <w:t>3,400,828,485.89</w:t>
            </w:r>
          </w:p>
        </w:tc>
        <w:tc>
          <w:tcPr>
            <w:tcW w:w="1602" w:type="dxa"/>
            <w:vAlign w:val="center"/>
          </w:tcPr>
          <w:p w:rsidR="008C40A4" w:rsidRPr="00875D01" w:rsidRDefault="008C40A4" w:rsidP="00875D01">
            <w:pPr>
              <w:spacing w:before="29" w:line="288" w:lineRule="auto"/>
              <w:jc w:val="right"/>
              <w:rPr>
                <w:sz w:val="24"/>
              </w:rPr>
            </w:pPr>
            <w:r w:rsidRPr="00875D01">
              <w:rPr>
                <w:rFonts w:hint="eastAsia"/>
                <w:sz w:val="24"/>
              </w:rPr>
              <w:t>68.61</w:t>
            </w:r>
          </w:p>
        </w:tc>
      </w:tr>
      <w:tr w:rsidR="002C233F" w:rsidRPr="00D0515B" w:rsidTr="00795E9B">
        <w:trPr>
          <w:trHeight w:val="315"/>
          <w:jc w:val="center"/>
        </w:trPr>
        <w:tc>
          <w:tcPr>
            <w:tcW w:w="793" w:type="dxa"/>
            <w:vAlign w:val="center"/>
          </w:tcPr>
          <w:p w:rsidR="004C7A02" w:rsidRPr="005D6DCD" w:rsidRDefault="004C7A02" w:rsidP="00795E9B">
            <w:pPr>
              <w:spacing w:before="29" w:line="288" w:lineRule="auto"/>
              <w:ind w:left="17"/>
              <w:jc w:val="center"/>
              <w:rPr>
                <w:sz w:val="24"/>
              </w:rPr>
            </w:pPr>
            <w:r w:rsidRPr="005D6DCD">
              <w:rPr>
                <w:rFonts w:hint="eastAsia"/>
                <w:sz w:val="24"/>
              </w:rPr>
              <w:t>10</w:t>
            </w:r>
          </w:p>
        </w:tc>
        <w:tc>
          <w:tcPr>
            <w:tcW w:w="4330" w:type="dxa"/>
            <w:vAlign w:val="center"/>
          </w:tcPr>
          <w:p w:rsidR="004C7A02" w:rsidRPr="005D6DCD" w:rsidRDefault="004C7A02" w:rsidP="005D6DCD">
            <w:pPr>
              <w:spacing w:before="29" w:line="288" w:lineRule="auto"/>
              <w:ind w:leftChars="50" w:left="105"/>
              <w:rPr>
                <w:sz w:val="24"/>
              </w:rPr>
            </w:pPr>
            <w:r w:rsidRPr="005D6DCD">
              <w:rPr>
                <w:rFonts w:hint="eastAsia"/>
                <w:sz w:val="24"/>
              </w:rPr>
              <w:t>剩余存续期超过</w:t>
            </w:r>
            <w:r w:rsidRPr="005D6DCD">
              <w:rPr>
                <w:sz w:val="24"/>
              </w:rPr>
              <w:t>397</w:t>
            </w:r>
            <w:r w:rsidRPr="005D6DCD">
              <w:rPr>
                <w:rFonts w:hint="eastAsia"/>
                <w:sz w:val="24"/>
              </w:rPr>
              <w:t>天的浮动利率债券</w:t>
            </w:r>
          </w:p>
        </w:tc>
        <w:tc>
          <w:tcPr>
            <w:tcW w:w="2631" w:type="dxa"/>
          </w:tcPr>
          <w:p w:rsidR="004C7A02" w:rsidRPr="00875D01" w:rsidRDefault="004C7A02" w:rsidP="00875D01">
            <w:pPr>
              <w:spacing w:before="29" w:line="288" w:lineRule="auto"/>
              <w:jc w:val="right"/>
              <w:rPr>
                <w:sz w:val="24"/>
              </w:rPr>
            </w:pPr>
            <w:r w:rsidRPr="00875D01">
              <w:rPr>
                <w:rFonts w:hint="eastAsia"/>
                <w:sz w:val="24"/>
              </w:rPr>
              <w:t>-</w:t>
            </w:r>
          </w:p>
        </w:tc>
        <w:tc>
          <w:tcPr>
            <w:tcW w:w="1602" w:type="dxa"/>
          </w:tcPr>
          <w:p w:rsidR="004C7A02" w:rsidRPr="00875D01" w:rsidRDefault="004C7A02" w:rsidP="00875D01">
            <w:pPr>
              <w:spacing w:before="29" w:line="288" w:lineRule="auto"/>
              <w:jc w:val="right"/>
              <w:rPr>
                <w:sz w:val="24"/>
              </w:rPr>
            </w:pPr>
            <w:r w:rsidRPr="00875D01">
              <w:rPr>
                <w:rFonts w:hint="eastAsia"/>
                <w:sz w:val="24"/>
              </w:rPr>
              <w:t>-</w:t>
            </w:r>
          </w:p>
        </w:tc>
      </w:tr>
    </w:tbl>
    <w:p w:rsidR="006D141C" w:rsidRPr="0059081C"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DD6A8C" w:rsidRDefault="006D141C" w:rsidP="00DD6A8C">
      <w:pPr>
        <w:pStyle w:val="20"/>
        <w:spacing w:before="29" w:after="0" w:line="288" w:lineRule="auto"/>
        <w:rPr>
          <w:rFonts w:ascii="Times New Roman" w:hAnsi="Times New Roman" w:cs="Times New Roman"/>
          <w:kern w:val="0"/>
          <w:szCs w:val="24"/>
        </w:rPr>
      </w:pPr>
      <w:bookmarkStart w:id="59" w:name="_Toc331410107"/>
      <w:bookmarkStart w:id="60" w:name="_Toc509761010"/>
      <w:r w:rsidRPr="00DD6A8C">
        <w:rPr>
          <w:rFonts w:ascii="Times New Roman" w:hAnsi="Times New Roman" w:cs="Times New Roman" w:hint="eastAsia"/>
          <w:kern w:val="0"/>
          <w:szCs w:val="24"/>
        </w:rPr>
        <w:t>8.6</w:t>
      </w:r>
      <w:bookmarkEnd w:id="59"/>
      <w:r w:rsidR="003A0E36" w:rsidRPr="00DD6A8C">
        <w:rPr>
          <w:rFonts w:ascii="Times New Roman" w:hAnsi="Times New Roman" w:cs="Times New Roman"/>
          <w:kern w:val="0"/>
          <w:szCs w:val="24"/>
        </w:rPr>
        <w:t>期末按摊余成本占基金资产净值比例大小排</w:t>
      </w:r>
      <w:r w:rsidR="00B831BF">
        <w:rPr>
          <w:rFonts w:ascii="Times New Roman" w:hAnsi="Times New Roman" w:cs="Times New Roman" w:hint="eastAsia"/>
          <w:kern w:val="0"/>
          <w:szCs w:val="24"/>
        </w:rPr>
        <w:t>序</w:t>
      </w:r>
      <w:r w:rsidR="003A0E36" w:rsidRPr="00DD6A8C">
        <w:rPr>
          <w:rFonts w:ascii="Times New Roman" w:hAnsi="Times New Roman" w:cs="Times New Roman"/>
          <w:kern w:val="0"/>
          <w:szCs w:val="24"/>
        </w:rPr>
        <w:t>的前十名债券投资明细</w:t>
      </w:r>
      <w:bookmarkEnd w:id="60"/>
    </w:p>
    <w:p w:rsidR="006D141C" w:rsidRPr="00DD6A8C" w:rsidRDefault="00644AB5" w:rsidP="00DD6A8C">
      <w:pPr>
        <w:autoSpaceDE w:val="0"/>
        <w:autoSpaceDN w:val="0"/>
        <w:adjustRightInd w:val="0"/>
        <w:spacing w:before="29" w:line="288" w:lineRule="auto"/>
        <w:ind w:left="15"/>
        <w:jc w:val="right"/>
        <w:rPr>
          <w:sz w:val="24"/>
        </w:rPr>
      </w:pPr>
      <w:r w:rsidRPr="00DD6A8C">
        <w:rPr>
          <w:rFonts w:hint="eastAsia"/>
          <w:sz w:val="24"/>
        </w:rPr>
        <w:t>金额单位</w:t>
      </w:r>
      <w:r w:rsidR="006D141C" w:rsidRPr="00DD6A8C">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2C233F" w:rsidRPr="00D0515B" w:rsidTr="004E358C">
        <w:trPr>
          <w:trHeight w:val="286"/>
          <w:jc w:val="center"/>
        </w:trPr>
        <w:tc>
          <w:tcPr>
            <w:tcW w:w="768" w:type="dxa"/>
            <w:vAlign w:val="center"/>
          </w:tcPr>
          <w:p w:rsidR="00481742" w:rsidRPr="00AA0CBD" w:rsidRDefault="00481742" w:rsidP="00AA0CBD">
            <w:pPr>
              <w:spacing w:before="29" w:line="288" w:lineRule="auto"/>
              <w:jc w:val="center"/>
              <w:rPr>
                <w:sz w:val="24"/>
              </w:rPr>
            </w:pPr>
            <w:r w:rsidRPr="00AA0CBD">
              <w:rPr>
                <w:sz w:val="24"/>
              </w:rPr>
              <w:t>序号</w:t>
            </w:r>
          </w:p>
        </w:tc>
        <w:tc>
          <w:tcPr>
            <w:tcW w:w="1329" w:type="dxa"/>
            <w:vAlign w:val="center"/>
          </w:tcPr>
          <w:p w:rsidR="00481742" w:rsidRPr="00AA0CBD" w:rsidRDefault="00481742" w:rsidP="00AA0CBD">
            <w:pPr>
              <w:spacing w:before="29" w:line="288" w:lineRule="auto"/>
              <w:jc w:val="center"/>
              <w:rPr>
                <w:sz w:val="24"/>
              </w:rPr>
            </w:pPr>
            <w:r w:rsidRPr="00AA0CBD">
              <w:rPr>
                <w:sz w:val="24"/>
              </w:rPr>
              <w:t>债券代码</w:t>
            </w:r>
          </w:p>
        </w:tc>
        <w:tc>
          <w:tcPr>
            <w:tcW w:w="1762"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债券名称</w:t>
            </w:r>
          </w:p>
        </w:tc>
        <w:tc>
          <w:tcPr>
            <w:tcW w:w="1731"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债券数量</w:t>
            </w:r>
            <w:r w:rsidRPr="00AA0CBD">
              <w:rPr>
                <w:sz w:val="24"/>
              </w:rPr>
              <w:t>(</w:t>
            </w:r>
            <w:r w:rsidRPr="00AA0CBD">
              <w:rPr>
                <w:sz w:val="24"/>
              </w:rPr>
              <w:t>张</w:t>
            </w:r>
            <w:r w:rsidRPr="00AA0CBD">
              <w:rPr>
                <w:sz w:val="24"/>
              </w:rPr>
              <w:t>)</w:t>
            </w:r>
          </w:p>
        </w:tc>
        <w:tc>
          <w:tcPr>
            <w:tcW w:w="198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摊余成本</w:t>
            </w:r>
          </w:p>
        </w:tc>
        <w:tc>
          <w:tcPr>
            <w:tcW w:w="1520" w:type="dxa"/>
            <w:tcMar>
              <w:top w:w="15" w:type="dxa"/>
              <w:left w:w="15" w:type="dxa"/>
              <w:bottom w:w="0" w:type="dxa"/>
              <w:right w:w="15" w:type="dxa"/>
            </w:tcMar>
            <w:vAlign w:val="center"/>
          </w:tcPr>
          <w:p w:rsidR="00481742" w:rsidRPr="00AA0CBD" w:rsidRDefault="00481742" w:rsidP="00AA0CBD">
            <w:pPr>
              <w:spacing w:before="29" w:line="288" w:lineRule="auto"/>
              <w:jc w:val="center"/>
              <w:rPr>
                <w:sz w:val="24"/>
              </w:rPr>
            </w:pPr>
            <w:r w:rsidRPr="00AA0CBD">
              <w:rPr>
                <w:sz w:val="24"/>
              </w:rPr>
              <w:t>占基金资产净</w:t>
            </w:r>
          </w:p>
          <w:p w:rsidR="00481742" w:rsidRPr="00AA0CBD" w:rsidRDefault="00481742" w:rsidP="00AA0CBD">
            <w:pPr>
              <w:spacing w:before="29" w:line="288" w:lineRule="auto"/>
              <w:jc w:val="center"/>
              <w:rPr>
                <w:sz w:val="24"/>
              </w:rPr>
            </w:pPr>
            <w:r w:rsidRPr="00AA0CBD">
              <w:rPr>
                <w:sz w:val="24"/>
              </w:rPr>
              <w:t>值比例（％）</w:t>
            </w:r>
          </w:p>
        </w:tc>
      </w:tr>
      <w:tr w:rsidR="00B5600D">
        <w:trPr>
          <w:jc w:val="center"/>
        </w:trPr>
        <w:tc>
          <w:tcPr>
            <w:tcW w:w="768" w:type="dxa"/>
            <w:vAlign w:val="center"/>
          </w:tcPr>
          <w:p w:rsidR="00B5600D" w:rsidRDefault="00D91A1A">
            <w:pPr>
              <w:jc w:val="center"/>
            </w:pPr>
            <w:r>
              <w:rPr>
                <w:rFonts w:hint="eastAsia"/>
                <w:sz w:val="24"/>
              </w:rPr>
              <w:t>1</w:t>
            </w:r>
          </w:p>
        </w:tc>
        <w:tc>
          <w:tcPr>
            <w:tcW w:w="1329" w:type="dxa"/>
            <w:vAlign w:val="center"/>
          </w:tcPr>
          <w:p w:rsidR="00B5600D" w:rsidRDefault="00D91A1A">
            <w:pPr>
              <w:jc w:val="center"/>
            </w:pPr>
            <w:r>
              <w:rPr>
                <w:rFonts w:hint="eastAsia"/>
                <w:sz w:val="24"/>
              </w:rPr>
              <w:t>111719418</w:t>
            </w:r>
          </w:p>
        </w:tc>
        <w:tc>
          <w:tcPr>
            <w:tcW w:w="1762" w:type="dxa"/>
            <w:vAlign w:val="center"/>
          </w:tcPr>
          <w:p w:rsidR="00B5600D" w:rsidRDefault="00D91A1A">
            <w:pPr>
              <w:jc w:val="center"/>
            </w:pPr>
            <w:r>
              <w:rPr>
                <w:rFonts w:hint="eastAsia"/>
                <w:sz w:val="24"/>
              </w:rPr>
              <w:t>17</w:t>
            </w:r>
            <w:r>
              <w:rPr>
                <w:rFonts w:hint="eastAsia"/>
                <w:sz w:val="24"/>
              </w:rPr>
              <w:t>恒丰银行</w:t>
            </w:r>
            <w:r>
              <w:rPr>
                <w:rFonts w:hint="eastAsia"/>
                <w:sz w:val="24"/>
              </w:rPr>
              <w:t>CD418</w:t>
            </w:r>
          </w:p>
        </w:tc>
        <w:tc>
          <w:tcPr>
            <w:tcW w:w="1731" w:type="dxa"/>
            <w:vAlign w:val="center"/>
          </w:tcPr>
          <w:p w:rsidR="00B5600D" w:rsidRDefault="00D91A1A">
            <w:pPr>
              <w:jc w:val="center"/>
            </w:pPr>
            <w:r>
              <w:rPr>
                <w:rFonts w:hint="eastAsia"/>
                <w:sz w:val="24"/>
              </w:rPr>
              <w:t>7,000,000</w:t>
            </w:r>
          </w:p>
        </w:tc>
        <w:tc>
          <w:tcPr>
            <w:tcW w:w="1980" w:type="dxa"/>
            <w:vAlign w:val="center"/>
          </w:tcPr>
          <w:p w:rsidR="00B5600D" w:rsidRDefault="00D91A1A">
            <w:pPr>
              <w:jc w:val="center"/>
            </w:pPr>
            <w:r>
              <w:rPr>
                <w:rFonts w:hint="eastAsia"/>
                <w:sz w:val="24"/>
              </w:rPr>
              <w:t>691,627,376.79</w:t>
            </w:r>
          </w:p>
        </w:tc>
        <w:tc>
          <w:tcPr>
            <w:tcW w:w="1520" w:type="dxa"/>
            <w:vAlign w:val="center"/>
          </w:tcPr>
          <w:p w:rsidR="00B5600D" w:rsidRDefault="00D91A1A">
            <w:pPr>
              <w:jc w:val="center"/>
            </w:pPr>
            <w:r>
              <w:rPr>
                <w:rFonts w:hint="eastAsia"/>
                <w:sz w:val="24"/>
              </w:rPr>
              <w:t>13.95</w:t>
            </w:r>
          </w:p>
        </w:tc>
      </w:tr>
      <w:tr w:rsidR="00B5600D">
        <w:trPr>
          <w:jc w:val="center"/>
        </w:trPr>
        <w:tc>
          <w:tcPr>
            <w:tcW w:w="768" w:type="dxa"/>
            <w:vAlign w:val="center"/>
          </w:tcPr>
          <w:p w:rsidR="00B5600D" w:rsidRDefault="00D91A1A">
            <w:pPr>
              <w:jc w:val="center"/>
            </w:pPr>
            <w:r>
              <w:rPr>
                <w:rFonts w:hint="eastAsia"/>
                <w:sz w:val="24"/>
              </w:rPr>
              <w:t>2</w:t>
            </w:r>
          </w:p>
        </w:tc>
        <w:tc>
          <w:tcPr>
            <w:tcW w:w="1329" w:type="dxa"/>
            <w:vAlign w:val="center"/>
          </w:tcPr>
          <w:p w:rsidR="00B5600D" w:rsidRDefault="00D91A1A">
            <w:pPr>
              <w:jc w:val="center"/>
            </w:pPr>
            <w:r>
              <w:rPr>
                <w:rFonts w:hint="eastAsia"/>
                <w:sz w:val="24"/>
              </w:rPr>
              <w:t>111771685</w:t>
            </w:r>
          </w:p>
        </w:tc>
        <w:tc>
          <w:tcPr>
            <w:tcW w:w="1762" w:type="dxa"/>
            <w:vAlign w:val="center"/>
          </w:tcPr>
          <w:p w:rsidR="00B5600D" w:rsidRDefault="00D91A1A">
            <w:pPr>
              <w:jc w:val="center"/>
            </w:pPr>
            <w:r>
              <w:rPr>
                <w:rFonts w:hint="eastAsia"/>
                <w:sz w:val="24"/>
              </w:rPr>
              <w:t>17</w:t>
            </w:r>
            <w:r>
              <w:rPr>
                <w:rFonts w:hint="eastAsia"/>
                <w:sz w:val="24"/>
              </w:rPr>
              <w:t>杭州银行</w:t>
            </w:r>
            <w:r>
              <w:rPr>
                <w:rFonts w:hint="eastAsia"/>
                <w:sz w:val="24"/>
              </w:rPr>
              <w:t>CD258</w:t>
            </w:r>
          </w:p>
        </w:tc>
        <w:tc>
          <w:tcPr>
            <w:tcW w:w="1731" w:type="dxa"/>
            <w:vAlign w:val="center"/>
          </w:tcPr>
          <w:p w:rsidR="00B5600D" w:rsidRDefault="00D91A1A">
            <w:pPr>
              <w:jc w:val="center"/>
            </w:pPr>
            <w:r>
              <w:rPr>
                <w:rFonts w:hint="eastAsia"/>
                <w:sz w:val="24"/>
              </w:rPr>
              <w:t>1,500,000</w:t>
            </w:r>
          </w:p>
        </w:tc>
        <w:tc>
          <w:tcPr>
            <w:tcW w:w="1980" w:type="dxa"/>
            <w:vAlign w:val="center"/>
          </w:tcPr>
          <w:p w:rsidR="00B5600D" w:rsidRDefault="00D91A1A">
            <w:pPr>
              <w:jc w:val="center"/>
            </w:pPr>
            <w:r>
              <w:rPr>
                <w:rFonts w:hint="eastAsia"/>
                <w:sz w:val="24"/>
              </w:rPr>
              <w:t>144,586,753.37</w:t>
            </w:r>
          </w:p>
        </w:tc>
        <w:tc>
          <w:tcPr>
            <w:tcW w:w="1520" w:type="dxa"/>
            <w:vAlign w:val="center"/>
          </w:tcPr>
          <w:p w:rsidR="00B5600D" w:rsidRDefault="00D91A1A">
            <w:pPr>
              <w:jc w:val="center"/>
            </w:pPr>
            <w:r>
              <w:rPr>
                <w:rFonts w:hint="eastAsia"/>
                <w:sz w:val="24"/>
              </w:rPr>
              <w:t>2.92</w:t>
            </w:r>
          </w:p>
        </w:tc>
      </w:tr>
      <w:tr w:rsidR="00B5600D">
        <w:trPr>
          <w:jc w:val="center"/>
        </w:trPr>
        <w:tc>
          <w:tcPr>
            <w:tcW w:w="768" w:type="dxa"/>
            <w:vAlign w:val="center"/>
          </w:tcPr>
          <w:p w:rsidR="00B5600D" w:rsidRDefault="00D91A1A">
            <w:pPr>
              <w:jc w:val="center"/>
            </w:pPr>
            <w:r>
              <w:rPr>
                <w:rFonts w:hint="eastAsia"/>
                <w:sz w:val="24"/>
              </w:rPr>
              <w:t>3</w:t>
            </w:r>
          </w:p>
        </w:tc>
        <w:tc>
          <w:tcPr>
            <w:tcW w:w="1329" w:type="dxa"/>
            <w:vAlign w:val="center"/>
          </w:tcPr>
          <w:p w:rsidR="00B5600D" w:rsidRDefault="00D91A1A">
            <w:pPr>
              <w:jc w:val="center"/>
            </w:pPr>
            <w:r>
              <w:rPr>
                <w:rFonts w:hint="eastAsia"/>
                <w:sz w:val="24"/>
              </w:rPr>
              <w:t>111791856</w:t>
            </w:r>
          </w:p>
        </w:tc>
        <w:tc>
          <w:tcPr>
            <w:tcW w:w="1762" w:type="dxa"/>
            <w:vAlign w:val="center"/>
          </w:tcPr>
          <w:p w:rsidR="00B5600D" w:rsidRDefault="00D91A1A">
            <w:pPr>
              <w:jc w:val="center"/>
            </w:pPr>
            <w:r>
              <w:rPr>
                <w:rFonts w:hint="eastAsia"/>
                <w:sz w:val="24"/>
              </w:rPr>
              <w:t>17</w:t>
            </w:r>
            <w:r>
              <w:rPr>
                <w:rFonts w:hint="eastAsia"/>
                <w:sz w:val="24"/>
              </w:rPr>
              <w:t>重庆银行</w:t>
            </w:r>
            <w:r>
              <w:rPr>
                <w:rFonts w:hint="eastAsia"/>
                <w:sz w:val="24"/>
              </w:rPr>
              <w:t>CD025</w:t>
            </w:r>
          </w:p>
        </w:tc>
        <w:tc>
          <w:tcPr>
            <w:tcW w:w="1731" w:type="dxa"/>
            <w:vAlign w:val="center"/>
          </w:tcPr>
          <w:p w:rsidR="00B5600D" w:rsidRDefault="00D91A1A">
            <w:pPr>
              <w:jc w:val="center"/>
            </w:pPr>
            <w:r>
              <w:rPr>
                <w:rFonts w:hint="eastAsia"/>
                <w:sz w:val="24"/>
              </w:rPr>
              <w:t>1,250,000</w:t>
            </w:r>
          </w:p>
        </w:tc>
        <w:tc>
          <w:tcPr>
            <w:tcW w:w="1980" w:type="dxa"/>
            <w:vAlign w:val="center"/>
          </w:tcPr>
          <w:p w:rsidR="00B5600D" w:rsidRDefault="00D91A1A">
            <w:pPr>
              <w:jc w:val="center"/>
            </w:pPr>
            <w:r>
              <w:rPr>
                <w:rFonts w:hint="eastAsia"/>
                <w:sz w:val="24"/>
              </w:rPr>
              <w:t>124,259,265.34</w:t>
            </w:r>
          </w:p>
        </w:tc>
        <w:tc>
          <w:tcPr>
            <w:tcW w:w="1520" w:type="dxa"/>
            <w:vAlign w:val="center"/>
          </w:tcPr>
          <w:p w:rsidR="00B5600D" w:rsidRDefault="00D91A1A">
            <w:pPr>
              <w:jc w:val="center"/>
            </w:pPr>
            <w:r>
              <w:rPr>
                <w:rFonts w:hint="eastAsia"/>
                <w:sz w:val="24"/>
              </w:rPr>
              <w:t>2.51</w:t>
            </w:r>
          </w:p>
        </w:tc>
      </w:tr>
      <w:tr w:rsidR="00B5600D">
        <w:trPr>
          <w:jc w:val="center"/>
        </w:trPr>
        <w:tc>
          <w:tcPr>
            <w:tcW w:w="768" w:type="dxa"/>
            <w:vAlign w:val="center"/>
          </w:tcPr>
          <w:p w:rsidR="00B5600D" w:rsidRDefault="00D91A1A">
            <w:pPr>
              <w:jc w:val="center"/>
            </w:pPr>
            <w:r>
              <w:rPr>
                <w:rFonts w:hint="eastAsia"/>
                <w:sz w:val="24"/>
              </w:rPr>
              <w:t>4</w:t>
            </w:r>
          </w:p>
        </w:tc>
        <w:tc>
          <w:tcPr>
            <w:tcW w:w="1329" w:type="dxa"/>
            <w:vAlign w:val="center"/>
          </w:tcPr>
          <w:p w:rsidR="00B5600D" w:rsidRDefault="00D91A1A">
            <w:pPr>
              <w:jc w:val="center"/>
            </w:pPr>
            <w:r>
              <w:rPr>
                <w:rFonts w:hint="eastAsia"/>
                <w:sz w:val="24"/>
              </w:rPr>
              <w:t>170408</w:t>
            </w:r>
          </w:p>
        </w:tc>
        <w:tc>
          <w:tcPr>
            <w:tcW w:w="1762" w:type="dxa"/>
            <w:vAlign w:val="center"/>
          </w:tcPr>
          <w:p w:rsidR="00B5600D" w:rsidRDefault="00D91A1A">
            <w:pPr>
              <w:jc w:val="center"/>
            </w:pPr>
            <w:r>
              <w:rPr>
                <w:rFonts w:hint="eastAsia"/>
                <w:sz w:val="24"/>
              </w:rPr>
              <w:t>17</w:t>
            </w:r>
            <w:r>
              <w:rPr>
                <w:rFonts w:hint="eastAsia"/>
                <w:sz w:val="24"/>
              </w:rPr>
              <w:t>农发</w:t>
            </w:r>
            <w:r>
              <w:rPr>
                <w:rFonts w:hint="eastAsia"/>
                <w:sz w:val="24"/>
              </w:rPr>
              <w:t>08</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99,863,314.29</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5</w:t>
            </w:r>
          </w:p>
        </w:tc>
        <w:tc>
          <w:tcPr>
            <w:tcW w:w="1329" w:type="dxa"/>
            <w:vAlign w:val="center"/>
          </w:tcPr>
          <w:p w:rsidR="00B5600D" w:rsidRDefault="00D91A1A">
            <w:pPr>
              <w:jc w:val="center"/>
            </w:pPr>
            <w:r>
              <w:rPr>
                <w:rFonts w:hint="eastAsia"/>
                <w:sz w:val="24"/>
              </w:rPr>
              <w:t>111781238</w:t>
            </w:r>
          </w:p>
        </w:tc>
        <w:tc>
          <w:tcPr>
            <w:tcW w:w="1762" w:type="dxa"/>
            <w:vAlign w:val="center"/>
          </w:tcPr>
          <w:p w:rsidR="00B5600D" w:rsidRDefault="00D91A1A">
            <w:pPr>
              <w:jc w:val="center"/>
            </w:pPr>
            <w:r>
              <w:rPr>
                <w:rFonts w:hint="eastAsia"/>
                <w:sz w:val="24"/>
              </w:rPr>
              <w:t>17</w:t>
            </w:r>
            <w:r>
              <w:rPr>
                <w:rFonts w:hint="eastAsia"/>
                <w:sz w:val="24"/>
              </w:rPr>
              <w:t>张家口银行</w:t>
            </w:r>
            <w:r>
              <w:rPr>
                <w:rFonts w:hint="eastAsia"/>
                <w:sz w:val="24"/>
              </w:rPr>
              <w:t>CD026</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99,836,596.21</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6</w:t>
            </w:r>
          </w:p>
        </w:tc>
        <w:tc>
          <w:tcPr>
            <w:tcW w:w="1329" w:type="dxa"/>
            <w:vAlign w:val="center"/>
          </w:tcPr>
          <w:p w:rsidR="00B5600D" w:rsidRDefault="00D91A1A">
            <w:pPr>
              <w:jc w:val="center"/>
            </w:pPr>
            <w:r>
              <w:rPr>
                <w:rFonts w:hint="eastAsia"/>
                <w:sz w:val="24"/>
              </w:rPr>
              <w:t>111781441</w:t>
            </w:r>
          </w:p>
        </w:tc>
        <w:tc>
          <w:tcPr>
            <w:tcW w:w="1762" w:type="dxa"/>
            <w:vAlign w:val="center"/>
          </w:tcPr>
          <w:p w:rsidR="00B5600D" w:rsidRDefault="00D91A1A">
            <w:pPr>
              <w:jc w:val="center"/>
            </w:pPr>
            <w:r>
              <w:rPr>
                <w:rFonts w:hint="eastAsia"/>
                <w:sz w:val="24"/>
              </w:rPr>
              <w:t>17</w:t>
            </w:r>
            <w:r>
              <w:rPr>
                <w:rFonts w:hint="eastAsia"/>
                <w:sz w:val="24"/>
              </w:rPr>
              <w:t>绍兴银行</w:t>
            </w:r>
            <w:r>
              <w:rPr>
                <w:rFonts w:hint="eastAsia"/>
                <w:sz w:val="24"/>
              </w:rPr>
              <w:t>CD074</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99,783,205.38</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7</w:t>
            </w:r>
          </w:p>
        </w:tc>
        <w:tc>
          <w:tcPr>
            <w:tcW w:w="1329" w:type="dxa"/>
            <w:vAlign w:val="center"/>
          </w:tcPr>
          <w:p w:rsidR="00B5600D" w:rsidRDefault="00D91A1A">
            <w:pPr>
              <w:jc w:val="center"/>
            </w:pPr>
            <w:r>
              <w:rPr>
                <w:rFonts w:hint="eastAsia"/>
                <w:sz w:val="24"/>
              </w:rPr>
              <w:t>111787166</w:t>
            </w:r>
          </w:p>
        </w:tc>
        <w:tc>
          <w:tcPr>
            <w:tcW w:w="1762" w:type="dxa"/>
            <w:vAlign w:val="center"/>
          </w:tcPr>
          <w:p w:rsidR="00B5600D" w:rsidRDefault="00D91A1A">
            <w:pPr>
              <w:jc w:val="center"/>
            </w:pPr>
            <w:r>
              <w:rPr>
                <w:rFonts w:hint="eastAsia"/>
                <w:sz w:val="24"/>
              </w:rPr>
              <w:t>17</w:t>
            </w:r>
            <w:r>
              <w:rPr>
                <w:rFonts w:hint="eastAsia"/>
                <w:sz w:val="24"/>
              </w:rPr>
              <w:t>吉林银行</w:t>
            </w:r>
            <w:r>
              <w:rPr>
                <w:rFonts w:hint="eastAsia"/>
                <w:sz w:val="24"/>
              </w:rPr>
              <w:t>CD165</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99,706,101.40</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8</w:t>
            </w:r>
          </w:p>
        </w:tc>
        <w:tc>
          <w:tcPr>
            <w:tcW w:w="1329" w:type="dxa"/>
            <w:vAlign w:val="center"/>
          </w:tcPr>
          <w:p w:rsidR="00B5600D" w:rsidRDefault="00D91A1A">
            <w:pPr>
              <w:jc w:val="center"/>
            </w:pPr>
            <w:r>
              <w:rPr>
                <w:rFonts w:hint="eastAsia"/>
                <w:sz w:val="24"/>
              </w:rPr>
              <w:t>111787476</w:t>
            </w:r>
          </w:p>
        </w:tc>
        <w:tc>
          <w:tcPr>
            <w:tcW w:w="1762" w:type="dxa"/>
            <w:vAlign w:val="center"/>
          </w:tcPr>
          <w:p w:rsidR="00B5600D" w:rsidRDefault="00D91A1A">
            <w:pPr>
              <w:jc w:val="center"/>
            </w:pPr>
            <w:r>
              <w:rPr>
                <w:rFonts w:hint="eastAsia"/>
                <w:sz w:val="24"/>
              </w:rPr>
              <w:t>17</w:t>
            </w:r>
            <w:r>
              <w:rPr>
                <w:rFonts w:hint="eastAsia"/>
                <w:sz w:val="24"/>
              </w:rPr>
              <w:t>瑞丰银行</w:t>
            </w:r>
            <w:r>
              <w:rPr>
                <w:rFonts w:hint="eastAsia"/>
                <w:sz w:val="24"/>
              </w:rPr>
              <w:t>CD116</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99,680,585.85</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9</w:t>
            </w:r>
          </w:p>
        </w:tc>
        <w:tc>
          <w:tcPr>
            <w:tcW w:w="1329" w:type="dxa"/>
            <w:vAlign w:val="center"/>
          </w:tcPr>
          <w:p w:rsidR="00B5600D" w:rsidRDefault="00D91A1A">
            <w:pPr>
              <w:jc w:val="center"/>
            </w:pPr>
            <w:r>
              <w:rPr>
                <w:rFonts w:hint="eastAsia"/>
                <w:sz w:val="24"/>
              </w:rPr>
              <w:t>111782105</w:t>
            </w:r>
          </w:p>
        </w:tc>
        <w:tc>
          <w:tcPr>
            <w:tcW w:w="1762" w:type="dxa"/>
            <w:vAlign w:val="center"/>
          </w:tcPr>
          <w:p w:rsidR="00B5600D" w:rsidRDefault="00D91A1A">
            <w:pPr>
              <w:jc w:val="center"/>
            </w:pPr>
            <w:r>
              <w:rPr>
                <w:rFonts w:hint="eastAsia"/>
                <w:sz w:val="24"/>
              </w:rPr>
              <w:t>17</w:t>
            </w:r>
            <w:r>
              <w:rPr>
                <w:rFonts w:hint="eastAsia"/>
                <w:sz w:val="24"/>
              </w:rPr>
              <w:t>廊坊银行</w:t>
            </w:r>
            <w:r>
              <w:rPr>
                <w:rFonts w:hint="eastAsia"/>
                <w:sz w:val="24"/>
              </w:rPr>
              <w:t>CD068</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99,604,714.12</w:t>
            </w:r>
          </w:p>
        </w:tc>
        <w:tc>
          <w:tcPr>
            <w:tcW w:w="1520" w:type="dxa"/>
            <w:vAlign w:val="center"/>
          </w:tcPr>
          <w:p w:rsidR="00B5600D" w:rsidRDefault="00D91A1A">
            <w:pPr>
              <w:jc w:val="center"/>
            </w:pPr>
            <w:r>
              <w:rPr>
                <w:rFonts w:hint="eastAsia"/>
                <w:sz w:val="24"/>
              </w:rPr>
              <w:t>2.01</w:t>
            </w:r>
          </w:p>
        </w:tc>
      </w:tr>
      <w:tr w:rsidR="00B5600D">
        <w:trPr>
          <w:jc w:val="center"/>
        </w:trPr>
        <w:tc>
          <w:tcPr>
            <w:tcW w:w="768" w:type="dxa"/>
            <w:vAlign w:val="center"/>
          </w:tcPr>
          <w:p w:rsidR="00B5600D" w:rsidRDefault="00D91A1A">
            <w:pPr>
              <w:jc w:val="center"/>
            </w:pPr>
            <w:r>
              <w:rPr>
                <w:rFonts w:hint="eastAsia"/>
                <w:sz w:val="24"/>
              </w:rPr>
              <w:t>10</w:t>
            </w:r>
          </w:p>
        </w:tc>
        <w:tc>
          <w:tcPr>
            <w:tcW w:w="1329" w:type="dxa"/>
            <w:vAlign w:val="center"/>
          </w:tcPr>
          <w:p w:rsidR="00B5600D" w:rsidRDefault="00D91A1A">
            <w:pPr>
              <w:jc w:val="center"/>
            </w:pPr>
            <w:r>
              <w:rPr>
                <w:rFonts w:hint="eastAsia"/>
                <w:sz w:val="24"/>
              </w:rPr>
              <w:t>111711343</w:t>
            </w:r>
          </w:p>
        </w:tc>
        <w:tc>
          <w:tcPr>
            <w:tcW w:w="1762" w:type="dxa"/>
            <w:vAlign w:val="center"/>
          </w:tcPr>
          <w:p w:rsidR="00B5600D" w:rsidRDefault="00D91A1A">
            <w:pPr>
              <w:jc w:val="center"/>
            </w:pPr>
            <w:r>
              <w:rPr>
                <w:rFonts w:hint="eastAsia"/>
                <w:sz w:val="24"/>
              </w:rPr>
              <w:t>17</w:t>
            </w:r>
            <w:r>
              <w:rPr>
                <w:rFonts w:hint="eastAsia"/>
                <w:sz w:val="24"/>
              </w:rPr>
              <w:t>平安银行</w:t>
            </w:r>
            <w:r>
              <w:rPr>
                <w:rFonts w:hint="eastAsia"/>
                <w:sz w:val="24"/>
              </w:rPr>
              <w:t>CD343</w:t>
            </w:r>
          </w:p>
        </w:tc>
        <w:tc>
          <w:tcPr>
            <w:tcW w:w="1731" w:type="dxa"/>
            <w:vAlign w:val="center"/>
          </w:tcPr>
          <w:p w:rsidR="00B5600D" w:rsidRDefault="00D91A1A">
            <w:pPr>
              <w:jc w:val="center"/>
            </w:pPr>
            <w:r>
              <w:rPr>
                <w:rFonts w:hint="eastAsia"/>
                <w:sz w:val="24"/>
              </w:rPr>
              <w:t>1,000,000</w:t>
            </w:r>
          </w:p>
        </w:tc>
        <w:tc>
          <w:tcPr>
            <w:tcW w:w="1980" w:type="dxa"/>
            <w:vAlign w:val="center"/>
          </w:tcPr>
          <w:p w:rsidR="00B5600D" w:rsidRDefault="00D91A1A">
            <w:pPr>
              <w:jc w:val="center"/>
            </w:pPr>
            <w:r>
              <w:rPr>
                <w:rFonts w:hint="eastAsia"/>
                <w:sz w:val="24"/>
              </w:rPr>
              <w:t>99,521,790.43</w:t>
            </w:r>
          </w:p>
        </w:tc>
        <w:tc>
          <w:tcPr>
            <w:tcW w:w="1520" w:type="dxa"/>
            <w:vAlign w:val="center"/>
          </w:tcPr>
          <w:p w:rsidR="00B5600D" w:rsidRDefault="00D91A1A">
            <w:pPr>
              <w:jc w:val="center"/>
            </w:pPr>
            <w:r>
              <w:rPr>
                <w:rFonts w:hint="eastAsia"/>
                <w:sz w:val="24"/>
              </w:rPr>
              <w:t>2.01</w:t>
            </w:r>
          </w:p>
        </w:tc>
      </w:tr>
    </w:tbl>
    <w:p w:rsidR="006D141C" w:rsidRPr="00D0515B"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473EE3" w:rsidRDefault="006D141C" w:rsidP="00473EE3">
      <w:pPr>
        <w:pStyle w:val="20"/>
        <w:spacing w:before="29" w:after="0" w:line="288" w:lineRule="auto"/>
        <w:rPr>
          <w:rFonts w:ascii="Times New Roman" w:hAnsi="Times New Roman" w:cs="Times New Roman"/>
          <w:kern w:val="0"/>
          <w:szCs w:val="24"/>
        </w:rPr>
      </w:pPr>
      <w:bookmarkStart w:id="61" w:name="_Toc331410108"/>
      <w:bookmarkStart w:id="62" w:name="_Toc509761011"/>
      <w:r w:rsidRPr="00473EE3">
        <w:rPr>
          <w:rFonts w:ascii="Times New Roman" w:hAnsi="Times New Roman" w:cs="Times New Roman" w:hint="eastAsia"/>
          <w:kern w:val="0"/>
          <w:szCs w:val="24"/>
        </w:rPr>
        <w:t>8.7</w:t>
      </w:r>
      <w:bookmarkEnd w:id="61"/>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影子定价</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与</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摊余成本法</w:t>
      </w:r>
      <w:r w:rsidR="007A380E" w:rsidRPr="00473EE3">
        <w:rPr>
          <w:rFonts w:ascii="Times New Roman" w:hAnsi="Times New Roman" w:cs="Times New Roman"/>
          <w:kern w:val="0"/>
          <w:szCs w:val="24"/>
        </w:rPr>
        <w:t>”</w:t>
      </w:r>
      <w:r w:rsidR="007A380E" w:rsidRPr="00473EE3">
        <w:rPr>
          <w:rFonts w:ascii="Times New Roman" w:hAnsi="Times New Roman" w:cs="Times New Roman"/>
          <w:kern w:val="0"/>
          <w:szCs w:val="24"/>
        </w:rPr>
        <w:t>确定的基金资产净值的偏离</w:t>
      </w:r>
      <w:bookmarkEnd w:id="62"/>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D0515B" w:rsidTr="00CC0DF6">
        <w:trPr>
          <w:trHeight w:val="285"/>
          <w:jc w:val="center"/>
        </w:trPr>
        <w:tc>
          <w:tcPr>
            <w:tcW w:w="6042"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项目</w:t>
            </w:r>
          </w:p>
        </w:tc>
        <w:tc>
          <w:tcPr>
            <w:tcW w:w="3314" w:type="dxa"/>
            <w:tcMar>
              <w:top w:w="15" w:type="dxa"/>
              <w:left w:w="15" w:type="dxa"/>
              <w:bottom w:w="0" w:type="dxa"/>
              <w:right w:w="15" w:type="dxa"/>
            </w:tcMar>
          </w:tcPr>
          <w:p w:rsidR="007A380E" w:rsidRPr="00036F88" w:rsidRDefault="007A380E" w:rsidP="00036F88">
            <w:pPr>
              <w:spacing w:before="29" w:line="288" w:lineRule="auto"/>
              <w:jc w:val="center"/>
              <w:rPr>
                <w:sz w:val="24"/>
              </w:rPr>
            </w:pPr>
            <w:r w:rsidRPr="00036F88">
              <w:rPr>
                <w:sz w:val="24"/>
              </w:rPr>
              <w:t>偏离情况</w:t>
            </w:r>
          </w:p>
        </w:tc>
      </w:tr>
      <w:tr w:rsidR="002C233F" w:rsidRPr="00D0515B" w:rsidTr="00CC0DF6">
        <w:trPr>
          <w:trHeight w:val="312"/>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报告期内偏离度的绝对值在</w:t>
            </w:r>
            <w:r w:rsidRPr="00036F88">
              <w:rPr>
                <w:sz w:val="24"/>
              </w:rPr>
              <w:t>0.25(</w:t>
            </w:r>
            <w:r w:rsidRPr="00036F88">
              <w:rPr>
                <w:sz w:val="24"/>
              </w:rPr>
              <w:t>含</w:t>
            </w:r>
            <w:r w:rsidRPr="00036F88">
              <w:rPr>
                <w:sz w:val="24"/>
              </w:rPr>
              <w:t>)-0.5%</w:t>
            </w:r>
            <w:r w:rsidRPr="00036F88">
              <w:rPr>
                <w:sz w:val="24"/>
              </w:rPr>
              <w:t>间的次数</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报告期内偏离度的最高值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0.0868%</w:t>
            </w:r>
          </w:p>
        </w:tc>
      </w:tr>
      <w:tr w:rsidR="002C233F" w:rsidRPr="00D0515B" w:rsidTr="00CC0DF6">
        <w:trPr>
          <w:trHeight w:val="285"/>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报告期内偏离度的最低值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-0.1061%</w:t>
            </w:r>
          </w:p>
        </w:tc>
      </w:tr>
      <w:tr w:rsidR="002C233F" w:rsidRPr="00D0515B" w:rsidTr="00CC0DF6">
        <w:trPr>
          <w:trHeight w:val="314"/>
          <w:jc w:val="center"/>
        </w:trPr>
        <w:tc>
          <w:tcPr>
            <w:tcW w:w="6042" w:type="dxa"/>
            <w:tcMar>
              <w:top w:w="15" w:type="dxa"/>
              <w:left w:w="15" w:type="dxa"/>
              <w:bottom w:w="0" w:type="dxa"/>
              <w:right w:w="15" w:type="dxa"/>
            </w:tcMar>
            <w:vAlign w:val="center"/>
          </w:tcPr>
          <w:p w:rsidR="007A380E" w:rsidRPr="00036F88" w:rsidRDefault="007A380E" w:rsidP="00036F88">
            <w:pPr>
              <w:spacing w:before="29" w:line="288" w:lineRule="auto"/>
              <w:rPr>
                <w:sz w:val="24"/>
              </w:rPr>
            </w:pPr>
            <w:r w:rsidRPr="00036F88">
              <w:rPr>
                <w:sz w:val="24"/>
              </w:rPr>
              <w:t>报告期内每个</w:t>
            </w:r>
            <w:r w:rsidR="006751B4" w:rsidRPr="00036F88">
              <w:rPr>
                <w:rFonts w:hint="eastAsia"/>
                <w:sz w:val="24"/>
              </w:rPr>
              <w:t>交易日</w:t>
            </w:r>
            <w:r w:rsidRPr="00036F88">
              <w:rPr>
                <w:sz w:val="24"/>
              </w:rPr>
              <w:t>偏离度的绝对值的简单平均值</w:t>
            </w:r>
          </w:p>
        </w:tc>
        <w:tc>
          <w:tcPr>
            <w:tcW w:w="3314" w:type="dxa"/>
            <w:tcMar>
              <w:top w:w="15" w:type="dxa"/>
              <w:left w:w="15" w:type="dxa"/>
              <w:bottom w:w="0" w:type="dxa"/>
              <w:right w:w="15" w:type="dxa"/>
            </w:tcMar>
            <w:vAlign w:val="center"/>
          </w:tcPr>
          <w:p w:rsidR="007A380E" w:rsidRPr="00FD3757" w:rsidRDefault="007A380E" w:rsidP="00FD3757">
            <w:pPr>
              <w:spacing w:before="29" w:line="288" w:lineRule="auto"/>
              <w:jc w:val="right"/>
              <w:rPr>
                <w:sz w:val="24"/>
              </w:rPr>
            </w:pPr>
            <w:r w:rsidRPr="00FD3757">
              <w:rPr>
                <w:rFonts w:hint="eastAsia"/>
                <w:sz w:val="24"/>
              </w:rPr>
              <w:t>0.0359%</w:t>
            </w:r>
          </w:p>
        </w:tc>
      </w:tr>
    </w:tbl>
    <w:p w:rsidR="006D141C"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报告期内负偏离度的绝对值达到0.25%情况说明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本基金本报告期内未存在负偏离度的绝对值达到</w:t>
      </w:r>
      <w:r w:rsidRPr="007F5DE6">
        <w:rPr>
          <w:rFonts w:hint="eastAsia"/>
          <w:sz w:val="24"/>
        </w:rPr>
        <w:t>0.25%</w:t>
      </w:r>
      <w:r w:rsidRPr="007F5DE6">
        <w:rPr>
          <w:rFonts w:hint="eastAsia"/>
          <w:sz w:val="24"/>
        </w:rPr>
        <w:t>情况。</w:t>
      </w:r>
    </w:p>
    <w:p w:rsidR="007F5DE6" w:rsidRPr="007F5DE6" w:rsidRDefault="007F5DE6" w:rsidP="007F5DE6">
      <w:pPr>
        <w:autoSpaceDE w:val="0"/>
        <w:autoSpaceDN w:val="0"/>
        <w:adjustRightInd w:val="0"/>
        <w:spacing w:line="360" w:lineRule="auto"/>
        <w:ind w:firstLineChars="100" w:firstLine="240"/>
        <w:jc w:val="left"/>
        <w:rPr>
          <w:sz w:val="24"/>
        </w:rPr>
      </w:pPr>
    </w:p>
    <w:p w:rsidR="007F5DE6" w:rsidRPr="007F5DE6" w:rsidRDefault="007F5DE6" w:rsidP="007F5DE6">
      <w:pPr>
        <w:spacing w:line="360" w:lineRule="auto"/>
        <w:rPr>
          <w:rFonts w:ascii="宋体" w:hAnsi="宋体" w:cs="Arial"/>
          <w:b/>
          <w:bCs/>
          <w:color w:val="000000"/>
          <w:kern w:val="0"/>
          <w:sz w:val="24"/>
        </w:rPr>
      </w:pPr>
      <w:r w:rsidRPr="007F5DE6">
        <w:rPr>
          <w:rFonts w:ascii="宋体" w:hAnsi="宋体" w:hint="eastAsia"/>
          <w:b/>
          <w:bCs/>
          <w:color w:val="000000"/>
          <w:sz w:val="24"/>
        </w:rPr>
        <w:t>报告期内正偏离度的绝对值达到0.5%情况说明</w:t>
      </w:r>
    </w:p>
    <w:p w:rsidR="007F5DE6" w:rsidRPr="007F5DE6" w:rsidRDefault="007F5DE6" w:rsidP="007F5DE6">
      <w:pPr>
        <w:autoSpaceDE w:val="0"/>
        <w:autoSpaceDN w:val="0"/>
        <w:adjustRightInd w:val="0"/>
        <w:spacing w:line="360" w:lineRule="auto"/>
        <w:ind w:firstLineChars="100" w:firstLine="240"/>
        <w:jc w:val="left"/>
        <w:rPr>
          <w:sz w:val="24"/>
        </w:rPr>
      </w:pPr>
      <w:r w:rsidRPr="007F5DE6">
        <w:rPr>
          <w:rFonts w:hint="eastAsia"/>
          <w:sz w:val="24"/>
        </w:rPr>
        <w:t>本基金本报告期内未存在正偏离度的绝对值达到</w:t>
      </w:r>
      <w:r w:rsidRPr="007F5DE6">
        <w:rPr>
          <w:rFonts w:hint="eastAsia"/>
          <w:sz w:val="24"/>
        </w:rPr>
        <w:t>0.5%</w:t>
      </w:r>
      <w:r w:rsidRPr="007F5DE6">
        <w:rPr>
          <w:rFonts w:hint="eastAsia"/>
          <w:sz w:val="24"/>
        </w:rPr>
        <w:t>情况。</w:t>
      </w:r>
    </w:p>
    <w:p w:rsidR="007F5DE6" w:rsidRPr="007F5DE6"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911FFE" w:rsidRDefault="006D141C" w:rsidP="00911FFE">
      <w:pPr>
        <w:pStyle w:val="20"/>
        <w:spacing w:before="29" w:after="0" w:line="288" w:lineRule="auto"/>
        <w:rPr>
          <w:rFonts w:ascii="Times New Roman" w:hAnsi="Times New Roman" w:cs="Times New Roman"/>
          <w:kern w:val="0"/>
          <w:szCs w:val="24"/>
        </w:rPr>
      </w:pPr>
      <w:bookmarkStart w:id="63" w:name="_Toc331410109"/>
      <w:bookmarkStart w:id="64" w:name="_Toc509761012"/>
      <w:r w:rsidRPr="00911FFE">
        <w:rPr>
          <w:rFonts w:ascii="Times New Roman" w:hAnsi="Times New Roman" w:cs="Times New Roman" w:hint="eastAsia"/>
          <w:kern w:val="0"/>
          <w:szCs w:val="24"/>
        </w:rPr>
        <w:t>8.8</w:t>
      </w:r>
      <w:bookmarkEnd w:id="63"/>
      <w:r w:rsidR="000176E8" w:rsidRPr="00911FFE">
        <w:rPr>
          <w:rFonts w:ascii="Times New Roman" w:hAnsi="Times New Roman" w:cs="Times New Roman" w:hint="eastAsia"/>
          <w:kern w:val="0"/>
          <w:szCs w:val="24"/>
        </w:rPr>
        <w:t>期末按公允价值占基金资产净值比例大小排</w:t>
      </w:r>
      <w:r w:rsidR="00B831BF">
        <w:rPr>
          <w:rFonts w:ascii="Times New Roman" w:hAnsi="Times New Roman" w:cs="Times New Roman" w:hint="eastAsia"/>
          <w:kern w:val="0"/>
          <w:szCs w:val="24"/>
        </w:rPr>
        <w:t>序</w:t>
      </w:r>
      <w:r w:rsidR="000176E8" w:rsidRPr="00911FFE">
        <w:rPr>
          <w:rFonts w:ascii="Times New Roman" w:hAnsi="Times New Roman" w:cs="Times New Roman" w:hint="eastAsia"/>
          <w:kern w:val="0"/>
          <w:szCs w:val="24"/>
        </w:rPr>
        <w:t>的</w:t>
      </w:r>
      <w:r w:rsidR="00391520" w:rsidRPr="00911FFE">
        <w:rPr>
          <w:rFonts w:ascii="Times New Roman" w:hAnsi="Times New Roman" w:cs="Times New Roman" w:hint="eastAsia"/>
          <w:kern w:val="0"/>
          <w:szCs w:val="24"/>
        </w:rPr>
        <w:t>所有</w:t>
      </w:r>
      <w:r w:rsidR="000176E8" w:rsidRPr="00911FFE">
        <w:rPr>
          <w:rFonts w:ascii="Times New Roman" w:hAnsi="Times New Roman" w:cs="Times New Roman" w:hint="eastAsia"/>
          <w:kern w:val="0"/>
          <w:szCs w:val="24"/>
        </w:rPr>
        <w:t>资产支持证券投资明细</w:t>
      </w:r>
      <w:bookmarkEnd w:id="64"/>
    </w:p>
    <w:p w:rsidR="00D35AD0" w:rsidRDefault="00D35AD0" w:rsidP="00D35AD0">
      <w:pPr>
        <w:tabs>
          <w:tab w:val="left" w:pos="426"/>
        </w:tabs>
        <w:spacing w:before="29" w:line="288" w:lineRule="auto"/>
        <w:jc w:val="left"/>
        <w:rPr>
          <w:kern w:val="0"/>
          <w:sz w:val="24"/>
        </w:rPr>
      </w:pPr>
      <w:r w:rsidRPr="00D754A9">
        <w:rPr>
          <w:kern w:val="0"/>
          <w:sz w:val="24"/>
        </w:rPr>
        <w:t>本基金本报告期末未持有资产支持证券。</w:t>
      </w:r>
    </w:p>
    <w:p w:rsidR="006D141C" w:rsidRPr="00D35AD0"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1D293D" w:rsidRDefault="006D141C" w:rsidP="001D293D">
      <w:pPr>
        <w:pStyle w:val="20"/>
        <w:spacing w:before="29" w:after="0" w:line="288" w:lineRule="auto"/>
        <w:rPr>
          <w:rFonts w:ascii="Times New Roman" w:hAnsi="Times New Roman"/>
          <w:kern w:val="0"/>
          <w:szCs w:val="24"/>
        </w:rPr>
      </w:pPr>
      <w:bookmarkStart w:id="65" w:name="_Toc331410110"/>
      <w:bookmarkStart w:id="66" w:name="_Toc509761013"/>
      <w:r w:rsidRPr="001D293D">
        <w:rPr>
          <w:rFonts w:ascii="Times New Roman" w:hAnsi="Times New Roman" w:hint="eastAsia"/>
          <w:kern w:val="0"/>
          <w:szCs w:val="24"/>
        </w:rPr>
        <w:t xml:space="preserve">8.9 </w:t>
      </w:r>
      <w:r w:rsidRPr="001D293D">
        <w:rPr>
          <w:rFonts w:ascii="Times New Roman" w:hAnsi="Times New Roman" w:hint="eastAsia"/>
          <w:kern w:val="0"/>
          <w:szCs w:val="24"/>
        </w:rPr>
        <w:t>投资组合报告附注</w:t>
      </w:r>
      <w:bookmarkEnd w:id="65"/>
      <w:bookmarkEnd w:id="66"/>
    </w:p>
    <w:p w:rsidR="00862510" w:rsidRPr="001D293D" w:rsidRDefault="006D141C" w:rsidP="001D293D">
      <w:pPr>
        <w:spacing w:before="29" w:line="288" w:lineRule="auto"/>
        <w:rPr>
          <w:b/>
          <w:sz w:val="24"/>
        </w:rPr>
      </w:pPr>
      <w:r w:rsidRPr="001D293D">
        <w:rPr>
          <w:rFonts w:hint="eastAsia"/>
          <w:b/>
          <w:sz w:val="24"/>
        </w:rPr>
        <w:t>8.9.</w:t>
      </w:r>
      <w:r w:rsidR="008A28D4" w:rsidRPr="001D293D">
        <w:rPr>
          <w:rFonts w:hint="eastAsia"/>
          <w:b/>
          <w:sz w:val="24"/>
        </w:rPr>
        <w:t>1</w:t>
      </w:r>
      <w:r w:rsidR="00862510" w:rsidRPr="001D293D">
        <w:rPr>
          <w:b/>
          <w:sz w:val="24"/>
        </w:rPr>
        <w:t>基金计价方法说明</w:t>
      </w:r>
    </w:p>
    <w:p w:rsidR="00114CF6" w:rsidRPr="00D0515B" w:rsidRDefault="006D141C" w:rsidP="00DC2947">
      <w:pPr>
        <w:tabs>
          <w:tab w:val="left" w:pos="426"/>
        </w:tabs>
        <w:spacing w:before="29" w:line="288" w:lineRule="auto"/>
        <w:rPr>
          <w:rFonts w:asciiTheme="minorEastAsia" w:eastAsiaTheme="minorEastAsia" w:hAnsiTheme="minorEastAsia"/>
          <w:szCs w:val="21"/>
        </w:rPr>
      </w:pPr>
      <w:r w:rsidRPr="001D293D">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CE77DD" w:rsidRPr="00D0515B" w:rsidRDefault="006D141C" w:rsidP="00E1286F">
      <w:pPr>
        <w:spacing w:line="360" w:lineRule="auto"/>
        <w:rPr>
          <w:rFonts w:asciiTheme="minorEastAsia" w:eastAsiaTheme="minorEastAsia" w:hAnsiTheme="minorEastAsia"/>
          <w:bCs/>
          <w:szCs w:val="21"/>
        </w:rPr>
      </w:pPr>
      <w:r w:rsidRPr="00FF36C6">
        <w:rPr>
          <w:rFonts w:hint="eastAsia"/>
          <w:b/>
          <w:sz w:val="24"/>
        </w:rPr>
        <w:t>8.9.</w:t>
      </w:r>
      <w:r w:rsidR="008A28D4" w:rsidRPr="00FF36C6">
        <w:rPr>
          <w:rFonts w:hint="eastAsia"/>
          <w:b/>
          <w:sz w:val="24"/>
        </w:rPr>
        <w:t>2</w:t>
      </w:r>
      <w:r w:rsidR="001C2813" w:rsidRPr="00FF36C6">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B76976" w:rsidRDefault="001C2813" w:rsidP="00B76976">
      <w:pPr>
        <w:spacing w:before="29" w:line="288" w:lineRule="auto"/>
        <w:rPr>
          <w:b/>
          <w:sz w:val="24"/>
        </w:rPr>
      </w:pPr>
      <w:r w:rsidRPr="00B76976">
        <w:rPr>
          <w:rFonts w:hint="eastAsia"/>
          <w:b/>
          <w:sz w:val="24"/>
        </w:rPr>
        <w:t>8.9.</w:t>
      </w:r>
      <w:r w:rsidR="008A28D4" w:rsidRPr="00B76976">
        <w:rPr>
          <w:rFonts w:hint="eastAsia"/>
          <w:b/>
          <w:sz w:val="24"/>
        </w:rPr>
        <w:t>3</w:t>
      </w:r>
      <w:r w:rsidRPr="00B76976">
        <w:rPr>
          <w:b/>
          <w:sz w:val="24"/>
        </w:rPr>
        <w:t>期末其他各项资产构成</w:t>
      </w:r>
    </w:p>
    <w:p w:rsidR="006D141C" w:rsidRPr="00B76976" w:rsidRDefault="005B4215" w:rsidP="00B76976">
      <w:pPr>
        <w:autoSpaceDE w:val="0"/>
        <w:autoSpaceDN w:val="0"/>
        <w:adjustRightInd w:val="0"/>
        <w:spacing w:before="29" w:line="288" w:lineRule="auto"/>
        <w:ind w:left="15"/>
        <w:jc w:val="right"/>
        <w:rPr>
          <w:sz w:val="24"/>
        </w:rPr>
      </w:pPr>
      <w:r w:rsidRPr="00B76976">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2C233F" w:rsidRPr="00D0515B"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76976" w:rsidRDefault="006D141C" w:rsidP="00B76976">
            <w:pPr>
              <w:spacing w:before="29" w:line="288" w:lineRule="auto"/>
              <w:jc w:val="center"/>
              <w:rPr>
                <w:sz w:val="24"/>
              </w:rPr>
            </w:pPr>
            <w:r w:rsidRPr="00B76976">
              <w:rPr>
                <w:rFonts w:hint="eastAsia"/>
                <w:sz w:val="24"/>
              </w:rPr>
              <w:t>金额</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8A2C8A" w:rsidP="006252B8">
            <w:pPr>
              <w:spacing w:before="29" w:line="288" w:lineRule="auto"/>
              <w:jc w:val="center"/>
              <w:rPr>
                <w:sz w:val="24"/>
              </w:rPr>
            </w:pPr>
            <w:r w:rsidRPr="006252B8">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jc w:val="center"/>
              <w:rPr>
                <w:sz w:val="24"/>
              </w:rPr>
            </w:pPr>
            <w:r w:rsidRPr="006252B8">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18,328,586.03</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80,000.00</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1C2813" w:rsidP="006252B8">
            <w:pPr>
              <w:spacing w:before="29" w:line="288" w:lineRule="auto"/>
              <w:jc w:val="center"/>
              <w:rPr>
                <w:sz w:val="24"/>
              </w:rPr>
            </w:pPr>
            <w:r w:rsidRPr="006252B8">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252B8" w:rsidRDefault="006D141C" w:rsidP="006252B8">
            <w:pPr>
              <w:spacing w:before="29" w:line="288" w:lineRule="auto"/>
              <w:ind w:leftChars="50" w:left="105"/>
              <w:rPr>
                <w:sz w:val="24"/>
              </w:rPr>
            </w:pPr>
            <w:r w:rsidRPr="006252B8">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w:t>
            </w:r>
          </w:p>
        </w:tc>
      </w:tr>
      <w:tr w:rsidR="002C233F" w:rsidRPr="00D0515B"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before="29" w:line="288" w:lineRule="auto"/>
              <w:jc w:val="center"/>
              <w:rPr>
                <w:sz w:val="24"/>
              </w:rPr>
            </w:pPr>
            <w:r w:rsidRPr="001D3B2E">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1D3B2E" w:rsidRDefault="006D141C" w:rsidP="001D3B2E">
            <w:pPr>
              <w:spacing w:line="288" w:lineRule="auto"/>
              <w:ind w:leftChars="50" w:left="105"/>
              <w:rPr>
                <w:sz w:val="24"/>
              </w:rPr>
            </w:pPr>
            <w:r w:rsidRPr="001D3B2E">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1E773C" w:rsidRDefault="006D141C" w:rsidP="001E773C">
            <w:pPr>
              <w:autoSpaceDE w:val="0"/>
              <w:autoSpaceDN w:val="0"/>
              <w:adjustRightInd w:val="0"/>
              <w:spacing w:before="29" w:line="288" w:lineRule="auto"/>
              <w:ind w:left="15"/>
              <w:jc w:val="right"/>
              <w:rPr>
                <w:sz w:val="24"/>
              </w:rPr>
            </w:pPr>
            <w:r w:rsidRPr="001E773C">
              <w:rPr>
                <w:rFonts w:hint="eastAsia"/>
                <w:sz w:val="24"/>
              </w:rPr>
              <w:t>18,408,586.03</w:t>
            </w:r>
          </w:p>
        </w:tc>
      </w:tr>
    </w:tbl>
    <w:p w:rsidR="006D141C" w:rsidRPr="00D0515B"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BB75B3" w:rsidRDefault="006D141C" w:rsidP="00BB75B3">
      <w:pPr>
        <w:spacing w:before="29" w:line="288" w:lineRule="auto"/>
        <w:rPr>
          <w:b/>
          <w:sz w:val="24"/>
        </w:rPr>
      </w:pPr>
      <w:r w:rsidRPr="00BB75B3">
        <w:rPr>
          <w:rFonts w:hint="eastAsia"/>
          <w:b/>
          <w:sz w:val="24"/>
        </w:rPr>
        <w:t>8.9.</w:t>
      </w:r>
      <w:r w:rsidR="008A28D4" w:rsidRPr="00BB75B3">
        <w:rPr>
          <w:rFonts w:hint="eastAsia"/>
          <w:b/>
          <w:sz w:val="24"/>
        </w:rPr>
        <w:t>4</w:t>
      </w:r>
      <w:r w:rsidR="0036005C" w:rsidRPr="00BB75B3">
        <w:rPr>
          <w:rFonts w:hint="eastAsia"/>
          <w:b/>
          <w:sz w:val="24"/>
        </w:rPr>
        <w:t xml:space="preserve"> </w:t>
      </w:r>
      <w:r w:rsidR="00BB75B3">
        <w:rPr>
          <w:b/>
          <w:sz w:val="24"/>
        </w:rPr>
        <w:t>其他需说明的重要事项</w:t>
      </w:r>
    </w:p>
    <w:p w:rsidR="006D141C" w:rsidRDefault="006D141C" w:rsidP="00C81CE5">
      <w:pPr>
        <w:tabs>
          <w:tab w:val="left" w:pos="426"/>
        </w:tabs>
        <w:spacing w:before="29" w:line="288" w:lineRule="auto"/>
        <w:rPr>
          <w:kern w:val="0"/>
          <w:sz w:val="24"/>
        </w:rPr>
      </w:pPr>
      <w:r w:rsidRPr="00C81CE5">
        <w:rPr>
          <w:rFonts w:hint="eastAsia"/>
          <w:kern w:val="0"/>
          <w:sz w:val="24"/>
        </w:rPr>
        <w:t>由于四舍五入的原因，分项之和与合计项之间可能存在尾差。</w:t>
      </w:r>
    </w:p>
    <w:p w:rsidR="00C81CE5" w:rsidRPr="00C81CE5" w:rsidRDefault="00C81CE5" w:rsidP="00C81CE5">
      <w:pPr>
        <w:tabs>
          <w:tab w:val="left" w:pos="426"/>
        </w:tabs>
        <w:spacing w:before="29" w:line="288" w:lineRule="auto"/>
        <w:rPr>
          <w:kern w:val="0"/>
          <w:sz w:val="24"/>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67" w:name="_Toc331410111"/>
      <w:bookmarkStart w:id="68" w:name="_Toc225500050"/>
      <w:bookmarkStart w:id="69" w:name="_Toc509761014"/>
      <w:r w:rsidRPr="00D94234">
        <w:rPr>
          <w:rFonts w:hint="eastAsia"/>
          <w:b/>
          <w:bCs/>
          <w:szCs w:val="24"/>
          <w:lang w:val="en-US"/>
        </w:rPr>
        <w:t>§</w:t>
      </w:r>
      <w:r w:rsidR="00AA0467" w:rsidRPr="00D94234">
        <w:rPr>
          <w:rFonts w:hint="eastAsia"/>
          <w:b/>
          <w:bCs/>
          <w:szCs w:val="24"/>
          <w:lang w:val="en-US"/>
        </w:rPr>
        <w:t>9</w:t>
      </w:r>
      <w:r w:rsidR="00250A79" w:rsidRPr="00D94234">
        <w:rPr>
          <w:rFonts w:hint="eastAsia"/>
          <w:b/>
          <w:bCs/>
          <w:szCs w:val="24"/>
          <w:lang w:val="en-US"/>
        </w:rPr>
        <w:t xml:space="preserve">  </w:t>
      </w:r>
      <w:r w:rsidRPr="00D94234">
        <w:rPr>
          <w:rFonts w:hint="eastAsia"/>
          <w:b/>
          <w:bCs/>
          <w:szCs w:val="24"/>
          <w:lang w:val="en-US"/>
        </w:rPr>
        <w:t>基金份额持有人信息</w:t>
      </w:r>
      <w:bookmarkEnd w:id="67"/>
      <w:bookmarkEnd w:id="68"/>
      <w:bookmarkEnd w:id="69"/>
    </w:p>
    <w:p w:rsidR="00A66BB5" w:rsidRPr="00D94234" w:rsidRDefault="00A66BB5" w:rsidP="00D94234">
      <w:pPr>
        <w:pStyle w:val="20"/>
        <w:spacing w:before="29" w:after="0" w:line="288" w:lineRule="auto"/>
        <w:rPr>
          <w:rFonts w:ascii="Times New Roman" w:hAnsi="Times New Roman" w:cs="Times New Roman"/>
          <w:kern w:val="0"/>
          <w:szCs w:val="24"/>
        </w:rPr>
      </w:pPr>
      <w:bookmarkStart w:id="70" w:name="_Toc331410112"/>
      <w:bookmarkStart w:id="71" w:name="_Toc225500051"/>
      <w:bookmarkStart w:id="72" w:name="_Toc509761015"/>
      <w:r w:rsidRPr="00D94234">
        <w:rPr>
          <w:rFonts w:ascii="Times New Roman" w:hAnsi="Times New Roman" w:cs="Times New Roman" w:hint="eastAsia"/>
          <w:kern w:val="0"/>
          <w:szCs w:val="24"/>
        </w:rPr>
        <w:t xml:space="preserve">9.1 </w:t>
      </w:r>
      <w:r w:rsidRPr="00D94234">
        <w:rPr>
          <w:rFonts w:ascii="Times New Roman" w:hAnsi="Times New Roman" w:cs="Times New Roman" w:hint="eastAsia"/>
          <w:kern w:val="0"/>
          <w:szCs w:val="24"/>
        </w:rPr>
        <w:t>期末基金份额持有人户数及持有人结构</w:t>
      </w:r>
      <w:bookmarkEnd w:id="70"/>
      <w:bookmarkEnd w:id="71"/>
      <w:bookmarkEnd w:id="72"/>
    </w:p>
    <w:p w:rsidR="000108F8" w:rsidRPr="00D94234" w:rsidRDefault="000108F8" w:rsidP="00D94234">
      <w:pPr>
        <w:autoSpaceDE w:val="0"/>
        <w:autoSpaceDN w:val="0"/>
        <w:adjustRightInd w:val="0"/>
        <w:spacing w:before="29" w:line="288" w:lineRule="auto"/>
        <w:ind w:left="15"/>
        <w:jc w:val="right"/>
        <w:rPr>
          <w:sz w:val="24"/>
        </w:rPr>
      </w:pPr>
      <w:r w:rsidRPr="00D94234">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3C7F1A" w:rsidRPr="00784C19" w:rsidTr="00334175">
        <w:tc>
          <w:tcPr>
            <w:tcW w:w="669" w:type="pct"/>
            <w:vMerge w:val="restart"/>
            <w:tcBorders>
              <w:top w:val="single" w:sz="8" w:space="0" w:color="000000"/>
              <w:left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持有人户数</w:t>
            </w:r>
            <w:r w:rsidRPr="00784C19">
              <w:rPr>
                <w:szCs w:val="21"/>
              </w:rPr>
              <w:t>(</w:t>
            </w:r>
            <w:r w:rsidRPr="00784C19">
              <w:rPr>
                <w:rFonts w:hint="eastAsia"/>
                <w:szCs w:val="21"/>
              </w:rPr>
              <w:t>户</w:t>
            </w:r>
            <w:r w:rsidRPr="00784C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持有人结构</w:t>
            </w:r>
          </w:p>
        </w:tc>
      </w:tr>
      <w:tr w:rsidR="003C7F1A" w:rsidRPr="00784C19" w:rsidTr="00334175">
        <w:tc>
          <w:tcPr>
            <w:tcW w:w="669" w:type="pct"/>
            <w:vMerge/>
            <w:tcBorders>
              <w:left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个人投资者</w:t>
            </w:r>
          </w:p>
        </w:tc>
      </w:tr>
      <w:tr w:rsidR="003C7F1A" w:rsidRPr="00784C19" w:rsidTr="00334175">
        <w:tc>
          <w:tcPr>
            <w:tcW w:w="669" w:type="pct"/>
            <w:vMerge/>
            <w:tcBorders>
              <w:left w:val="single" w:sz="8" w:space="0" w:color="000000"/>
              <w:bottom w:val="single" w:sz="8" w:space="0" w:color="000000"/>
              <w:right w:val="single" w:sz="8" w:space="0" w:color="000000"/>
            </w:tcBorders>
          </w:tcPr>
          <w:p w:rsidR="000108F8" w:rsidRPr="00784C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CF1BEE">
            <w:pPr>
              <w:spacing w:before="29" w:line="288" w:lineRule="auto"/>
              <w:jc w:val="center"/>
              <w:rPr>
                <w:szCs w:val="21"/>
              </w:rPr>
            </w:pPr>
            <w:r w:rsidRPr="00784C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CF1BEE">
            <w:pPr>
              <w:spacing w:before="29" w:line="288" w:lineRule="auto"/>
              <w:jc w:val="center"/>
              <w:rPr>
                <w:szCs w:val="21"/>
              </w:rPr>
            </w:pPr>
            <w:r w:rsidRPr="00784C19">
              <w:rPr>
                <w:rFonts w:hint="eastAsia"/>
                <w:szCs w:val="21"/>
              </w:rPr>
              <w:t>占总份额比例</w:t>
            </w:r>
          </w:p>
        </w:tc>
      </w:tr>
      <w:tr w:rsidR="003C7F1A" w:rsidRPr="00784C19" w:rsidTr="003C7F1A">
        <w:tc>
          <w:tcPr>
            <w:tcW w:w="669" w:type="pct"/>
            <w:tcBorders>
              <w:left w:val="single" w:sz="8" w:space="0" w:color="000000"/>
              <w:bottom w:val="single" w:sz="8" w:space="0" w:color="000000"/>
              <w:right w:val="single" w:sz="8" w:space="0" w:color="000000"/>
            </w:tcBorders>
          </w:tcPr>
          <w:p w:rsidR="002712D5" w:rsidRPr="00784C19" w:rsidRDefault="000108F8" w:rsidP="003C7F1A">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2E77F0">
            <w:pPr>
              <w:spacing w:before="29" w:line="288" w:lineRule="auto"/>
              <w:jc w:val="center"/>
              <w:rPr>
                <w:bCs/>
                <w:szCs w:val="21"/>
              </w:rPr>
            </w:pPr>
            <w:r w:rsidRPr="00784C19">
              <w:rPr>
                <w:bCs/>
                <w:szCs w:val="21"/>
              </w:rPr>
              <w:t>206</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46,849.12</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4,120,425.83</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784C19" w:rsidRDefault="000108F8" w:rsidP="003C7F1A">
            <w:pPr>
              <w:spacing w:before="29" w:line="288" w:lineRule="auto"/>
              <w:jc w:val="right"/>
              <w:rPr>
                <w:bCs/>
                <w:szCs w:val="21"/>
              </w:rPr>
            </w:pPr>
            <w:r w:rsidRPr="00784C19">
              <w:rPr>
                <w:bCs/>
                <w:szCs w:val="21"/>
              </w:rPr>
              <w:t>42.69%</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784C19" w:rsidRDefault="000108F8" w:rsidP="003C7F1A">
            <w:pPr>
              <w:spacing w:before="29" w:line="288" w:lineRule="auto"/>
              <w:jc w:val="right"/>
              <w:rPr>
                <w:bCs/>
                <w:szCs w:val="21"/>
              </w:rPr>
            </w:pPr>
            <w:r w:rsidRPr="00784C19">
              <w:rPr>
                <w:bCs/>
                <w:szCs w:val="21"/>
              </w:rPr>
              <w:t>5,530,492.81</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3C7F1A">
            <w:pPr>
              <w:spacing w:before="29" w:line="288" w:lineRule="auto"/>
              <w:jc w:val="right"/>
              <w:rPr>
                <w:bCs/>
                <w:szCs w:val="21"/>
              </w:rPr>
            </w:pPr>
            <w:r w:rsidRPr="00784C19">
              <w:rPr>
                <w:bCs/>
                <w:szCs w:val="21"/>
              </w:rPr>
              <w:t>57.31%</w:t>
            </w:r>
          </w:p>
        </w:tc>
      </w:tr>
      <w:tr w:rsidR="003C7F1A" w:rsidRPr="00784C19" w:rsidTr="003C7F1A">
        <w:tc>
          <w:tcPr>
            <w:tcW w:w="669" w:type="pct"/>
            <w:tcBorders>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bCs/>
                <w:szCs w:val="21"/>
              </w:rPr>
              <w:t>交银理财</w:t>
            </w:r>
            <w:r w:rsidRPr="00784C19">
              <w:rPr>
                <w:bCs/>
                <w:szCs w:val="21"/>
              </w:rPr>
              <w:t>60</w:t>
            </w:r>
            <w:r w:rsidRPr="00784C19">
              <w:rPr>
                <w:bCs/>
                <w:szCs w:val="21"/>
              </w:rPr>
              <w:t>天债券</w:t>
            </w:r>
            <w:r w:rsidRPr="00784C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6</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824,543,291.99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4,947,259,751.92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w:t>
            </w:r>
          </w:p>
        </w:tc>
      </w:tr>
      <w:tr w:rsidR="003C7F1A" w:rsidRPr="00784C19" w:rsidTr="003C7F1A">
        <w:tc>
          <w:tcPr>
            <w:tcW w:w="669" w:type="pct"/>
            <w:tcBorders>
              <w:top w:val="single" w:sz="8" w:space="0" w:color="000000"/>
              <w:left w:val="single" w:sz="8" w:space="0" w:color="000000"/>
              <w:bottom w:val="single" w:sz="8" w:space="0" w:color="000000"/>
              <w:right w:val="single" w:sz="8" w:space="0" w:color="000000"/>
            </w:tcBorders>
          </w:tcPr>
          <w:p w:rsidR="000108F8" w:rsidRPr="00784C19" w:rsidRDefault="000108F8" w:rsidP="006B0166">
            <w:pPr>
              <w:spacing w:before="29" w:line="288" w:lineRule="auto"/>
              <w:jc w:val="center"/>
              <w:rPr>
                <w:bCs/>
                <w:szCs w:val="21"/>
              </w:rPr>
            </w:pPr>
            <w:r w:rsidRPr="00784C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center"/>
              <w:rPr>
                <w:bCs/>
                <w:szCs w:val="21"/>
              </w:rPr>
            </w:pPr>
            <w:r w:rsidRPr="00784C19">
              <w:rPr>
                <w:bCs/>
                <w:szCs w:val="21"/>
              </w:rPr>
              <w:t>212</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23,381,654.11</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4,951,380,177.75</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99.89%</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784C19" w:rsidRDefault="000108F8" w:rsidP="006B0166">
            <w:pPr>
              <w:spacing w:before="29" w:line="288" w:lineRule="auto"/>
              <w:jc w:val="right"/>
              <w:rPr>
                <w:bCs/>
                <w:szCs w:val="21"/>
              </w:rPr>
            </w:pPr>
            <w:r w:rsidRPr="00784C19">
              <w:rPr>
                <w:bCs/>
                <w:szCs w:val="21"/>
              </w:rPr>
              <w:t>5,530,492.81</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784C19" w:rsidRDefault="000108F8" w:rsidP="006B0166">
            <w:pPr>
              <w:spacing w:before="29" w:line="288" w:lineRule="auto"/>
              <w:jc w:val="right"/>
              <w:rPr>
                <w:bCs/>
                <w:szCs w:val="21"/>
              </w:rPr>
            </w:pPr>
            <w:r w:rsidRPr="00784C19">
              <w:rPr>
                <w:bCs/>
                <w:szCs w:val="21"/>
              </w:rPr>
              <w:t>0.11%</w:t>
            </w:r>
          </w:p>
        </w:tc>
      </w:tr>
    </w:tbl>
    <w:p w:rsidR="00A66BB5" w:rsidRPr="000108F8" w:rsidRDefault="00A66BB5" w:rsidP="004B36C2">
      <w:pPr>
        <w:spacing w:line="360" w:lineRule="auto"/>
        <w:rPr>
          <w:rFonts w:asciiTheme="minorEastAsia" w:eastAsiaTheme="minorEastAsia" w:hAnsiTheme="minorEastAsia"/>
          <w:szCs w:val="21"/>
        </w:rPr>
      </w:pPr>
    </w:p>
    <w:p w:rsidR="007917F6" w:rsidRPr="00734D45" w:rsidRDefault="007917F6" w:rsidP="007917F6">
      <w:pPr>
        <w:pStyle w:val="20"/>
        <w:spacing w:before="29" w:after="0" w:line="288" w:lineRule="auto"/>
        <w:rPr>
          <w:rFonts w:ascii="Times New Roman" w:hAnsi="Times New Roman" w:cs="Times New Roman"/>
          <w:kern w:val="0"/>
          <w:szCs w:val="24"/>
        </w:rPr>
      </w:pPr>
      <w:bookmarkStart w:id="73" w:name="_Toc331410113"/>
      <w:bookmarkStart w:id="74" w:name="_Toc509761016"/>
      <w:r w:rsidRPr="00734D45">
        <w:rPr>
          <w:rFonts w:ascii="Times New Roman" w:hAnsi="Times New Roman" w:cs="Times New Roman" w:hint="eastAsia"/>
          <w:kern w:val="0"/>
          <w:szCs w:val="24"/>
        </w:rPr>
        <w:t>9.2</w:t>
      </w:r>
      <w:r w:rsidRPr="00734D45">
        <w:rPr>
          <w:rFonts w:ascii="Times New Roman" w:hAnsi="Times New Roman" w:cs="Times New Roman" w:hint="eastAsia"/>
          <w:kern w:val="0"/>
          <w:szCs w:val="24"/>
        </w:rPr>
        <w:t>期末基金管理人的从业人员持有本基金的情况</w:t>
      </w:r>
      <w:bookmarkEnd w:id="73"/>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7917F6" w:rsidRPr="00D564C7" w:rsidTr="00D32085">
        <w:trPr>
          <w:trHeight w:val="285"/>
        </w:trPr>
        <w:tc>
          <w:tcPr>
            <w:tcW w:w="2268"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7917F6" w:rsidRPr="00640CFF" w:rsidRDefault="007917F6" w:rsidP="00D32085">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7917F6" w:rsidRPr="00D564C7" w:rsidTr="00D32085">
        <w:trPr>
          <w:trHeight w:val="285"/>
        </w:trPr>
        <w:tc>
          <w:tcPr>
            <w:tcW w:w="2268" w:type="dxa"/>
            <w:vMerge w:val="restart"/>
            <w:noWrap/>
            <w:vAlign w:val="center"/>
          </w:tcPr>
          <w:p w:rsidR="007917F6" w:rsidRPr="00D0515B" w:rsidRDefault="007917F6" w:rsidP="00D32085">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7917F6" w:rsidRPr="00BF1B19" w:rsidRDefault="007917F6" w:rsidP="00D32085">
            <w:pPr>
              <w:spacing w:before="29" w:line="288" w:lineRule="auto"/>
              <w:rPr>
                <w:sz w:val="24"/>
              </w:rPr>
            </w:pPr>
            <w:r w:rsidRPr="00BF1B19">
              <w:rPr>
                <w:rFonts w:hint="eastAsia"/>
                <w:sz w:val="24"/>
              </w:rPr>
              <w:t>交银理财</w:t>
            </w:r>
            <w:r w:rsidRPr="00BF1B19">
              <w:rPr>
                <w:rFonts w:hint="eastAsia"/>
                <w:sz w:val="24"/>
              </w:rPr>
              <w:t>60</w:t>
            </w:r>
            <w:r w:rsidRPr="00BF1B19">
              <w:rPr>
                <w:rFonts w:hint="eastAsia"/>
                <w:sz w:val="24"/>
              </w:rPr>
              <w:t>天债券</w:t>
            </w:r>
            <w:r w:rsidRPr="00BF1B19">
              <w:rPr>
                <w:rFonts w:hint="eastAsia"/>
                <w:sz w:val="24"/>
              </w:rPr>
              <w:t>A</w:t>
            </w:r>
          </w:p>
        </w:tc>
        <w:tc>
          <w:tcPr>
            <w:tcW w:w="2126"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944.57</w:t>
            </w:r>
          </w:p>
        </w:tc>
        <w:tc>
          <w:tcPr>
            <w:tcW w:w="1910" w:type="dxa"/>
            <w:noWrap/>
            <w:vAlign w:val="center"/>
          </w:tcPr>
          <w:p w:rsidR="007917F6" w:rsidRPr="00BF1B19" w:rsidRDefault="007917F6" w:rsidP="00D32085">
            <w:pPr>
              <w:widowControl/>
              <w:spacing w:before="29" w:line="288" w:lineRule="auto"/>
              <w:jc w:val="right"/>
              <w:rPr>
                <w:sz w:val="24"/>
              </w:rPr>
            </w:pPr>
            <w:r w:rsidRPr="00BF1B19">
              <w:rPr>
                <w:rFonts w:hint="eastAsia"/>
                <w:sz w:val="24"/>
              </w:rPr>
              <w:t>0.01%</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D32085" w:rsidP="00D32085">
            <w:pPr>
              <w:spacing w:before="29" w:line="288" w:lineRule="auto"/>
              <w:rPr>
                <w:color w:val="000000"/>
                <w:kern w:val="0"/>
                <w:sz w:val="24"/>
              </w:rPr>
            </w:pPr>
            <w:r>
              <w:rPr>
                <w:rFonts w:hint="eastAsia"/>
                <w:sz w:val="24"/>
              </w:rPr>
              <w:t>交银理财</w:t>
            </w:r>
            <w:r>
              <w:rPr>
                <w:rFonts w:hint="eastAsia"/>
                <w:sz w:val="24"/>
              </w:rPr>
              <w:t>60</w:t>
            </w:r>
            <w:r>
              <w:rPr>
                <w:rFonts w:hint="eastAsia"/>
                <w:sz w:val="24"/>
              </w:rPr>
              <w:t>天债券</w:t>
            </w:r>
            <w:r>
              <w:rPr>
                <w:rFonts w:hint="eastAsia"/>
                <w:sz w:val="24"/>
              </w:rPr>
              <w:t>B</w:t>
            </w:r>
          </w:p>
        </w:tc>
        <w:tc>
          <w:tcPr>
            <w:tcW w:w="2126" w:type="dxa"/>
            <w:noWrap/>
            <w:vAlign w:val="center"/>
          </w:tcPr>
          <w:p w:rsidR="007917F6" w:rsidRPr="006E3F38" w:rsidRDefault="00415878" w:rsidP="00D32085">
            <w:pPr>
              <w:widowControl/>
              <w:spacing w:before="29" w:line="288" w:lineRule="auto"/>
              <w:jc w:val="right"/>
              <w:rPr>
                <w:color w:val="000000"/>
                <w:kern w:val="0"/>
                <w:sz w:val="24"/>
              </w:rPr>
            </w:pPr>
            <w:r>
              <w:rPr>
                <w:sz w:val="24"/>
              </w:rPr>
              <w:t>-</w:t>
            </w:r>
          </w:p>
        </w:tc>
        <w:tc>
          <w:tcPr>
            <w:tcW w:w="1910" w:type="dxa"/>
            <w:noWrap/>
            <w:vAlign w:val="center"/>
          </w:tcPr>
          <w:p w:rsidR="007917F6" w:rsidRPr="006E3F38" w:rsidRDefault="00415878" w:rsidP="00D32085">
            <w:pPr>
              <w:widowControl/>
              <w:spacing w:before="29" w:line="288" w:lineRule="auto"/>
              <w:jc w:val="right"/>
              <w:rPr>
                <w:color w:val="000000"/>
                <w:kern w:val="0"/>
                <w:sz w:val="24"/>
              </w:rPr>
            </w:pPr>
            <w:r>
              <w:rPr>
                <w:sz w:val="24"/>
              </w:rPr>
              <w:t>-</w:t>
            </w:r>
          </w:p>
        </w:tc>
      </w:tr>
      <w:tr w:rsidR="007917F6" w:rsidRPr="00D564C7" w:rsidTr="00D32085">
        <w:trPr>
          <w:trHeight w:val="285"/>
        </w:trPr>
        <w:tc>
          <w:tcPr>
            <w:tcW w:w="2268" w:type="dxa"/>
            <w:vMerge/>
            <w:vAlign w:val="center"/>
          </w:tcPr>
          <w:p w:rsidR="007917F6" w:rsidRPr="00D564C7" w:rsidRDefault="007917F6" w:rsidP="00D32085">
            <w:pPr>
              <w:widowControl/>
              <w:spacing w:line="360" w:lineRule="auto"/>
              <w:jc w:val="left"/>
              <w:rPr>
                <w:rFonts w:asciiTheme="minorEastAsia" w:eastAsiaTheme="minorEastAsia" w:hAnsiTheme="minorEastAsia"/>
                <w:color w:val="000000"/>
                <w:szCs w:val="21"/>
              </w:rPr>
            </w:pPr>
          </w:p>
        </w:tc>
        <w:tc>
          <w:tcPr>
            <w:tcW w:w="2694" w:type="dxa"/>
            <w:vAlign w:val="center"/>
          </w:tcPr>
          <w:p w:rsidR="007917F6" w:rsidRPr="006E3F38" w:rsidRDefault="007917F6" w:rsidP="00D32085">
            <w:pPr>
              <w:spacing w:before="29" w:line="288" w:lineRule="auto"/>
              <w:jc w:val="center"/>
              <w:rPr>
                <w:color w:val="000000"/>
                <w:kern w:val="0"/>
                <w:sz w:val="24"/>
              </w:rPr>
            </w:pPr>
            <w:r w:rsidRPr="00BF1B19">
              <w:rPr>
                <w:rFonts w:hint="eastAsia"/>
                <w:sz w:val="24"/>
              </w:rPr>
              <w:t>合计</w:t>
            </w:r>
          </w:p>
        </w:tc>
        <w:tc>
          <w:tcPr>
            <w:tcW w:w="2126"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944.57</w:t>
            </w:r>
          </w:p>
        </w:tc>
        <w:tc>
          <w:tcPr>
            <w:tcW w:w="1910" w:type="dxa"/>
            <w:noWrap/>
            <w:vAlign w:val="center"/>
          </w:tcPr>
          <w:p w:rsidR="007917F6" w:rsidRPr="006E3F38" w:rsidRDefault="007917F6" w:rsidP="00D32085">
            <w:pPr>
              <w:spacing w:before="29" w:line="288" w:lineRule="auto"/>
              <w:jc w:val="right"/>
              <w:rPr>
                <w:color w:val="000000"/>
                <w:kern w:val="0"/>
                <w:sz w:val="24"/>
              </w:rPr>
            </w:pPr>
            <w:r w:rsidRPr="00BF1B19">
              <w:rPr>
                <w:rFonts w:hint="eastAsia"/>
                <w:sz w:val="24"/>
              </w:rPr>
              <w:t>0.00%</w:t>
            </w:r>
          </w:p>
        </w:tc>
      </w:tr>
    </w:tbl>
    <w:p w:rsidR="006D141C" w:rsidRDefault="006D141C" w:rsidP="004B36C2">
      <w:pPr>
        <w:spacing w:line="360" w:lineRule="auto"/>
        <w:rPr>
          <w:rFonts w:asciiTheme="minorEastAsia" w:eastAsiaTheme="minorEastAsia" w:hAnsiTheme="minorEastAsia"/>
          <w:szCs w:val="21"/>
        </w:rPr>
      </w:pPr>
    </w:p>
    <w:p w:rsidR="00CF4F4B" w:rsidRPr="001A68B1" w:rsidRDefault="00CF4F4B" w:rsidP="001A68B1">
      <w:pPr>
        <w:pStyle w:val="20"/>
        <w:spacing w:before="29" w:after="0" w:line="288" w:lineRule="auto"/>
        <w:rPr>
          <w:rFonts w:ascii="Times New Roman" w:hAnsi="Times New Roman" w:cs="Times New Roman"/>
          <w:kern w:val="0"/>
          <w:szCs w:val="24"/>
        </w:rPr>
      </w:pPr>
      <w:bookmarkStart w:id="75" w:name="_Toc509761017"/>
      <w:r w:rsidRPr="001A68B1">
        <w:rPr>
          <w:rFonts w:ascii="Times New Roman" w:hAnsi="Times New Roman" w:cs="Times New Roman"/>
          <w:kern w:val="0"/>
          <w:szCs w:val="24"/>
        </w:rPr>
        <w:t>9.3</w:t>
      </w:r>
      <w:r w:rsidRPr="001A68B1">
        <w:rPr>
          <w:rFonts w:ascii="Times New Roman" w:hAnsi="Times New Roman" w:cs="Times New Roman" w:hint="eastAsia"/>
          <w:kern w:val="0"/>
          <w:szCs w:val="24"/>
        </w:rPr>
        <w:t>期末基金管理人的从业人员持有本开放式基金份额总量区间的情况</w:t>
      </w:r>
      <w:bookmarkEnd w:id="75"/>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CF4F4B" w:rsidRPr="00CF4F4B" w:rsidTr="00F1157B">
        <w:trPr>
          <w:trHeight w:val="285"/>
        </w:trPr>
        <w:tc>
          <w:tcPr>
            <w:tcW w:w="2416"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F345FC" w:rsidRDefault="00CF4F4B" w:rsidP="00F345FC">
            <w:pPr>
              <w:pStyle w:val="a0"/>
              <w:spacing w:before="29" w:line="288" w:lineRule="auto"/>
              <w:ind w:firstLineChars="0" w:firstLine="0"/>
              <w:jc w:val="center"/>
              <w:rPr>
                <w:kern w:val="0"/>
                <w:sz w:val="24"/>
              </w:rPr>
            </w:pPr>
            <w:r w:rsidRPr="00F345FC">
              <w:rPr>
                <w:rFonts w:hint="eastAsia"/>
                <w:kern w:val="0"/>
                <w:sz w:val="24"/>
              </w:rPr>
              <w:t>持有基金份额总量的数量区间（万份）</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shd w:val="clear" w:color="auto" w:fill="auto"/>
            <w:vAlign w:val="center"/>
            <w:hideMark/>
          </w:tcPr>
          <w:p w:rsidR="00CF4F4B" w:rsidRPr="008F4760"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8F4760" w:rsidRDefault="00CF4F4B" w:rsidP="008F4760">
            <w:pPr>
              <w:spacing w:before="29" w:line="288" w:lineRule="auto"/>
              <w:rPr>
                <w:sz w:val="24"/>
              </w:rPr>
            </w:pPr>
            <w:r w:rsidRPr="008F4760">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525"/>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rPr>
                <w:sz w:val="24"/>
              </w:rPr>
            </w:pPr>
            <w:r w:rsidRPr="00AE16A0">
              <w:rPr>
                <w:rFonts w:hint="eastAsia"/>
                <w:sz w:val="24"/>
              </w:rPr>
              <w:t>交银理财</w:t>
            </w:r>
            <w:r w:rsidRPr="00AE16A0">
              <w:rPr>
                <w:rFonts w:hint="eastAsia"/>
                <w:sz w:val="24"/>
              </w:rPr>
              <w:t>60</w:t>
            </w:r>
            <w:r w:rsidRPr="00AE16A0">
              <w:rPr>
                <w:rFonts w:hint="eastAsia"/>
                <w:sz w:val="24"/>
              </w:rPr>
              <w:t>天债券</w:t>
            </w:r>
            <w:r w:rsidRPr="00AE16A0">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r w:rsidR="00CF4F4B" w:rsidRPr="00CF4F4B" w:rsidTr="00F1157B">
        <w:trPr>
          <w:trHeight w:val="653"/>
        </w:trPr>
        <w:tc>
          <w:tcPr>
            <w:tcW w:w="2416" w:type="dxa"/>
            <w:vMerge/>
            <w:shd w:val="clear" w:color="auto" w:fill="auto"/>
            <w:vAlign w:val="center"/>
            <w:hideMark/>
          </w:tcPr>
          <w:p w:rsidR="00CF4F4B" w:rsidRPr="00CF4F4B"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AE16A0" w:rsidRDefault="00CF4F4B" w:rsidP="003B38D1">
            <w:pPr>
              <w:spacing w:before="29" w:line="288" w:lineRule="auto"/>
              <w:jc w:val="center"/>
              <w:rPr>
                <w:sz w:val="24"/>
              </w:rPr>
            </w:pPr>
            <w:r w:rsidRPr="00AE16A0">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AE16A0" w:rsidRDefault="00CF4F4B" w:rsidP="00AE16A0">
            <w:pPr>
              <w:spacing w:before="29" w:line="288" w:lineRule="auto"/>
              <w:jc w:val="right"/>
              <w:rPr>
                <w:sz w:val="24"/>
              </w:rPr>
            </w:pPr>
            <w:r w:rsidRPr="00AE16A0">
              <w:rPr>
                <w:sz w:val="24"/>
              </w:rPr>
              <w:t>0</w:t>
            </w:r>
          </w:p>
        </w:tc>
      </w:tr>
    </w:tbl>
    <w:p w:rsidR="00CF4F4B" w:rsidRPr="00D0515B" w:rsidRDefault="00CF4F4B" w:rsidP="004B36C2">
      <w:pPr>
        <w:spacing w:line="360" w:lineRule="auto"/>
        <w:rPr>
          <w:rFonts w:asciiTheme="minorEastAsia" w:eastAsiaTheme="minorEastAsia" w:hAnsiTheme="minorEastAsia"/>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6" w:name="_Toc331410115"/>
      <w:bookmarkStart w:id="77" w:name="_Toc225500053"/>
      <w:bookmarkStart w:id="78" w:name="_Toc509761018"/>
      <w:r w:rsidRPr="00FA3AA9">
        <w:rPr>
          <w:rFonts w:hint="eastAsia"/>
          <w:b/>
          <w:bCs/>
          <w:szCs w:val="24"/>
          <w:lang w:val="en-US"/>
        </w:rPr>
        <w:t>§</w:t>
      </w:r>
      <w:r w:rsidR="008B7031" w:rsidRPr="00FA3AA9">
        <w:rPr>
          <w:rFonts w:hint="eastAsia"/>
          <w:b/>
          <w:bCs/>
          <w:szCs w:val="24"/>
          <w:lang w:val="en-US"/>
        </w:rPr>
        <w:t>10</w:t>
      </w:r>
      <w:r w:rsidR="00250A79" w:rsidRPr="00FA3AA9">
        <w:rPr>
          <w:rFonts w:hint="eastAsia"/>
          <w:b/>
          <w:bCs/>
          <w:szCs w:val="24"/>
          <w:lang w:val="en-US"/>
        </w:rPr>
        <w:t xml:space="preserve">  </w:t>
      </w:r>
      <w:r w:rsidRPr="00FA3AA9">
        <w:rPr>
          <w:rFonts w:hint="eastAsia"/>
          <w:b/>
          <w:bCs/>
          <w:szCs w:val="24"/>
          <w:lang w:val="en-US"/>
        </w:rPr>
        <w:t>开放式基金份额变动</w:t>
      </w:r>
      <w:bookmarkEnd w:id="76"/>
      <w:bookmarkEnd w:id="77"/>
      <w:bookmarkEnd w:id="78"/>
    </w:p>
    <w:p w:rsidR="00D03082" w:rsidRPr="00FA3AA9" w:rsidRDefault="00D03082" w:rsidP="00FA3AA9">
      <w:pPr>
        <w:spacing w:before="29" w:line="288" w:lineRule="auto"/>
        <w:jc w:val="right"/>
        <w:rPr>
          <w:sz w:val="24"/>
        </w:rPr>
      </w:pPr>
      <w:r w:rsidRPr="00FA3AA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D0515B"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700BEF" w:rsidRDefault="004C2C8A" w:rsidP="00700BEF">
            <w:pPr>
              <w:spacing w:before="29" w:line="288" w:lineRule="auto"/>
              <w:jc w:val="center"/>
              <w:rPr>
                <w:sz w:val="24"/>
              </w:rPr>
            </w:pPr>
            <w:r w:rsidRPr="00700BEF">
              <w:rPr>
                <w:rFonts w:hint="eastAsia"/>
                <w:sz w:val="24"/>
              </w:rPr>
              <w:t>交银理财</w:t>
            </w:r>
            <w:r w:rsidRPr="00700BEF">
              <w:rPr>
                <w:rFonts w:hint="eastAsia"/>
                <w:sz w:val="24"/>
              </w:rPr>
              <w:t>60</w:t>
            </w:r>
            <w:r w:rsidRPr="00700BEF">
              <w:rPr>
                <w:rFonts w:hint="eastAsia"/>
                <w:sz w:val="24"/>
              </w:rPr>
              <w:t>天债券</w:t>
            </w:r>
            <w:r w:rsidRPr="00700BEF">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700BEF" w:rsidRDefault="00D32085" w:rsidP="00700BEF">
            <w:pPr>
              <w:spacing w:before="29" w:line="288" w:lineRule="auto"/>
              <w:jc w:val="center"/>
              <w:rPr>
                <w:sz w:val="24"/>
              </w:rPr>
            </w:pPr>
            <w:r>
              <w:rPr>
                <w:rFonts w:hint="eastAsia"/>
                <w:sz w:val="24"/>
              </w:rPr>
              <w:t>交银理财</w:t>
            </w:r>
            <w:r>
              <w:rPr>
                <w:rFonts w:hint="eastAsia"/>
                <w:sz w:val="24"/>
              </w:rPr>
              <w:t>60</w:t>
            </w:r>
            <w:r>
              <w:rPr>
                <w:rFonts w:hint="eastAsia"/>
                <w:sz w:val="24"/>
              </w:rPr>
              <w:t>天债券</w:t>
            </w:r>
            <w:r>
              <w:rPr>
                <w:rFonts w:hint="eastAsia"/>
                <w:sz w:val="24"/>
              </w:rPr>
              <w:t>B</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A24201">
            <w:pPr>
              <w:spacing w:before="29" w:line="288" w:lineRule="auto"/>
              <w:rPr>
                <w:sz w:val="24"/>
              </w:rPr>
            </w:pPr>
            <w:r w:rsidRPr="00A24201">
              <w:rPr>
                <w:rFonts w:hint="eastAsia"/>
                <w:sz w:val="24"/>
              </w:rPr>
              <w:t>基金合同生效日（</w:t>
            </w:r>
            <w:r w:rsidRPr="00A24201">
              <w:rPr>
                <w:rFonts w:hint="eastAsia"/>
                <w:sz w:val="24"/>
              </w:rPr>
              <w:t>2013</w:t>
            </w:r>
            <w:r w:rsidRPr="00A24201">
              <w:rPr>
                <w:rFonts w:hint="eastAsia"/>
                <w:sz w:val="24"/>
              </w:rPr>
              <w:t>年</w:t>
            </w:r>
            <w:r w:rsidRPr="00A24201">
              <w:rPr>
                <w:rFonts w:hint="eastAsia"/>
                <w:sz w:val="24"/>
              </w:rPr>
              <w:t>3</w:t>
            </w:r>
            <w:r w:rsidRPr="00A24201">
              <w:rPr>
                <w:rFonts w:hint="eastAsia"/>
                <w:sz w:val="24"/>
              </w:rPr>
              <w:t>月</w:t>
            </w:r>
            <w:r w:rsidRPr="00A24201">
              <w:rPr>
                <w:rFonts w:hint="eastAsia"/>
                <w:sz w:val="24"/>
              </w:rPr>
              <w:t>13</w:t>
            </w:r>
            <w:r w:rsidRPr="00A24201">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21,172,518.09</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8,491,238.98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2,000,366,524.38</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2,712,059.10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3,051,058,127.54</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D03082" w:rsidP="006071E5">
            <w:pPr>
              <w:spacing w:before="29" w:line="288" w:lineRule="auto"/>
              <w:rPr>
                <w:sz w:val="24"/>
              </w:rPr>
            </w:pPr>
            <w:r w:rsidRPr="00A24201">
              <w:rPr>
                <w:rFonts w:hint="eastAsia"/>
                <w:sz w:val="24"/>
              </w:rPr>
              <w:t>减：</w:t>
            </w:r>
            <w:r w:rsidR="00FF7A31" w:rsidRPr="00A24201">
              <w:rPr>
                <w:sz w:val="24"/>
              </w:rPr>
              <w:t>本报告期</w:t>
            </w:r>
            <w:r w:rsidRPr="00A24201">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1,552,379.44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104,164,900.00</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FF7A31" w:rsidP="00A24201">
            <w:pPr>
              <w:spacing w:before="29" w:line="288" w:lineRule="auto"/>
              <w:rPr>
                <w:sz w:val="24"/>
              </w:rPr>
            </w:pPr>
            <w:r w:rsidRPr="00A24201">
              <w:rPr>
                <w:sz w:val="24"/>
              </w:rPr>
              <w:t>本报告期</w:t>
            </w:r>
            <w:r w:rsidR="00D03082" w:rsidRPr="00A24201">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2E6E23" w:rsidRDefault="00D03082" w:rsidP="002E6E23">
            <w:pPr>
              <w:spacing w:before="29" w:line="288" w:lineRule="auto"/>
              <w:jc w:val="right"/>
              <w:rPr>
                <w:sz w:val="24"/>
              </w:rPr>
            </w:pPr>
            <w:r w:rsidRPr="002E6E23">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2E6E23" w:rsidRDefault="00D32085" w:rsidP="002E6E23">
            <w:pPr>
              <w:spacing w:before="29" w:line="288" w:lineRule="auto"/>
              <w:jc w:val="right"/>
              <w:rPr>
                <w:sz w:val="24"/>
              </w:rPr>
            </w:pPr>
            <w:r>
              <w:rPr>
                <w:rFonts w:hint="eastAsia"/>
                <w:sz w:val="24"/>
              </w:rPr>
              <w:t>-</w:t>
            </w:r>
          </w:p>
        </w:tc>
      </w:tr>
      <w:tr w:rsidR="002C233F" w:rsidRPr="00D0515B"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A24201" w:rsidRDefault="00553B74" w:rsidP="00A24201">
            <w:pPr>
              <w:spacing w:before="29" w:line="288" w:lineRule="auto"/>
              <w:rPr>
                <w:sz w:val="24"/>
              </w:rPr>
            </w:pPr>
            <w:r w:rsidRPr="00CF43E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2E6E23" w:rsidRDefault="00D03082" w:rsidP="002E6E23">
            <w:pPr>
              <w:spacing w:before="29" w:line="288" w:lineRule="auto"/>
              <w:jc w:val="right"/>
              <w:rPr>
                <w:sz w:val="24"/>
              </w:rPr>
            </w:pPr>
            <w:r w:rsidRPr="002E6E23">
              <w:rPr>
                <w:rFonts w:hint="eastAsia"/>
                <w:sz w:val="24"/>
              </w:rPr>
              <w:t>9,650,918.64</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2E6E23" w:rsidRDefault="00D32085" w:rsidP="002E6E23">
            <w:pPr>
              <w:spacing w:before="29" w:line="288" w:lineRule="auto"/>
              <w:jc w:val="right"/>
              <w:rPr>
                <w:sz w:val="24"/>
              </w:rPr>
            </w:pPr>
            <w:r>
              <w:rPr>
                <w:rFonts w:hint="eastAsia"/>
                <w:sz w:val="24"/>
              </w:rPr>
              <w:t>4,947,259,751.92</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、如果本报告期间发生转换入、份额类别调整、红利再投业务，则总申购份额中包含该业务；</w:t>
      </w:r>
    </w:p>
    <w:p w:rsidR="00D03082" w:rsidRDefault="00D03082" w:rsidP="00815D5D">
      <w:pPr>
        <w:tabs>
          <w:tab w:val="left" w:pos="426"/>
        </w:tabs>
        <w:spacing w:before="29" w:line="288" w:lineRule="auto"/>
        <w:jc w:val="left"/>
        <w:rPr>
          <w:kern w:val="0"/>
          <w:sz w:val="24"/>
        </w:rPr>
      </w:pPr>
      <w:r w:rsidRPr="00815D5D">
        <w:rPr>
          <w:rFonts w:hint="eastAsia"/>
          <w:kern w:val="0"/>
          <w:sz w:val="24"/>
        </w:rPr>
        <w:t xml:space="preserve">    2</w:t>
      </w:r>
      <w:r w:rsidRPr="00815D5D">
        <w:rPr>
          <w:rFonts w:hint="eastAsia"/>
          <w:kern w:val="0"/>
          <w:sz w:val="24"/>
        </w:rPr>
        <w:t>、如果本报告期间发生转换出业务，则总赎回份额中包含该业务。</w:t>
      </w:r>
    </w:p>
    <w:p w:rsidR="00815D5D" w:rsidRPr="00D0515B"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Default="006D141C" w:rsidP="001B0E7B">
      <w:pPr>
        <w:pStyle w:val="1"/>
        <w:keepNext/>
        <w:keepLines/>
        <w:widowControl w:val="0"/>
        <w:spacing w:beforeLines="100" w:before="312" w:afterLines="100" w:after="312" w:line="288" w:lineRule="auto"/>
        <w:jc w:val="center"/>
        <w:rPr>
          <w:b/>
          <w:bCs/>
          <w:szCs w:val="24"/>
          <w:lang w:val="en-US"/>
        </w:rPr>
      </w:pPr>
      <w:bookmarkStart w:id="79" w:name="_Toc331410116"/>
      <w:bookmarkStart w:id="80" w:name="_Toc225500054"/>
      <w:bookmarkStart w:id="81" w:name="_Toc509761019"/>
      <w:r w:rsidRPr="00120147">
        <w:rPr>
          <w:rFonts w:hint="eastAsia"/>
          <w:b/>
          <w:bCs/>
          <w:szCs w:val="24"/>
          <w:lang w:val="en-US"/>
        </w:rPr>
        <w:t>§</w:t>
      </w:r>
      <w:r w:rsidRPr="00120147">
        <w:rPr>
          <w:rFonts w:hint="eastAsia"/>
          <w:b/>
          <w:bCs/>
          <w:szCs w:val="24"/>
          <w:lang w:val="en-US"/>
        </w:rPr>
        <w:t>11</w:t>
      </w:r>
      <w:r w:rsidR="008B7031" w:rsidRPr="00120147">
        <w:rPr>
          <w:rFonts w:hint="eastAsia"/>
          <w:b/>
          <w:bCs/>
          <w:szCs w:val="24"/>
          <w:lang w:val="en-US"/>
        </w:rPr>
        <w:t xml:space="preserve">  </w:t>
      </w:r>
      <w:r w:rsidRPr="00120147">
        <w:rPr>
          <w:rFonts w:hint="eastAsia"/>
          <w:b/>
          <w:bCs/>
          <w:szCs w:val="24"/>
          <w:lang w:val="en-US"/>
        </w:rPr>
        <w:t>重大事件揭示</w:t>
      </w:r>
      <w:bookmarkEnd w:id="79"/>
      <w:bookmarkEnd w:id="80"/>
      <w:bookmarkEnd w:id="81"/>
    </w:p>
    <w:p w:rsidR="00FB3BC2" w:rsidRPr="00FB3BC2" w:rsidRDefault="00FB3BC2" w:rsidP="00FB3BC2"/>
    <w:p w:rsidR="006D141C" w:rsidRPr="00191E1C" w:rsidRDefault="00EE1CF9" w:rsidP="00191E1C">
      <w:pPr>
        <w:pStyle w:val="20"/>
        <w:spacing w:before="29" w:after="0" w:line="288" w:lineRule="auto"/>
        <w:rPr>
          <w:rFonts w:ascii="Times New Roman" w:hAnsi="Times New Roman" w:cs="Times New Roman"/>
          <w:kern w:val="0"/>
          <w:szCs w:val="24"/>
        </w:rPr>
      </w:pPr>
      <w:bookmarkStart w:id="82" w:name="_Toc331410117"/>
      <w:bookmarkStart w:id="83" w:name="_Toc509761020"/>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1928E4" w:rsidRPr="00191E1C">
        <w:rPr>
          <w:rFonts w:ascii="Times New Roman" w:hAnsi="Times New Roman" w:cs="Times New Roman" w:hint="eastAsia"/>
          <w:kern w:val="0"/>
          <w:szCs w:val="24"/>
        </w:rPr>
        <w:t>1</w:t>
      </w:r>
      <w:r w:rsidR="006D141C" w:rsidRPr="00191E1C">
        <w:rPr>
          <w:rFonts w:ascii="Times New Roman" w:hAnsi="Times New Roman" w:cs="Times New Roman" w:hint="eastAsia"/>
          <w:kern w:val="0"/>
          <w:szCs w:val="24"/>
        </w:rPr>
        <w:t>基金份额持有人大会决议</w:t>
      </w:r>
      <w:bookmarkEnd w:id="82"/>
      <w:bookmarkEnd w:id="83"/>
    </w:p>
    <w:p w:rsidR="006D141C" w:rsidRDefault="006D141C" w:rsidP="00191E1C">
      <w:pPr>
        <w:tabs>
          <w:tab w:val="left" w:pos="426"/>
        </w:tabs>
        <w:spacing w:before="29" w:line="288" w:lineRule="auto"/>
        <w:ind w:firstLineChars="200" w:firstLine="480"/>
        <w:rPr>
          <w:kern w:val="0"/>
          <w:sz w:val="24"/>
        </w:rPr>
      </w:pPr>
      <w:bookmarkStart w:id="84" w:name="_Toc331410118"/>
      <w:r w:rsidRPr="00191E1C">
        <w:rPr>
          <w:rFonts w:hint="eastAsia"/>
          <w:kern w:val="0"/>
          <w:sz w:val="24"/>
        </w:rPr>
        <w:t>本基金本报告期内未召开基金份额持有人大会。</w:t>
      </w:r>
    </w:p>
    <w:p w:rsidR="00191E1C" w:rsidRPr="00191E1C" w:rsidRDefault="00191E1C"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5" w:name="_Toc509761021"/>
      <w:r w:rsidRPr="00191E1C">
        <w:rPr>
          <w:rFonts w:ascii="Times New Roman" w:hAnsi="Times New Roman" w:cs="Times New Roman" w:hint="eastAsia"/>
          <w:kern w:val="0"/>
          <w:szCs w:val="24"/>
        </w:rPr>
        <w:t>11</w:t>
      </w:r>
      <w:r w:rsidR="001928E4" w:rsidRPr="00191E1C">
        <w:rPr>
          <w:rFonts w:ascii="Times New Roman" w:hAnsi="Times New Roman" w:cs="Times New Roman" w:hint="eastAsia"/>
          <w:kern w:val="0"/>
          <w:szCs w:val="24"/>
        </w:rPr>
        <w:t>.2</w:t>
      </w:r>
      <w:r w:rsidR="006D141C" w:rsidRPr="00191E1C">
        <w:rPr>
          <w:rFonts w:ascii="Times New Roman" w:hAnsi="Times New Roman" w:cs="Times New Roman" w:hint="eastAsia"/>
          <w:kern w:val="0"/>
          <w:szCs w:val="24"/>
        </w:rPr>
        <w:t>基金管理人、基金托管人的专门基金托管部门的重大人事变动</w:t>
      </w:r>
      <w:bookmarkEnd w:id="84"/>
      <w:bookmarkEnd w:id="85"/>
    </w:p>
    <w:p w:rsidR="00B5600D" w:rsidRDefault="00D91A1A">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、基金管理人的重大人事变动：本报告期内，本基金的基金管理人未发生重大人事变动。</w:t>
      </w:r>
      <w:r>
        <w:rPr>
          <w:rFonts w:hint="eastAsia"/>
          <w:kern w:val="0"/>
          <w:sz w:val="24"/>
        </w:rPr>
        <w:t xml:space="preserve"> </w:t>
      </w:r>
    </w:p>
    <w:p w:rsidR="006D141C" w:rsidRDefault="006D141C" w:rsidP="00191E1C">
      <w:pPr>
        <w:tabs>
          <w:tab w:val="left" w:pos="426"/>
        </w:tabs>
        <w:spacing w:before="29" w:line="288" w:lineRule="auto"/>
        <w:ind w:firstLineChars="200" w:firstLine="480"/>
        <w:rPr>
          <w:kern w:val="0"/>
          <w:sz w:val="24"/>
        </w:rPr>
      </w:pPr>
      <w:bookmarkStart w:id="86" w:name="_Toc331410119"/>
      <w:r w:rsidRPr="00191E1C">
        <w:rPr>
          <w:rFonts w:hint="eastAsia"/>
          <w:kern w:val="0"/>
          <w:sz w:val="24"/>
        </w:rPr>
        <w:t>2</w:t>
      </w:r>
      <w:r w:rsidRPr="00191E1C">
        <w:rPr>
          <w:rFonts w:hint="eastAsia"/>
          <w:kern w:val="0"/>
          <w:sz w:val="24"/>
        </w:rPr>
        <w:t>、基金托管人的基金托管部门的重大人事变动：</w:t>
      </w:r>
      <w:r w:rsidR="00EA3691" w:rsidRPr="00EA3691">
        <w:rPr>
          <w:rFonts w:hint="eastAsia"/>
          <w:kern w:val="0"/>
          <w:sz w:val="24"/>
        </w:rPr>
        <w:t>2017</w:t>
      </w:r>
      <w:r w:rsidR="00EA3691" w:rsidRPr="00EA3691">
        <w:rPr>
          <w:rFonts w:hint="eastAsia"/>
          <w:kern w:val="0"/>
          <w:sz w:val="24"/>
        </w:rPr>
        <w:t>年</w:t>
      </w:r>
      <w:r w:rsidR="00EA3691" w:rsidRPr="00EA3691">
        <w:rPr>
          <w:rFonts w:hint="eastAsia"/>
          <w:kern w:val="0"/>
          <w:sz w:val="24"/>
        </w:rPr>
        <w:t>9</w:t>
      </w:r>
      <w:r w:rsidR="00EA3691" w:rsidRPr="00EA3691">
        <w:rPr>
          <w:rFonts w:hint="eastAsia"/>
          <w:kern w:val="0"/>
          <w:sz w:val="24"/>
        </w:rPr>
        <w:t>月</w:t>
      </w:r>
      <w:r w:rsidR="00EA3691" w:rsidRPr="00EA3691">
        <w:rPr>
          <w:rFonts w:hint="eastAsia"/>
          <w:kern w:val="0"/>
          <w:sz w:val="24"/>
        </w:rPr>
        <w:t>1</w:t>
      </w:r>
      <w:r w:rsidR="00EA3691" w:rsidRPr="00EA3691">
        <w:rPr>
          <w:rFonts w:hint="eastAsia"/>
          <w:kern w:val="0"/>
          <w:sz w:val="24"/>
        </w:rPr>
        <w:t>日，中国建设银行发布公告，聘任纪伟为中国建设银行资产托管业务部总经理。</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7" w:name="_Toc509761022"/>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.3 </w:t>
      </w:r>
      <w:r w:rsidR="006D141C" w:rsidRPr="00191E1C">
        <w:rPr>
          <w:rFonts w:ascii="Times New Roman" w:hAnsi="Times New Roman" w:cs="Times New Roman" w:hint="eastAsia"/>
          <w:kern w:val="0"/>
          <w:szCs w:val="24"/>
        </w:rPr>
        <w:t>涉及基金管理人、基金财产、基金托管业务的诉讼</w:t>
      </w:r>
      <w:bookmarkEnd w:id="86"/>
      <w:bookmarkEnd w:id="87"/>
    </w:p>
    <w:p w:rsidR="006D141C" w:rsidRDefault="006D141C" w:rsidP="00191E1C">
      <w:pPr>
        <w:tabs>
          <w:tab w:val="left" w:pos="426"/>
        </w:tabs>
        <w:spacing w:before="29" w:line="288" w:lineRule="auto"/>
        <w:ind w:firstLineChars="200" w:firstLine="480"/>
        <w:rPr>
          <w:kern w:val="0"/>
          <w:sz w:val="24"/>
        </w:rPr>
      </w:pPr>
      <w:bookmarkStart w:id="88" w:name="_Toc331410120"/>
      <w:r w:rsidRPr="00191E1C">
        <w:rPr>
          <w:rFonts w:hint="eastAsia"/>
          <w:kern w:val="0"/>
          <w:sz w:val="24"/>
        </w:rPr>
        <w:t>本报告期内未发生涉及本基金管理人、基金财产、基金托管业务的诉讼事项。</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89" w:name="_Toc509761023"/>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.4 </w:t>
      </w:r>
      <w:r w:rsidR="006D141C" w:rsidRPr="00191E1C">
        <w:rPr>
          <w:rFonts w:ascii="Times New Roman" w:hAnsi="Times New Roman" w:cs="Times New Roman" w:hint="eastAsia"/>
          <w:kern w:val="0"/>
          <w:szCs w:val="24"/>
        </w:rPr>
        <w:t>基金投资策略的改变</w:t>
      </w:r>
      <w:bookmarkEnd w:id="88"/>
      <w:bookmarkEnd w:id="89"/>
    </w:p>
    <w:p w:rsidR="006D141C" w:rsidRDefault="006D141C" w:rsidP="00191E1C">
      <w:pPr>
        <w:tabs>
          <w:tab w:val="left" w:pos="426"/>
        </w:tabs>
        <w:spacing w:before="29" w:line="288" w:lineRule="auto"/>
        <w:ind w:firstLineChars="200" w:firstLine="480"/>
        <w:rPr>
          <w:kern w:val="0"/>
          <w:sz w:val="24"/>
        </w:rPr>
      </w:pPr>
      <w:bookmarkStart w:id="90" w:name="_Toc331410121"/>
      <w:r w:rsidRPr="00191E1C">
        <w:rPr>
          <w:rFonts w:hint="eastAsia"/>
          <w:kern w:val="0"/>
          <w:sz w:val="24"/>
        </w:rPr>
        <w:t>本基金本报告期内投资策略未发生改变。</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1" w:name="_Toc509761024"/>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.5</w:t>
      </w:r>
      <w:bookmarkEnd w:id="90"/>
      <w:r w:rsidR="000716BB" w:rsidRPr="00191E1C">
        <w:rPr>
          <w:rFonts w:ascii="Times New Roman" w:hAnsi="Times New Roman" w:cs="Times New Roman" w:hint="eastAsia"/>
          <w:kern w:val="0"/>
          <w:szCs w:val="24"/>
        </w:rPr>
        <w:t>为基金进行审计的会计师事务所情况</w:t>
      </w:r>
      <w:bookmarkEnd w:id="91"/>
    </w:p>
    <w:p w:rsidR="00A93F98" w:rsidRPr="00504C53" w:rsidRDefault="00A93F98" w:rsidP="00504C53">
      <w:pPr>
        <w:tabs>
          <w:tab w:val="left" w:pos="426"/>
        </w:tabs>
        <w:spacing w:before="29" w:line="288" w:lineRule="auto"/>
        <w:ind w:firstLineChars="200" w:firstLine="480"/>
        <w:rPr>
          <w:kern w:val="0"/>
          <w:sz w:val="24"/>
        </w:rPr>
      </w:pPr>
      <w:r w:rsidRPr="00504C53">
        <w:rPr>
          <w:rFonts w:hint="eastAsia"/>
          <w:kern w:val="0"/>
          <w:sz w:val="24"/>
        </w:rPr>
        <w:t>本报告期内，为本基金提供审计服务的会计师事务所为普华永道中天会计师事务所（特殊普通合伙）。本期审计费为</w:t>
      </w:r>
      <w:r w:rsidRPr="00504C53">
        <w:rPr>
          <w:kern w:val="0"/>
          <w:sz w:val="24"/>
        </w:rPr>
        <w:t>50,000</w:t>
      </w:r>
      <w:r w:rsidRPr="00504C53">
        <w:rPr>
          <w:rFonts w:hint="eastAsia"/>
          <w:kern w:val="0"/>
          <w:sz w:val="24"/>
        </w:rPr>
        <w:t>元，自本基金基金合同生效以来，本基金未改聘为其审计的会计师事务所。</w:t>
      </w:r>
    </w:p>
    <w:p w:rsidR="00415878" w:rsidRDefault="00415878" w:rsidP="00A93F98">
      <w:pPr>
        <w:ind w:firstLineChars="200" w:firstLine="422"/>
        <w:rPr>
          <w:b/>
          <w:bCs/>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2" w:name="_Toc509761025"/>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 xml:space="preserve">.6 </w:t>
      </w:r>
      <w:r w:rsidR="006D141C" w:rsidRPr="00191E1C">
        <w:rPr>
          <w:rFonts w:ascii="Times New Roman" w:hAnsi="Times New Roman" w:cs="Times New Roman" w:hint="eastAsia"/>
          <w:kern w:val="0"/>
          <w:szCs w:val="24"/>
        </w:rPr>
        <w:t>管理人、托管人及其高级管理人员受稽查或处罚等情况</w:t>
      </w:r>
      <w:bookmarkEnd w:id="92"/>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1</w:t>
      </w:r>
      <w:r>
        <w:rPr>
          <w:rFonts w:hint="eastAsia"/>
          <w:kern w:val="0"/>
          <w:sz w:val="24"/>
        </w:rPr>
        <w:t>）管理人及其高级管理人员受稽查或处罚等情况</w:t>
      </w:r>
    </w:p>
    <w:p w:rsidR="00B5600D" w:rsidRDefault="00D91A1A">
      <w:pPr>
        <w:tabs>
          <w:tab w:val="left" w:pos="426"/>
        </w:tabs>
        <w:spacing w:before="29" w:line="288" w:lineRule="auto"/>
        <w:ind w:firstLineChars="200" w:firstLine="480"/>
        <w:rPr>
          <w:kern w:val="0"/>
          <w:sz w:val="24"/>
        </w:rPr>
      </w:pPr>
      <w:r>
        <w:rPr>
          <w:rFonts w:hint="eastAsia"/>
          <w:kern w:val="0"/>
          <w:sz w:val="24"/>
        </w:rPr>
        <w:t>本报告期内公司收到中国证监会</w:t>
      </w:r>
      <w:r>
        <w:rPr>
          <w:rFonts w:hint="eastAsia"/>
          <w:kern w:val="0"/>
          <w:sz w:val="24"/>
        </w:rPr>
        <w:t>2016</w:t>
      </w:r>
      <w:r>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5600D" w:rsidRDefault="00D91A1A">
      <w:pPr>
        <w:tabs>
          <w:tab w:val="left" w:pos="426"/>
        </w:tabs>
        <w:spacing w:before="29" w:line="288" w:lineRule="auto"/>
        <w:ind w:firstLineChars="200" w:firstLine="480"/>
        <w:rPr>
          <w:kern w:val="0"/>
          <w:sz w:val="24"/>
        </w:rPr>
      </w:pPr>
      <w:r>
        <w:rPr>
          <w:rFonts w:hint="eastAsia"/>
          <w:kern w:val="0"/>
          <w:sz w:val="24"/>
        </w:rPr>
        <w:t>（</w:t>
      </w:r>
      <w:r>
        <w:rPr>
          <w:rFonts w:hint="eastAsia"/>
          <w:kern w:val="0"/>
          <w:sz w:val="24"/>
        </w:rPr>
        <w:t>2</w:t>
      </w:r>
      <w:r>
        <w:rPr>
          <w:rFonts w:hint="eastAsia"/>
          <w:kern w:val="0"/>
          <w:sz w:val="24"/>
        </w:rPr>
        <w:t>）托管人及其高级管理人员受稽查或处罚等情况</w:t>
      </w:r>
    </w:p>
    <w:p w:rsidR="006D141C" w:rsidRDefault="006D141C" w:rsidP="00191E1C">
      <w:pPr>
        <w:tabs>
          <w:tab w:val="left" w:pos="426"/>
        </w:tabs>
        <w:spacing w:before="29" w:line="288" w:lineRule="auto"/>
        <w:ind w:firstLineChars="200" w:firstLine="480"/>
        <w:rPr>
          <w:kern w:val="0"/>
          <w:sz w:val="24"/>
        </w:rPr>
      </w:pPr>
      <w:bookmarkStart w:id="93" w:name="_Toc331410123"/>
      <w:r w:rsidRPr="00191E1C">
        <w:rPr>
          <w:rFonts w:hint="eastAsia"/>
          <w:kern w:val="0"/>
          <w:sz w:val="24"/>
        </w:rPr>
        <w:t>基金托管人及其高级管理人员本报告期内未受监管部门稽查或处罚。</w:t>
      </w:r>
    </w:p>
    <w:p w:rsidR="005776D9" w:rsidRPr="00191E1C" w:rsidRDefault="005776D9" w:rsidP="00191E1C">
      <w:pPr>
        <w:tabs>
          <w:tab w:val="left" w:pos="426"/>
        </w:tabs>
        <w:spacing w:before="29" w:line="288" w:lineRule="auto"/>
        <w:ind w:firstLineChars="200" w:firstLine="480"/>
        <w:rPr>
          <w:kern w:val="0"/>
          <w:sz w:val="24"/>
        </w:rPr>
      </w:pPr>
    </w:p>
    <w:p w:rsidR="006D141C" w:rsidRPr="00191E1C" w:rsidRDefault="00EE1CF9" w:rsidP="00191E1C">
      <w:pPr>
        <w:pStyle w:val="20"/>
        <w:spacing w:before="29" w:after="0" w:line="288" w:lineRule="auto"/>
        <w:rPr>
          <w:rFonts w:ascii="Times New Roman" w:hAnsi="Times New Roman" w:cs="Times New Roman"/>
          <w:kern w:val="0"/>
          <w:szCs w:val="24"/>
        </w:rPr>
      </w:pPr>
      <w:bookmarkStart w:id="94" w:name="_Toc509761026"/>
      <w:r w:rsidRPr="00191E1C">
        <w:rPr>
          <w:rFonts w:ascii="Times New Roman" w:hAnsi="Times New Roman" w:cs="Times New Roman" w:hint="eastAsia"/>
          <w:kern w:val="0"/>
          <w:szCs w:val="24"/>
        </w:rPr>
        <w:t>11</w:t>
      </w:r>
      <w:r w:rsidR="006D141C" w:rsidRPr="00191E1C">
        <w:rPr>
          <w:rFonts w:ascii="Times New Roman" w:hAnsi="Times New Roman" w:cs="Times New Roman" w:hint="eastAsia"/>
          <w:kern w:val="0"/>
          <w:szCs w:val="24"/>
        </w:rPr>
        <w:t>.</w:t>
      </w:r>
      <w:r w:rsidR="00EF62D0" w:rsidRPr="00191E1C">
        <w:rPr>
          <w:rFonts w:ascii="Times New Roman" w:hAnsi="Times New Roman" w:cs="Times New Roman" w:hint="eastAsia"/>
          <w:kern w:val="0"/>
          <w:szCs w:val="24"/>
        </w:rPr>
        <w:t>7</w:t>
      </w:r>
      <w:r w:rsidR="006D141C" w:rsidRPr="00191E1C">
        <w:rPr>
          <w:rFonts w:ascii="Times New Roman" w:hAnsi="Times New Roman" w:cs="Times New Roman" w:hint="eastAsia"/>
          <w:kern w:val="0"/>
          <w:szCs w:val="24"/>
        </w:rPr>
        <w:t xml:space="preserve"> </w:t>
      </w:r>
      <w:r w:rsidR="006D141C" w:rsidRPr="00191E1C">
        <w:rPr>
          <w:rFonts w:ascii="Times New Roman" w:hAnsi="Times New Roman" w:cs="Times New Roman" w:hint="eastAsia"/>
          <w:kern w:val="0"/>
          <w:szCs w:val="24"/>
        </w:rPr>
        <w:t>基金租用证券公司交易单元的有关情况</w:t>
      </w:r>
      <w:bookmarkEnd w:id="93"/>
      <w:bookmarkEnd w:id="94"/>
    </w:p>
    <w:p w:rsidR="006D141C" w:rsidRPr="005776D9" w:rsidRDefault="00EE1CF9" w:rsidP="005776D9">
      <w:pPr>
        <w:spacing w:before="29" w:line="288" w:lineRule="auto"/>
        <w:rPr>
          <w:b/>
          <w:bCs/>
          <w:sz w:val="24"/>
        </w:rPr>
      </w:pPr>
      <w:bookmarkStart w:id="95" w:name="_Toc249760070"/>
      <w:r w:rsidRPr="005776D9">
        <w:rPr>
          <w:rFonts w:hint="eastAsia"/>
          <w:b/>
          <w:bCs/>
          <w:sz w:val="24"/>
        </w:rPr>
        <w:t>11</w:t>
      </w:r>
      <w:r w:rsidR="006D141C" w:rsidRPr="005776D9">
        <w:rPr>
          <w:rFonts w:hint="eastAsia"/>
          <w:b/>
          <w:bCs/>
          <w:sz w:val="24"/>
        </w:rPr>
        <w:t>.</w:t>
      </w:r>
      <w:r w:rsidR="00EF62D0" w:rsidRPr="005776D9">
        <w:rPr>
          <w:rFonts w:hint="eastAsia"/>
          <w:b/>
          <w:bCs/>
          <w:sz w:val="24"/>
        </w:rPr>
        <w:t>7</w:t>
      </w:r>
      <w:r w:rsidR="006D141C" w:rsidRPr="005776D9">
        <w:rPr>
          <w:rFonts w:hint="eastAsia"/>
          <w:b/>
          <w:bCs/>
          <w:sz w:val="24"/>
        </w:rPr>
        <w:t>.</w:t>
      </w:r>
      <w:r w:rsidR="001928E4" w:rsidRPr="005776D9">
        <w:rPr>
          <w:rFonts w:hint="eastAsia"/>
          <w:b/>
          <w:bCs/>
          <w:sz w:val="24"/>
        </w:rPr>
        <w:t>1</w:t>
      </w:r>
      <w:r w:rsidR="006D141C" w:rsidRPr="005776D9">
        <w:rPr>
          <w:rFonts w:hint="eastAsia"/>
          <w:b/>
          <w:bCs/>
          <w:sz w:val="24"/>
        </w:rPr>
        <w:t>基金租用证券公司交易单元进行股票投资及佣金支付情况</w:t>
      </w:r>
      <w:bookmarkEnd w:id="95"/>
    </w:p>
    <w:p w:rsidR="006D141C" w:rsidRPr="001606C0" w:rsidRDefault="006D141C" w:rsidP="001606C0">
      <w:pPr>
        <w:spacing w:before="29" w:line="288" w:lineRule="auto"/>
        <w:ind w:firstLine="420"/>
        <w:jc w:val="right"/>
        <w:rPr>
          <w:sz w:val="24"/>
        </w:rPr>
      </w:pPr>
      <w:r w:rsidRPr="001606C0">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bookmarkStart w:id="96" w:name="_Toc249760071"/>
            <w:r w:rsidRPr="00A318A6">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备注</w:t>
            </w:r>
          </w:p>
        </w:tc>
      </w:tr>
      <w:tr w:rsidR="002C233F" w:rsidRPr="00A318A6" w:rsidTr="0071278F">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spacing w:before="29" w:line="288" w:lineRule="auto"/>
              <w:jc w:val="center"/>
              <w:rPr>
                <w:szCs w:val="21"/>
              </w:rPr>
            </w:pPr>
            <w:r w:rsidRPr="00A318A6">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A44D50">
            <w:pPr>
              <w:widowControl/>
              <w:spacing w:before="29" w:line="288" w:lineRule="auto"/>
              <w:jc w:val="left"/>
              <w:rPr>
                <w:szCs w:val="21"/>
              </w:rPr>
            </w:pPr>
          </w:p>
        </w:tc>
      </w:tr>
      <w:tr w:rsidR="0071278F">
        <w:tc>
          <w:tcPr>
            <w:tcW w:w="1560" w:type="dxa"/>
            <w:vAlign w:val="center"/>
          </w:tcPr>
          <w:p w:rsidR="0071278F" w:rsidRDefault="0071278F" w:rsidP="0071278F">
            <w:pPr>
              <w:jc w:val="center"/>
            </w:pPr>
            <w:r>
              <w:rPr>
                <w:rFonts w:hint="eastAsia"/>
                <w:szCs w:val="21"/>
              </w:rPr>
              <w:t>申万宏源证券有限公司</w:t>
            </w:r>
          </w:p>
        </w:tc>
        <w:tc>
          <w:tcPr>
            <w:tcW w:w="780" w:type="dxa"/>
            <w:vAlign w:val="center"/>
          </w:tcPr>
          <w:p w:rsidR="0071278F" w:rsidRDefault="0071278F" w:rsidP="0071278F">
            <w:pPr>
              <w:jc w:val="right"/>
            </w:pPr>
            <w:r>
              <w:rPr>
                <w:rFonts w:hint="eastAsia"/>
                <w:szCs w:val="21"/>
              </w:rPr>
              <w:t>1</w:t>
            </w:r>
          </w:p>
        </w:tc>
        <w:tc>
          <w:tcPr>
            <w:tcW w:w="1800" w:type="dxa"/>
            <w:vAlign w:val="center"/>
          </w:tcPr>
          <w:p w:rsidR="0071278F" w:rsidRDefault="0071278F" w:rsidP="0071278F">
            <w:pPr>
              <w:jc w:val="right"/>
            </w:pPr>
            <w:r>
              <w:rPr>
                <w:rFonts w:hint="eastAsia"/>
                <w:szCs w:val="21"/>
              </w:rPr>
              <w:t>-</w:t>
            </w:r>
          </w:p>
        </w:tc>
        <w:tc>
          <w:tcPr>
            <w:tcW w:w="1080" w:type="dxa"/>
            <w:vAlign w:val="center"/>
          </w:tcPr>
          <w:p w:rsidR="0071278F" w:rsidRDefault="0071278F" w:rsidP="0071278F">
            <w:pPr>
              <w:jc w:val="right"/>
            </w:pPr>
            <w:r>
              <w:rPr>
                <w:rFonts w:hint="eastAsia"/>
                <w:szCs w:val="21"/>
              </w:rPr>
              <w:t>-</w:t>
            </w:r>
          </w:p>
        </w:tc>
        <w:tc>
          <w:tcPr>
            <w:tcW w:w="1620" w:type="dxa"/>
            <w:vAlign w:val="center"/>
          </w:tcPr>
          <w:p w:rsidR="0071278F" w:rsidRDefault="0071278F" w:rsidP="0071278F">
            <w:pPr>
              <w:jc w:val="right"/>
            </w:pPr>
            <w:r>
              <w:rPr>
                <w:rFonts w:hint="eastAsia"/>
                <w:szCs w:val="21"/>
              </w:rPr>
              <w:t>-</w:t>
            </w:r>
          </w:p>
        </w:tc>
        <w:tc>
          <w:tcPr>
            <w:tcW w:w="1080" w:type="dxa"/>
            <w:vAlign w:val="center"/>
          </w:tcPr>
          <w:p w:rsidR="0071278F" w:rsidRDefault="0071278F" w:rsidP="0071278F">
            <w:pPr>
              <w:jc w:val="right"/>
            </w:pPr>
            <w:r>
              <w:rPr>
                <w:rFonts w:hint="eastAsia"/>
                <w:szCs w:val="21"/>
              </w:rPr>
              <w:t>-</w:t>
            </w:r>
          </w:p>
        </w:tc>
        <w:tc>
          <w:tcPr>
            <w:tcW w:w="1080" w:type="dxa"/>
            <w:vAlign w:val="center"/>
          </w:tcPr>
          <w:p w:rsidR="0071278F" w:rsidRDefault="0071278F" w:rsidP="0071278F">
            <w:pPr>
              <w:jc w:val="left"/>
            </w:pPr>
            <w:r>
              <w:rPr>
                <w:rFonts w:hint="eastAsia"/>
                <w:szCs w:val="21"/>
              </w:rPr>
              <w:t>-</w:t>
            </w:r>
          </w:p>
        </w:tc>
      </w:tr>
      <w:tr w:rsidR="00B5600D">
        <w:tc>
          <w:tcPr>
            <w:tcW w:w="1560" w:type="dxa"/>
            <w:vAlign w:val="center"/>
          </w:tcPr>
          <w:p w:rsidR="00B5600D" w:rsidRDefault="00D91A1A">
            <w:pPr>
              <w:jc w:val="center"/>
            </w:pPr>
            <w:r>
              <w:rPr>
                <w:rFonts w:hint="eastAsia"/>
                <w:szCs w:val="21"/>
              </w:rPr>
              <w:t>中信建投证券股份有限公司</w:t>
            </w:r>
          </w:p>
        </w:tc>
        <w:tc>
          <w:tcPr>
            <w:tcW w:w="780" w:type="dxa"/>
            <w:vAlign w:val="center"/>
          </w:tcPr>
          <w:p w:rsidR="00B5600D" w:rsidRDefault="00D91A1A">
            <w:pPr>
              <w:jc w:val="right"/>
            </w:pPr>
            <w:r>
              <w:rPr>
                <w:rFonts w:hint="eastAsia"/>
                <w:szCs w:val="21"/>
              </w:rPr>
              <w:t>1</w:t>
            </w:r>
          </w:p>
        </w:tc>
        <w:tc>
          <w:tcPr>
            <w:tcW w:w="1800" w:type="dxa"/>
            <w:vAlign w:val="center"/>
          </w:tcPr>
          <w:p w:rsidR="00B5600D" w:rsidRDefault="00D91A1A">
            <w:pPr>
              <w:jc w:val="right"/>
            </w:pPr>
            <w:r>
              <w:rPr>
                <w:rFonts w:hint="eastAsia"/>
                <w:szCs w:val="21"/>
              </w:rPr>
              <w:t>-</w:t>
            </w:r>
          </w:p>
        </w:tc>
        <w:tc>
          <w:tcPr>
            <w:tcW w:w="1080" w:type="dxa"/>
            <w:vAlign w:val="center"/>
          </w:tcPr>
          <w:p w:rsidR="00B5600D" w:rsidRDefault="00D91A1A">
            <w:pPr>
              <w:jc w:val="right"/>
            </w:pPr>
            <w:r>
              <w:rPr>
                <w:rFonts w:hint="eastAsia"/>
                <w:szCs w:val="21"/>
              </w:rPr>
              <w:t>-</w:t>
            </w:r>
          </w:p>
        </w:tc>
        <w:tc>
          <w:tcPr>
            <w:tcW w:w="1620" w:type="dxa"/>
            <w:vAlign w:val="center"/>
          </w:tcPr>
          <w:p w:rsidR="00B5600D" w:rsidRDefault="00D91A1A">
            <w:pPr>
              <w:jc w:val="right"/>
            </w:pPr>
            <w:r>
              <w:rPr>
                <w:rFonts w:hint="eastAsia"/>
                <w:szCs w:val="21"/>
              </w:rPr>
              <w:t>-</w:t>
            </w:r>
          </w:p>
        </w:tc>
        <w:tc>
          <w:tcPr>
            <w:tcW w:w="1080" w:type="dxa"/>
            <w:vAlign w:val="center"/>
          </w:tcPr>
          <w:p w:rsidR="00B5600D" w:rsidRDefault="00D91A1A">
            <w:pPr>
              <w:jc w:val="right"/>
            </w:pPr>
            <w:r>
              <w:rPr>
                <w:rFonts w:hint="eastAsia"/>
                <w:szCs w:val="21"/>
              </w:rPr>
              <w:t>-</w:t>
            </w:r>
          </w:p>
        </w:tc>
        <w:tc>
          <w:tcPr>
            <w:tcW w:w="1080" w:type="dxa"/>
            <w:vAlign w:val="center"/>
          </w:tcPr>
          <w:p w:rsidR="00B5600D" w:rsidRDefault="00D91A1A">
            <w:pPr>
              <w:jc w:val="left"/>
            </w:pPr>
            <w:r>
              <w:rPr>
                <w:rFonts w:hint="eastAsia"/>
                <w:szCs w:val="21"/>
              </w:rPr>
              <w:t>-</w:t>
            </w:r>
          </w:p>
        </w:tc>
      </w:tr>
    </w:tbl>
    <w:p w:rsidR="006D141C" w:rsidRPr="00D0515B" w:rsidRDefault="006D141C" w:rsidP="004B36C2">
      <w:pPr>
        <w:spacing w:line="360" w:lineRule="auto"/>
        <w:rPr>
          <w:rFonts w:asciiTheme="minorEastAsia" w:eastAsiaTheme="minorEastAsia" w:hAnsiTheme="minorEastAsia"/>
          <w:szCs w:val="21"/>
        </w:rPr>
      </w:pPr>
    </w:p>
    <w:p w:rsidR="006D141C" w:rsidRPr="001606C0" w:rsidRDefault="00EF62D0" w:rsidP="001606C0">
      <w:pPr>
        <w:spacing w:before="29" w:line="288" w:lineRule="auto"/>
        <w:rPr>
          <w:b/>
          <w:sz w:val="24"/>
        </w:rPr>
      </w:pPr>
      <w:r w:rsidRPr="001606C0">
        <w:rPr>
          <w:rFonts w:hint="eastAsia"/>
          <w:b/>
          <w:sz w:val="24"/>
        </w:rPr>
        <w:t>11.</w:t>
      </w:r>
      <w:r w:rsidR="006D141C" w:rsidRPr="001606C0">
        <w:rPr>
          <w:rFonts w:hint="eastAsia"/>
          <w:b/>
          <w:sz w:val="24"/>
        </w:rPr>
        <w:t>7.</w:t>
      </w:r>
      <w:r w:rsidR="008A28D4" w:rsidRPr="001606C0">
        <w:rPr>
          <w:rFonts w:hint="eastAsia"/>
          <w:b/>
          <w:sz w:val="24"/>
        </w:rPr>
        <w:t>2</w:t>
      </w:r>
      <w:r w:rsidR="006D141C" w:rsidRPr="001606C0">
        <w:rPr>
          <w:rFonts w:hint="eastAsia"/>
          <w:b/>
          <w:sz w:val="24"/>
        </w:rPr>
        <w:t>基金租用证券公司交易单元进行其他证券投资的情况</w:t>
      </w:r>
      <w:bookmarkEnd w:id="96"/>
    </w:p>
    <w:p w:rsidR="006D141C" w:rsidRPr="001606C0" w:rsidRDefault="00644AB5" w:rsidP="001606C0">
      <w:pPr>
        <w:spacing w:before="29" w:line="288" w:lineRule="auto"/>
        <w:ind w:firstLine="420"/>
        <w:jc w:val="right"/>
        <w:rPr>
          <w:sz w:val="24"/>
        </w:rPr>
      </w:pPr>
      <w:bookmarkStart w:id="97" w:name="_Toc249707408"/>
      <w:r w:rsidRPr="001606C0">
        <w:rPr>
          <w:rFonts w:hint="eastAsia"/>
          <w:sz w:val="24"/>
        </w:rPr>
        <w:t>金额单位</w:t>
      </w:r>
      <w:r w:rsidR="006D141C" w:rsidRPr="001606C0">
        <w:rPr>
          <w:rFonts w:hint="eastAsia"/>
          <w:sz w:val="24"/>
        </w:rPr>
        <w:t>：人民币元</w:t>
      </w:r>
      <w:bookmarkEnd w:id="9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2C233F" w:rsidRPr="00A318A6"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权证交易</w:t>
            </w:r>
          </w:p>
        </w:tc>
      </w:tr>
      <w:tr w:rsidR="002C233F" w:rsidRPr="00A318A6"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318A6" w:rsidRDefault="006D141C" w:rsidP="001606C0">
            <w:pPr>
              <w:spacing w:before="29" w:line="288" w:lineRule="auto"/>
              <w:jc w:val="center"/>
              <w:rPr>
                <w:szCs w:val="21"/>
              </w:rPr>
            </w:pPr>
            <w:r w:rsidRPr="00A318A6">
              <w:rPr>
                <w:rFonts w:hint="eastAsia"/>
                <w:szCs w:val="21"/>
              </w:rPr>
              <w:t>占当期权证成交总额的比例</w:t>
            </w:r>
          </w:p>
        </w:tc>
      </w:tr>
      <w:tr w:rsidR="00B5600D">
        <w:tc>
          <w:tcPr>
            <w:tcW w:w="1560" w:type="dxa"/>
            <w:vAlign w:val="center"/>
          </w:tcPr>
          <w:p w:rsidR="00B5600D" w:rsidRDefault="00D91A1A">
            <w:pPr>
              <w:jc w:val="left"/>
            </w:pPr>
            <w:r>
              <w:rPr>
                <w:rFonts w:hint="eastAsia"/>
                <w:szCs w:val="21"/>
              </w:rPr>
              <w:t>申万宏源证券有限公司</w:t>
            </w:r>
          </w:p>
        </w:tc>
        <w:tc>
          <w:tcPr>
            <w:tcW w:w="1320" w:type="dxa"/>
            <w:vAlign w:val="center"/>
          </w:tcPr>
          <w:p w:rsidR="00B5600D" w:rsidRDefault="00D91A1A">
            <w:pPr>
              <w:jc w:val="right"/>
            </w:pPr>
            <w:r>
              <w:rPr>
                <w:rFonts w:hint="eastAsia"/>
                <w:szCs w:val="21"/>
              </w:rPr>
              <w:t>99,313,000.00</w:t>
            </w:r>
          </w:p>
        </w:tc>
        <w:tc>
          <w:tcPr>
            <w:tcW w:w="1080" w:type="dxa"/>
            <w:vAlign w:val="center"/>
          </w:tcPr>
          <w:p w:rsidR="00B5600D" w:rsidRDefault="00D91A1A">
            <w:pPr>
              <w:jc w:val="right"/>
            </w:pPr>
            <w:r>
              <w:rPr>
                <w:rFonts w:hint="eastAsia"/>
                <w:szCs w:val="21"/>
              </w:rPr>
              <w:t>100.00%</w:t>
            </w:r>
          </w:p>
        </w:tc>
        <w:tc>
          <w:tcPr>
            <w:tcW w:w="1080" w:type="dxa"/>
            <w:vAlign w:val="center"/>
          </w:tcPr>
          <w:p w:rsidR="00B5600D" w:rsidRDefault="00D91A1A">
            <w:pPr>
              <w:jc w:val="right"/>
            </w:pPr>
            <w:r>
              <w:rPr>
                <w:rFonts w:hint="eastAsia"/>
                <w:szCs w:val="21"/>
              </w:rPr>
              <w:t>528,000,000.00</w:t>
            </w:r>
          </w:p>
        </w:tc>
        <w:tc>
          <w:tcPr>
            <w:tcW w:w="1260" w:type="dxa"/>
            <w:vAlign w:val="center"/>
          </w:tcPr>
          <w:p w:rsidR="00B5600D" w:rsidRDefault="00D91A1A">
            <w:pPr>
              <w:jc w:val="right"/>
            </w:pPr>
            <w:r>
              <w:rPr>
                <w:rFonts w:hint="eastAsia"/>
                <w:szCs w:val="21"/>
              </w:rPr>
              <w:t>100.00%</w:t>
            </w:r>
          </w:p>
        </w:tc>
        <w:tc>
          <w:tcPr>
            <w:tcW w:w="1260" w:type="dxa"/>
            <w:vAlign w:val="center"/>
          </w:tcPr>
          <w:p w:rsidR="00B5600D" w:rsidRDefault="00D91A1A">
            <w:pPr>
              <w:jc w:val="right"/>
            </w:pPr>
            <w:r>
              <w:rPr>
                <w:rFonts w:hint="eastAsia"/>
                <w:szCs w:val="21"/>
              </w:rPr>
              <w:t>-</w:t>
            </w:r>
          </w:p>
        </w:tc>
        <w:tc>
          <w:tcPr>
            <w:tcW w:w="1440" w:type="dxa"/>
            <w:vAlign w:val="center"/>
          </w:tcPr>
          <w:p w:rsidR="00B5600D" w:rsidRDefault="00D91A1A">
            <w:pPr>
              <w:jc w:val="right"/>
            </w:pPr>
            <w:r>
              <w:rPr>
                <w:rFonts w:hint="eastAsia"/>
                <w:szCs w:val="21"/>
              </w:rPr>
              <w:t>-</w:t>
            </w:r>
          </w:p>
        </w:tc>
      </w:tr>
    </w:tbl>
    <w:p w:rsidR="00B5600D" w:rsidRDefault="00D91A1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B5600D" w:rsidRDefault="00D91A1A">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2833A1" w:rsidRDefault="006D141C" w:rsidP="002833A1">
      <w:pPr>
        <w:tabs>
          <w:tab w:val="left" w:pos="426"/>
        </w:tabs>
        <w:spacing w:before="29" w:line="288" w:lineRule="auto"/>
        <w:jc w:val="left"/>
        <w:rPr>
          <w:kern w:val="0"/>
          <w:sz w:val="24"/>
        </w:rPr>
      </w:pPr>
      <w:r w:rsidRPr="002833A1">
        <w:rPr>
          <w:rFonts w:hint="eastAsia"/>
          <w:kern w:val="0"/>
          <w:sz w:val="24"/>
        </w:rPr>
        <w:t xml:space="preserve">    3</w:t>
      </w:r>
      <w:r w:rsidRPr="002833A1">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D0515B" w:rsidRDefault="006D141C" w:rsidP="004B36C2">
      <w:pPr>
        <w:spacing w:line="360" w:lineRule="auto"/>
        <w:rPr>
          <w:rFonts w:asciiTheme="minorEastAsia" w:eastAsiaTheme="minorEastAsia" w:hAnsiTheme="minorEastAsia"/>
          <w:szCs w:val="21"/>
        </w:rPr>
      </w:pPr>
    </w:p>
    <w:p w:rsidR="0065332B" w:rsidRPr="00D73BEE" w:rsidRDefault="0065332B" w:rsidP="00D73BEE">
      <w:pPr>
        <w:pStyle w:val="20"/>
        <w:spacing w:before="29" w:after="0" w:line="288" w:lineRule="auto"/>
        <w:rPr>
          <w:rFonts w:ascii="Times New Roman" w:hAnsi="Times New Roman" w:cs="Times New Roman"/>
          <w:szCs w:val="24"/>
        </w:rPr>
      </w:pPr>
      <w:bookmarkStart w:id="98" w:name="_Toc509761027"/>
      <w:r w:rsidRPr="00D73BEE">
        <w:rPr>
          <w:rFonts w:ascii="Times New Roman" w:hAnsi="Times New Roman" w:cs="Times New Roman" w:hint="eastAsia"/>
          <w:szCs w:val="24"/>
        </w:rPr>
        <w:t>11.8</w:t>
      </w:r>
      <w:r w:rsidRPr="00D73BEE">
        <w:rPr>
          <w:rFonts w:ascii="Times New Roman" w:hAnsi="Times New Roman" w:cs="Times New Roman"/>
          <w:szCs w:val="24"/>
        </w:rPr>
        <w:t>偏离度绝对值超过</w:t>
      </w:r>
      <w:r w:rsidRPr="00D73BEE">
        <w:rPr>
          <w:rFonts w:ascii="Times New Roman" w:hAnsi="Times New Roman" w:cs="Times New Roman"/>
          <w:szCs w:val="24"/>
        </w:rPr>
        <w:t>0.5%</w:t>
      </w:r>
      <w:r w:rsidRPr="00D73BEE">
        <w:rPr>
          <w:rFonts w:ascii="Times New Roman" w:hAnsi="Times New Roman" w:cs="Times New Roman"/>
          <w:szCs w:val="24"/>
        </w:rPr>
        <w:t>的情况</w:t>
      </w:r>
      <w:bookmarkEnd w:id="98"/>
    </w:p>
    <w:p w:rsidR="0065332B" w:rsidRPr="00EF14D4" w:rsidRDefault="00ED3706" w:rsidP="00EF14D4">
      <w:pPr>
        <w:tabs>
          <w:tab w:val="left" w:pos="426"/>
        </w:tabs>
        <w:spacing w:before="29" w:line="288" w:lineRule="auto"/>
        <w:jc w:val="left"/>
        <w:rPr>
          <w:kern w:val="0"/>
          <w:sz w:val="24"/>
        </w:rPr>
      </w:pPr>
      <w:r w:rsidRPr="00EF14D4">
        <w:rPr>
          <w:rFonts w:hint="eastAsia"/>
          <w:kern w:val="0"/>
          <w:sz w:val="24"/>
        </w:rPr>
        <w:t>本基金本报告期内不存在偏离度绝对值超过</w:t>
      </w:r>
      <w:r w:rsidRPr="00EF14D4">
        <w:rPr>
          <w:rFonts w:hint="eastAsia"/>
          <w:kern w:val="0"/>
          <w:sz w:val="24"/>
        </w:rPr>
        <w:t>0.5%</w:t>
      </w:r>
      <w:r w:rsidRPr="00EF14D4">
        <w:rPr>
          <w:rFonts w:hint="eastAsia"/>
          <w:kern w:val="0"/>
          <w:sz w:val="24"/>
        </w:rPr>
        <w:t>的情况。</w:t>
      </w:r>
    </w:p>
    <w:p w:rsidR="0065332B" w:rsidRPr="00D0515B" w:rsidRDefault="0065332B" w:rsidP="004B36C2">
      <w:pPr>
        <w:spacing w:line="360" w:lineRule="auto"/>
        <w:rPr>
          <w:rFonts w:asciiTheme="minorEastAsia" w:eastAsiaTheme="minorEastAsia" w:hAnsiTheme="minorEastAsia"/>
          <w:szCs w:val="21"/>
        </w:rPr>
      </w:pPr>
    </w:p>
    <w:p w:rsidR="006D141C" w:rsidRPr="00B95538" w:rsidRDefault="006D141C" w:rsidP="00B95538">
      <w:pPr>
        <w:pStyle w:val="20"/>
        <w:spacing w:before="29" w:after="0" w:line="288" w:lineRule="auto"/>
        <w:rPr>
          <w:rFonts w:ascii="Times New Roman" w:hAnsi="Times New Roman" w:cs="Times New Roman"/>
          <w:szCs w:val="24"/>
        </w:rPr>
      </w:pPr>
      <w:bookmarkStart w:id="99" w:name="_Toc331410124"/>
      <w:bookmarkStart w:id="100" w:name="_Toc509761028"/>
      <w:r w:rsidRPr="00B95538">
        <w:rPr>
          <w:rFonts w:ascii="Times New Roman" w:hAnsi="Times New Roman" w:cs="Times New Roman" w:hint="eastAsia"/>
          <w:szCs w:val="24"/>
        </w:rPr>
        <w:t>11.9</w:t>
      </w:r>
      <w:r w:rsidRPr="00B95538">
        <w:rPr>
          <w:rFonts w:ascii="Times New Roman" w:hAnsi="Times New Roman" w:cs="Times New Roman" w:hint="eastAsia"/>
          <w:szCs w:val="24"/>
        </w:rPr>
        <w:t>其他重大事件</w:t>
      </w:r>
      <w:bookmarkEnd w:id="99"/>
      <w:bookmarkEnd w:id="10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2C233F" w:rsidRPr="00D0515B"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E746D" w:rsidRDefault="006D141C" w:rsidP="00EE746D">
            <w:pPr>
              <w:spacing w:before="29" w:line="288" w:lineRule="auto"/>
              <w:jc w:val="center"/>
              <w:rPr>
                <w:sz w:val="24"/>
              </w:rPr>
            </w:pPr>
            <w:r w:rsidRPr="00EE746D">
              <w:rPr>
                <w:rFonts w:hint="eastAsia"/>
                <w:sz w:val="24"/>
              </w:rPr>
              <w:t>法定披露日期</w:t>
            </w:r>
          </w:p>
        </w:tc>
      </w:tr>
      <w:tr w:rsidR="00B5600D">
        <w:tc>
          <w:tcPr>
            <w:tcW w:w="720" w:type="dxa"/>
            <w:vAlign w:val="center"/>
          </w:tcPr>
          <w:p w:rsidR="00B5600D" w:rsidRDefault="00D91A1A">
            <w:pPr>
              <w:jc w:val="center"/>
            </w:pPr>
            <w:r>
              <w:rPr>
                <w:rFonts w:hint="eastAsia"/>
                <w:sz w:val="24"/>
              </w:rPr>
              <w:t>1</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2016</w:t>
            </w:r>
            <w:r>
              <w:rPr>
                <w:rFonts w:hint="eastAsia"/>
                <w:sz w:val="24"/>
              </w:rPr>
              <w:t>年第</w:t>
            </w:r>
            <w:r>
              <w:rPr>
                <w:rFonts w:hint="eastAsia"/>
                <w:sz w:val="24"/>
              </w:rPr>
              <w:t>4</w:t>
            </w:r>
            <w:r>
              <w:rPr>
                <w:rFonts w:hint="eastAsia"/>
                <w:sz w:val="24"/>
              </w:rPr>
              <w:t>季度报告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2017-01-19</w:t>
            </w:r>
          </w:p>
        </w:tc>
      </w:tr>
      <w:tr w:rsidR="00B5600D">
        <w:tc>
          <w:tcPr>
            <w:tcW w:w="720" w:type="dxa"/>
            <w:vAlign w:val="center"/>
          </w:tcPr>
          <w:p w:rsidR="00B5600D" w:rsidRDefault="00D91A1A">
            <w:pPr>
              <w:jc w:val="center"/>
            </w:pPr>
            <w:r>
              <w:rPr>
                <w:rFonts w:hint="eastAsia"/>
                <w:sz w:val="24"/>
              </w:rPr>
              <w:t>2</w:t>
            </w:r>
          </w:p>
        </w:tc>
        <w:tc>
          <w:tcPr>
            <w:tcW w:w="4320" w:type="dxa"/>
            <w:vAlign w:val="center"/>
          </w:tcPr>
          <w:p w:rsidR="00B5600D" w:rsidRDefault="00D91A1A">
            <w:pPr>
              <w:jc w:val="left"/>
            </w:pPr>
            <w:r>
              <w:rPr>
                <w:rFonts w:hint="eastAsia"/>
                <w:sz w:val="24"/>
              </w:rPr>
              <w:t>交银施罗德基金管理有限公司关于交银施罗德理财</w:t>
            </w:r>
            <w:r>
              <w:rPr>
                <w:rFonts w:hint="eastAsia"/>
                <w:sz w:val="24"/>
              </w:rPr>
              <w:t>60</w:t>
            </w:r>
            <w:r>
              <w:rPr>
                <w:rFonts w:hint="eastAsia"/>
                <w:sz w:val="24"/>
              </w:rPr>
              <w:t>天债券型证券投资基金于</w:t>
            </w:r>
            <w:r>
              <w:rPr>
                <w:rFonts w:hint="eastAsia"/>
                <w:sz w:val="24"/>
              </w:rPr>
              <w:t>2017</w:t>
            </w:r>
            <w:r>
              <w:rPr>
                <w:rFonts w:hint="eastAsia"/>
                <w:sz w:val="24"/>
              </w:rPr>
              <w:t>年“春节”假期前暂停及节后恢复基金申购业务的公告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2017-01-23</w:t>
            </w:r>
          </w:p>
        </w:tc>
      </w:tr>
      <w:tr w:rsidR="00B5600D">
        <w:tc>
          <w:tcPr>
            <w:tcW w:w="720" w:type="dxa"/>
            <w:vAlign w:val="center"/>
          </w:tcPr>
          <w:p w:rsidR="00B5600D" w:rsidRDefault="00D91A1A">
            <w:pPr>
              <w:jc w:val="center"/>
            </w:pPr>
            <w:r>
              <w:rPr>
                <w:rFonts w:hint="eastAsia"/>
                <w:sz w:val="24"/>
              </w:rPr>
              <w:t>3</w:t>
            </w:r>
          </w:p>
        </w:tc>
        <w:tc>
          <w:tcPr>
            <w:tcW w:w="4320" w:type="dxa"/>
            <w:vAlign w:val="center"/>
          </w:tcPr>
          <w:p w:rsidR="00B5600D" w:rsidRDefault="00D91A1A">
            <w:pPr>
              <w:jc w:val="left"/>
            </w:pPr>
            <w:r>
              <w:rPr>
                <w:rFonts w:hint="eastAsia"/>
                <w:sz w:val="24"/>
              </w:rPr>
              <w:t>交银施罗德基金管理有限公司关于交银施罗德理财</w:t>
            </w:r>
            <w:r>
              <w:rPr>
                <w:rFonts w:hint="eastAsia"/>
                <w:sz w:val="24"/>
              </w:rPr>
              <w:t>60</w:t>
            </w:r>
            <w:r>
              <w:rPr>
                <w:rFonts w:hint="eastAsia"/>
                <w:sz w:val="24"/>
              </w:rPr>
              <w:t>天债券型证券投资基金暂停大额申购公告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2017-03-08</w:t>
            </w:r>
          </w:p>
        </w:tc>
      </w:tr>
      <w:tr w:rsidR="00B5600D">
        <w:tc>
          <w:tcPr>
            <w:tcW w:w="720" w:type="dxa"/>
            <w:vAlign w:val="center"/>
          </w:tcPr>
          <w:p w:rsidR="00B5600D" w:rsidRDefault="00D91A1A">
            <w:pPr>
              <w:jc w:val="center"/>
            </w:pPr>
            <w:r>
              <w:rPr>
                <w:rFonts w:hint="eastAsia"/>
                <w:sz w:val="24"/>
              </w:rPr>
              <w:t>4</w:t>
            </w:r>
          </w:p>
        </w:tc>
        <w:tc>
          <w:tcPr>
            <w:tcW w:w="4320" w:type="dxa"/>
            <w:vAlign w:val="center"/>
          </w:tcPr>
          <w:p w:rsidR="00B5600D" w:rsidRDefault="00D91A1A">
            <w:pPr>
              <w:jc w:val="left"/>
            </w:pPr>
            <w:r>
              <w:rPr>
                <w:rFonts w:hint="eastAsia"/>
                <w:sz w:val="24"/>
              </w:rPr>
              <w:t>交银施罗德基金管理有限公司关于交银施罗德理财</w:t>
            </w:r>
            <w:r>
              <w:rPr>
                <w:rFonts w:hint="eastAsia"/>
                <w:sz w:val="24"/>
              </w:rPr>
              <w:t>60</w:t>
            </w:r>
            <w:r>
              <w:rPr>
                <w:rFonts w:hint="eastAsia"/>
                <w:sz w:val="24"/>
              </w:rPr>
              <w:t>天债券型证券投资基金恢复大额申购公告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2017-03-14</w:t>
            </w:r>
          </w:p>
        </w:tc>
      </w:tr>
      <w:tr w:rsidR="00B5600D">
        <w:tc>
          <w:tcPr>
            <w:tcW w:w="720" w:type="dxa"/>
            <w:vAlign w:val="center"/>
          </w:tcPr>
          <w:p w:rsidR="00B5600D" w:rsidRDefault="00D91A1A">
            <w:pPr>
              <w:jc w:val="center"/>
            </w:pPr>
            <w:r>
              <w:rPr>
                <w:rFonts w:hint="eastAsia"/>
                <w:sz w:val="24"/>
              </w:rPr>
              <w:t>5</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2016</w:t>
            </w:r>
            <w:r>
              <w:rPr>
                <w:rFonts w:hint="eastAsia"/>
                <w:sz w:val="24"/>
              </w:rPr>
              <w:t>年年度报告摘要</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2017-03-29</w:t>
            </w:r>
          </w:p>
        </w:tc>
      </w:tr>
      <w:tr w:rsidR="00B5600D">
        <w:tc>
          <w:tcPr>
            <w:tcW w:w="720" w:type="dxa"/>
            <w:vAlign w:val="center"/>
          </w:tcPr>
          <w:p w:rsidR="00B5600D" w:rsidRDefault="00D91A1A">
            <w:pPr>
              <w:jc w:val="center"/>
            </w:pPr>
            <w:r>
              <w:rPr>
                <w:rFonts w:hint="eastAsia"/>
                <w:sz w:val="24"/>
              </w:rPr>
              <w:t>6</w:t>
            </w:r>
          </w:p>
        </w:tc>
        <w:tc>
          <w:tcPr>
            <w:tcW w:w="4320" w:type="dxa"/>
            <w:vAlign w:val="center"/>
          </w:tcPr>
          <w:p w:rsidR="00B5600D" w:rsidRDefault="00D91A1A">
            <w:pPr>
              <w:jc w:val="left"/>
            </w:pPr>
            <w:r>
              <w:rPr>
                <w:rFonts w:hint="eastAsia"/>
                <w:sz w:val="24"/>
              </w:rPr>
              <w:t>交银施罗德基金管理有限公司关于交银施罗德理财</w:t>
            </w:r>
            <w:r>
              <w:rPr>
                <w:rFonts w:hint="eastAsia"/>
                <w:sz w:val="24"/>
              </w:rPr>
              <w:t>60</w:t>
            </w:r>
            <w:r>
              <w:rPr>
                <w:rFonts w:hint="eastAsia"/>
                <w:sz w:val="24"/>
              </w:rPr>
              <w:t>天债券型证券投资基金暂停大额申购公告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2017-04-12</w:t>
            </w:r>
          </w:p>
        </w:tc>
      </w:tr>
      <w:tr w:rsidR="00B5600D">
        <w:tc>
          <w:tcPr>
            <w:tcW w:w="720" w:type="dxa"/>
            <w:vAlign w:val="center"/>
          </w:tcPr>
          <w:p w:rsidR="00B5600D" w:rsidRDefault="00D91A1A">
            <w:pPr>
              <w:jc w:val="center"/>
            </w:pPr>
            <w:r>
              <w:rPr>
                <w:rFonts w:hint="eastAsia"/>
                <w:sz w:val="24"/>
              </w:rPr>
              <w:t>7</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年第</w:t>
            </w:r>
            <w:r>
              <w:rPr>
                <w:rFonts w:hint="eastAsia"/>
                <w:sz w:val="24"/>
              </w:rPr>
              <w:t>1</w:t>
            </w:r>
            <w:r>
              <w:rPr>
                <w:rFonts w:hint="eastAsia"/>
                <w:sz w:val="24"/>
              </w:rPr>
              <w:t>季度报告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2017-04-24</w:t>
            </w:r>
          </w:p>
        </w:tc>
      </w:tr>
      <w:tr w:rsidR="00B5600D">
        <w:tc>
          <w:tcPr>
            <w:tcW w:w="720" w:type="dxa"/>
            <w:vAlign w:val="center"/>
          </w:tcPr>
          <w:p w:rsidR="00B5600D" w:rsidRDefault="00D91A1A">
            <w:pPr>
              <w:jc w:val="center"/>
            </w:pPr>
            <w:r>
              <w:rPr>
                <w:rFonts w:hint="eastAsia"/>
                <w:sz w:val="24"/>
              </w:rPr>
              <w:t>8</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2017</w:t>
            </w:r>
            <w:r>
              <w:rPr>
                <w:rFonts w:hint="eastAsia"/>
                <w:sz w:val="24"/>
              </w:rPr>
              <w:t>年第</w:t>
            </w:r>
            <w:r>
              <w:rPr>
                <w:rFonts w:hint="eastAsia"/>
                <w:sz w:val="24"/>
              </w:rPr>
              <w:t>1</w:t>
            </w:r>
            <w:r>
              <w:rPr>
                <w:rFonts w:hint="eastAsia"/>
                <w:sz w:val="24"/>
              </w:rPr>
              <w:t>号）</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2017-04-27</w:t>
            </w:r>
          </w:p>
        </w:tc>
      </w:tr>
      <w:tr w:rsidR="00B5600D">
        <w:tc>
          <w:tcPr>
            <w:tcW w:w="720" w:type="dxa"/>
            <w:vAlign w:val="center"/>
          </w:tcPr>
          <w:p w:rsidR="00B5600D" w:rsidRDefault="00D91A1A">
            <w:pPr>
              <w:jc w:val="center"/>
            </w:pPr>
            <w:r>
              <w:rPr>
                <w:rFonts w:hint="eastAsia"/>
                <w:sz w:val="24"/>
              </w:rPr>
              <w:t>9</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年第</w:t>
            </w:r>
            <w:r>
              <w:rPr>
                <w:rFonts w:hint="eastAsia"/>
                <w:sz w:val="24"/>
              </w:rPr>
              <w:t>2</w:t>
            </w:r>
            <w:r>
              <w:rPr>
                <w:rFonts w:hint="eastAsia"/>
                <w:sz w:val="24"/>
              </w:rPr>
              <w:t>季度报告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2017-07-20</w:t>
            </w:r>
          </w:p>
        </w:tc>
      </w:tr>
      <w:tr w:rsidR="00B5600D">
        <w:tc>
          <w:tcPr>
            <w:tcW w:w="720" w:type="dxa"/>
            <w:vAlign w:val="center"/>
          </w:tcPr>
          <w:p w:rsidR="00B5600D" w:rsidRDefault="00D91A1A">
            <w:pPr>
              <w:jc w:val="center"/>
            </w:pPr>
            <w:r>
              <w:rPr>
                <w:rFonts w:hint="eastAsia"/>
                <w:sz w:val="24"/>
              </w:rPr>
              <w:t>10</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年半年度报告摘要</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2017-08-26</w:t>
            </w:r>
          </w:p>
        </w:tc>
      </w:tr>
      <w:tr w:rsidR="00B5600D">
        <w:tc>
          <w:tcPr>
            <w:tcW w:w="720" w:type="dxa"/>
            <w:vAlign w:val="center"/>
          </w:tcPr>
          <w:p w:rsidR="00B5600D" w:rsidRDefault="00D91A1A">
            <w:pPr>
              <w:jc w:val="center"/>
            </w:pPr>
            <w:r>
              <w:rPr>
                <w:rFonts w:hint="eastAsia"/>
                <w:sz w:val="24"/>
              </w:rPr>
              <w:t>11</w:t>
            </w:r>
          </w:p>
        </w:tc>
        <w:tc>
          <w:tcPr>
            <w:tcW w:w="4320" w:type="dxa"/>
            <w:vAlign w:val="center"/>
          </w:tcPr>
          <w:p w:rsidR="00B5600D" w:rsidRDefault="00D91A1A">
            <w:pPr>
              <w:jc w:val="left"/>
            </w:pPr>
            <w:r>
              <w:rPr>
                <w:rFonts w:hint="eastAsia"/>
                <w:sz w:val="24"/>
              </w:rPr>
              <w:t>交银施罗德基金管理有限公司关于交银施罗德理财</w:t>
            </w:r>
            <w:r>
              <w:rPr>
                <w:rFonts w:hint="eastAsia"/>
                <w:sz w:val="24"/>
              </w:rPr>
              <w:t>60</w:t>
            </w:r>
            <w:r>
              <w:rPr>
                <w:rFonts w:hint="eastAsia"/>
                <w:sz w:val="24"/>
              </w:rPr>
              <w:t>天债券型证券投资基金恢复大额申购公告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2017-10-17</w:t>
            </w:r>
          </w:p>
        </w:tc>
      </w:tr>
      <w:tr w:rsidR="00B5600D">
        <w:tc>
          <w:tcPr>
            <w:tcW w:w="720" w:type="dxa"/>
            <w:vAlign w:val="center"/>
          </w:tcPr>
          <w:p w:rsidR="00B5600D" w:rsidRDefault="00D91A1A">
            <w:pPr>
              <w:jc w:val="center"/>
            </w:pPr>
            <w:r>
              <w:rPr>
                <w:rFonts w:hint="eastAsia"/>
                <w:sz w:val="24"/>
              </w:rPr>
              <w:t>12</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w:t>
            </w:r>
            <w:r>
              <w:rPr>
                <w:rFonts w:hint="eastAsia"/>
                <w:sz w:val="24"/>
              </w:rPr>
              <w:t>2017</w:t>
            </w:r>
            <w:r>
              <w:rPr>
                <w:rFonts w:hint="eastAsia"/>
                <w:sz w:val="24"/>
              </w:rPr>
              <w:t>年第</w:t>
            </w:r>
            <w:r>
              <w:rPr>
                <w:rFonts w:hint="eastAsia"/>
                <w:sz w:val="24"/>
              </w:rPr>
              <w:t>3</w:t>
            </w:r>
            <w:r>
              <w:rPr>
                <w:rFonts w:hint="eastAsia"/>
                <w:sz w:val="24"/>
              </w:rPr>
              <w:t>季度报告</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2017-10-25</w:t>
            </w:r>
          </w:p>
        </w:tc>
      </w:tr>
      <w:tr w:rsidR="00B5600D">
        <w:tc>
          <w:tcPr>
            <w:tcW w:w="720" w:type="dxa"/>
            <w:vAlign w:val="center"/>
          </w:tcPr>
          <w:p w:rsidR="00B5600D" w:rsidRDefault="00D91A1A">
            <w:pPr>
              <w:jc w:val="center"/>
            </w:pPr>
            <w:r>
              <w:rPr>
                <w:rFonts w:hint="eastAsia"/>
                <w:sz w:val="24"/>
              </w:rPr>
              <w:t>13</w:t>
            </w:r>
          </w:p>
        </w:tc>
        <w:tc>
          <w:tcPr>
            <w:tcW w:w="4320" w:type="dxa"/>
            <w:vAlign w:val="center"/>
          </w:tcPr>
          <w:p w:rsidR="00B5600D" w:rsidRDefault="00D91A1A">
            <w:pPr>
              <w:jc w:val="left"/>
            </w:pPr>
            <w:r>
              <w:rPr>
                <w:rFonts w:hint="eastAsia"/>
                <w:sz w:val="24"/>
              </w:rPr>
              <w:t>交银施罗德理财</w:t>
            </w:r>
            <w:r>
              <w:rPr>
                <w:rFonts w:hint="eastAsia"/>
                <w:sz w:val="24"/>
              </w:rPr>
              <w:t>60</w:t>
            </w:r>
            <w:r>
              <w:rPr>
                <w:rFonts w:hint="eastAsia"/>
                <w:sz w:val="24"/>
              </w:rPr>
              <w:t>天债券型证券投资基金（更新）招募说明书摘要（</w:t>
            </w:r>
            <w:r>
              <w:rPr>
                <w:rFonts w:hint="eastAsia"/>
                <w:sz w:val="24"/>
              </w:rPr>
              <w:t>2017</w:t>
            </w:r>
            <w:r>
              <w:rPr>
                <w:rFonts w:hint="eastAsia"/>
                <w:sz w:val="24"/>
              </w:rPr>
              <w:t>年第</w:t>
            </w:r>
            <w:r>
              <w:rPr>
                <w:rFonts w:hint="eastAsia"/>
                <w:sz w:val="24"/>
              </w:rPr>
              <w:t>2</w:t>
            </w:r>
            <w:r>
              <w:rPr>
                <w:rFonts w:hint="eastAsia"/>
                <w:sz w:val="24"/>
              </w:rPr>
              <w:t>号）</w:t>
            </w:r>
          </w:p>
        </w:tc>
        <w:tc>
          <w:tcPr>
            <w:tcW w:w="2520" w:type="dxa"/>
            <w:vAlign w:val="center"/>
          </w:tcPr>
          <w:p w:rsidR="00B5600D" w:rsidRDefault="00D91A1A">
            <w:pPr>
              <w:jc w:val="center"/>
            </w:pPr>
            <w:r>
              <w:rPr>
                <w:rFonts w:hint="eastAsia"/>
                <w:sz w:val="24"/>
              </w:rPr>
              <w:t>中国证券报、上海证券报、证券时报</w:t>
            </w:r>
          </w:p>
        </w:tc>
        <w:tc>
          <w:tcPr>
            <w:tcW w:w="1440" w:type="dxa"/>
            <w:vAlign w:val="center"/>
          </w:tcPr>
          <w:p w:rsidR="00B5600D" w:rsidRDefault="00D91A1A">
            <w:pPr>
              <w:jc w:val="center"/>
            </w:pPr>
            <w:r>
              <w:rPr>
                <w:rFonts w:hint="eastAsia"/>
                <w:sz w:val="24"/>
              </w:rPr>
              <w:t>2017-10-28</w:t>
            </w:r>
          </w:p>
        </w:tc>
      </w:tr>
    </w:tbl>
    <w:p w:rsidR="00EE746D" w:rsidRPr="00EE746D" w:rsidRDefault="00EE746D" w:rsidP="00EE746D">
      <w:pPr>
        <w:tabs>
          <w:tab w:val="left" w:pos="426"/>
        </w:tabs>
        <w:spacing w:before="29" w:line="288" w:lineRule="auto"/>
        <w:jc w:val="left"/>
        <w:rPr>
          <w:kern w:val="0"/>
          <w:sz w:val="24"/>
        </w:rPr>
      </w:pPr>
    </w:p>
    <w:p w:rsidR="005324CE" w:rsidRPr="00504C53" w:rsidRDefault="005324CE" w:rsidP="001B0E7B">
      <w:pPr>
        <w:pStyle w:val="1"/>
        <w:keepNext/>
        <w:keepLines/>
        <w:widowControl w:val="0"/>
        <w:spacing w:beforeLines="100" w:before="312" w:afterLines="100" w:after="312" w:line="360" w:lineRule="auto"/>
        <w:jc w:val="center"/>
        <w:rPr>
          <w:rFonts w:eastAsiaTheme="minorEastAsia"/>
          <w:b/>
          <w:bCs/>
          <w:szCs w:val="21"/>
          <w:lang w:val="en-US"/>
        </w:rPr>
      </w:pPr>
      <w:bookmarkStart w:id="101" w:name="_Toc374532345"/>
      <w:bookmarkStart w:id="102" w:name="_Toc509761029"/>
      <w:r w:rsidRPr="00504C53">
        <w:rPr>
          <w:rFonts w:eastAsiaTheme="minorEastAsia"/>
          <w:b/>
          <w:bCs/>
          <w:szCs w:val="21"/>
          <w:lang w:val="en-US"/>
        </w:rPr>
        <w:t xml:space="preserve">12  </w:t>
      </w:r>
      <w:r w:rsidRPr="00504C53">
        <w:rPr>
          <w:rFonts w:eastAsiaTheme="minorEastAsia" w:hint="eastAsia"/>
          <w:b/>
          <w:bCs/>
          <w:szCs w:val="21"/>
          <w:lang w:val="en-US"/>
        </w:rPr>
        <w:t>影响投资者决策的其他重要信息</w:t>
      </w:r>
      <w:bookmarkEnd w:id="101"/>
      <w:bookmarkEnd w:id="102"/>
    </w:p>
    <w:p w:rsidR="005324CE" w:rsidRPr="00504C53" w:rsidRDefault="005324CE" w:rsidP="005324CE">
      <w:pPr>
        <w:autoSpaceDE w:val="0"/>
        <w:autoSpaceDN w:val="0"/>
        <w:adjustRightInd w:val="0"/>
        <w:spacing w:line="360" w:lineRule="auto"/>
        <w:jc w:val="left"/>
        <w:rPr>
          <w:b/>
          <w:bCs/>
          <w:color w:val="000000"/>
          <w:kern w:val="0"/>
          <w:sz w:val="24"/>
          <w:szCs w:val="21"/>
        </w:rPr>
      </w:pPr>
      <w:r w:rsidRPr="00504C53">
        <w:rPr>
          <w:b/>
          <w:bCs/>
          <w:color w:val="000000"/>
          <w:kern w:val="0"/>
          <w:sz w:val="24"/>
          <w:szCs w:val="21"/>
        </w:rPr>
        <w:t xml:space="preserve">12.1 </w:t>
      </w:r>
      <w:r w:rsidRPr="00504C53">
        <w:rPr>
          <w:rFonts w:hint="eastAsia"/>
          <w:b/>
          <w:bCs/>
          <w:color w:val="000000"/>
          <w:kern w:val="0"/>
          <w:sz w:val="24"/>
          <w:szCs w:val="21"/>
        </w:rPr>
        <w:t>报告期内单一投资者持有基金份额比例达到或超过</w:t>
      </w:r>
      <w:r w:rsidRPr="00504C53">
        <w:rPr>
          <w:b/>
          <w:bCs/>
          <w:color w:val="000000"/>
          <w:kern w:val="0"/>
          <w:sz w:val="24"/>
          <w:szCs w:val="21"/>
        </w:rPr>
        <w:t>20%</w:t>
      </w:r>
      <w:r w:rsidRPr="00504C53">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324CE" w:rsidRPr="00415878" w:rsidTr="00D02C5F">
        <w:tc>
          <w:tcPr>
            <w:tcW w:w="993" w:type="dxa"/>
            <w:vMerge w:val="restart"/>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投资者类别</w:t>
            </w:r>
            <w:r w:rsidRPr="00504C53">
              <w:rPr>
                <w:color w:val="000000"/>
                <w:kern w:val="0"/>
                <w:sz w:val="24"/>
                <w:szCs w:val="21"/>
              </w:rPr>
              <w:t xml:space="preserve">  </w:t>
            </w:r>
          </w:p>
        </w:tc>
        <w:tc>
          <w:tcPr>
            <w:tcW w:w="5670" w:type="dxa"/>
            <w:gridSpan w:val="5"/>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报告期内持有基金份额变化情况</w:t>
            </w:r>
          </w:p>
        </w:tc>
        <w:tc>
          <w:tcPr>
            <w:tcW w:w="2549" w:type="dxa"/>
            <w:gridSpan w:val="2"/>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报告期末持有基金情况</w:t>
            </w:r>
          </w:p>
        </w:tc>
      </w:tr>
      <w:tr w:rsidR="005324CE" w:rsidRPr="00415878" w:rsidTr="00D02C5F">
        <w:tc>
          <w:tcPr>
            <w:tcW w:w="993" w:type="dxa"/>
            <w:vMerge/>
            <w:vAlign w:val="center"/>
          </w:tcPr>
          <w:p w:rsidR="005324CE" w:rsidRPr="00504C53" w:rsidRDefault="005324CE" w:rsidP="00D02C5F">
            <w:pPr>
              <w:autoSpaceDE w:val="0"/>
              <w:autoSpaceDN w:val="0"/>
              <w:adjustRightInd w:val="0"/>
              <w:jc w:val="center"/>
              <w:rPr>
                <w:b/>
                <w:bCs/>
                <w:color w:val="000000"/>
                <w:kern w:val="0"/>
                <w:sz w:val="24"/>
                <w:szCs w:val="21"/>
              </w:rPr>
            </w:pPr>
          </w:p>
        </w:tc>
        <w:tc>
          <w:tcPr>
            <w:tcW w:w="992" w:type="dxa"/>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序号</w:t>
            </w:r>
          </w:p>
        </w:tc>
        <w:tc>
          <w:tcPr>
            <w:tcW w:w="1843" w:type="dxa"/>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持有基金份额比例达到或者超过</w:t>
            </w:r>
            <w:r w:rsidRPr="00504C53">
              <w:rPr>
                <w:color w:val="000000"/>
                <w:kern w:val="0"/>
                <w:sz w:val="24"/>
                <w:szCs w:val="21"/>
              </w:rPr>
              <w:t>20%</w:t>
            </w:r>
            <w:r w:rsidRPr="00504C53">
              <w:rPr>
                <w:rFonts w:hint="eastAsia"/>
                <w:color w:val="000000"/>
                <w:kern w:val="0"/>
                <w:sz w:val="24"/>
                <w:szCs w:val="21"/>
              </w:rPr>
              <w:t>的时间区间</w:t>
            </w:r>
          </w:p>
        </w:tc>
        <w:tc>
          <w:tcPr>
            <w:tcW w:w="851" w:type="dxa"/>
            <w:vAlign w:val="center"/>
          </w:tcPr>
          <w:p w:rsidR="005324CE" w:rsidRPr="00504C53" w:rsidRDefault="005324CE" w:rsidP="00D02C5F">
            <w:pPr>
              <w:widowControl/>
              <w:jc w:val="center"/>
              <w:rPr>
                <w:b/>
                <w:bCs/>
                <w:color w:val="000000"/>
                <w:kern w:val="0"/>
                <w:sz w:val="24"/>
                <w:szCs w:val="21"/>
              </w:rPr>
            </w:pPr>
            <w:r w:rsidRPr="00504C53">
              <w:rPr>
                <w:rFonts w:hint="eastAsia"/>
                <w:color w:val="000000"/>
                <w:kern w:val="0"/>
                <w:sz w:val="24"/>
                <w:szCs w:val="21"/>
              </w:rPr>
              <w:t>期初份额</w:t>
            </w:r>
          </w:p>
        </w:tc>
        <w:tc>
          <w:tcPr>
            <w:tcW w:w="850" w:type="dxa"/>
            <w:vAlign w:val="center"/>
          </w:tcPr>
          <w:p w:rsidR="005324CE" w:rsidRPr="00504C53" w:rsidRDefault="005324CE" w:rsidP="00D02C5F">
            <w:pPr>
              <w:widowControl/>
              <w:jc w:val="center"/>
              <w:rPr>
                <w:b/>
                <w:bCs/>
                <w:color w:val="000000"/>
                <w:kern w:val="0"/>
                <w:sz w:val="24"/>
                <w:szCs w:val="21"/>
              </w:rPr>
            </w:pPr>
            <w:r w:rsidRPr="00504C53">
              <w:rPr>
                <w:rFonts w:hint="eastAsia"/>
                <w:color w:val="000000"/>
                <w:kern w:val="0"/>
                <w:sz w:val="24"/>
                <w:szCs w:val="21"/>
              </w:rPr>
              <w:t>申购份额</w:t>
            </w:r>
          </w:p>
        </w:tc>
        <w:tc>
          <w:tcPr>
            <w:tcW w:w="1134" w:type="dxa"/>
            <w:vAlign w:val="center"/>
          </w:tcPr>
          <w:p w:rsidR="005324CE" w:rsidRPr="00504C53" w:rsidRDefault="005324CE" w:rsidP="00D02C5F">
            <w:pPr>
              <w:widowControl/>
              <w:jc w:val="center"/>
              <w:rPr>
                <w:b/>
                <w:bCs/>
                <w:color w:val="000000"/>
                <w:kern w:val="0"/>
                <w:sz w:val="24"/>
                <w:szCs w:val="21"/>
              </w:rPr>
            </w:pPr>
            <w:r w:rsidRPr="00504C53">
              <w:rPr>
                <w:rFonts w:hint="eastAsia"/>
                <w:color w:val="000000"/>
                <w:kern w:val="0"/>
                <w:sz w:val="24"/>
                <w:szCs w:val="21"/>
              </w:rPr>
              <w:t>赎回份额</w:t>
            </w:r>
          </w:p>
        </w:tc>
        <w:tc>
          <w:tcPr>
            <w:tcW w:w="1419" w:type="dxa"/>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持有份额</w:t>
            </w:r>
          </w:p>
        </w:tc>
        <w:tc>
          <w:tcPr>
            <w:tcW w:w="1130" w:type="dxa"/>
            <w:vAlign w:val="center"/>
          </w:tcPr>
          <w:p w:rsidR="005324CE" w:rsidRPr="00504C53" w:rsidRDefault="005324CE" w:rsidP="00D02C5F">
            <w:pPr>
              <w:autoSpaceDE w:val="0"/>
              <w:autoSpaceDN w:val="0"/>
              <w:adjustRightInd w:val="0"/>
              <w:jc w:val="center"/>
              <w:rPr>
                <w:b/>
                <w:bCs/>
                <w:color w:val="000000"/>
                <w:kern w:val="0"/>
                <w:sz w:val="24"/>
                <w:szCs w:val="21"/>
              </w:rPr>
            </w:pPr>
            <w:r w:rsidRPr="00504C53">
              <w:rPr>
                <w:rFonts w:hint="eastAsia"/>
                <w:color w:val="000000"/>
                <w:kern w:val="0"/>
                <w:sz w:val="24"/>
                <w:szCs w:val="21"/>
              </w:rPr>
              <w:t>份额占比</w:t>
            </w:r>
          </w:p>
        </w:tc>
      </w:tr>
      <w:tr w:rsidR="00B5600D" w:rsidRPr="00415878">
        <w:tc>
          <w:tcPr>
            <w:tcW w:w="993" w:type="dxa"/>
            <w:vMerge w:val="restart"/>
          </w:tcPr>
          <w:p w:rsidR="00B5600D" w:rsidRPr="00504C53" w:rsidRDefault="00B5600D">
            <w:pPr>
              <w:rPr>
                <w:sz w:val="24"/>
              </w:rPr>
            </w:pPr>
          </w:p>
          <w:p w:rsidR="00B5600D" w:rsidRPr="00504C53" w:rsidRDefault="00D91A1A">
            <w:pPr>
              <w:rPr>
                <w:sz w:val="24"/>
              </w:rPr>
            </w:pPr>
            <w:r w:rsidRPr="00504C53">
              <w:rPr>
                <w:rFonts w:hint="eastAsia"/>
                <w:bCs/>
                <w:color w:val="000000"/>
                <w:kern w:val="0"/>
                <w:sz w:val="24"/>
                <w:szCs w:val="21"/>
              </w:rPr>
              <w:t>机构</w:t>
            </w:r>
          </w:p>
        </w:tc>
        <w:tc>
          <w:tcPr>
            <w:tcW w:w="992" w:type="dxa"/>
            <w:vAlign w:val="center"/>
          </w:tcPr>
          <w:p w:rsidR="00B5600D" w:rsidRPr="00504C53" w:rsidRDefault="00D91A1A">
            <w:pPr>
              <w:jc w:val="center"/>
              <w:rPr>
                <w:sz w:val="24"/>
              </w:rPr>
            </w:pPr>
            <w:r w:rsidRPr="00504C53">
              <w:rPr>
                <w:color w:val="000000"/>
                <w:kern w:val="0"/>
                <w:sz w:val="24"/>
                <w:szCs w:val="21"/>
              </w:rPr>
              <w:t>1</w:t>
            </w:r>
          </w:p>
        </w:tc>
        <w:tc>
          <w:tcPr>
            <w:tcW w:w="1843" w:type="dxa"/>
            <w:vAlign w:val="center"/>
          </w:tcPr>
          <w:p w:rsidR="00B5600D" w:rsidRPr="00504C53" w:rsidRDefault="00D91A1A">
            <w:pPr>
              <w:jc w:val="center"/>
              <w:rPr>
                <w:sz w:val="24"/>
              </w:rPr>
            </w:pPr>
            <w:r w:rsidRPr="00504C53">
              <w:rPr>
                <w:color w:val="000000"/>
                <w:kern w:val="0"/>
                <w:sz w:val="24"/>
                <w:szCs w:val="21"/>
              </w:rPr>
              <w:t>2017/1/1-2017/12/31</w:t>
            </w:r>
          </w:p>
        </w:tc>
        <w:tc>
          <w:tcPr>
            <w:tcW w:w="851" w:type="dxa"/>
            <w:vAlign w:val="center"/>
          </w:tcPr>
          <w:p w:rsidR="00B5600D" w:rsidRPr="00504C53" w:rsidRDefault="00D91A1A">
            <w:pPr>
              <w:jc w:val="center"/>
              <w:rPr>
                <w:sz w:val="24"/>
              </w:rPr>
            </w:pPr>
            <w:r w:rsidRPr="00504C53">
              <w:rPr>
                <w:color w:val="000000"/>
                <w:kern w:val="0"/>
                <w:sz w:val="24"/>
                <w:szCs w:val="21"/>
              </w:rPr>
              <w:t>2,000,366,524.38</w:t>
            </w:r>
          </w:p>
        </w:tc>
        <w:tc>
          <w:tcPr>
            <w:tcW w:w="850" w:type="dxa"/>
            <w:vAlign w:val="center"/>
          </w:tcPr>
          <w:p w:rsidR="00B5600D" w:rsidRPr="00504C53" w:rsidRDefault="00D91A1A">
            <w:pPr>
              <w:jc w:val="center"/>
              <w:rPr>
                <w:sz w:val="24"/>
              </w:rPr>
            </w:pPr>
            <w:r w:rsidRPr="00504C53">
              <w:rPr>
                <w:color w:val="000000"/>
                <w:kern w:val="0"/>
                <w:sz w:val="24"/>
                <w:szCs w:val="21"/>
              </w:rPr>
              <w:t>597,132,408.85</w:t>
            </w:r>
          </w:p>
        </w:tc>
        <w:tc>
          <w:tcPr>
            <w:tcW w:w="1134" w:type="dxa"/>
            <w:vAlign w:val="center"/>
          </w:tcPr>
          <w:p w:rsidR="00B5600D" w:rsidRPr="00504C53" w:rsidRDefault="00D91A1A">
            <w:pPr>
              <w:jc w:val="center"/>
              <w:rPr>
                <w:sz w:val="24"/>
              </w:rPr>
            </w:pPr>
            <w:r w:rsidRPr="00504C53">
              <w:rPr>
                <w:color w:val="000000"/>
                <w:kern w:val="0"/>
                <w:sz w:val="24"/>
                <w:szCs w:val="21"/>
              </w:rPr>
              <w:t>104,000,000.00</w:t>
            </w:r>
          </w:p>
        </w:tc>
        <w:tc>
          <w:tcPr>
            <w:tcW w:w="1419" w:type="dxa"/>
            <w:vAlign w:val="center"/>
          </w:tcPr>
          <w:p w:rsidR="00B5600D" w:rsidRPr="00504C53" w:rsidRDefault="00D91A1A">
            <w:pPr>
              <w:jc w:val="center"/>
              <w:rPr>
                <w:sz w:val="24"/>
              </w:rPr>
            </w:pPr>
            <w:r w:rsidRPr="00504C53">
              <w:rPr>
                <w:color w:val="000000"/>
                <w:kern w:val="0"/>
                <w:sz w:val="24"/>
                <w:szCs w:val="21"/>
              </w:rPr>
              <w:t>2,493,498,933.23</w:t>
            </w:r>
          </w:p>
        </w:tc>
        <w:tc>
          <w:tcPr>
            <w:tcW w:w="1130" w:type="dxa"/>
            <w:vAlign w:val="center"/>
          </w:tcPr>
          <w:p w:rsidR="00B5600D" w:rsidRPr="00504C53" w:rsidRDefault="00D91A1A">
            <w:pPr>
              <w:jc w:val="center"/>
              <w:rPr>
                <w:sz w:val="24"/>
              </w:rPr>
            </w:pPr>
            <w:r w:rsidRPr="00504C53">
              <w:rPr>
                <w:color w:val="000000"/>
                <w:kern w:val="0"/>
                <w:sz w:val="24"/>
                <w:szCs w:val="21"/>
              </w:rPr>
              <w:t>50.30%</w:t>
            </w:r>
          </w:p>
        </w:tc>
      </w:tr>
      <w:tr w:rsidR="00B5600D" w:rsidRPr="00415878">
        <w:tc>
          <w:tcPr>
            <w:tcW w:w="993" w:type="dxa"/>
            <w:vMerge/>
          </w:tcPr>
          <w:p w:rsidR="00B5600D" w:rsidRPr="00504C53" w:rsidRDefault="00B5600D">
            <w:pPr>
              <w:rPr>
                <w:sz w:val="24"/>
              </w:rPr>
            </w:pPr>
          </w:p>
        </w:tc>
        <w:tc>
          <w:tcPr>
            <w:tcW w:w="992" w:type="dxa"/>
            <w:vAlign w:val="center"/>
          </w:tcPr>
          <w:p w:rsidR="00B5600D" w:rsidRPr="00504C53" w:rsidRDefault="00D91A1A">
            <w:pPr>
              <w:jc w:val="center"/>
              <w:rPr>
                <w:sz w:val="24"/>
              </w:rPr>
            </w:pPr>
            <w:r w:rsidRPr="00504C53">
              <w:rPr>
                <w:color w:val="000000"/>
                <w:kern w:val="0"/>
                <w:sz w:val="24"/>
                <w:szCs w:val="21"/>
              </w:rPr>
              <w:t>2</w:t>
            </w:r>
          </w:p>
        </w:tc>
        <w:tc>
          <w:tcPr>
            <w:tcW w:w="1843" w:type="dxa"/>
            <w:vAlign w:val="center"/>
          </w:tcPr>
          <w:p w:rsidR="00B5600D" w:rsidRPr="00504C53" w:rsidRDefault="00D91A1A">
            <w:pPr>
              <w:jc w:val="center"/>
              <w:rPr>
                <w:sz w:val="24"/>
              </w:rPr>
            </w:pPr>
            <w:r w:rsidRPr="00504C53">
              <w:rPr>
                <w:color w:val="000000"/>
                <w:kern w:val="0"/>
                <w:sz w:val="24"/>
                <w:szCs w:val="21"/>
              </w:rPr>
              <w:t>2017/1/1-2017/12/31</w:t>
            </w:r>
          </w:p>
        </w:tc>
        <w:tc>
          <w:tcPr>
            <w:tcW w:w="851" w:type="dxa"/>
            <w:vAlign w:val="center"/>
          </w:tcPr>
          <w:p w:rsidR="00B5600D" w:rsidRPr="00504C53" w:rsidRDefault="00D91A1A">
            <w:pPr>
              <w:jc w:val="center"/>
              <w:rPr>
                <w:sz w:val="24"/>
              </w:rPr>
            </w:pPr>
            <w:r w:rsidRPr="00504C53">
              <w:rPr>
                <w:color w:val="000000"/>
                <w:kern w:val="0"/>
                <w:sz w:val="24"/>
                <w:szCs w:val="21"/>
              </w:rPr>
              <w:t>-</w:t>
            </w:r>
          </w:p>
        </w:tc>
        <w:tc>
          <w:tcPr>
            <w:tcW w:w="850" w:type="dxa"/>
            <w:vAlign w:val="center"/>
          </w:tcPr>
          <w:p w:rsidR="00B5600D" w:rsidRPr="00504C53" w:rsidRDefault="00D91A1A">
            <w:pPr>
              <w:jc w:val="center"/>
              <w:rPr>
                <w:sz w:val="24"/>
              </w:rPr>
            </w:pPr>
            <w:r w:rsidRPr="00504C53">
              <w:rPr>
                <w:color w:val="000000"/>
                <w:kern w:val="0"/>
                <w:sz w:val="24"/>
                <w:szCs w:val="21"/>
              </w:rPr>
              <w:t>1,000,000,000.00</w:t>
            </w:r>
          </w:p>
        </w:tc>
        <w:tc>
          <w:tcPr>
            <w:tcW w:w="1134" w:type="dxa"/>
            <w:vAlign w:val="center"/>
          </w:tcPr>
          <w:p w:rsidR="00B5600D" w:rsidRPr="00504C53" w:rsidRDefault="00D91A1A">
            <w:pPr>
              <w:jc w:val="center"/>
              <w:rPr>
                <w:sz w:val="24"/>
              </w:rPr>
            </w:pPr>
            <w:r w:rsidRPr="00504C53">
              <w:rPr>
                <w:color w:val="000000"/>
                <w:kern w:val="0"/>
                <w:sz w:val="24"/>
                <w:szCs w:val="21"/>
              </w:rPr>
              <w:t>-</w:t>
            </w:r>
          </w:p>
        </w:tc>
        <w:tc>
          <w:tcPr>
            <w:tcW w:w="1419" w:type="dxa"/>
            <w:vAlign w:val="center"/>
          </w:tcPr>
          <w:p w:rsidR="00B5600D" w:rsidRPr="00504C53" w:rsidRDefault="00D91A1A">
            <w:pPr>
              <w:jc w:val="center"/>
              <w:rPr>
                <w:sz w:val="24"/>
              </w:rPr>
            </w:pPr>
            <w:r w:rsidRPr="00504C53">
              <w:rPr>
                <w:color w:val="000000"/>
                <w:kern w:val="0"/>
                <w:sz w:val="24"/>
                <w:szCs w:val="21"/>
              </w:rPr>
              <w:t>1,000,000,000.00</w:t>
            </w:r>
          </w:p>
        </w:tc>
        <w:tc>
          <w:tcPr>
            <w:tcW w:w="1130" w:type="dxa"/>
            <w:vAlign w:val="center"/>
          </w:tcPr>
          <w:p w:rsidR="00B5600D" w:rsidRPr="00504C53" w:rsidRDefault="00D91A1A">
            <w:pPr>
              <w:jc w:val="center"/>
              <w:rPr>
                <w:sz w:val="24"/>
              </w:rPr>
            </w:pPr>
            <w:r w:rsidRPr="00504C53">
              <w:rPr>
                <w:color w:val="000000"/>
                <w:kern w:val="0"/>
                <w:sz w:val="24"/>
                <w:szCs w:val="21"/>
              </w:rPr>
              <w:t>20.17%</w:t>
            </w:r>
          </w:p>
        </w:tc>
      </w:tr>
      <w:tr w:rsidR="005324CE" w:rsidRPr="00415878" w:rsidTr="00D02C5F">
        <w:tc>
          <w:tcPr>
            <w:tcW w:w="9212" w:type="dxa"/>
            <w:gridSpan w:val="8"/>
            <w:vAlign w:val="center"/>
          </w:tcPr>
          <w:p w:rsidR="005324CE" w:rsidRPr="00504C53" w:rsidRDefault="005324CE" w:rsidP="00D02C5F">
            <w:pPr>
              <w:autoSpaceDE w:val="0"/>
              <w:autoSpaceDN w:val="0"/>
              <w:adjustRightInd w:val="0"/>
              <w:jc w:val="center"/>
              <w:rPr>
                <w:kern w:val="0"/>
                <w:sz w:val="24"/>
                <w:szCs w:val="21"/>
              </w:rPr>
            </w:pPr>
            <w:r w:rsidRPr="00504C53">
              <w:rPr>
                <w:color w:val="000000"/>
                <w:kern w:val="0"/>
                <w:sz w:val="24"/>
                <w:szCs w:val="21"/>
              </w:rPr>
              <w:t>产品特有风险</w:t>
            </w:r>
          </w:p>
        </w:tc>
      </w:tr>
      <w:tr w:rsidR="005324CE" w:rsidRPr="00415878" w:rsidTr="00D02C5F">
        <w:tc>
          <w:tcPr>
            <w:tcW w:w="9212" w:type="dxa"/>
            <w:gridSpan w:val="8"/>
            <w:vAlign w:val="center"/>
          </w:tcPr>
          <w:p w:rsidR="005324CE" w:rsidRPr="00504C53" w:rsidRDefault="005324CE" w:rsidP="00D02C5F">
            <w:pPr>
              <w:autoSpaceDE w:val="0"/>
              <w:autoSpaceDN w:val="0"/>
              <w:adjustRightInd w:val="0"/>
              <w:jc w:val="left"/>
              <w:rPr>
                <w:kern w:val="0"/>
                <w:sz w:val="24"/>
                <w:szCs w:val="21"/>
              </w:rPr>
            </w:pPr>
            <w:r w:rsidRPr="00504C53">
              <w:rPr>
                <w:rFonts w:hint="eastAsia"/>
                <w:kern w:val="0"/>
                <w:sz w:val="24"/>
                <w:szCs w:val="21"/>
              </w:rPr>
              <w:t>本基金本报告期内出现单一投资者持有基金份额比例超过基金总份额</w:t>
            </w:r>
            <w:r w:rsidRPr="00504C53">
              <w:rPr>
                <w:kern w:val="0"/>
                <w:sz w:val="24"/>
                <w:szCs w:val="21"/>
              </w:rPr>
              <w:t>20%</w:t>
            </w:r>
            <w:r w:rsidRPr="00504C53">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6D141C" w:rsidRPr="00FB3BC2" w:rsidRDefault="006D141C" w:rsidP="001B0E7B">
      <w:pPr>
        <w:pStyle w:val="1"/>
        <w:keepNext/>
        <w:keepLines/>
        <w:widowControl w:val="0"/>
        <w:spacing w:beforeLines="100" w:before="312" w:afterLines="100" w:after="312" w:line="288" w:lineRule="auto"/>
        <w:jc w:val="center"/>
        <w:rPr>
          <w:b/>
          <w:bCs/>
          <w:szCs w:val="24"/>
        </w:rPr>
      </w:pPr>
      <w:bookmarkStart w:id="103" w:name="_Toc331410126"/>
      <w:bookmarkStart w:id="104" w:name="_Toc225500055"/>
      <w:bookmarkStart w:id="105" w:name="_Toc509761030"/>
      <w:r w:rsidRPr="00FB3BC2">
        <w:rPr>
          <w:rFonts w:hint="eastAsia"/>
          <w:b/>
          <w:bCs/>
          <w:szCs w:val="24"/>
        </w:rPr>
        <w:t>§</w:t>
      </w:r>
      <w:r w:rsidRPr="00FB3BC2">
        <w:rPr>
          <w:rFonts w:hint="eastAsia"/>
          <w:b/>
          <w:bCs/>
          <w:szCs w:val="24"/>
        </w:rPr>
        <w:t>13</w:t>
      </w:r>
      <w:r w:rsidR="00250A79" w:rsidRPr="00FB3BC2">
        <w:rPr>
          <w:rFonts w:hint="eastAsia"/>
          <w:b/>
          <w:bCs/>
          <w:szCs w:val="24"/>
        </w:rPr>
        <w:t xml:space="preserve">  </w:t>
      </w:r>
      <w:r w:rsidRPr="00FB3BC2">
        <w:rPr>
          <w:rFonts w:hint="eastAsia"/>
          <w:b/>
          <w:bCs/>
          <w:szCs w:val="24"/>
        </w:rPr>
        <w:t>备查文件目录</w:t>
      </w:r>
      <w:bookmarkEnd w:id="103"/>
      <w:bookmarkEnd w:id="104"/>
      <w:bookmarkEnd w:id="105"/>
    </w:p>
    <w:p w:rsidR="00FB3BC2" w:rsidRPr="00FB3BC2" w:rsidRDefault="00FB3BC2" w:rsidP="00FB3BC2"/>
    <w:p w:rsidR="006D141C" w:rsidRPr="005F7EA9" w:rsidRDefault="008C3BC2" w:rsidP="005F7EA9">
      <w:pPr>
        <w:pStyle w:val="20"/>
        <w:spacing w:before="29" w:after="0" w:line="288" w:lineRule="auto"/>
        <w:rPr>
          <w:rFonts w:ascii="Times New Roman" w:hAnsi="Times New Roman" w:cs="Times New Roman"/>
          <w:kern w:val="0"/>
          <w:szCs w:val="24"/>
        </w:rPr>
      </w:pPr>
      <w:bookmarkStart w:id="106" w:name="_Toc331410127"/>
      <w:bookmarkStart w:id="107" w:name="_Toc509761031"/>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w:t>
      </w:r>
      <w:r w:rsidR="00063FAB" w:rsidRPr="005F7EA9">
        <w:rPr>
          <w:rFonts w:ascii="Times New Roman" w:hAnsi="Times New Roman" w:cs="Times New Roman" w:hint="eastAsia"/>
          <w:kern w:val="0"/>
          <w:szCs w:val="24"/>
        </w:rPr>
        <w:t>1</w:t>
      </w:r>
      <w:r w:rsidR="006D141C" w:rsidRPr="005F7EA9">
        <w:rPr>
          <w:rFonts w:ascii="Times New Roman" w:hAnsi="Times New Roman" w:cs="Times New Roman" w:hint="eastAsia"/>
          <w:kern w:val="0"/>
          <w:szCs w:val="24"/>
        </w:rPr>
        <w:t>备查文件目录</w:t>
      </w:r>
      <w:bookmarkEnd w:id="106"/>
      <w:bookmarkEnd w:id="107"/>
    </w:p>
    <w:p w:rsidR="00B5600D" w:rsidRDefault="00D91A1A">
      <w:pPr>
        <w:tabs>
          <w:tab w:val="left" w:pos="426"/>
        </w:tabs>
        <w:spacing w:before="29" w:line="288" w:lineRule="auto"/>
        <w:rPr>
          <w:kern w:val="0"/>
          <w:sz w:val="24"/>
        </w:rPr>
      </w:pPr>
      <w:r>
        <w:rPr>
          <w:rFonts w:hint="eastAsia"/>
          <w:kern w:val="0"/>
          <w:sz w:val="24"/>
        </w:rPr>
        <w:t>1</w:t>
      </w:r>
      <w:r>
        <w:rPr>
          <w:rFonts w:hint="eastAsia"/>
          <w:kern w:val="0"/>
          <w:sz w:val="24"/>
        </w:rPr>
        <w:t>、中国证监会批准交银施罗德理财</w:t>
      </w:r>
      <w:r>
        <w:rPr>
          <w:rFonts w:hint="eastAsia"/>
          <w:kern w:val="0"/>
          <w:sz w:val="24"/>
        </w:rPr>
        <w:t>60</w:t>
      </w:r>
      <w:r>
        <w:rPr>
          <w:rFonts w:hint="eastAsia"/>
          <w:kern w:val="0"/>
          <w:sz w:val="24"/>
        </w:rPr>
        <w:t>天债券型证券投资基金募集的文件；</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2</w:t>
      </w:r>
      <w:r>
        <w:rPr>
          <w:rFonts w:hint="eastAsia"/>
          <w:kern w:val="0"/>
          <w:sz w:val="24"/>
        </w:rPr>
        <w:t>、《交银施罗德理财</w:t>
      </w:r>
      <w:r>
        <w:rPr>
          <w:rFonts w:hint="eastAsia"/>
          <w:kern w:val="0"/>
          <w:sz w:val="24"/>
        </w:rPr>
        <w:t>60</w:t>
      </w:r>
      <w:r>
        <w:rPr>
          <w:rFonts w:hint="eastAsia"/>
          <w:kern w:val="0"/>
          <w:sz w:val="24"/>
        </w:rPr>
        <w:t>天债券型证券投资基金基金合同》；</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3</w:t>
      </w:r>
      <w:r>
        <w:rPr>
          <w:rFonts w:hint="eastAsia"/>
          <w:kern w:val="0"/>
          <w:sz w:val="24"/>
        </w:rPr>
        <w:t>、《交银施罗德理财</w:t>
      </w:r>
      <w:r>
        <w:rPr>
          <w:rFonts w:hint="eastAsia"/>
          <w:kern w:val="0"/>
          <w:sz w:val="24"/>
        </w:rPr>
        <w:t>60</w:t>
      </w:r>
      <w:r>
        <w:rPr>
          <w:rFonts w:hint="eastAsia"/>
          <w:kern w:val="0"/>
          <w:sz w:val="24"/>
        </w:rPr>
        <w:t>天债券型证券投资基金招募说明书》；</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4</w:t>
      </w:r>
      <w:r>
        <w:rPr>
          <w:rFonts w:hint="eastAsia"/>
          <w:kern w:val="0"/>
          <w:sz w:val="24"/>
        </w:rPr>
        <w:t>、《交银施罗德理财</w:t>
      </w:r>
      <w:r>
        <w:rPr>
          <w:rFonts w:hint="eastAsia"/>
          <w:kern w:val="0"/>
          <w:sz w:val="24"/>
        </w:rPr>
        <w:t>60</w:t>
      </w:r>
      <w:r>
        <w:rPr>
          <w:rFonts w:hint="eastAsia"/>
          <w:kern w:val="0"/>
          <w:sz w:val="24"/>
        </w:rPr>
        <w:t>天债券型证券投资基金托管协议》；</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5</w:t>
      </w:r>
      <w:r>
        <w:rPr>
          <w:rFonts w:hint="eastAsia"/>
          <w:kern w:val="0"/>
          <w:sz w:val="24"/>
        </w:rPr>
        <w:t>、关于募集交银施罗德理财</w:t>
      </w:r>
      <w:r>
        <w:rPr>
          <w:rFonts w:hint="eastAsia"/>
          <w:kern w:val="0"/>
          <w:sz w:val="24"/>
        </w:rPr>
        <w:t>60</w:t>
      </w:r>
      <w:r>
        <w:rPr>
          <w:rFonts w:hint="eastAsia"/>
          <w:kern w:val="0"/>
          <w:sz w:val="24"/>
        </w:rPr>
        <w:t>天债券型证券投资基金之法律意见书；</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B5600D" w:rsidRDefault="00D91A1A">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F7EA9" w:rsidRDefault="006D141C" w:rsidP="0043509C">
      <w:pPr>
        <w:tabs>
          <w:tab w:val="left" w:pos="426"/>
        </w:tabs>
        <w:spacing w:before="29" w:line="288" w:lineRule="auto"/>
        <w:rPr>
          <w:kern w:val="0"/>
          <w:sz w:val="24"/>
        </w:rPr>
      </w:pPr>
      <w:r w:rsidRPr="005F7EA9">
        <w:rPr>
          <w:rFonts w:hint="eastAsia"/>
          <w:kern w:val="0"/>
          <w:sz w:val="24"/>
        </w:rPr>
        <w:t>8</w:t>
      </w:r>
      <w:r w:rsidRPr="005F7EA9">
        <w:rPr>
          <w:rFonts w:hint="eastAsia"/>
          <w:kern w:val="0"/>
          <w:sz w:val="24"/>
        </w:rPr>
        <w:t>、报告期内交银施罗德理财</w:t>
      </w:r>
      <w:r w:rsidRPr="005F7EA9">
        <w:rPr>
          <w:rFonts w:hint="eastAsia"/>
          <w:kern w:val="0"/>
          <w:sz w:val="24"/>
        </w:rPr>
        <w:t>60</w:t>
      </w:r>
      <w:r w:rsidRPr="005F7EA9">
        <w:rPr>
          <w:rFonts w:hint="eastAsia"/>
          <w:kern w:val="0"/>
          <w:sz w:val="24"/>
        </w:rPr>
        <w:t>天债券型证券投资基金在指定报刊上各项公告的原稿。</w:t>
      </w:r>
    </w:p>
    <w:p w:rsidR="006D141C" w:rsidRPr="00D0515B" w:rsidRDefault="006D141C" w:rsidP="00F26963">
      <w:pPr>
        <w:spacing w:line="360" w:lineRule="auto"/>
        <w:ind w:firstLineChars="150" w:firstLine="315"/>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08" w:name="_Toc331410128"/>
      <w:bookmarkStart w:id="109" w:name="_Toc509761032"/>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.2</w:t>
      </w:r>
      <w:r w:rsidR="006D141C" w:rsidRPr="005F7EA9">
        <w:rPr>
          <w:rFonts w:ascii="Times New Roman" w:hAnsi="Times New Roman" w:cs="Times New Roman" w:hint="eastAsia"/>
          <w:kern w:val="0"/>
          <w:szCs w:val="24"/>
        </w:rPr>
        <w:t>存放地点</w:t>
      </w:r>
      <w:bookmarkEnd w:id="108"/>
      <w:bookmarkEnd w:id="109"/>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备查文件存放于基金管理人的办公场所。</w:t>
      </w:r>
    </w:p>
    <w:p w:rsidR="006D141C" w:rsidRPr="00D0515B" w:rsidRDefault="006D141C" w:rsidP="00F26963">
      <w:pPr>
        <w:spacing w:line="360" w:lineRule="auto"/>
        <w:rPr>
          <w:rFonts w:asciiTheme="minorEastAsia" w:eastAsiaTheme="minorEastAsia" w:hAnsiTheme="minorEastAsia"/>
          <w:bCs/>
          <w:szCs w:val="21"/>
        </w:rPr>
      </w:pPr>
    </w:p>
    <w:p w:rsidR="006D141C" w:rsidRPr="005F7EA9" w:rsidRDefault="008C3BC2" w:rsidP="005F7EA9">
      <w:pPr>
        <w:pStyle w:val="20"/>
        <w:spacing w:before="29" w:after="0" w:line="288" w:lineRule="auto"/>
        <w:rPr>
          <w:rFonts w:ascii="Times New Roman" w:hAnsi="Times New Roman" w:cs="Times New Roman"/>
          <w:kern w:val="0"/>
          <w:szCs w:val="24"/>
        </w:rPr>
      </w:pPr>
      <w:bookmarkStart w:id="110" w:name="_Toc331410129"/>
      <w:bookmarkStart w:id="111" w:name="_Toc509761033"/>
      <w:r w:rsidRPr="005F7EA9">
        <w:rPr>
          <w:rFonts w:ascii="Times New Roman" w:hAnsi="Times New Roman" w:cs="Times New Roman" w:hint="eastAsia"/>
          <w:kern w:val="0"/>
          <w:szCs w:val="24"/>
        </w:rPr>
        <w:t>13</w:t>
      </w:r>
      <w:r w:rsidR="006D141C" w:rsidRPr="005F7EA9">
        <w:rPr>
          <w:rFonts w:ascii="Times New Roman" w:hAnsi="Times New Roman" w:cs="Times New Roman" w:hint="eastAsia"/>
          <w:kern w:val="0"/>
          <w:szCs w:val="24"/>
        </w:rPr>
        <w:t>.3</w:t>
      </w:r>
      <w:r w:rsidR="006D141C" w:rsidRPr="005F7EA9">
        <w:rPr>
          <w:rFonts w:ascii="Times New Roman" w:hAnsi="Times New Roman" w:cs="Times New Roman" w:hint="eastAsia"/>
          <w:kern w:val="0"/>
          <w:szCs w:val="24"/>
        </w:rPr>
        <w:t>查阅方式</w:t>
      </w:r>
      <w:bookmarkEnd w:id="110"/>
      <w:bookmarkEnd w:id="111"/>
    </w:p>
    <w:p w:rsidR="00B5600D" w:rsidRDefault="00D91A1A">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F7EA9" w:rsidRDefault="006D141C" w:rsidP="005F7EA9">
      <w:pPr>
        <w:tabs>
          <w:tab w:val="left" w:pos="426"/>
        </w:tabs>
        <w:spacing w:before="29" w:line="288" w:lineRule="auto"/>
        <w:ind w:firstLineChars="200" w:firstLine="480"/>
        <w:rPr>
          <w:kern w:val="0"/>
          <w:sz w:val="24"/>
        </w:rPr>
      </w:pPr>
      <w:r w:rsidRPr="005F7EA9">
        <w:rPr>
          <w:rFonts w:hint="eastAsia"/>
          <w:kern w:val="0"/>
          <w:sz w:val="24"/>
        </w:rPr>
        <w:t>投资者对本报告书如有疑问，可咨询本基金管理人交银施罗德基金管理有限公司。本公司客户服务中心电话：</w:t>
      </w:r>
      <w:r w:rsidRPr="005F7EA9">
        <w:rPr>
          <w:rFonts w:hint="eastAsia"/>
          <w:kern w:val="0"/>
          <w:sz w:val="24"/>
        </w:rPr>
        <w:t>400-700-5000</w:t>
      </w:r>
      <w:r w:rsidRPr="005F7EA9">
        <w:rPr>
          <w:rFonts w:hint="eastAsia"/>
          <w:kern w:val="0"/>
          <w:sz w:val="24"/>
        </w:rPr>
        <w:t>（免长途话费），</w:t>
      </w:r>
      <w:r w:rsidRPr="005F7EA9">
        <w:rPr>
          <w:rFonts w:hint="eastAsia"/>
          <w:kern w:val="0"/>
          <w:sz w:val="24"/>
        </w:rPr>
        <w:t>021-61055000</w:t>
      </w:r>
      <w:r w:rsidRPr="005F7EA9">
        <w:rPr>
          <w:rFonts w:hint="eastAsia"/>
          <w:kern w:val="0"/>
          <w:sz w:val="24"/>
        </w:rPr>
        <w:t>，电子邮件：</w:t>
      </w:r>
      <w:r w:rsidRPr="005F7EA9">
        <w:rPr>
          <w:rFonts w:hint="eastAsia"/>
          <w:kern w:val="0"/>
          <w:sz w:val="24"/>
        </w:rPr>
        <w:t>services@jysld.com</w:t>
      </w:r>
      <w:r w:rsidRPr="005F7EA9">
        <w:rPr>
          <w:rFonts w:hint="eastAsia"/>
          <w:kern w:val="0"/>
          <w:sz w:val="24"/>
        </w:rPr>
        <w:t>。</w:t>
      </w: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D0515B" w:rsidRDefault="006D141C" w:rsidP="00D0515B">
      <w:pPr>
        <w:spacing w:line="360" w:lineRule="auto"/>
        <w:ind w:firstLineChars="150" w:firstLine="315"/>
        <w:rPr>
          <w:rFonts w:asciiTheme="minorEastAsia" w:eastAsiaTheme="minorEastAsia" w:hAnsiTheme="minorEastAsia"/>
          <w:bCs/>
          <w:szCs w:val="21"/>
        </w:rPr>
      </w:pPr>
    </w:p>
    <w:p w:rsidR="006D141C" w:rsidRPr="00C820F1" w:rsidRDefault="006D141C" w:rsidP="00C820F1">
      <w:pPr>
        <w:tabs>
          <w:tab w:val="left" w:pos="426"/>
        </w:tabs>
        <w:spacing w:before="29" w:line="288" w:lineRule="auto"/>
        <w:ind w:firstLineChars="200" w:firstLine="480"/>
        <w:jc w:val="right"/>
        <w:rPr>
          <w:kern w:val="0"/>
          <w:sz w:val="24"/>
        </w:rPr>
      </w:pPr>
    </w:p>
    <w:p w:rsidR="006D141C" w:rsidRPr="009D134C" w:rsidRDefault="006D141C" w:rsidP="009D134C">
      <w:pPr>
        <w:tabs>
          <w:tab w:val="left" w:pos="426"/>
        </w:tabs>
        <w:spacing w:before="29" w:line="288" w:lineRule="auto"/>
        <w:ind w:firstLineChars="200" w:firstLine="482"/>
        <w:jc w:val="right"/>
        <w:rPr>
          <w:b/>
          <w:kern w:val="0"/>
          <w:sz w:val="24"/>
        </w:rPr>
      </w:pPr>
      <w:r w:rsidRPr="009D134C">
        <w:rPr>
          <w:rFonts w:hint="eastAsia"/>
          <w:b/>
          <w:kern w:val="0"/>
          <w:sz w:val="24"/>
        </w:rPr>
        <w:t>交银施罗德基金管理有限公司</w:t>
      </w:r>
    </w:p>
    <w:p w:rsidR="006D141C" w:rsidRPr="009D134C" w:rsidRDefault="00A51502" w:rsidP="009D134C">
      <w:pPr>
        <w:tabs>
          <w:tab w:val="left" w:pos="426"/>
        </w:tabs>
        <w:spacing w:before="29" w:line="288" w:lineRule="auto"/>
        <w:ind w:firstLineChars="200" w:firstLine="482"/>
        <w:jc w:val="right"/>
        <w:rPr>
          <w:b/>
          <w:kern w:val="0"/>
          <w:sz w:val="24"/>
        </w:rPr>
      </w:pPr>
      <w:r w:rsidRPr="009D134C">
        <w:rPr>
          <w:b/>
          <w:kern w:val="0"/>
          <w:sz w:val="24"/>
        </w:rPr>
        <w:t>二〇一八年三月二十八日</w:t>
      </w:r>
    </w:p>
    <w:p w:rsidR="009A5564" w:rsidRPr="00D0515B" w:rsidRDefault="009A5564" w:rsidP="004B36C2">
      <w:pPr>
        <w:spacing w:line="360" w:lineRule="auto"/>
        <w:rPr>
          <w:rFonts w:asciiTheme="minorEastAsia" w:eastAsiaTheme="minorEastAsia" w:hAnsiTheme="minorEastAsia"/>
          <w:szCs w:val="21"/>
        </w:rPr>
      </w:pPr>
    </w:p>
    <w:sectPr w:rsidR="009A5564" w:rsidRPr="00D0515B"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FF5" w:rsidRDefault="00C86FF5">
      <w:r>
        <w:separator/>
      </w:r>
    </w:p>
  </w:endnote>
  <w:endnote w:type="continuationSeparator" w:id="0">
    <w:p w:rsidR="00C86FF5" w:rsidRDefault="00C86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5F" w:rsidRDefault="00D02C5F"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02C5F" w:rsidRDefault="00D02C5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5F" w:rsidRDefault="00D02C5F" w:rsidP="00C03B3A">
    <w:pPr>
      <w:pStyle w:val="a6"/>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504C53">
      <w:rPr>
        <w:noProof/>
        <w:kern w:val="0"/>
        <w:szCs w:val="21"/>
      </w:rPr>
      <w:t>3</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504C53">
      <w:rPr>
        <w:noProof/>
        <w:kern w:val="0"/>
        <w:szCs w:val="21"/>
      </w:rPr>
      <w:t>11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FF5" w:rsidRDefault="00C86FF5">
      <w:r>
        <w:separator/>
      </w:r>
    </w:p>
  </w:footnote>
  <w:footnote w:type="continuationSeparator" w:id="0">
    <w:p w:rsidR="00C86FF5" w:rsidRDefault="00C86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5F" w:rsidRPr="00F163BF" w:rsidRDefault="00D02C5F"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041"/>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788"/>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71A3"/>
    <w:rsid w:val="00070473"/>
    <w:rsid w:val="00070CD1"/>
    <w:rsid w:val="00071022"/>
    <w:rsid w:val="000716BB"/>
    <w:rsid w:val="0007171B"/>
    <w:rsid w:val="000717A1"/>
    <w:rsid w:val="000718C5"/>
    <w:rsid w:val="00072162"/>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C85"/>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BA5"/>
    <w:rsid w:val="000D1FBF"/>
    <w:rsid w:val="000D2491"/>
    <w:rsid w:val="000D24F0"/>
    <w:rsid w:val="000D3145"/>
    <w:rsid w:val="000D36D1"/>
    <w:rsid w:val="000D3CC4"/>
    <w:rsid w:val="000D4AAD"/>
    <w:rsid w:val="000D52DC"/>
    <w:rsid w:val="000D5971"/>
    <w:rsid w:val="000D6054"/>
    <w:rsid w:val="000D6134"/>
    <w:rsid w:val="000D619B"/>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6C7"/>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4C6F"/>
    <w:rsid w:val="001257C7"/>
    <w:rsid w:val="00126502"/>
    <w:rsid w:val="00126AF2"/>
    <w:rsid w:val="00126D14"/>
    <w:rsid w:val="00126DDF"/>
    <w:rsid w:val="001270BF"/>
    <w:rsid w:val="001271C4"/>
    <w:rsid w:val="00127BAC"/>
    <w:rsid w:val="00127FF5"/>
    <w:rsid w:val="001310A4"/>
    <w:rsid w:val="00131243"/>
    <w:rsid w:val="00131D38"/>
    <w:rsid w:val="00131DD1"/>
    <w:rsid w:val="00131EC2"/>
    <w:rsid w:val="00132B09"/>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15E"/>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81A"/>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3FEE"/>
    <w:rsid w:val="0019415A"/>
    <w:rsid w:val="00194537"/>
    <w:rsid w:val="0019563C"/>
    <w:rsid w:val="001956CA"/>
    <w:rsid w:val="00195B79"/>
    <w:rsid w:val="00196D7B"/>
    <w:rsid w:val="00196FC2"/>
    <w:rsid w:val="001A088E"/>
    <w:rsid w:val="001A0F4A"/>
    <w:rsid w:val="001A1B13"/>
    <w:rsid w:val="001A1D38"/>
    <w:rsid w:val="001A21A9"/>
    <w:rsid w:val="001A2A97"/>
    <w:rsid w:val="001A2E3F"/>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0E7B"/>
    <w:rsid w:val="001B2BF6"/>
    <w:rsid w:val="001B2F0C"/>
    <w:rsid w:val="001B30CA"/>
    <w:rsid w:val="001B3228"/>
    <w:rsid w:val="001B3513"/>
    <w:rsid w:val="001B353A"/>
    <w:rsid w:val="001B3D3E"/>
    <w:rsid w:val="001B3EFA"/>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B7C7F"/>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1D45"/>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3F54"/>
    <w:rsid w:val="00414503"/>
    <w:rsid w:val="00414827"/>
    <w:rsid w:val="004153B3"/>
    <w:rsid w:val="00415772"/>
    <w:rsid w:val="00415878"/>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16C"/>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4C53"/>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6C7"/>
    <w:rsid w:val="0051478B"/>
    <w:rsid w:val="00514C1C"/>
    <w:rsid w:val="00514D55"/>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4CE"/>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523"/>
    <w:rsid w:val="005D6DCD"/>
    <w:rsid w:val="005D7912"/>
    <w:rsid w:val="005E0AE0"/>
    <w:rsid w:val="005E4B48"/>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56"/>
    <w:rsid w:val="00623167"/>
    <w:rsid w:val="00623524"/>
    <w:rsid w:val="0062386E"/>
    <w:rsid w:val="00623D9A"/>
    <w:rsid w:val="00623F01"/>
    <w:rsid w:val="006242FB"/>
    <w:rsid w:val="00624738"/>
    <w:rsid w:val="006247B8"/>
    <w:rsid w:val="006251B3"/>
    <w:rsid w:val="006252B8"/>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56E6"/>
    <w:rsid w:val="00636D16"/>
    <w:rsid w:val="0063776D"/>
    <w:rsid w:val="00637A3D"/>
    <w:rsid w:val="00637C26"/>
    <w:rsid w:val="006403B8"/>
    <w:rsid w:val="00640732"/>
    <w:rsid w:val="00640D3A"/>
    <w:rsid w:val="00642072"/>
    <w:rsid w:val="0064234A"/>
    <w:rsid w:val="00642897"/>
    <w:rsid w:val="00642C07"/>
    <w:rsid w:val="00643794"/>
    <w:rsid w:val="006440ED"/>
    <w:rsid w:val="0064467C"/>
    <w:rsid w:val="00644AB5"/>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4FD8"/>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278F"/>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5F7"/>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8FB"/>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29B"/>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66A"/>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110"/>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09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426"/>
    <w:rsid w:val="008F6504"/>
    <w:rsid w:val="008F653E"/>
    <w:rsid w:val="008F6F0B"/>
    <w:rsid w:val="008F7769"/>
    <w:rsid w:val="00900417"/>
    <w:rsid w:val="009004FE"/>
    <w:rsid w:val="00900EEF"/>
    <w:rsid w:val="00901014"/>
    <w:rsid w:val="009010F0"/>
    <w:rsid w:val="00901162"/>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0BD7"/>
    <w:rsid w:val="00911050"/>
    <w:rsid w:val="00911305"/>
    <w:rsid w:val="00911FFE"/>
    <w:rsid w:val="00912590"/>
    <w:rsid w:val="00912C8C"/>
    <w:rsid w:val="009131C9"/>
    <w:rsid w:val="00913200"/>
    <w:rsid w:val="009132CE"/>
    <w:rsid w:val="00914AD9"/>
    <w:rsid w:val="00914C41"/>
    <w:rsid w:val="00914E89"/>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39E"/>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2A2"/>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948"/>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3F98"/>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CD6"/>
    <w:rsid w:val="00AB0039"/>
    <w:rsid w:val="00AB0D96"/>
    <w:rsid w:val="00AB15A3"/>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4E3A"/>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DBA"/>
    <w:rsid w:val="00B02F9C"/>
    <w:rsid w:val="00B030C4"/>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0E25"/>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00D"/>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4B0"/>
    <w:rsid w:val="00C84593"/>
    <w:rsid w:val="00C850A3"/>
    <w:rsid w:val="00C85C32"/>
    <w:rsid w:val="00C85DFB"/>
    <w:rsid w:val="00C85F45"/>
    <w:rsid w:val="00C85FF1"/>
    <w:rsid w:val="00C86197"/>
    <w:rsid w:val="00C8656C"/>
    <w:rsid w:val="00C86C8C"/>
    <w:rsid w:val="00C86FF5"/>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D13"/>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CF75A7"/>
    <w:rsid w:val="00D00703"/>
    <w:rsid w:val="00D009DC"/>
    <w:rsid w:val="00D0101B"/>
    <w:rsid w:val="00D01344"/>
    <w:rsid w:val="00D01B90"/>
    <w:rsid w:val="00D01DD2"/>
    <w:rsid w:val="00D02224"/>
    <w:rsid w:val="00D024CD"/>
    <w:rsid w:val="00D02C5F"/>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2AF"/>
    <w:rsid w:val="00D259FA"/>
    <w:rsid w:val="00D2662C"/>
    <w:rsid w:val="00D27FA3"/>
    <w:rsid w:val="00D3176C"/>
    <w:rsid w:val="00D31AAB"/>
    <w:rsid w:val="00D31B3F"/>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58DD"/>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6952"/>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5976"/>
    <w:rsid w:val="00D878E1"/>
    <w:rsid w:val="00D90A81"/>
    <w:rsid w:val="00D90B7D"/>
    <w:rsid w:val="00D90DCE"/>
    <w:rsid w:val="00D91258"/>
    <w:rsid w:val="00D915E8"/>
    <w:rsid w:val="00D91A1A"/>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3D90"/>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4489"/>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69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D87"/>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926"/>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33F1"/>
    <w:rsid w:val="00F63BF7"/>
    <w:rsid w:val="00F6453E"/>
    <w:rsid w:val="00F65003"/>
    <w:rsid w:val="00F65215"/>
    <w:rsid w:val="00F65617"/>
    <w:rsid w:val="00F65A88"/>
    <w:rsid w:val="00F66494"/>
    <w:rsid w:val="00F671EB"/>
    <w:rsid w:val="00F67D12"/>
    <w:rsid w:val="00F708B2"/>
    <w:rsid w:val="00F710BE"/>
    <w:rsid w:val="00F718E1"/>
    <w:rsid w:val="00F71D7B"/>
    <w:rsid w:val="00F72016"/>
    <w:rsid w:val="00F72018"/>
    <w:rsid w:val="00F72684"/>
    <w:rsid w:val="00F72DAD"/>
    <w:rsid w:val="00F736D2"/>
    <w:rsid w:val="00F73727"/>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48C1"/>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F994362-7538-46CD-B587-F6BFE08E6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uiPriority w:val="99"/>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271290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D2C1-9FBA-4CF7-AF57-4E57A372C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1363</TotalTime>
  <Pages>11</Pages>
  <Words>6954</Words>
  <Characters>39640</Characters>
  <Application>Microsoft Office Word</Application>
  <DocSecurity>0</DocSecurity>
  <Lines>330</Lines>
  <Paragraphs>93</Paragraphs>
  <ScaleCrop>false</ScaleCrop>
  <Company/>
  <LinksUpToDate>false</LinksUpToDate>
  <CharactersWithSpaces>46501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1754</cp:revision>
  <cp:lastPrinted>2007-07-19T00:46:00Z</cp:lastPrinted>
  <dcterms:created xsi:type="dcterms:W3CDTF">2013-06-22T02:32:00Z</dcterms:created>
  <dcterms:modified xsi:type="dcterms:W3CDTF">2018-03-26T12:35:00Z</dcterms:modified>
</cp:coreProperties>
</file>