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2EF9" w:rsidRDefault="009C2EF9">
      <w:pPr>
        <w:adjustRightInd w:val="0"/>
        <w:snapToGrid w:val="0"/>
        <w:spacing w:line="360" w:lineRule="auto"/>
        <w:jc w:val="center"/>
        <w:rPr>
          <w:rFonts w:ascii="宋体" w:hAnsi="宋体"/>
          <w:color w:val="000000"/>
          <w:sz w:val="28"/>
        </w:rPr>
      </w:pPr>
      <w:bookmarkStart w:id="0" w:name="_GoBack"/>
      <w:bookmarkEnd w:id="0"/>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color w:val="000000"/>
          <w:sz w:val="28"/>
        </w:rPr>
      </w:pPr>
    </w:p>
    <w:p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交银施罗德荣祥保本混合型</w:t>
      </w:r>
      <w:r>
        <w:rPr>
          <w:rFonts w:ascii="宋体" w:hAnsi="宋体"/>
          <w:b/>
          <w:color w:val="000000"/>
          <w:sz w:val="44"/>
        </w:rPr>
        <w:t>证券投资基金</w:t>
      </w:r>
    </w:p>
    <w:p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ind w:firstLineChars="560" w:firstLine="1574"/>
        <w:jc w:val="left"/>
        <w:outlineLvl w:val="0"/>
        <w:rPr>
          <w:rFonts w:ascii="宋体" w:hAnsi="宋体"/>
          <w:b/>
          <w:color w:val="000000"/>
          <w:sz w:val="28"/>
        </w:rPr>
      </w:pPr>
      <w:r>
        <w:rPr>
          <w:rFonts w:ascii="宋体" w:hAnsi="宋体"/>
          <w:b/>
          <w:color w:val="000000"/>
          <w:sz w:val="28"/>
        </w:rPr>
        <w:t>基金管理人：</w:t>
      </w:r>
      <w:r>
        <w:rPr>
          <w:rFonts w:ascii="宋体" w:hAnsi="宋体" w:hint="eastAsia"/>
          <w:b/>
          <w:color w:val="000000"/>
          <w:sz w:val="28"/>
        </w:rPr>
        <w:t>交银施罗德</w:t>
      </w:r>
      <w:r>
        <w:rPr>
          <w:rFonts w:ascii="宋体" w:hAnsi="宋体"/>
          <w:b/>
          <w:color w:val="000000"/>
          <w:sz w:val="28"/>
        </w:rPr>
        <w:t>基金管理有限公司</w:t>
      </w:r>
    </w:p>
    <w:p w:rsidR="009C2EF9" w:rsidRDefault="009C2EF9">
      <w:pPr>
        <w:adjustRightInd w:val="0"/>
        <w:snapToGrid w:val="0"/>
        <w:spacing w:line="360" w:lineRule="auto"/>
        <w:ind w:firstLineChars="562" w:firstLine="1580"/>
        <w:jc w:val="left"/>
        <w:outlineLvl w:val="0"/>
        <w:rPr>
          <w:rFonts w:ascii="宋体" w:hAnsi="宋体"/>
          <w:b/>
          <w:color w:val="000000"/>
          <w:sz w:val="28"/>
        </w:rPr>
      </w:pPr>
      <w:r>
        <w:rPr>
          <w:rFonts w:ascii="宋体" w:hAnsi="宋体"/>
          <w:b/>
          <w:color w:val="000000"/>
          <w:sz w:val="28"/>
        </w:rPr>
        <w:t>基金托管人：中国农业银行</w:t>
      </w:r>
      <w:r>
        <w:rPr>
          <w:rFonts w:ascii="宋体" w:hAnsi="宋体" w:hint="eastAsia"/>
          <w:b/>
          <w:color w:val="000000"/>
          <w:sz w:val="28"/>
        </w:rPr>
        <w:t>股份有限公司</w:t>
      </w: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9C2EF9">
      <w:pPr>
        <w:spacing w:line="360" w:lineRule="auto"/>
        <w:jc w:val="center"/>
        <w:rPr>
          <w:rFonts w:ascii="宋体" w:hAnsi="宋体"/>
          <w:b/>
          <w:sz w:val="28"/>
        </w:rPr>
      </w:pPr>
    </w:p>
    <w:p w:rsidR="009C2EF9" w:rsidRDefault="009C2EF9">
      <w:pPr>
        <w:adjustRightInd w:val="0"/>
        <w:snapToGrid w:val="0"/>
        <w:spacing w:line="360" w:lineRule="auto"/>
        <w:jc w:val="center"/>
        <w:outlineLvl w:val="0"/>
        <w:rPr>
          <w:rFonts w:ascii="宋体" w:hAnsi="宋体"/>
          <w:color w:val="000000"/>
          <w:sz w:val="28"/>
        </w:rPr>
      </w:pPr>
    </w:p>
    <w:p w:rsidR="009C2EF9" w:rsidRDefault="00B13C8A" w:rsidP="003A4711">
      <w:pPr>
        <w:jc w:val="center"/>
        <w:rPr>
          <w:rFonts w:ascii="宋体" w:hAnsi="宋体"/>
          <w:color w:val="000000"/>
          <w:sz w:val="28"/>
        </w:rPr>
        <w:sectPr w:rsidR="009C2EF9">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720"/>
          <w:titlePg/>
          <w:docGrid w:type="lines" w:linePitch="312"/>
        </w:sectPr>
      </w:pPr>
      <w:r>
        <w:rPr>
          <w:rFonts w:ascii="宋体" w:hint="eastAsia"/>
          <w:b/>
          <w:bCs/>
          <w:sz w:val="30"/>
        </w:rPr>
        <w:t>二零一八年</w:t>
      </w:r>
      <w:r w:rsidR="00D75CCB">
        <w:rPr>
          <w:rFonts w:ascii="宋体" w:hint="eastAsia"/>
          <w:b/>
          <w:bCs/>
          <w:sz w:val="30"/>
        </w:rPr>
        <w:t>三</w:t>
      </w:r>
      <w:r>
        <w:rPr>
          <w:rFonts w:ascii="宋体" w:hint="eastAsia"/>
          <w:b/>
          <w:bCs/>
          <w:sz w:val="30"/>
        </w:rPr>
        <w:t>月</w:t>
      </w:r>
    </w:p>
    <w:p w:rsidR="009C2EF9" w:rsidRDefault="009C2EF9">
      <w:pPr>
        <w:adjustRightInd w:val="0"/>
        <w:snapToGrid w:val="0"/>
        <w:spacing w:line="360" w:lineRule="auto"/>
        <w:outlineLvl w:val="0"/>
        <w:rPr>
          <w:rFonts w:ascii="宋体" w:hAnsi="宋体"/>
          <w:color w:val="000000"/>
          <w:sz w:val="28"/>
        </w:rPr>
      </w:pPr>
    </w:p>
    <w:p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4D7CF4">
          <w:rPr>
            <w:noProof/>
            <w:sz w:val="28"/>
            <w:szCs w:val="28"/>
          </w:rPr>
          <w:t>3</w:t>
        </w:r>
        <w:r w:rsidRPr="0061142D">
          <w:rPr>
            <w:noProof/>
            <w:sz w:val="28"/>
            <w:szCs w:val="28"/>
          </w:rPr>
          <w:fldChar w:fldCharType="end"/>
        </w:r>
      </w:hyperlink>
    </w:p>
    <w:p w:rsidR="009C2EF9" w:rsidRPr="0061142D" w:rsidRDefault="00FF0E8B"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4D7CF4">
          <w:rPr>
            <w:noProof/>
            <w:sz w:val="28"/>
            <w:szCs w:val="28"/>
          </w:rPr>
          <w:t>5</w:t>
        </w:r>
        <w:r w:rsidR="00942CAD" w:rsidRPr="0061142D">
          <w:rPr>
            <w:noProof/>
            <w:sz w:val="28"/>
            <w:szCs w:val="28"/>
          </w:rPr>
          <w:fldChar w:fldCharType="end"/>
        </w:r>
      </w:hyperlink>
    </w:p>
    <w:p w:rsidR="009C2EF9" w:rsidRPr="0061142D" w:rsidRDefault="00FF0E8B"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4D7CF4">
          <w:rPr>
            <w:noProof/>
            <w:sz w:val="28"/>
            <w:szCs w:val="28"/>
          </w:rPr>
          <w:t>6</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4D7CF4">
          <w:rPr>
            <w:noProof/>
            <w:sz w:val="28"/>
            <w:szCs w:val="28"/>
          </w:rPr>
          <w:t>18</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4D7CF4">
          <w:rPr>
            <w:noProof/>
            <w:sz w:val="28"/>
            <w:szCs w:val="28"/>
          </w:rPr>
          <w:t>19</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4D7CF4">
          <w:rPr>
            <w:noProof/>
            <w:sz w:val="28"/>
            <w:szCs w:val="28"/>
          </w:rPr>
          <w:t>22</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4D7CF4">
          <w:rPr>
            <w:noProof/>
            <w:sz w:val="28"/>
            <w:szCs w:val="28"/>
          </w:rPr>
          <w:t>26</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4D7CF4">
          <w:rPr>
            <w:noProof/>
            <w:sz w:val="28"/>
            <w:szCs w:val="28"/>
          </w:rPr>
          <w:t>30</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4D7CF4">
          <w:rPr>
            <w:noProof/>
            <w:sz w:val="28"/>
            <w:szCs w:val="28"/>
          </w:rPr>
          <w:t>37</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4D7CF4">
          <w:rPr>
            <w:noProof/>
            <w:sz w:val="28"/>
            <w:szCs w:val="28"/>
          </w:rPr>
          <w:t>38</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4D7CF4">
          <w:rPr>
            <w:noProof/>
            <w:sz w:val="28"/>
            <w:szCs w:val="28"/>
          </w:rPr>
          <w:t>40</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4D7CF4">
          <w:rPr>
            <w:noProof/>
            <w:sz w:val="28"/>
            <w:szCs w:val="28"/>
          </w:rPr>
          <w:t>42</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4D7CF4">
          <w:rPr>
            <w:noProof/>
            <w:sz w:val="28"/>
            <w:szCs w:val="28"/>
          </w:rPr>
          <w:t>43</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4D7CF4">
          <w:rPr>
            <w:noProof/>
            <w:sz w:val="28"/>
            <w:szCs w:val="28"/>
          </w:rPr>
          <w:t>44</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4D7CF4">
          <w:rPr>
            <w:noProof/>
            <w:sz w:val="28"/>
            <w:szCs w:val="28"/>
          </w:rPr>
          <w:t>47</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4D7CF4">
          <w:rPr>
            <w:noProof/>
            <w:sz w:val="28"/>
            <w:szCs w:val="28"/>
          </w:rPr>
          <w:t>48</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4D7CF4">
          <w:rPr>
            <w:noProof/>
            <w:sz w:val="28"/>
            <w:szCs w:val="28"/>
          </w:rPr>
          <w:t>51</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4D7CF4">
          <w:rPr>
            <w:noProof/>
            <w:sz w:val="28"/>
            <w:szCs w:val="28"/>
          </w:rPr>
          <w:t>52</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4D7CF4">
          <w:rPr>
            <w:noProof/>
            <w:sz w:val="28"/>
            <w:szCs w:val="28"/>
          </w:rPr>
          <w:t>52</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4D7CF4">
          <w:rPr>
            <w:noProof/>
            <w:sz w:val="28"/>
            <w:szCs w:val="28"/>
          </w:rPr>
          <w:t>53</w:t>
        </w:r>
        <w:r w:rsidR="00942CAD" w:rsidRPr="0061142D">
          <w:rPr>
            <w:noProof/>
            <w:sz w:val="28"/>
            <w:szCs w:val="28"/>
          </w:rPr>
          <w:fldChar w:fldCharType="end"/>
        </w:r>
      </w:hyperlink>
    </w:p>
    <w:p w:rsidR="009C2EF9" w:rsidRPr="0061142D" w:rsidRDefault="0088706B"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4D7CF4">
          <w:rPr>
            <w:noProof/>
            <w:sz w:val="28"/>
            <w:szCs w:val="28"/>
          </w:rPr>
          <w:t>53</w:t>
        </w:r>
        <w:r w:rsidR="00942CAD" w:rsidRPr="0061142D">
          <w:rPr>
            <w:noProof/>
            <w:sz w:val="28"/>
            <w:szCs w:val="28"/>
          </w:rPr>
          <w:fldChar w:fldCharType="end"/>
        </w:r>
      </w:hyperlink>
    </w:p>
    <w:p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rsidR="009C2EF9" w:rsidRPr="0061142D" w:rsidRDefault="009C2EF9">
      <w:pPr>
        <w:spacing w:line="360" w:lineRule="auto"/>
        <w:rPr>
          <w:color w:val="000000"/>
          <w:sz w:val="28"/>
        </w:rPr>
      </w:pPr>
      <w:r w:rsidRPr="0061142D">
        <w:rPr>
          <w:color w:val="000000"/>
          <w:sz w:val="28"/>
        </w:rPr>
        <w:br w:type="page"/>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r w:rsidR="0087516D">
        <w:rPr>
          <w:color w:val="000000"/>
          <w:kern w:val="0"/>
          <w:sz w:val="28"/>
        </w:rPr>
        <w:t>，</w:t>
      </w:r>
      <w:r w:rsidRPr="0061142D">
        <w:rPr>
          <w:rFonts w:hAnsi="宋体"/>
          <w:color w:val="000000"/>
          <w:kern w:val="0"/>
          <w:sz w:val="28"/>
        </w:rPr>
        <w:t>拟募集发行交银施罗德荣祥保本混合型证券投资基金；</w:t>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管理有限公司拟担任交银施罗德荣祥保本混合型证券投资基金的基金管理人，中国农业银行股份有限公司拟担任交银施罗德荣祥保本混合型证券投资基金的基金托管人；</w:t>
      </w:r>
    </w:p>
    <w:p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为</w:t>
      </w:r>
      <w:proofErr w:type="gramStart"/>
      <w:r w:rsidRPr="0061142D">
        <w:rPr>
          <w:rFonts w:hAnsi="宋体"/>
          <w:color w:val="000000"/>
          <w:kern w:val="0"/>
          <w:sz w:val="28"/>
        </w:rPr>
        <w:t>明确交</w:t>
      </w:r>
      <w:proofErr w:type="gramEnd"/>
      <w:r w:rsidRPr="0061142D">
        <w:rPr>
          <w:rFonts w:hAnsi="宋体"/>
          <w:color w:val="000000"/>
          <w:kern w:val="0"/>
          <w:sz w:val="28"/>
        </w:rPr>
        <w:t>银施罗德荣祥保本混合型证券投资基金的基金管理人和基金托管人之间的权利义务关系，特制订本托管协议；</w:t>
      </w:r>
    </w:p>
    <w:p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交银施罗德荣祥保本混合型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rsidR="00EE5132" w:rsidRPr="0061142D" w:rsidRDefault="00EE5132">
      <w:pPr>
        <w:widowControl/>
        <w:adjustRightInd w:val="0"/>
        <w:snapToGrid w:val="0"/>
        <w:spacing w:line="360" w:lineRule="auto"/>
        <w:ind w:firstLineChars="200" w:firstLine="560"/>
        <w:rPr>
          <w:color w:val="000000"/>
          <w:sz w:val="28"/>
          <w:lang w:val="en-GB"/>
        </w:rPr>
      </w:pPr>
    </w:p>
    <w:p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注册地址：上海市浦东</w:t>
      </w:r>
      <w:proofErr w:type="gramStart"/>
      <w:r w:rsidRPr="0061142D">
        <w:rPr>
          <w:rFonts w:hAnsi="宋体"/>
          <w:color w:val="000000"/>
          <w:sz w:val="28"/>
        </w:rPr>
        <w:t>新区银</w:t>
      </w:r>
      <w:proofErr w:type="gramEnd"/>
      <w:r w:rsidRPr="0061142D">
        <w:rPr>
          <w:rFonts w:hAnsi="宋体"/>
          <w:color w:val="000000"/>
          <w:sz w:val="28"/>
        </w:rPr>
        <w:t>城中路</w:t>
      </w:r>
      <w:r w:rsidRPr="0061142D">
        <w:rPr>
          <w:color w:val="000000"/>
          <w:sz w:val="28"/>
        </w:rPr>
        <w:t>188</w:t>
      </w:r>
      <w:r w:rsidRPr="0061142D">
        <w:rPr>
          <w:rFonts w:hAnsi="宋体"/>
          <w:color w:val="000000"/>
          <w:sz w:val="28"/>
        </w:rPr>
        <w:t>号交通银行大楼二层（裙）</w:t>
      </w:r>
    </w:p>
    <w:p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w:t>
      </w:r>
      <w:proofErr w:type="gramStart"/>
      <w:r w:rsidR="004D7CF4" w:rsidRPr="004D7CF4">
        <w:rPr>
          <w:rFonts w:hAnsi="宋体" w:hint="eastAsia"/>
          <w:color w:val="000000"/>
          <w:sz w:val="28"/>
        </w:rPr>
        <w:t>新区世纪</w:t>
      </w:r>
      <w:proofErr w:type="gramEnd"/>
      <w:r w:rsidR="004D7CF4" w:rsidRPr="004D7CF4">
        <w:rPr>
          <w:rFonts w:hAnsi="宋体" w:hint="eastAsia"/>
          <w:color w:val="000000"/>
          <w:sz w:val="28"/>
        </w:rPr>
        <w:t>大道</w:t>
      </w:r>
      <w:r w:rsidR="004D7CF4" w:rsidRPr="004D7CF4">
        <w:rPr>
          <w:rFonts w:hAnsi="宋体" w:hint="eastAsia"/>
          <w:color w:val="000000"/>
          <w:sz w:val="28"/>
        </w:rPr>
        <w:t>8</w:t>
      </w:r>
      <w:r w:rsidR="004D7CF4" w:rsidRPr="004D7CF4">
        <w:rPr>
          <w:rFonts w:hAnsi="宋体" w:hint="eastAsia"/>
          <w:color w:val="000000"/>
          <w:sz w:val="28"/>
        </w:rPr>
        <w:t>号国</w:t>
      </w:r>
      <w:proofErr w:type="gramStart"/>
      <w:r w:rsidR="004D7CF4" w:rsidRPr="004D7CF4">
        <w:rPr>
          <w:rFonts w:hAnsi="宋体" w:hint="eastAsia"/>
          <w:color w:val="000000"/>
          <w:sz w:val="28"/>
        </w:rPr>
        <w:t>金中心</w:t>
      </w:r>
      <w:proofErr w:type="gramEnd"/>
      <w:r w:rsidR="004D7CF4" w:rsidRPr="004D7CF4">
        <w:rPr>
          <w:rFonts w:hAnsi="宋体" w:hint="eastAsia"/>
          <w:color w:val="000000"/>
          <w:sz w:val="28"/>
        </w:rPr>
        <w:t>二期</w:t>
      </w:r>
      <w:r w:rsidR="004D7CF4" w:rsidRPr="004D7CF4">
        <w:rPr>
          <w:rFonts w:hAnsi="宋体" w:hint="eastAsia"/>
          <w:color w:val="000000"/>
          <w:sz w:val="28"/>
        </w:rPr>
        <w:t>21-22</w:t>
      </w:r>
      <w:r w:rsidR="004D7CF4" w:rsidRPr="004D7CF4">
        <w:rPr>
          <w:rFonts w:hAnsi="宋体" w:hint="eastAsia"/>
          <w:color w:val="000000"/>
          <w:sz w:val="28"/>
        </w:rPr>
        <w:t>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4D7CF4">
        <w:rPr>
          <w:rFonts w:hAnsi="宋体" w:hint="eastAsia"/>
          <w:color w:val="000000"/>
          <w:sz w:val="28"/>
        </w:rPr>
        <w:t>于亚利</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w:t>
      </w:r>
      <w:proofErr w:type="gramStart"/>
      <w:r w:rsidRPr="0061142D">
        <w:rPr>
          <w:rFonts w:hAnsi="宋体"/>
          <w:color w:val="000000"/>
          <w:sz w:val="28"/>
        </w:rPr>
        <w:t>监基金字</w:t>
      </w:r>
      <w:proofErr w:type="gramEnd"/>
      <w:r w:rsidRPr="0061142D">
        <w:rPr>
          <w:rStyle w:val="read"/>
          <w:color w:val="000000"/>
          <w:sz w:val="28"/>
        </w:rPr>
        <w:t>[2005]128</w:t>
      </w:r>
      <w:r w:rsidRPr="0061142D">
        <w:rPr>
          <w:rFonts w:hAnsi="宋体"/>
          <w:color w:val="000000"/>
          <w:sz w:val="28"/>
        </w:rPr>
        <w:t>号</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w:t>
      </w:r>
      <w:proofErr w:type="gramStart"/>
      <w:r w:rsidRPr="0061142D">
        <w:rPr>
          <w:rFonts w:hAnsi="宋体"/>
          <w:color w:val="000000"/>
          <w:sz w:val="28"/>
        </w:rPr>
        <w:t>凯</w:t>
      </w:r>
      <w:proofErr w:type="gramEnd"/>
      <w:r w:rsidRPr="0061142D">
        <w:rPr>
          <w:rFonts w:hAnsi="宋体"/>
          <w:color w:val="000000"/>
          <w:sz w:val="28"/>
        </w:rPr>
        <w:t>晨世贸中心东座九层</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4D7CF4">
        <w:rPr>
          <w:rFonts w:hAnsi="宋体" w:hint="eastAsia"/>
          <w:color w:val="000000"/>
          <w:sz w:val="28"/>
        </w:rPr>
        <w:t>周慕冰</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w:t>
      </w:r>
      <w:proofErr w:type="gramStart"/>
      <w:r w:rsidRPr="0061142D">
        <w:rPr>
          <w:rFonts w:hAnsi="宋体"/>
          <w:color w:val="000000"/>
          <w:sz w:val="28"/>
        </w:rPr>
        <w:t>证监基字</w:t>
      </w:r>
      <w:proofErr w:type="gramEnd"/>
      <w:r w:rsidRPr="0061142D">
        <w:rPr>
          <w:color w:val="000000"/>
          <w:sz w:val="28"/>
        </w:rPr>
        <w:t>[1998]23</w:t>
      </w:r>
      <w:r w:rsidRPr="0061142D">
        <w:rPr>
          <w:rFonts w:hAnsi="宋体"/>
          <w:color w:val="000000"/>
          <w:sz w:val="28"/>
        </w:rPr>
        <w:t>号</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Pr="0061142D">
        <w:rPr>
          <w:sz w:val="28"/>
        </w:rPr>
        <w:t>32,</w:t>
      </w:r>
      <w:r w:rsidR="0087516D" w:rsidRPr="0061142D">
        <w:rPr>
          <w:sz w:val="28"/>
        </w:rPr>
        <w:t xml:space="preserve"> </w:t>
      </w:r>
      <w:r w:rsidRPr="0061142D">
        <w:rPr>
          <w:sz w:val="28"/>
        </w:rPr>
        <w:t>479,</w:t>
      </w:r>
      <w:r w:rsidR="0087516D" w:rsidRPr="0061142D">
        <w:rPr>
          <w:sz w:val="28"/>
        </w:rPr>
        <w:t xml:space="preserve"> </w:t>
      </w:r>
      <w:r w:rsidRPr="0061142D">
        <w:rPr>
          <w:sz w:val="28"/>
        </w:rPr>
        <w:t>411.7</w:t>
      </w:r>
      <w:r w:rsidRPr="0061142D">
        <w:rPr>
          <w:rFonts w:hAnsi="宋体"/>
          <w:sz w:val="28"/>
        </w:rPr>
        <w:t>万</w:t>
      </w:r>
      <w:r w:rsidRPr="0061142D">
        <w:rPr>
          <w:rFonts w:hAnsi="宋体"/>
          <w:color w:val="000000"/>
          <w:sz w:val="28"/>
        </w:rPr>
        <w:t>元人民币</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w:t>
      </w:r>
      <w:r w:rsidR="00B13C8A" w:rsidRPr="00B13C8A">
        <w:rPr>
          <w:rFonts w:hAnsi="宋体" w:hint="eastAsia"/>
          <w:color w:val="000000"/>
          <w:sz w:val="28"/>
        </w:rPr>
        <w:lastRenderedPageBreak/>
        <w:t>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rsidR="009C2EF9" w:rsidRPr="0061142D" w:rsidRDefault="009C2EF9">
      <w:pPr>
        <w:tabs>
          <w:tab w:val="left" w:pos="540"/>
        </w:tabs>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（四）解释</w:t>
      </w:r>
    </w:p>
    <w:p w:rsidR="009C2EF9" w:rsidRPr="0061142D" w:rsidRDefault="009C2EF9" w:rsidP="00EE5132">
      <w:pPr>
        <w:pStyle w:val="af1"/>
        <w:adjustRightInd w:val="0"/>
        <w:snapToGrid w:val="0"/>
        <w:spacing w:after="0" w:line="360" w:lineRule="auto"/>
        <w:ind w:leftChars="0" w:left="0" w:firstLineChars="200" w:firstLine="560"/>
        <w:rPr>
          <w:kern w:val="0"/>
          <w:sz w:val="28"/>
        </w:rPr>
      </w:pPr>
      <w:r w:rsidRPr="0061142D">
        <w:rPr>
          <w:sz w:val="28"/>
        </w:rPr>
        <w:lastRenderedPageBreak/>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rsidR="00EE5132" w:rsidRPr="0061142D" w:rsidRDefault="00EE5132" w:rsidP="00EE5132">
      <w:pPr>
        <w:pStyle w:val="af1"/>
        <w:adjustRightInd w:val="0"/>
        <w:snapToGrid w:val="0"/>
        <w:spacing w:after="0" w:line="360" w:lineRule="auto"/>
        <w:ind w:leftChars="0" w:left="0" w:firstLineChars="200" w:firstLine="560"/>
        <w:rPr>
          <w:sz w:val="28"/>
        </w:rPr>
      </w:pPr>
    </w:p>
    <w:p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本基金的投资范围为：</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、保本周期内的投资范围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在保本周期内，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本基金的基金资产包括稳健资产和风险资产，稳健资产为国内依法发行交易的债券、货币市场工具和定期存款等，其中债券包括国债、金融债、央行票据、地方政府债券、企业债券、公司债券、</w:t>
      </w:r>
      <w:r w:rsidR="00302D6E" w:rsidRPr="0061142D">
        <w:rPr>
          <w:rFonts w:hAnsi="宋体"/>
          <w:sz w:val="28"/>
        </w:rPr>
        <w:t>中期票据、</w:t>
      </w:r>
      <w:r w:rsidRPr="0061142D">
        <w:rPr>
          <w:rFonts w:hAnsi="宋体"/>
          <w:sz w:val="28"/>
        </w:rPr>
        <w:t>短期融资</w:t>
      </w:r>
      <w:proofErr w:type="gramStart"/>
      <w:r w:rsidRPr="0061142D">
        <w:rPr>
          <w:rFonts w:hAnsi="宋体"/>
          <w:sz w:val="28"/>
        </w:rPr>
        <w:t>券</w:t>
      </w:r>
      <w:proofErr w:type="gramEnd"/>
      <w:r w:rsidRPr="0061142D">
        <w:rPr>
          <w:rFonts w:hAnsi="宋体"/>
          <w:sz w:val="28"/>
        </w:rPr>
        <w:t>、可转换公司债</w:t>
      </w:r>
      <w:proofErr w:type="gramStart"/>
      <w:r w:rsidRPr="0061142D">
        <w:rPr>
          <w:rFonts w:hAnsi="宋体"/>
          <w:sz w:val="28"/>
        </w:rPr>
        <w:t>券</w:t>
      </w:r>
      <w:proofErr w:type="gramEnd"/>
      <w:r w:rsidRPr="0061142D">
        <w:rPr>
          <w:rFonts w:hAnsi="宋体"/>
          <w:sz w:val="28"/>
        </w:rPr>
        <w:t>（含分离交易的可转换公司债</w:t>
      </w:r>
      <w:proofErr w:type="gramStart"/>
      <w:r w:rsidRPr="0061142D">
        <w:rPr>
          <w:rFonts w:hAnsi="宋体"/>
          <w:sz w:val="28"/>
        </w:rPr>
        <w:t>券</w:t>
      </w:r>
      <w:proofErr w:type="gramEnd"/>
      <w:r w:rsidRPr="0061142D">
        <w:rPr>
          <w:rFonts w:hAnsi="宋体"/>
          <w:sz w:val="28"/>
        </w:rPr>
        <w:t>）、资产支持证券、债券回购等。风险资产为股票（包括中小板、创业板及其他经中国证监会核准上市的股票）、权证、股指期货等。</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如法律法规或监管机构以后允许基金投资其他品种，基金管理人</w:t>
      </w:r>
      <w:r w:rsidRPr="0061142D">
        <w:rPr>
          <w:rFonts w:hAnsi="宋体"/>
          <w:sz w:val="28"/>
        </w:rPr>
        <w:lastRenderedPageBreak/>
        <w:t>在履行适当程序后，可以将其纳入投资范围。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本基金的配置比例为债券、货币市场工具等稳健资产占基金资产的比例不低于</w:t>
      </w:r>
      <w:r w:rsidRPr="0061142D">
        <w:rPr>
          <w:sz w:val="28"/>
        </w:rPr>
        <w:t>60%</w:t>
      </w:r>
      <w:r w:rsidRPr="0061142D">
        <w:rPr>
          <w:rFonts w:hAnsi="宋体"/>
          <w:sz w:val="28"/>
        </w:rPr>
        <w:t>，其中基金应保留不低于基金资产净值</w:t>
      </w:r>
      <w:r w:rsidRPr="0061142D">
        <w:rPr>
          <w:sz w:val="28"/>
        </w:rPr>
        <w:t>5%</w:t>
      </w:r>
      <w:r w:rsidRPr="0061142D">
        <w:rPr>
          <w:rFonts w:hAnsi="宋体"/>
          <w:sz w:val="28"/>
        </w:rPr>
        <w:t>的现金或到期日在一年以内的政府债券</w:t>
      </w:r>
      <w:r w:rsidR="00280227" w:rsidRPr="00280227">
        <w:rPr>
          <w:rFonts w:hAnsi="宋体" w:hint="eastAsia"/>
          <w:bCs/>
          <w:sz w:val="28"/>
        </w:rPr>
        <w:t>，</w:t>
      </w:r>
      <w:r w:rsidR="00280227" w:rsidRPr="00280227">
        <w:rPr>
          <w:rFonts w:hAnsi="宋体"/>
          <w:bCs/>
          <w:sz w:val="28"/>
        </w:rPr>
        <w:t>现金不包括</w:t>
      </w:r>
      <w:r w:rsidR="00280227" w:rsidRPr="00280227">
        <w:rPr>
          <w:rFonts w:hAnsi="宋体" w:hint="eastAsia"/>
          <w:bCs/>
          <w:sz w:val="28"/>
        </w:rPr>
        <w:t>结算备付金、存出保证金和应收申购款等</w:t>
      </w:r>
      <w:r w:rsidRPr="0061142D">
        <w:rPr>
          <w:rFonts w:hAnsi="宋体"/>
          <w:sz w:val="28"/>
        </w:rPr>
        <w:t>；股票、权证、股指期货等风险资产占基金资产的比例不高于</w:t>
      </w:r>
      <w:r w:rsidRPr="0061142D">
        <w:rPr>
          <w:sz w:val="28"/>
        </w:rPr>
        <w:t>40%</w:t>
      </w:r>
      <w:r w:rsidRPr="0061142D">
        <w:rPr>
          <w:rFonts w:hAnsi="宋体"/>
          <w:sz w:val="28"/>
        </w:rPr>
        <w:t>，其中，基金持有的全部权证的市值不超过基金资产净值的</w:t>
      </w:r>
      <w:r w:rsidRPr="0061142D">
        <w:rPr>
          <w:sz w:val="28"/>
        </w:rPr>
        <w:t>3%</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、变更后的</w:t>
      </w:r>
      <w:r w:rsidRPr="0061142D">
        <w:rPr>
          <w:sz w:val="28"/>
        </w:rPr>
        <w:t>“</w:t>
      </w:r>
      <w:r w:rsidRPr="0061142D">
        <w:rPr>
          <w:rFonts w:hAnsi="宋体"/>
          <w:sz w:val="28"/>
        </w:rPr>
        <w:t>交银施罗德稳固收益债券型证券投资基金</w:t>
      </w:r>
      <w:r w:rsidRPr="0061142D">
        <w:rPr>
          <w:sz w:val="28"/>
        </w:rPr>
        <w:t>”</w:t>
      </w:r>
      <w:r w:rsidRPr="0061142D">
        <w:rPr>
          <w:rFonts w:hAnsi="宋体"/>
          <w:sz w:val="28"/>
        </w:rPr>
        <w:t>的投资范围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本基金变更为</w:t>
      </w:r>
      <w:r w:rsidRPr="0061142D">
        <w:rPr>
          <w:sz w:val="28"/>
        </w:rPr>
        <w:t>“</w:t>
      </w:r>
      <w:r w:rsidRPr="0061142D">
        <w:rPr>
          <w:rFonts w:hAnsi="宋体"/>
          <w:sz w:val="28"/>
        </w:rPr>
        <w:t>交银施罗德稳固收益债券型证券投资基金</w:t>
      </w:r>
      <w:r w:rsidRPr="0061142D">
        <w:rPr>
          <w:sz w:val="28"/>
        </w:rPr>
        <w:t>”</w:t>
      </w:r>
      <w:r w:rsidRPr="0061142D">
        <w:rPr>
          <w:rFonts w:hAnsi="宋体"/>
          <w:sz w:val="28"/>
        </w:rPr>
        <w:t>后，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该基金的配置比例为固定收益类资产占基金资产的比例不低于</w:t>
      </w:r>
      <w:r w:rsidRPr="0061142D">
        <w:rPr>
          <w:sz w:val="28"/>
        </w:rPr>
        <w:t>80%</w:t>
      </w:r>
      <w:r w:rsidRPr="0061142D">
        <w:rPr>
          <w:rFonts w:hAnsi="宋体"/>
          <w:sz w:val="28"/>
        </w:rPr>
        <w:t>，固定收益类资产包括国债、金融债、央行票据、地方政府债、企业债券、公司债券、</w:t>
      </w:r>
      <w:r w:rsidR="00302D6E" w:rsidRPr="0061142D">
        <w:rPr>
          <w:rFonts w:hAnsi="宋体"/>
          <w:sz w:val="28"/>
        </w:rPr>
        <w:t>中期票据、</w:t>
      </w:r>
      <w:r w:rsidRPr="0061142D">
        <w:rPr>
          <w:rFonts w:hAnsi="宋体"/>
          <w:sz w:val="28"/>
        </w:rPr>
        <w:t>短期融资</w:t>
      </w:r>
      <w:proofErr w:type="gramStart"/>
      <w:r w:rsidRPr="0061142D">
        <w:rPr>
          <w:rFonts w:hAnsi="宋体"/>
          <w:sz w:val="28"/>
        </w:rPr>
        <w:t>券</w:t>
      </w:r>
      <w:proofErr w:type="gramEnd"/>
      <w:r w:rsidRPr="0061142D">
        <w:rPr>
          <w:rFonts w:hAnsi="宋体"/>
          <w:sz w:val="28"/>
        </w:rPr>
        <w:t>、可转换债券（含分离交易的可转换公司债</w:t>
      </w:r>
      <w:proofErr w:type="gramStart"/>
      <w:r w:rsidRPr="0061142D">
        <w:rPr>
          <w:rFonts w:hAnsi="宋体"/>
          <w:sz w:val="28"/>
        </w:rPr>
        <w:t>券</w:t>
      </w:r>
      <w:proofErr w:type="gramEnd"/>
      <w:r w:rsidRPr="0061142D">
        <w:rPr>
          <w:rFonts w:hAnsi="宋体"/>
          <w:sz w:val="28"/>
        </w:rPr>
        <w:t>）、资产支持证券、次级债、债券回购等金融工具；股票、权证等权益类资产占基金资产的比例不高于</w:t>
      </w:r>
      <w:r w:rsidRPr="0061142D">
        <w:rPr>
          <w:sz w:val="28"/>
        </w:rPr>
        <w:t>20%</w:t>
      </w:r>
      <w:r w:rsidRPr="0061142D">
        <w:rPr>
          <w:rFonts w:hAnsi="宋体"/>
          <w:sz w:val="28"/>
        </w:rPr>
        <w:t>；现金或到期日在一年以内的政府债券的投资比例合计不低于基金资产净值的</w:t>
      </w:r>
      <w:r w:rsidRPr="0061142D">
        <w:rPr>
          <w:sz w:val="28"/>
        </w:rPr>
        <w:t>5%</w:t>
      </w:r>
      <w:r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结算备付金、存出保证金和应收申购款等；</w:t>
      </w:r>
      <w:r w:rsidRPr="0061142D">
        <w:rPr>
          <w:rFonts w:hAnsi="宋体"/>
          <w:sz w:val="28"/>
        </w:rPr>
        <w:t>该基金持有的全部权证，其市值不得超过基金资产净值的</w:t>
      </w:r>
      <w:r w:rsidRPr="0061142D">
        <w:rPr>
          <w:sz w:val="28"/>
        </w:rPr>
        <w:t>3%</w:t>
      </w:r>
      <w:r w:rsidRPr="0061142D">
        <w:rPr>
          <w:rFonts w:hAnsi="宋体"/>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w:t>
      </w:r>
      <w:r w:rsidRPr="0061142D">
        <w:rPr>
          <w:rFonts w:hAnsi="宋体"/>
          <w:color w:val="000000"/>
          <w:sz w:val="28"/>
        </w:rPr>
        <w:lastRenderedPageBreak/>
        <w:t>对基金投资、融资、融券比例进行监督。基金托管人按下述比例和调整期限进行监督：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I</w:t>
      </w:r>
      <w:r w:rsidRPr="0061142D">
        <w:rPr>
          <w:rFonts w:hAnsi="宋体"/>
          <w:color w:val="000000"/>
          <w:sz w:val="28"/>
        </w:rPr>
        <w:t>、保本周期内的投资比例限制：</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、本基金持有一家上市公司的股票，其市值不超过基金资产净值的</w:t>
      </w:r>
      <w:r w:rsidRPr="0061142D">
        <w:rPr>
          <w:color w:val="000000"/>
          <w:sz w:val="28"/>
        </w:rPr>
        <w:t>10%</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、本基金与本基金管理人管理的其他基金持有一家公司发行的证券，其市值不超过该证券的</w:t>
      </w:r>
      <w:r w:rsidRPr="0061142D">
        <w:rPr>
          <w:color w:val="000000"/>
          <w:sz w:val="28"/>
        </w:rPr>
        <w:t>10%</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、进入全国银行间同业市场进行债券回购的资金余额不超过基金资产净值的</w:t>
      </w:r>
      <w:r w:rsidRPr="0061142D">
        <w:rPr>
          <w:color w:val="000000"/>
          <w:sz w:val="28"/>
        </w:rPr>
        <w:t>40%</w:t>
      </w:r>
      <w:r w:rsidRPr="0061142D">
        <w:rPr>
          <w:rFonts w:hAnsi="宋体"/>
          <w:color w:val="000000"/>
          <w:sz w:val="28"/>
        </w:rPr>
        <w:t>，债券回购最长期限为</w:t>
      </w:r>
      <w:r w:rsidRPr="0061142D">
        <w:rPr>
          <w:color w:val="000000"/>
          <w:sz w:val="28"/>
        </w:rPr>
        <w:t>1</w:t>
      </w:r>
      <w:r w:rsidRPr="0061142D">
        <w:rPr>
          <w:rFonts w:hAnsi="宋体"/>
          <w:color w:val="000000"/>
          <w:sz w:val="28"/>
        </w:rPr>
        <w:t>年，债券回购到期后不得展期</w:t>
      </w:r>
      <w:r w:rsidRPr="0061142D">
        <w:rPr>
          <w:color w:val="000000"/>
          <w:kern w:val="0"/>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、本基金参与股票发行申购，本基金所申报的金额不超过本基金的总资产，本基金所申报的股票数量不超过拟发行股票公司本次发行股票的总量；</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、本基金在任何交易日买入权证的总金额，不得超过上一交易日基金资产净值的</w:t>
      </w:r>
      <w:r w:rsidRPr="0061142D">
        <w:rPr>
          <w:color w:val="000000"/>
          <w:sz w:val="28"/>
        </w:rPr>
        <w:t>5‰</w:t>
      </w:r>
      <w:r w:rsidRPr="0061142D">
        <w:rPr>
          <w:rFonts w:hAnsi="宋体"/>
          <w:color w:val="000000"/>
          <w:sz w:val="28"/>
        </w:rPr>
        <w:t>；本基金持有的全部权证，其市值不得超过基金资产净值的</w:t>
      </w:r>
      <w:r w:rsidRPr="0061142D">
        <w:rPr>
          <w:color w:val="000000"/>
          <w:sz w:val="28"/>
        </w:rPr>
        <w:t>3</w:t>
      </w:r>
      <w:r w:rsidR="00B138D3" w:rsidRPr="0061142D">
        <w:rPr>
          <w:color w:val="000000"/>
          <w:sz w:val="28"/>
        </w:rPr>
        <w:t>%</w:t>
      </w:r>
      <w:r w:rsidRPr="0061142D">
        <w:rPr>
          <w:rFonts w:hAnsi="宋体"/>
          <w:color w:val="000000"/>
          <w:sz w:val="28"/>
        </w:rPr>
        <w:t>；本基金与本基金管理人管理的其他基金持有的同一权证，不得超过该权证的</w:t>
      </w:r>
      <w:r w:rsidRPr="0061142D">
        <w:rPr>
          <w:color w:val="000000"/>
          <w:sz w:val="28"/>
        </w:rPr>
        <w:t>10</w:t>
      </w:r>
      <w:r w:rsidR="00B138D3" w:rsidRPr="0061142D">
        <w:rPr>
          <w:color w:val="000000"/>
          <w:sz w:val="28"/>
        </w:rPr>
        <w:t>%</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sz w:val="28"/>
        </w:rPr>
      </w:pPr>
      <w:r w:rsidRPr="0061142D">
        <w:rPr>
          <w:color w:val="000000"/>
          <w:sz w:val="28"/>
        </w:rPr>
        <w:t>6</w:t>
      </w:r>
      <w:r w:rsidRPr="0061142D">
        <w:rPr>
          <w:rFonts w:hAnsi="宋体"/>
          <w:color w:val="000000"/>
          <w:sz w:val="28"/>
        </w:rPr>
        <w:t>、</w:t>
      </w:r>
      <w:r w:rsidRPr="0061142D">
        <w:rPr>
          <w:rFonts w:hAnsi="宋体"/>
          <w:sz w:val="28"/>
        </w:rPr>
        <w:t>本基金持有的同一（指同一信用级别）资产支持证券的比例，不得超过该资产支持证券规模的</w:t>
      </w:r>
      <w:r w:rsidRPr="0061142D">
        <w:rPr>
          <w:sz w:val="28"/>
        </w:rPr>
        <w:t>10%</w:t>
      </w:r>
      <w:r w:rsidRPr="0061142D">
        <w:rPr>
          <w:rFonts w:hAnsi="宋体"/>
          <w:sz w:val="28"/>
        </w:rPr>
        <w:t>；本基金投资于同一原始权益人的各类资产支持证券的比例，不得超过本基金资产净值的</w:t>
      </w:r>
      <w:r w:rsidRPr="0061142D">
        <w:rPr>
          <w:sz w:val="28"/>
        </w:rPr>
        <w:t>10%</w:t>
      </w:r>
      <w:r w:rsidRPr="0061142D">
        <w:rPr>
          <w:rFonts w:hAnsi="宋体"/>
          <w:sz w:val="28"/>
        </w:rPr>
        <w:t>；本基金管理人管理的全部证券投资基金投资于同一原始权益人的各类资产支持证券，不得超过其各类资产支持证券合计规模的</w:t>
      </w:r>
      <w:r w:rsidRPr="0061142D">
        <w:rPr>
          <w:sz w:val="28"/>
        </w:rPr>
        <w:t>10%</w:t>
      </w:r>
      <w:r w:rsidRPr="0061142D">
        <w:rPr>
          <w:rFonts w:hAnsi="宋体"/>
          <w:sz w:val="28"/>
        </w:rPr>
        <w:t>；本基金持有的全部资产支持证券，其市值不得超过本基金资产净值的</w:t>
      </w:r>
      <w:r w:rsidRPr="0061142D">
        <w:rPr>
          <w:sz w:val="28"/>
        </w:rPr>
        <w:t>20%</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7</w:t>
      </w:r>
      <w:r w:rsidRPr="0061142D">
        <w:rPr>
          <w:rFonts w:hAnsi="宋体"/>
          <w:sz w:val="28"/>
        </w:rPr>
        <w:t>、保持不低于基金资产净值</w:t>
      </w:r>
      <w:r w:rsidRPr="0061142D">
        <w:rPr>
          <w:sz w:val="28"/>
        </w:rPr>
        <w:t>5%</w:t>
      </w:r>
      <w:r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Pr="0061142D">
        <w:rPr>
          <w:rFonts w:hAnsi="宋体"/>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8</w:t>
      </w:r>
      <w:r w:rsidRPr="0061142D">
        <w:rPr>
          <w:rFonts w:hAnsi="宋体"/>
          <w:color w:val="000000"/>
          <w:sz w:val="28"/>
        </w:rPr>
        <w:t>、本基金不得违反基金合同中有关投资范围、投资策略、投资比例的规定；</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w:t>
      </w:r>
      <w:r w:rsidRPr="0061142D">
        <w:rPr>
          <w:rFonts w:hAnsi="宋体"/>
          <w:sz w:val="28"/>
        </w:rPr>
        <w:t>本基金应投资于信用级别评级为</w:t>
      </w:r>
      <w:r w:rsidRPr="0061142D">
        <w:rPr>
          <w:sz w:val="28"/>
        </w:rPr>
        <w:t>BBB</w:t>
      </w:r>
      <w:r w:rsidRPr="0061142D">
        <w:rPr>
          <w:rFonts w:hAnsi="宋体"/>
          <w:sz w:val="28"/>
        </w:rPr>
        <w:t>以上</w:t>
      </w:r>
      <w:r w:rsidRPr="0061142D">
        <w:rPr>
          <w:sz w:val="28"/>
        </w:rPr>
        <w:t>(</w:t>
      </w:r>
      <w:r w:rsidRPr="0061142D">
        <w:rPr>
          <w:rFonts w:hAnsi="宋体"/>
          <w:sz w:val="28"/>
        </w:rPr>
        <w:t>含</w:t>
      </w:r>
      <w:r w:rsidRPr="0061142D">
        <w:rPr>
          <w:sz w:val="28"/>
        </w:rPr>
        <w:t>BBB)</w:t>
      </w:r>
      <w:r w:rsidRPr="0061142D">
        <w:rPr>
          <w:rFonts w:hAnsi="宋体"/>
          <w:sz w:val="28"/>
        </w:rPr>
        <w:t>的资产支持证券。基金持有资产支持证券期间，如果其信用等级下降、不再符合投资标准，应在评级报告发布之日起</w:t>
      </w:r>
      <w:r w:rsidRPr="0061142D">
        <w:rPr>
          <w:sz w:val="28"/>
        </w:rPr>
        <w:t>3</w:t>
      </w:r>
      <w:r w:rsidRPr="0061142D">
        <w:rPr>
          <w:rFonts w:hAnsi="宋体"/>
          <w:sz w:val="28"/>
        </w:rPr>
        <w:t>个月内予以全部卖出；</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10</w:t>
      </w:r>
      <w:r w:rsidRPr="0061142D">
        <w:rPr>
          <w:rFonts w:hAnsi="宋体"/>
          <w:color w:val="000000"/>
          <w:sz w:val="28"/>
        </w:rPr>
        <w:t>、本基金参与股指期货交易应当符合基金合同约定的保本策略和投资目标；本基金在每个交易</w:t>
      </w:r>
      <w:proofErr w:type="gramStart"/>
      <w:r w:rsidRPr="0061142D">
        <w:rPr>
          <w:rFonts w:hAnsi="宋体"/>
          <w:color w:val="000000"/>
          <w:sz w:val="28"/>
        </w:rPr>
        <w:t>日日终所持有</w:t>
      </w:r>
      <w:proofErr w:type="gramEnd"/>
      <w:r w:rsidRPr="0061142D">
        <w:rPr>
          <w:rFonts w:hAnsi="宋体"/>
          <w:color w:val="000000"/>
          <w:sz w:val="28"/>
        </w:rPr>
        <w:t>的股票、权证市值和买入、卖出股指期货合约价值，合计（轧差计算）不超过基金资产的</w:t>
      </w:r>
      <w:r w:rsidRPr="0061142D">
        <w:rPr>
          <w:color w:val="000000"/>
          <w:sz w:val="28"/>
        </w:rPr>
        <w:t>40%</w:t>
      </w:r>
      <w:r w:rsidRPr="0061142D">
        <w:rPr>
          <w:rFonts w:hAnsi="宋体"/>
          <w:color w:val="000000"/>
          <w:sz w:val="28"/>
        </w:rPr>
        <w:t>；本基金每日所持期货合约及有价证券的最大可能损失不得超过基金净资产扣除用于保本部分资产后的余额；</w:t>
      </w:r>
    </w:p>
    <w:p w:rsidR="009C2EF9" w:rsidRDefault="009C2EF9" w:rsidP="00EE5132">
      <w:pPr>
        <w:adjustRightInd w:val="0"/>
        <w:snapToGrid w:val="0"/>
        <w:spacing w:line="360" w:lineRule="auto"/>
        <w:ind w:firstLineChars="200" w:firstLine="560"/>
        <w:rPr>
          <w:rFonts w:hAnsi="宋体"/>
          <w:color w:val="000000"/>
          <w:sz w:val="28"/>
        </w:rPr>
      </w:pPr>
      <w:r w:rsidRPr="0061142D">
        <w:rPr>
          <w:color w:val="000000"/>
          <w:sz w:val="28"/>
        </w:rPr>
        <w:t>11</w:t>
      </w:r>
      <w:r w:rsidRPr="0061142D">
        <w:rPr>
          <w:rFonts w:hAnsi="宋体"/>
          <w:color w:val="000000"/>
          <w:sz w:val="28"/>
        </w:rPr>
        <w:t>、本基金持有的所有流通受限证券，其公允价值不得超过本基金资产净值的</w:t>
      </w:r>
      <w:r w:rsidRPr="0061142D">
        <w:rPr>
          <w:color w:val="000000"/>
          <w:sz w:val="28"/>
        </w:rPr>
        <w:t>15%</w:t>
      </w:r>
      <w:r w:rsidRPr="0061142D">
        <w:rPr>
          <w:rFonts w:hAnsi="宋体"/>
          <w:color w:val="000000"/>
          <w:sz w:val="28"/>
        </w:rPr>
        <w:t>；本基金持有的同</w:t>
      </w:r>
      <w:proofErr w:type="gramStart"/>
      <w:r w:rsidRPr="0061142D">
        <w:rPr>
          <w:rFonts w:hAnsi="宋体"/>
          <w:color w:val="000000"/>
          <w:sz w:val="28"/>
        </w:rPr>
        <w:t>一流通</w:t>
      </w:r>
      <w:proofErr w:type="gramEnd"/>
      <w:r w:rsidRPr="0061142D">
        <w:rPr>
          <w:rFonts w:hAnsi="宋体"/>
          <w:color w:val="000000"/>
          <w:sz w:val="28"/>
        </w:rPr>
        <w:t>受限证券，其公允价值不得超过本基金资产净值的</w:t>
      </w:r>
      <w:r w:rsidRPr="0061142D">
        <w:rPr>
          <w:color w:val="000000"/>
          <w:sz w:val="28"/>
        </w:rPr>
        <w:t>2%</w:t>
      </w:r>
      <w:r w:rsidRPr="0061142D">
        <w:rPr>
          <w:rFonts w:hAnsi="宋体"/>
          <w:color w:val="000000"/>
          <w:sz w:val="28"/>
        </w:rPr>
        <w:t>；</w:t>
      </w:r>
    </w:p>
    <w:p w:rsidR="00280227" w:rsidRPr="00280227" w:rsidRDefault="00280227" w:rsidP="00280227">
      <w:pPr>
        <w:adjustRightInd w:val="0"/>
        <w:snapToGrid w:val="0"/>
        <w:spacing w:line="360" w:lineRule="auto"/>
        <w:ind w:firstLineChars="200" w:firstLine="560"/>
        <w:rPr>
          <w:color w:val="000000"/>
          <w:sz w:val="28"/>
        </w:rPr>
      </w:pPr>
      <w:r>
        <w:rPr>
          <w:rFonts w:hint="eastAsia"/>
          <w:color w:val="000000"/>
          <w:sz w:val="28"/>
        </w:rPr>
        <w:t>1</w:t>
      </w:r>
      <w:r>
        <w:rPr>
          <w:color w:val="000000"/>
          <w:sz w:val="28"/>
        </w:rPr>
        <w:t>2</w:t>
      </w:r>
      <w:r>
        <w:rPr>
          <w:rFonts w:hint="eastAsia"/>
          <w:color w:val="000000"/>
          <w:sz w:val="28"/>
        </w:rPr>
        <w:t>、</w:t>
      </w:r>
      <w:r w:rsidRPr="00280227">
        <w:rPr>
          <w:rFonts w:hint="eastAsia"/>
          <w:color w:val="000000"/>
          <w:sz w:val="28"/>
        </w:rPr>
        <w:t>本基金管理人管理的</w:t>
      </w:r>
      <w:r w:rsidR="004D7CF4">
        <w:rPr>
          <w:rFonts w:hint="eastAsia"/>
          <w:color w:val="000000"/>
          <w:sz w:val="28"/>
        </w:rPr>
        <w:t>且由</w:t>
      </w:r>
      <w:r w:rsidR="004D7CF4">
        <w:rPr>
          <w:color w:val="000000"/>
          <w:sz w:val="28"/>
        </w:rPr>
        <w:t>本基金托管人托管的</w:t>
      </w:r>
      <w:r w:rsidRPr="00280227">
        <w:rPr>
          <w:rFonts w:hint="eastAsia"/>
          <w:color w:val="000000"/>
          <w:sz w:val="28"/>
        </w:rPr>
        <w:t>全部开放式基金（包括开放式基金以及处于开放期的定期开放基金）持有一家上市公司发行的可流通股票，不得超过该上市公司可流通股票的</w:t>
      </w:r>
      <w:r w:rsidRPr="00280227">
        <w:rPr>
          <w:rFonts w:hint="eastAsia"/>
          <w:color w:val="000000"/>
          <w:sz w:val="28"/>
        </w:rPr>
        <w:t>15%</w:t>
      </w:r>
      <w:r w:rsidRPr="00280227">
        <w:rPr>
          <w:rFonts w:hint="eastAsia"/>
          <w:color w:val="000000"/>
          <w:sz w:val="28"/>
        </w:rPr>
        <w:t>；本基金管理人管理的</w:t>
      </w:r>
      <w:r w:rsidR="004D7CF4">
        <w:rPr>
          <w:rFonts w:hint="eastAsia"/>
          <w:color w:val="000000"/>
          <w:sz w:val="28"/>
        </w:rPr>
        <w:t>且由</w:t>
      </w:r>
      <w:r w:rsidR="004D7CF4">
        <w:rPr>
          <w:color w:val="000000"/>
          <w:sz w:val="28"/>
        </w:rPr>
        <w:t>本基金托管人托管的</w:t>
      </w:r>
      <w:r w:rsidRPr="00280227">
        <w:rPr>
          <w:rFonts w:hint="eastAsia"/>
          <w:color w:val="000000"/>
          <w:sz w:val="28"/>
        </w:rPr>
        <w:t>全部投资组合持有一家上市公司发行的可流通股票，不得超过该上市公司可流通股票的</w:t>
      </w:r>
      <w:r w:rsidRPr="00280227">
        <w:rPr>
          <w:rFonts w:hint="eastAsia"/>
          <w:color w:val="000000"/>
          <w:sz w:val="28"/>
        </w:rPr>
        <w:t>30%</w:t>
      </w:r>
      <w:r w:rsidRPr="00280227">
        <w:rPr>
          <w:rFonts w:hint="eastAsia"/>
          <w:color w:val="000000"/>
          <w:sz w:val="28"/>
        </w:rPr>
        <w:t>；</w:t>
      </w:r>
    </w:p>
    <w:p w:rsidR="00280227" w:rsidRPr="00280227" w:rsidRDefault="00280227" w:rsidP="00280227">
      <w:pPr>
        <w:adjustRightInd w:val="0"/>
        <w:snapToGrid w:val="0"/>
        <w:spacing w:line="360" w:lineRule="auto"/>
        <w:ind w:firstLineChars="200" w:firstLine="560"/>
        <w:rPr>
          <w:color w:val="000000"/>
          <w:sz w:val="28"/>
        </w:rPr>
      </w:pPr>
      <w:r>
        <w:rPr>
          <w:color w:val="000000"/>
          <w:sz w:val="28"/>
        </w:rPr>
        <w:t>13</w:t>
      </w:r>
      <w:r>
        <w:rPr>
          <w:rFonts w:hint="eastAsia"/>
          <w:color w:val="000000"/>
          <w:sz w:val="28"/>
        </w:rPr>
        <w:t>、</w:t>
      </w:r>
      <w:r w:rsidRPr="00280227">
        <w:rPr>
          <w:rFonts w:hint="eastAsia"/>
          <w:color w:val="000000"/>
          <w:sz w:val="28"/>
        </w:rPr>
        <w:t>本基金主动投资于流动性受限资产的市值合计不得超过基金资产净值的</w:t>
      </w:r>
      <w:r w:rsidRPr="00280227">
        <w:rPr>
          <w:rFonts w:hint="eastAsia"/>
          <w:color w:val="000000"/>
          <w:sz w:val="28"/>
        </w:rPr>
        <w:t>15%</w:t>
      </w:r>
      <w:r w:rsidRPr="00280227">
        <w:rPr>
          <w:rFonts w:hint="eastAsia"/>
          <w:color w:val="000000"/>
          <w:sz w:val="28"/>
        </w:rPr>
        <w:t>；因证券市场波动、上市公司股票停牌、基金规模变动等基金管理人之外的因素致使基金不符合该比例限制的，基金管理人不得主动新增流动性受限资产的投资；</w:t>
      </w:r>
    </w:p>
    <w:p w:rsidR="00280227" w:rsidRPr="0061142D" w:rsidRDefault="00280227" w:rsidP="00280227">
      <w:pPr>
        <w:adjustRightInd w:val="0"/>
        <w:snapToGrid w:val="0"/>
        <w:spacing w:line="360" w:lineRule="auto"/>
        <w:ind w:firstLineChars="200" w:firstLine="560"/>
        <w:rPr>
          <w:color w:val="000000"/>
          <w:sz w:val="28"/>
        </w:rPr>
      </w:pPr>
      <w:r>
        <w:rPr>
          <w:rFonts w:hint="eastAsia"/>
          <w:color w:val="000000"/>
          <w:sz w:val="28"/>
        </w:rPr>
        <w:t>1</w:t>
      </w:r>
      <w:r>
        <w:rPr>
          <w:color w:val="000000"/>
          <w:sz w:val="28"/>
        </w:rPr>
        <w:t>4</w:t>
      </w:r>
      <w:r>
        <w:rPr>
          <w:rFonts w:hint="eastAsia"/>
          <w:color w:val="000000"/>
          <w:sz w:val="28"/>
        </w:rPr>
        <w:t>、</w:t>
      </w:r>
      <w:r w:rsidRPr="00280227">
        <w:rPr>
          <w:rFonts w:hint="eastAsia"/>
          <w:color w:val="000000"/>
          <w:sz w:val="28"/>
        </w:rPr>
        <w:t>本基金与私募类</w:t>
      </w:r>
      <w:proofErr w:type="gramStart"/>
      <w:r w:rsidRPr="00280227">
        <w:rPr>
          <w:rFonts w:hint="eastAsia"/>
          <w:color w:val="000000"/>
          <w:sz w:val="28"/>
        </w:rPr>
        <w:t>证券资管产品</w:t>
      </w:r>
      <w:proofErr w:type="gramEnd"/>
      <w:r w:rsidRPr="00280227">
        <w:rPr>
          <w:rFonts w:hint="eastAsia"/>
          <w:color w:val="000000"/>
          <w:sz w:val="28"/>
        </w:rPr>
        <w:t>及中国证监会认定的其他主体为交易对手开展逆回购交易的，可接受质押品的资质要求应当与基金合同约定的投资范围保持一致；</w:t>
      </w:r>
    </w:p>
    <w:p w:rsidR="009C2EF9" w:rsidRPr="0061142D" w:rsidRDefault="00280227" w:rsidP="00EE5132">
      <w:pPr>
        <w:adjustRightInd w:val="0"/>
        <w:snapToGrid w:val="0"/>
        <w:spacing w:line="360" w:lineRule="auto"/>
        <w:ind w:firstLineChars="200" w:firstLine="560"/>
        <w:rPr>
          <w:color w:val="000000"/>
          <w:sz w:val="28"/>
        </w:rPr>
      </w:pPr>
      <w:r w:rsidRPr="0061142D">
        <w:rPr>
          <w:color w:val="000000"/>
          <w:sz w:val="28"/>
        </w:rPr>
        <w:lastRenderedPageBreak/>
        <w:t>1</w:t>
      </w:r>
      <w:r>
        <w:rPr>
          <w:color w:val="000000"/>
          <w:sz w:val="28"/>
        </w:rPr>
        <w:t>5</w:t>
      </w:r>
      <w:r w:rsidR="009C2EF9" w:rsidRPr="0061142D">
        <w:rPr>
          <w:rFonts w:hAnsi="宋体"/>
          <w:color w:val="000000"/>
          <w:sz w:val="28"/>
        </w:rPr>
        <w:t>、</w:t>
      </w:r>
      <w:r w:rsidR="009C2EF9" w:rsidRPr="0061142D">
        <w:rPr>
          <w:rFonts w:hAnsi="宋体"/>
          <w:kern w:val="0"/>
          <w:sz w:val="28"/>
        </w:rPr>
        <w:t>法律法规或监管部门对上述比例限制另有规定的，从其规定。</w:t>
      </w:r>
    </w:p>
    <w:p w:rsidR="009C2EF9" w:rsidRPr="0061142D" w:rsidRDefault="00280227" w:rsidP="00EE5132">
      <w:pPr>
        <w:adjustRightInd w:val="0"/>
        <w:snapToGrid w:val="0"/>
        <w:spacing w:line="360" w:lineRule="auto"/>
        <w:ind w:firstLineChars="200" w:firstLine="560"/>
        <w:rPr>
          <w:color w:val="000000"/>
          <w:sz w:val="28"/>
        </w:rPr>
      </w:pPr>
      <w:r w:rsidRPr="00280227">
        <w:rPr>
          <w:rFonts w:hAnsi="宋体" w:hint="eastAsia"/>
          <w:bCs/>
          <w:color w:val="000000"/>
          <w:sz w:val="28"/>
        </w:rPr>
        <w:t>除上述第</w:t>
      </w:r>
      <w:r>
        <w:rPr>
          <w:rFonts w:hAnsi="宋体" w:hint="eastAsia"/>
          <w:bCs/>
          <w:color w:val="000000"/>
          <w:sz w:val="28"/>
        </w:rPr>
        <w:t>7</w:t>
      </w:r>
      <w:r w:rsidRPr="00280227">
        <w:rPr>
          <w:rFonts w:hAnsi="宋体" w:hint="eastAsia"/>
          <w:bCs/>
          <w:color w:val="000000"/>
          <w:sz w:val="28"/>
        </w:rPr>
        <w:t>、</w:t>
      </w:r>
      <w:r>
        <w:rPr>
          <w:rFonts w:hAnsi="宋体" w:hint="eastAsia"/>
          <w:bCs/>
          <w:color w:val="000000"/>
          <w:sz w:val="28"/>
        </w:rPr>
        <w:t>9</w:t>
      </w:r>
      <w:r w:rsidRPr="00280227">
        <w:rPr>
          <w:rFonts w:hAnsi="宋体" w:hint="eastAsia"/>
          <w:bCs/>
          <w:color w:val="000000"/>
          <w:sz w:val="28"/>
        </w:rPr>
        <w:t>、</w:t>
      </w:r>
      <w:r>
        <w:rPr>
          <w:rFonts w:hAnsi="宋体" w:hint="eastAsia"/>
          <w:bCs/>
          <w:color w:val="000000"/>
          <w:sz w:val="28"/>
        </w:rPr>
        <w:t>1</w:t>
      </w:r>
      <w:r>
        <w:rPr>
          <w:rFonts w:hAnsi="宋体"/>
          <w:bCs/>
          <w:color w:val="000000"/>
          <w:sz w:val="28"/>
        </w:rPr>
        <w:t>3</w:t>
      </w:r>
      <w:r w:rsidRPr="00280227">
        <w:rPr>
          <w:rFonts w:hAnsi="宋体" w:hint="eastAsia"/>
          <w:bCs/>
          <w:color w:val="000000"/>
          <w:sz w:val="28"/>
        </w:rPr>
        <w:t>、</w:t>
      </w:r>
      <w:r>
        <w:rPr>
          <w:rFonts w:hAnsi="宋体" w:hint="eastAsia"/>
          <w:bCs/>
          <w:color w:val="000000"/>
          <w:sz w:val="28"/>
        </w:rPr>
        <w:t>1</w:t>
      </w:r>
      <w:r>
        <w:rPr>
          <w:rFonts w:hAnsi="宋体"/>
          <w:bCs/>
          <w:color w:val="000000"/>
          <w:sz w:val="28"/>
        </w:rPr>
        <w:t>4</w:t>
      </w:r>
      <w:r>
        <w:rPr>
          <w:rFonts w:hAnsi="宋体" w:hint="eastAsia"/>
          <w:bCs/>
          <w:color w:val="000000"/>
          <w:sz w:val="28"/>
        </w:rPr>
        <w:t>项</w:t>
      </w:r>
      <w:r w:rsidRPr="00280227">
        <w:rPr>
          <w:rFonts w:hAnsi="宋体" w:hint="eastAsia"/>
          <w:bCs/>
          <w:color w:val="000000"/>
          <w:sz w:val="28"/>
        </w:rPr>
        <w:t>外，</w:t>
      </w:r>
      <w:r w:rsidR="009C2EF9" w:rsidRPr="0061142D">
        <w:rPr>
          <w:rFonts w:hAnsi="宋体"/>
          <w:color w:val="000000"/>
          <w:sz w:val="28"/>
        </w:rPr>
        <w:t>因证券、期货市场波动、上市公司合并、基金规模变动等基金管理人之外的因素致使基金投资比例不符合上述规定的投资比例的，基金管理人应当在</w:t>
      </w:r>
      <w:r w:rsidR="009C2EF9" w:rsidRPr="0061142D">
        <w:rPr>
          <w:color w:val="000000"/>
          <w:sz w:val="28"/>
        </w:rPr>
        <w:t>10</w:t>
      </w:r>
      <w:r w:rsidR="009C2EF9" w:rsidRPr="0061142D">
        <w:rPr>
          <w:rFonts w:hAnsi="宋体"/>
          <w:color w:val="000000"/>
          <w:sz w:val="28"/>
        </w:rPr>
        <w:t>个交易日内进行调整，法律法规另有规定的从其规定。</w:t>
      </w:r>
    </w:p>
    <w:bookmarkEnd w:id="6"/>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基金管理人应当自基金合同生效之日起</w:t>
      </w:r>
      <w:r w:rsidRPr="0061142D">
        <w:rPr>
          <w:color w:val="000000"/>
          <w:sz w:val="28"/>
        </w:rPr>
        <w:t>6</w:t>
      </w:r>
      <w:r w:rsidRPr="0061142D">
        <w:rPr>
          <w:rFonts w:hAnsi="宋体"/>
          <w:color w:val="000000"/>
          <w:sz w:val="28"/>
        </w:rPr>
        <w:t>个月内使基金的投资组合比例符合基金合同的有关约定。</w:t>
      </w:r>
      <w:r w:rsidRPr="0061142D">
        <w:rPr>
          <w:rFonts w:hAnsi="宋体"/>
          <w:color w:val="000000"/>
          <w:kern w:val="0"/>
          <w:sz w:val="28"/>
        </w:rPr>
        <w:t>法律法规或监管部门另有规定的，从其规定。</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如果法律法规或监管部门对上述投资组合比例限制进行变更的，以变更后的规定为准；当法律法规或监管部门取消上述限制，如适用于本基金，基金管理人在履行适当程序后，本基金投资可不受上述规定限制。</w:t>
      </w:r>
    </w:p>
    <w:p w:rsidR="009C2EF9" w:rsidRPr="0061142D" w:rsidRDefault="009C2EF9" w:rsidP="00EE5132">
      <w:pPr>
        <w:adjustRightInd w:val="0"/>
        <w:snapToGrid w:val="0"/>
        <w:spacing w:line="360" w:lineRule="auto"/>
        <w:ind w:firstLineChars="200" w:firstLine="560"/>
        <w:rPr>
          <w:sz w:val="28"/>
        </w:rPr>
      </w:pPr>
      <w:r w:rsidRPr="0061142D">
        <w:rPr>
          <w:sz w:val="28"/>
        </w:rPr>
        <w:t>II</w:t>
      </w:r>
      <w:r w:rsidRPr="0061142D">
        <w:rPr>
          <w:rFonts w:hAnsi="宋体"/>
          <w:sz w:val="28"/>
        </w:rPr>
        <w:t>、变更后的</w:t>
      </w:r>
      <w:r w:rsidRPr="0061142D">
        <w:rPr>
          <w:sz w:val="28"/>
        </w:rPr>
        <w:t>“</w:t>
      </w:r>
      <w:r w:rsidRPr="0061142D">
        <w:rPr>
          <w:rFonts w:hAnsi="宋体"/>
          <w:sz w:val="28"/>
        </w:rPr>
        <w:t>交银施罗德稳固收益债券型证券投资基金</w:t>
      </w:r>
      <w:r w:rsidRPr="0061142D">
        <w:rPr>
          <w:sz w:val="28"/>
        </w:rPr>
        <w:t>”</w:t>
      </w:r>
      <w:r w:rsidRPr="0061142D">
        <w:rPr>
          <w:rFonts w:hAnsi="宋体"/>
          <w:sz w:val="28"/>
        </w:rPr>
        <w:t>（以下简称</w:t>
      </w:r>
      <w:r w:rsidRPr="0061142D">
        <w:rPr>
          <w:sz w:val="28"/>
        </w:rPr>
        <w:t>“</w:t>
      </w:r>
      <w:r w:rsidRPr="0061142D">
        <w:rPr>
          <w:rFonts w:hAnsi="宋体"/>
          <w:sz w:val="28"/>
        </w:rPr>
        <w:t>该基金</w:t>
      </w:r>
      <w:r w:rsidRPr="0061142D">
        <w:rPr>
          <w:sz w:val="28"/>
        </w:rPr>
        <w:t>”</w:t>
      </w:r>
      <w:r w:rsidRPr="0061142D">
        <w:rPr>
          <w:rFonts w:hAnsi="宋体"/>
          <w:sz w:val="28"/>
        </w:rPr>
        <w:t>或</w:t>
      </w:r>
      <w:r w:rsidRPr="0061142D">
        <w:rPr>
          <w:sz w:val="28"/>
        </w:rPr>
        <w:t>“</w:t>
      </w:r>
      <w:r w:rsidRPr="0061142D">
        <w:rPr>
          <w:rFonts w:hAnsi="宋体"/>
          <w:sz w:val="28"/>
        </w:rPr>
        <w:t>该债券型基金</w:t>
      </w:r>
      <w:r w:rsidRPr="0061142D">
        <w:rPr>
          <w:sz w:val="28"/>
        </w:rPr>
        <w:t>”</w:t>
      </w:r>
      <w:r w:rsidRPr="0061142D">
        <w:rPr>
          <w:rFonts w:hAnsi="宋体"/>
          <w:sz w:val="28"/>
        </w:rPr>
        <w:t>）的投资比例限制</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、该基金持有一家上市公司的股票，其市值不超过基金资产净值的</w:t>
      </w:r>
      <w:r w:rsidRPr="0061142D">
        <w:rPr>
          <w:sz w:val="28"/>
        </w:rPr>
        <w:t>10</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w:t>
      </w:r>
      <w:r w:rsidR="00C91C80" w:rsidRPr="0061142D">
        <w:rPr>
          <w:rFonts w:hAnsi="宋体"/>
          <w:sz w:val="28"/>
        </w:rPr>
        <w:t>该</w:t>
      </w:r>
      <w:r w:rsidRPr="0061142D">
        <w:rPr>
          <w:rFonts w:hAnsi="宋体"/>
          <w:sz w:val="28"/>
        </w:rPr>
        <w:t>基金管理人管理的全部基金持有一家公司发行的证券，不超过该证券的</w:t>
      </w:r>
      <w:r w:rsidRPr="0061142D">
        <w:rPr>
          <w:sz w:val="28"/>
        </w:rPr>
        <w:t>10</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、该基金进入全国银行间同业市场进行债券回购的资金余额不得超过基金资产净值的</w:t>
      </w:r>
      <w:r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Pr="0061142D">
        <w:rPr>
          <w:rFonts w:hAnsi="宋体"/>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sz w:val="28"/>
        </w:rPr>
        <w:t>4</w:t>
      </w:r>
      <w:r w:rsidRPr="0061142D">
        <w:rPr>
          <w:rFonts w:hAnsi="宋体"/>
          <w:sz w:val="28"/>
        </w:rPr>
        <w:t>、</w:t>
      </w:r>
      <w:r w:rsidRPr="0061142D">
        <w:rPr>
          <w:rFonts w:hAnsi="宋体"/>
          <w:color w:val="000000"/>
          <w:sz w:val="28"/>
        </w:rPr>
        <w:t>该基金参与股票发行申购，该基金所申报的金额不超过本基金的总资产，该基金所申报的股票数量不超过拟发行股票公司本次发行股票的总量；</w:t>
      </w:r>
    </w:p>
    <w:p w:rsidR="009C2EF9" w:rsidRPr="0061142D" w:rsidRDefault="009C2EF9" w:rsidP="00EE5132">
      <w:pPr>
        <w:adjustRightInd w:val="0"/>
        <w:snapToGrid w:val="0"/>
        <w:spacing w:line="360" w:lineRule="auto"/>
        <w:ind w:firstLineChars="200" w:firstLine="560"/>
        <w:rPr>
          <w:sz w:val="28"/>
        </w:rPr>
      </w:pPr>
      <w:r w:rsidRPr="0061142D">
        <w:rPr>
          <w:color w:val="000000"/>
          <w:sz w:val="28"/>
        </w:rPr>
        <w:lastRenderedPageBreak/>
        <w:t>5</w:t>
      </w:r>
      <w:r w:rsidRPr="0061142D">
        <w:rPr>
          <w:rFonts w:hAnsi="宋体"/>
          <w:color w:val="000000"/>
          <w:sz w:val="28"/>
        </w:rPr>
        <w:t>、该基金在任何交易日买入权证的总金额，不得超过上一交易日基金资产净值的</w:t>
      </w:r>
      <w:r w:rsidRPr="0061142D">
        <w:rPr>
          <w:color w:val="000000"/>
          <w:sz w:val="28"/>
        </w:rPr>
        <w:t>5‰</w:t>
      </w:r>
      <w:r w:rsidRPr="0061142D">
        <w:rPr>
          <w:rFonts w:hAnsi="宋体"/>
          <w:color w:val="000000"/>
          <w:sz w:val="28"/>
        </w:rPr>
        <w:t>；该基金持有的全部权证，其市值不得超过基金资产净值的</w:t>
      </w:r>
      <w:r w:rsidRPr="0061142D">
        <w:rPr>
          <w:color w:val="000000"/>
          <w:sz w:val="28"/>
        </w:rPr>
        <w:t>3</w:t>
      </w:r>
      <w:r w:rsidR="00B138D3" w:rsidRPr="0061142D">
        <w:rPr>
          <w:color w:val="000000"/>
          <w:sz w:val="28"/>
        </w:rPr>
        <w:t>%</w:t>
      </w:r>
      <w:r w:rsidRPr="0061142D">
        <w:rPr>
          <w:rFonts w:hAnsi="宋体"/>
          <w:color w:val="000000"/>
          <w:sz w:val="28"/>
        </w:rPr>
        <w:t>；该基金与本基金管理人管理的其他基金持有的同一权证，不得超过该权证的</w:t>
      </w:r>
      <w:r w:rsidRPr="0061142D">
        <w:rPr>
          <w:color w:val="000000"/>
          <w:sz w:val="28"/>
        </w:rPr>
        <w:t>10</w:t>
      </w:r>
      <w:r w:rsidR="00B138D3" w:rsidRPr="0061142D">
        <w:rPr>
          <w:color w:val="000000"/>
          <w:sz w:val="28"/>
        </w:rPr>
        <w:t>%</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6</w:t>
      </w:r>
      <w:r w:rsidRPr="0061142D">
        <w:rPr>
          <w:rFonts w:hAnsi="宋体"/>
          <w:sz w:val="28"/>
        </w:rPr>
        <w:t>、</w:t>
      </w:r>
      <w:r w:rsidRPr="0061142D">
        <w:rPr>
          <w:rFonts w:hAnsi="宋体"/>
          <w:color w:val="000000"/>
          <w:sz w:val="28"/>
        </w:rPr>
        <w:t>该</w:t>
      </w:r>
      <w:r w:rsidRPr="0061142D">
        <w:rPr>
          <w:rFonts w:hAnsi="宋体"/>
          <w:sz w:val="28"/>
        </w:rPr>
        <w:t>基金持有的同一</w:t>
      </w:r>
      <w:r w:rsidR="006664A7">
        <w:rPr>
          <w:rFonts w:hint="eastAsia"/>
          <w:sz w:val="28"/>
        </w:rPr>
        <w:t>（</w:t>
      </w:r>
      <w:r w:rsidRPr="0061142D">
        <w:rPr>
          <w:rFonts w:hAnsi="宋体"/>
          <w:sz w:val="28"/>
        </w:rPr>
        <w:t>指同一信用级别</w:t>
      </w:r>
      <w:r w:rsidR="006664A7">
        <w:rPr>
          <w:rFonts w:hint="eastAsia"/>
          <w:sz w:val="28"/>
        </w:rPr>
        <w:t>）</w:t>
      </w:r>
      <w:r w:rsidRPr="0061142D">
        <w:rPr>
          <w:rFonts w:hAnsi="宋体"/>
          <w:sz w:val="28"/>
        </w:rPr>
        <w:t>资产支持证券的比例，不得超过该资产支持证券规模的</w:t>
      </w:r>
      <w:r w:rsidRPr="0061142D">
        <w:rPr>
          <w:sz w:val="28"/>
        </w:rPr>
        <w:t>10</w:t>
      </w:r>
      <w:r w:rsidR="00B138D3" w:rsidRPr="0061142D">
        <w:rPr>
          <w:color w:val="000000"/>
          <w:sz w:val="28"/>
        </w:rPr>
        <w:t>%</w:t>
      </w:r>
      <w:r w:rsidRPr="0061142D">
        <w:rPr>
          <w:rFonts w:hAnsi="宋体"/>
          <w:sz w:val="28"/>
        </w:rPr>
        <w:t>；</w:t>
      </w:r>
      <w:r w:rsidRPr="0061142D">
        <w:rPr>
          <w:rFonts w:hAnsi="宋体"/>
          <w:color w:val="000000"/>
          <w:sz w:val="28"/>
        </w:rPr>
        <w:t>该</w:t>
      </w:r>
      <w:r w:rsidRPr="0061142D">
        <w:rPr>
          <w:rFonts w:hAnsi="宋体"/>
          <w:sz w:val="28"/>
        </w:rPr>
        <w:t>基金投资于同一原始权益人的各类资产支持证券的比例，不得超过基金资产净值的</w:t>
      </w:r>
      <w:r w:rsidRPr="0061142D">
        <w:rPr>
          <w:sz w:val="28"/>
        </w:rPr>
        <w:t>10</w:t>
      </w:r>
      <w:r w:rsidR="00B138D3" w:rsidRPr="0061142D">
        <w:rPr>
          <w:color w:val="000000"/>
          <w:sz w:val="28"/>
        </w:rPr>
        <w:t>%</w:t>
      </w:r>
      <w:r w:rsidRPr="0061142D">
        <w:rPr>
          <w:rFonts w:hAnsi="宋体"/>
          <w:sz w:val="28"/>
        </w:rPr>
        <w:t>；本基金管理人管理的全部证券投资基金投资于同一原始权益人的各类资产支持证券，不得超过其各类资产支持证券合计规模的</w:t>
      </w:r>
      <w:r w:rsidRPr="0061142D">
        <w:rPr>
          <w:sz w:val="28"/>
        </w:rPr>
        <w:t>10%</w:t>
      </w:r>
      <w:r w:rsidRPr="0061142D">
        <w:rPr>
          <w:rFonts w:hAnsi="宋体"/>
          <w:sz w:val="28"/>
        </w:rPr>
        <w:t>；</w:t>
      </w:r>
      <w:r w:rsidRPr="0061142D">
        <w:rPr>
          <w:rFonts w:hAnsi="宋体"/>
          <w:color w:val="000000"/>
          <w:sz w:val="28"/>
        </w:rPr>
        <w:t>该</w:t>
      </w:r>
      <w:r w:rsidRPr="0061142D">
        <w:rPr>
          <w:rFonts w:hAnsi="宋体"/>
          <w:sz w:val="28"/>
        </w:rPr>
        <w:t>基金持有的全部资产支持证券，其市值不得超过基金资产净值的</w:t>
      </w:r>
      <w:r w:rsidRPr="0061142D">
        <w:rPr>
          <w:sz w:val="28"/>
        </w:rPr>
        <w:t>20</w:t>
      </w:r>
      <w:r w:rsidR="00B138D3" w:rsidRPr="0061142D">
        <w:rPr>
          <w:color w:val="000000"/>
          <w:sz w:val="28"/>
        </w:rPr>
        <w:t>%</w:t>
      </w:r>
      <w:r w:rsidRPr="0061142D">
        <w:rPr>
          <w:rFonts w:hAnsi="宋体"/>
          <w:sz w:val="28"/>
        </w:rPr>
        <w:t>；</w:t>
      </w:r>
    </w:p>
    <w:p w:rsidR="009C2EF9" w:rsidRPr="0061142D" w:rsidRDefault="009C2EF9" w:rsidP="00EE5132">
      <w:pPr>
        <w:adjustRightInd w:val="0"/>
        <w:snapToGrid w:val="0"/>
        <w:spacing w:line="360" w:lineRule="auto"/>
        <w:ind w:firstLineChars="200" w:firstLine="560"/>
        <w:rPr>
          <w:sz w:val="28"/>
        </w:rPr>
      </w:pPr>
      <w:r w:rsidRPr="0061142D">
        <w:rPr>
          <w:sz w:val="28"/>
        </w:rPr>
        <w:t>7</w:t>
      </w:r>
      <w:r w:rsidRPr="0061142D">
        <w:rPr>
          <w:rFonts w:hAnsi="宋体"/>
          <w:sz w:val="28"/>
        </w:rPr>
        <w:t>、保持不低于基金资产净值</w:t>
      </w:r>
      <w:r w:rsidRPr="0061142D">
        <w:rPr>
          <w:sz w:val="28"/>
        </w:rPr>
        <w:t>5</w:t>
      </w:r>
      <w:r w:rsidR="00B138D3" w:rsidRPr="0061142D">
        <w:rPr>
          <w:color w:val="000000"/>
          <w:sz w:val="28"/>
        </w:rPr>
        <w:t>%</w:t>
      </w:r>
      <w:r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Pr="0061142D">
        <w:rPr>
          <w:rFonts w:hAnsi="宋体"/>
          <w:sz w:val="28"/>
        </w:rPr>
        <w:t>；</w:t>
      </w:r>
    </w:p>
    <w:p w:rsidR="009C2EF9" w:rsidRPr="0061142D" w:rsidRDefault="009C2EF9" w:rsidP="00EE5132">
      <w:pPr>
        <w:adjustRightInd w:val="0"/>
        <w:snapToGrid w:val="0"/>
        <w:spacing w:line="360" w:lineRule="auto"/>
        <w:ind w:firstLineChars="200" w:firstLine="560"/>
        <w:rPr>
          <w:color w:val="000000"/>
          <w:sz w:val="28"/>
        </w:rPr>
      </w:pPr>
      <w:r w:rsidRPr="0061142D">
        <w:rPr>
          <w:sz w:val="28"/>
        </w:rPr>
        <w:t>8</w:t>
      </w:r>
      <w:r w:rsidRPr="0061142D">
        <w:rPr>
          <w:rFonts w:hAnsi="宋体"/>
          <w:sz w:val="28"/>
        </w:rPr>
        <w:t>、</w:t>
      </w:r>
      <w:r w:rsidRPr="0061142D">
        <w:rPr>
          <w:rFonts w:hAnsi="宋体"/>
          <w:color w:val="000000"/>
          <w:sz w:val="28"/>
        </w:rPr>
        <w:t>该基金不得违反基金合同中有关投资范围、投资策略、投资比例的规定；</w:t>
      </w:r>
    </w:p>
    <w:p w:rsidR="009C2EF9" w:rsidRPr="0061142D" w:rsidRDefault="009C2EF9" w:rsidP="00EE5132">
      <w:pPr>
        <w:adjustRightInd w:val="0"/>
        <w:snapToGrid w:val="0"/>
        <w:spacing w:line="360" w:lineRule="auto"/>
        <w:ind w:firstLineChars="200" w:firstLine="560"/>
        <w:rPr>
          <w:sz w:val="28"/>
        </w:rPr>
      </w:pPr>
      <w:r w:rsidRPr="0061142D">
        <w:rPr>
          <w:sz w:val="28"/>
        </w:rPr>
        <w:t>9</w:t>
      </w:r>
      <w:r w:rsidRPr="0061142D">
        <w:rPr>
          <w:rFonts w:hAnsi="宋体"/>
          <w:sz w:val="28"/>
        </w:rPr>
        <w:t>、</w:t>
      </w:r>
      <w:r w:rsidRPr="0061142D">
        <w:rPr>
          <w:rFonts w:hAnsi="宋体"/>
          <w:color w:val="000000"/>
          <w:sz w:val="28"/>
        </w:rPr>
        <w:t>该</w:t>
      </w:r>
      <w:r w:rsidRPr="0061142D">
        <w:rPr>
          <w:rFonts w:hAnsi="宋体"/>
          <w:sz w:val="28"/>
        </w:rPr>
        <w:t>基金应投资于信用级别评级为</w:t>
      </w:r>
      <w:r w:rsidRPr="0061142D">
        <w:rPr>
          <w:sz w:val="28"/>
        </w:rPr>
        <w:t>BBB</w:t>
      </w:r>
      <w:r w:rsidRPr="0061142D">
        <w:rPr>
          <w:rFonts w:hAnsi="宋体"/>
          <w:sz w:val="28"/>
        </w:rPr>
        <w:t>以上</w:t>
      </w:r>
      <w:r w:rsidRPr="0061142D">
        <w:rPr>
          <w:sz w:val="28"/>
        </w:rPr>
        <w:t>(</w:t>
      </w:r>
      <w:r w:rsidRPr="0061142D">
        <w:rPr>
          <w:rFonts w:hAnsi="宋体"/>
          <w:sz w:val="28"/>
        </w:rPr>
        <w:t>含</w:t>
      </w:r>
      <w:r w:rsidRPr="0061142D">
        <w:rPr>
          <w:sz w:val="28"/>
        </w:rPr>
        <w:t>BBB)</w:t>
      </w:r>
      <w:r w:rsidRPr="0061142D">
        <w:rPr>
          <w:rFonts w:hAnsi="宋体"/>
          <w:sz w:val="28"/>
        </w:rPr>
        <w:t>的资产支持证券。基金持有资产支持证券期间，如果其信用等级下降、不再符合投资标准，应在评级报告发布之日起</w:t>
      </w:r>
      <w:r w:rsidRPr="0061142D">
        <w:rPr>
          <w:sz w:val="28"/>
        </w:rPr>
        <w:t>3</w:t>
      </w:r>
      <w:r w:rsidRPr="0061142D">
        <w:rPr>
          <w:rFonts w:hAnsi="宋体"/>
          <w:sz w:val="28"/>
        </w:rPr>
        <w:t>个月内予以全部卖出；</w:t>
      </w:r>
    </w:p>
    <w:p w:rsidR="009C2EF9" w:rsidRDefault="009C2EF9" w:rsidP="00EE5132">
      <w:pPr>
        <w:adjustRightInd w:val="0"/>
        <w:snapToGrid w:val="0"/>
        <w:spacing w:line="360" w:lineRule="auto"/>
        <w:ind w:firstLineChars="200" w:firstLine="560"/>
        <w:rPr>
          <w:rFonts w:hAnsi="宋体"/>
          <w:sz w:val="28"/>
        </w:rPr>
      </w:pPr>
      <w:r w:rsidRPr="0061142D">
        <w:rPr>
          <w:sz w:val="28"/>
        </w:rPr>
        <w:t>10</w:t>
      </w:r>
      <w:r w:rsidRPr="0061142D">
        <w:rPr>
          <w:rFonts w:hAnsi="宋体"/>
          <w:sz w:val="28"/>
        </w:rPr>
        <w:t>、</w:t>
      </w:r>
      <w:r w:rsidRPr="0061142D">
        <w:rPr>
          <w:rFonts w:hAnsi="宋体"/>
          <w:color w:val="000000"/>
          <w:sz w:val="28"/>
        </w:rPr>
        <w:t>该</w:t>
      </w:r>
      <w:r w:rsidRPr="0061142D">
        <w:rPr>
          <w:rFonts w:hAnsi="宋体"/>
          <w:sz w:val="28"/>
        </w:rPr>
        <w:t>基金持有的所有流通受限证券，其公允价值不得超过本基金资产净值的</w:t>
      </w:r>
      <w:r w:rsidRPr="0061142D">
        <w:rPr>
          <w:sz w:val="28"/>
        </w:rPr>
        <w:t>15</w:t>
      </w:r>
      <w:r w:rsidR="00B138D3" w:rsidRPr="0061142D">
        <w:rPr>
          <w:color w:val="000000"/>
          <w:sz w:val="28"/>
        </w:rPr>
        <w:t>%</w:t>
      </w:r>
      <w:r w:rsidRPr="0061142D">
        <w:rPr>
          <w:rFonts w:hAnsi="宋体"/>
          <w:sz w:val="28"/>
        </w:rPr>
        <w:t>；</w:t>
      </w:r>
      <w:r w:rsidRPr="0061142D">
        <w:rPr>
          <w:rFonts w:hAnsi="宋体"/>
          <w:color w:val="000000"/>
          <w:sz w:val="28"/>
        </w:rPr>
        <w:t>该</w:t>
      </w:r>
      <w:r w:rsidRPr="0061142D">
        <w:rPr>
          <w:rFonts w:hAnsi="宋体"/>
          <w:sz w:val="28"/>
        </w:rPr>
        <w:t>基金持有的同</w:t>
      </w:r>
      <w:proofErr w:type="gramStart"/>
      <w:r w:rsidRPr="0061142D">
        <w:rPr>
          <w:rFonts w:hAnsi="宋体"/>
          <w:sz w:val="28"/>
        </w:rPr>
        <w:t>一流通</w:t>
      </w:r>
      <w:proofErr w:type="gramEnd"/>
      <w:r w:rsidRPr="0061142D">
        <w:rPr>
          <w:rFonts w:hAnsi="宋体"/>
          <w:sz w:val="28"/>
        </w:rPr>
        <w:t>受限证券，其公允价值不得超过本基金资产净值的</w:t>
      </w:r>
      <w:r w:rsidRPr="0061142D">
        <w:rPr>
          <w:sz w:val="28"/>
        </w:rPr>
        <w:t>2</w:t>
      </w:r>
      <w:r w:rsidR="00B138D3" w:rsidRPr="0061142D">
        <w:rPr>
          <w:color w:val="000000"/>
          <w:sz w:val="28"/>
        </w:rPr>
        <w:t>%</w:t>
      </w:r>
      <w:r w:rsidRPr="0061142D">
        <w:rPr>
          <w:rFonts w:hAnsi="宋体"/>
          <w:sz w:val="28"/>
        </w:rPr>
        <w:t>；</w:t>
      </w:r>
    </w:p>
    <w:p w:rsidR="00280227" w:rsidRPr="00280227" w:rsidRDefault="00280227" w:rsidP="00280227">
      <w:pPr>
        <w:adjustRightInd w:val="0"/>
        <w:snapToGrid w:val="0"/>
        <w:spacing w:line="360" w:lineRule="auto"/>
        <w:ind w:firstLineChars="200" w:firstLine="560"/>
        <w:rPr>
          <w:sz w:val="28"/>
        </w:rPr>
      </w:pPr>
      <w:r w:rsidRPr="00280227">
        <w:rPr>
          <w:rFonts w:hint="eastAsia"/>
          <w:sz w:val="28"/>
        </w:rPr>
        <w:t>1</w:t>
      </w:r>
      <w:r>
        <w:rPr>
          <w:sz w:val="28"/>
        </w:rPr>
        <w:t>1</w:t>
      </w:r>
      <w:r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Pr="00280227">
        <w:rPr>
          <w:rFonts w:hint="eastAsia"/>
          <w:sz w:val="28"/>
        </w:rPr>
        <w:t>全部开放式基金（包括开放式基金以及处于开放期的定期开放基金）持有一家上市公司发行的可流通股票，不得超过该上市公司可流通股票的</w:t>
      </w:r>
      <w:r w:rsidRPr="00280227">
        <w:rPr>
          <w:rFonts w:hint="eastAsia"/>
          <w:sz w:val="28"/>
        </w:rPr>
        <w:t>15%</w:t>
      </w:r>
      <w:r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Pr="00280227">
        <w:rPr>
          <w:rFonts w:hint="eastAsia"/>
          <w:sz w:val="28"/>
        </w:rPr>
        <w:t>全部投资组合持有一家上市公司发行的可流通股票，不得超过该上市公司可流通股票的</w:t>
      </w:r>
      <w:r w:rsidRPr="00280227">
        <w:rPr>
          <w:rFonts w:hint="eastAsia"/>
          <w:sz w:val="28"/>
        </w:rPr>
        <w:t>30%</w:t>
      </w:r>
      <w:r w:rsidRPr="00280227">
        <w:rPr>
          <w:rFonts w:hint="eastAsia"/>
          <w:sz w:val="28"/>
        </w:rPr>
        <w:t>；</w:t>
      </w:r>
    </w:p>
    <w:p w:rsidR="00280227" w:rsidRPr="00280227" w:rsidRDefault="00280227" w:rsidP="00280227">
      <w:pPr>
        <w:adjustRightInd w:val="0"/>
        <w:snapToGrid w:val="0"/>
        <w:spacing w:line="360" w:lineRule="auto"/>
        <w:ind w:firstLineChars="200" w:firstLine="560"/>
        <w:rPr>
          <w:sz w:val="28"/>
        </w:rPr>
      </w:pPr>
      <w:r w:rsidRPr="00280227">
        <w:rPr>
          <w:sz w:val="28"/>
        </w:rPr>
        <w:lastRenderedPageBreak/>
        <w:t>1</w:t>
      </w:r>
      <w:r>
        <w:rPr>
          <w:sz w:val="28"/>
        </w:rPr>
        <w:t>2</w:t>
      </w:r>
      <w:r w:rsidRPr="00280227">
        <w:rPr>
          <w:rFonts w:hint="eastAsia"/>
          <w:sz w:val="28"/>
        </w:rPr>
        <w:t>、本基金主动投资于流动性受限资产的市值合计不得超过基金资产净值的</w:t>
      </w:r>
      <w:r w:rsidRPr="00280227">
        <w:rPr>
          <w:rFonts w:hint="eastAsia"/>
          <w:sz w:val="28"/>
        </w:rPr>
        <w:t>15%</w:t>
      </w:r>
      <w:r w:rsidRPr="00280227">
        <w:rPr>
          <w:rFonts w:hint="eastAsia"/>
          <w:sz w:val="28"/>
        </w:rPr>
        <w:t>；因证券市场波动、上市公司股票停牌、基金规模变动等基金管理人之外的因素致使基金不符合该比例限制的，基金管理人不得主动新增流动性受限资产的投资；</w:t>
      </w:r>
    </w:p>
    <w:p w:rsidR="00280227" w:rsidRPr="00280227" w:rsidRDefault="00280227" w:rsidP="00EE5132">
      <w:pPr>
        <w:adjustRightInd w:val="0"/>
        <w:snapToGrid w:val="0"/>
        <w:spacing w:line="360" w:lineRule="auto"/>
        <w:ind w:firstLineChars="200" w:firstLine="560"/>
        <w:rPr>
          <w:sz w:val="28"/>
        </w:rPr>
      </w:pPr>
      <w:r w:rsidRPr="00280227">
        <w:rPr>
          <w:rFonts w:hint="eastAsia"/>
          <w:sz w:val="28"/>
        </w:rPr>
        <w:t>1</w:t>
      </w:r>
      <w:r>
        <w:rPr>
          <w:sz w:val="28"/>
        </w:rPr>
        <w:t>3</w:t>
      </w:r>
      <w:r w:rsidRPr="00280227">
        <w:rPr>
          <w:rFonts w:hint="eastAsia"/>
          <w:sz w:val="28"/>
        </w:rPr>
        <w:t>、本基金与私募类</w:t>
      </w:r>
      <w:proofErr w:type="gramStart"/>
      <w:r w:rsidRPr="00280227">
        <w:rPr>
          <w:rFonts w:hint="eastAsia"/>
          <w:sz w:val="28"/>
        </w:rPr>
        <w:t>证券资管产品</w:t>
      </w:r>
      <w:proofErr w:type="gramEnd"/>
      <w:r w:rsidRPr="00280227">
        <w:rPr>
          <w:rFonts w:hint="eastAsia"/>
          <w:sz w:val="28"/>
        </w:rPr>
        <w:t>及中国证监会认定的其他主体为交易对手开展逆回购交易的，可接受质押品的资质要求应当与基金合同约定的投资范围保持一致；</w:t>
      </w:r>
    </w:p>
    <w:p w:rsidR="009C2EF9" w:rsidRPr="0061142D" w:rsidRDefault="00280227" w:rsidP="00EE5132">
      <w:pPr>
        <w:adjustRightInd w:val="0"/>
        <w:snapToGrid w:val="0"/>
        <w:spacing w:line="360" w:lineRule="auto"/>
        <w:ind w:firstLineChars="200" w:firstLine="560"/>
        <w:rPr>
          <w:sz w:val="28"/>
        </w:rPr>
      </w:pPr>
      <w:r w:rsidRPr="0061142D">
        <w:rPr>
          <w:sz w:val="28"/>
        </w:rPr>
        <w:t>1</w:t>
      </w:r>
      <w:r>
        <w:rPr>
          <w:sz w:val="28"/>
        </w:rPr>
        <w:t>4</w:t>
      </w:r>
      <w:r w:rsidR="009C2EF9" w:rsidRPr="0061142D">
        <w:rPr>
          <w:rFonts w:hAnsi="宋体"/>
          <w:sz w:val="28"/>
        </w:rPr>
        <w:t>、法律法规以及监管部门规定的其他比例限制。</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该债券型基金自变更之日起不超过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w:t>
      </w:r>
      <w:proofErr w:type="gramStart"/>
      <w:r w:rsidRPr="0061142D">
        <w:rPr>
          <w:rFonts w:hAnsi="宋体"/>
          <w:sz w:val="28"/>
        </w:rPr>
        <w:t>个</w:t>
      </w:r>
      <w:proofErr w:type="gramEnd"/>
      <w:r w:rsidRPr="0061142D">
        <w:rPr>
          <w:rFonts w:hAnsi="宋体"/>
          <w:sz w:val="28"/>
        </w:rPr>
        <w:t>工作日使该债券型基金的投资组合比例符合基金合同的有关约定。</w:t>
      </w:r>
    </w:p>
    <w:p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除上述第</w:t>
      </w:r>
      <w:r w:rsidRPr="00280227">
        <w:rPr>
          <w:rFonts w:hAnsi="宋体" w:hint="eastAsia"/>
          <w:bCs/>
          <w:sz w:val="28"/>
        </w:rPr>
        <w:t>7</w:t>
      </w:r>
      <w:r w:rsidRPr="00280227">
        <w:rPr>
          <w:rFonts w:hAnsi="宋体" w:hint="eastAsia"/>
          <w:bCs/>
          <w:sz w:val="28"/>
        </w:rPr>
        <w:t>、</w:t>
      </w:r>
      <w:r w:rsidRPr="00280227">
        <w:rPr>
          <w:rFonts w:hAnsi="宋体" w:hint="eastAsia"/>
          <w:bCs/>
          <w:sz w:val="28"/>
        </w:rPr>
        <w:t>9</w:t>
      </w:r>
      <w:r w:rsidRPr="00280227">
        <w:rPr>
          <w:rFonts w:hAnsi="宋体" w:hint="eastAsia"/>
          <w:bCs/>
          <w:sz w:val="28"/>
        </w:rPr>
        <w:t>、</w:t>
      </w:r>
      <w:r w:rsidRPr="00280227">
        <w:rPr>
          <w:rFonts w:hAnsi="宋体" w:hint="eastAsia"/>
          <w:bCs/>
          <w:sz w:val="28"/>
        </w:rPr>
        <w:t>1</w:t>
      </w:r>
      <w:r>
        <w:rPr>
          <w:rFonts w:hAnsi="宋体"/>
          <w:bCs/>
          <w:sz w:val="28"/>
        </w:rPr>
        <w:t>2</w:t>
      </w:r>
      <w:r w:rsidRPr="00280227">
        <w:rPr>
          <w:rFonts w:hAnsi="宋体" w:hint="eastAsia"/>
          <w:bCs/>
          <w:sz w:val="28"/>
        </w:rPr>
        <w:t>、</w:t>
      </w:r>
      <w:r w:rsidRPr="00280227">
        <w:rPr>
          <w:rFonts w:hAnsi="宋体" w:hint="eastAsia"/>
          <w:bCs/>
          <w:sz w:val="28"/>
        </w:rPr>
        <w:t>1</w:t>
      </w:r>
      <w:r>
        <w:rPr>
          <w:rFonts w:hAnsi="宋体"/>
          <w:bCs/>
          <w:sz w:val="28"/>
        </w:rPr>
        <w:t>3</w:t>
      </w:r>
      <w:r w:rsidRPr="00280227">
        <w:rPr>
          <w:rFonts w:hAnsi="宋体" w:hint="eastAsia"/>
          <w:bCs/>
          <w:sz w:val="28"/>
        </w:rPr>
        <w:t>项外，</w:t>
      </w:r>
      <w:r w:rsidR="009C2EF9"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个交易日内进行调整，法律法规另有规定的从其规定。</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该债券型基金，基金管理人在履行适当程序后，则该债券型基金投资不再受相关限制。</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对本协议第十五条第九项基金投资禁止行为进行监督。基金托管人通过事后监督方式对基金管理人基金投资禁止行为和关联交易进行监</w:t>
      </w:r>
      <w:r w:rsidRPr="0061142D">
        <w:rPr>
          <w:rFonts w:hAnsi="宋体"/>
          <w:color w:val="000000"/>
          <w:sz w:val="28"/>
        </w:rPr>
        <w:lastRenderedPageBreak/>
        <w:t>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9C2EF9" w:rsidRPr="0061142D" w:rsidRDefault="009C2EF9" w:rsidP="00EE5132">
      <w:pPr>
        <w:adjustRightInd w:val="0"/>
        <w:snapToGrid w:val="0"/>
        <w:spacing w:line="360" w:lineRule="auto"/>
        <w:ind w:firstLineChars="200" w:firstLine="560"/>
        <w:rPr>
          <w:color w:val="000000"/>
          <w:sz w:val="28"/>
        </w:rPr>
      </w:pPr>
      <w:proofErr w:type="gramStart"/>
      <w:r w:rsidRPr="0061142D">
        <w:rPr>
          <w:rFonts w:hAnsi="宋体"/>
          <w:color w:val="000000"/>
          <w:sz w:val="28"/>
        </w:rPr>
        <w:t>若基金</w:t>
      </w:r>
      <w:proofErr w:type="gramEnd"/>
      <w:r w:rsidRPr="0061142D">
        <w:rPr>
          <w:rFonts w:hAnsi="宋体"/>
          <w:color w:val="000000"/>
          <w:sz w:val="28"/>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w:t>
      </w:r>
      <w:proofErr w:type="gramStart"/>
      <w:r w:rsidRPr="0061142D">
        <w:rPr>
          <w:rFonts w:hAnsi="宋体"/>
          <w:color w:val="000000"/>
          <w:sz w:val="28"/>
        </w:rPr>
        <w:t>则基金</w:t>
      </w:r>
      <w:proofErr w:type="gramEnd"/>
      <w:r w:rsidRPr="0061142D">
        <w:rPr>
          <w:rFonts w:hAnsi="宋体"/>
          <w:color w:val="000000"/>
          <w:sz w:val="28"/>
        </w:rPr>
        <w:t>托管人不承担由此造成的损失，并应向中国证监会报告。</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w:t>
      </w:r>
      <w:r w:rsidRPr="0061142D">
        <w:rPr>
          <w:rFonts w:hAnsi="宋体"/>
          <w:color w:val="000000"/>
          <w:sz w:val="28"/>
        </w:rPr>
        <w:lastRenderedPageBreak/>
        <w:t>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lastRenderedPageBreak/>
        <w:t>（六）</w:t>
      </w:r>
      <w:r w:rsidRPr="0061142D">
        <w:rPr>
          <w:rFonts w:hAnsi="宋体"/>
          <w:color w:val="000000"/>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w:t>
      </w:r>
      <w:proofErr w:type="gramStart"/>
      <w:r w:rsidRPr="0061142D">
        <w:rPr>
          <w:rFonts w:hAnsi="宋体"/>
          <w:color w:val="000000"/>
          <w:sz w:val="28"/>
        </w:rPr>
        <w:t>则基金</w:t>
      </w:r>
      <w:proofErr w:type="gramEnd"/>
      <w:r w:rsidRPr="0061142D">
        <w:rPr>
          <w:rFonts w:hAnsi="宋体"/>
          <w:color w:val="000000"/>
          <w:sz w:val="28"/>
        </w:rPr>
        <w:t>托管人对此不承担任何责任，并将在发现后立即报告中国证监会。</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、基金投资流通受限证券，应遵守《关于规范基金投资非公开发行证券行为的紧急通知》、《关于基金投资非公开发行股票等流通受限证券有关问题的通知》等有关法律法规规定。</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61142D">
        <w:rPr>
          <w:rFonts w:hAnsi="宋体"/>
          <w:sz w:val="28"/>
        </w:rPr>
        <w:t>券</w:t>
      </w:r>
      <w:proofErr w:type="gramEnd"/>
      <w:r w:rsidRPr="0061142D">
        <w:rPr>
          <w:rFonts w:hAnsi="宋体"/>
          <w:sz w:val="28"/>
        </w:rPr>
        <w:t>等流通受限证券。</w:t>
      </w:r>
      <w:r w:rsidRPr="0061142D">
        <w:rPr>
          <w:sz w:val="28"/>
        </w:rPr>
        <w:t xml:space="preserve">                                                    </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lastRenderedPageBreak/>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9C2EF9" w:rsidRPr="0061142D" w:rsidRDefault="009C2EF9" w:rsidP="00EE5132">
      <w:pPr>
        <w:pStyle w:val="Char1"/>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w:t>
      </w:r>
      <w:proofErr w:type="gramStart"/>
      <w:r w:rsidRPr="0061142D">
        <w:rPr>
          <w:rFonts w:hAnsi="宋体"/>
          <w:sz w:val="28"/>
        </w:rPr>
        <w:t>人原因</w:t>
      </w:r>
      <w:proofErr w:type="gramEnd"/>
      <w:r w:rsidRPr="0061142D">
        <w:rPr>
          <w:rFonts w:hAnsi="宋体"/>
          <w:sz w:val="28"/>
        </w:rPr>
        <w:t>产生的流通受限证券登记存管问题，造成基金财产的损失或基金托管人无法安全保管基金财产的责任与损失，由基金管理人承担。</w:t>
      </w:r>
    </w:p>
    <w:p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w:t>
      </w:r>
      <w:r w:rsidRPr="0061142D">
        <w:rPr>
          <w:rFonts w:hAnsi="宋体"/>
          <w:color w:val="000000"/>
          <w:sz w:val="28"/>
        </w:rPr>
        <w:lastRenderedPageBreak/>
        <w:t>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9C2EF9" w:rsidRPr="0061142D" w:rsidRDefault="009C2EF9" w:rsidP="00EE5132">
      <w:pPr>
        <w:pStyle w:val="CharCharChar1"/>
        <w:adjustRightInd w:val="0"/>
        <w:snapToGrid w:val="0"/>
        <w:spacing w:line="360" w:lineRule="auto"/>
        <w:ind w:firstLineChars="200" w:firstLine="560"/>
        <w:rPr>
          <w:sz w:val="28"/>
        </w:rPr>
      </w:pPr>
    </w:p>
    <w:p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w:t>
      </w:r>
      <w:proofErr w:type="gramStart"/>
      <w:r w:rsidRPr="0061142D">
        <w:rPr>
          <w:rFonts w:hAnsi="宋体"/>
          <w:color w:val="000000"/>
          <w:sz w:val="28"/>
        </w:rPr>
        <w:t>供基金</w:t>
      </w:r>
      <w:proofErr w:type="gramEnd"/>
      <w:r w:rsidRPr="0061142D">
        <w:rPr>
          <w:rFonts w:hAnsi="宋体"/>
          <w:color w:val="000000"/>
          <w:sz w:val="28"/>
        </w:rPr>
        <w:t>管理人核查托管财产的完整性和真实性，在规定时间内答复基金管理人并改正。</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C2EF9" w:rsidRPr="0061142D" w:rsidRDefault="009C2EF9">
      <w:pPr>
        <w:spacing w:line="360" w:lineRule="auto"/>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w:t>
      </w:r>
      <w:proofErr w:type="gramStart"/>
      <w:r w:rsidRPr="0061142D">
        <w:rPr>
          <w:rFonts w:hAnsi="宋体"/>
          <w:color w:val="000000"/>
          <w:sz w:val="28"/>
        </w:rPr>
        <w:t>作出</w:t>
      </w:r>
      <w:proofErr w:type="gramEnd"/>
      <w:r w:rsidRPr="0061142D">
        <w:rPr>
          <w:rFonts w:hAnsi="宋体"/>
          <w:color w:val="000000"/>
          <w:sz w:val="28"/>
        </w:rPr>
        <w:t>的合法合</w:t>
      </w:r>
      <w:proofErr w:type="gramStart"/>
      <w:r w:rsidRPr="0061142D">
        <w:rPr>
          <w:rFonts w:hAnsi="宋体"/>
          <w:color w:val="000000"/>
          <w:sz w:val="28"/>
        </w:rPr>
        <w:t>规</w:t>
      </w:r>
      <w:proofErr w:type="gramEnd"/>
      <w:r w:rsidRPr="0061142D">
        <w:rPr>
          <w:rFonts w:hAnsi="宋体"/>
          <w:color w:val="000000"/>
          <w:sz w:val="28"/>
        </w:rPr>
        <w:t>指令，基金托管人不得自行运用、处分、分配基金的任何财产。</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、基金募集期间的认购款项应存于专用账户。该账户由基金管理人或基金管理人委托的登记机构开立并管理。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Pr="0061142D">
        <w:rPr>
          <w:rFonts w:hAnsi="宋体"/>
          <w:sz w:val="28"/>
        </w:rPr>
        <w:t>基金募集期满或基金停止募集时，募集的基金份额总额、基金募集金额、基金份额持有人人数符合《基金法》、《运作办法》等有关规定后，基金管理人应将募集到的属于基金财产的全部资金划入基</w:t>
      </w:r>
      <w:r w:rsidRPr="0061142D">
        <w:rPr>
          <w:rFonts w:hAnsi="宋体"/>
          <w:sz w:val="28"/>
        </w:rPr>
        <w:lastRenderedPageBreak/>
        <w:t>金托管人开立的基金托管资金账户，同时在规定时间内，聘请具有从事证券相关业务资格的会计师事务所进行验资，出具验资报告。出具的验资报告由参加验资的</w:t>
      </w:r>
      <w:r w:rsidRPr="0061142D">
        <w:rPr>
          <w:sz w:val="28"/>
        </w:rPr>
        <w:t>2</w:t>
      </w:r>
      <w:r w:rsidRPr="0061142D">
        <w:rPr>
          <w:rFonts w:hAnsi="宋体"/>
          <w:sz w:val="28"/>
        </w:rPr>
        <w:t>名或</w:t>
      </w:r>
      <w:r w:rsidRPr="0061142D">
        <w:rPr>
          <w:sz w:val="28"/>
        </w:rPr>
        <w:t>2</w:t>
      </w:r>
      <w:r w:rsidRPr="0061142D">
        <w:rPr>
          <w:rFonts w:hAnsi="宋体"/>
          <w:sz w:val="28"/>
        </w:rPr>
        <w:t>名以上中国注册会计师签字方为有效。</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proofErr w:type="gramStart"/>
      <w:r w:rsidRPr="0061142D">
        <w:rPr>
          <w:rFonts w:hAnsi="宋体"/>
          <w:color w:val="000000"/>
          <w:sz w:val="28"/>
        </w:rPr>
        <w:t>若基金</w:t>
      </w:r>
      <w:proofErr w:type="gramEnd"/>
      <w:r w:rsidRPr="0061142D">
        <w:rPr>
          <w:rFonts w:hAnsi="宋体"/>
          <w:color w:val="000000"/>
          <w:sz w:val="28"/>
        </w:rPr>
        <w:t>募集期限届满，未能达到基金备案的条件，由基金管理人按规定办理退款等事宜，基金托管人应提供充分协助。</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w:t>
      </w:r>
      <w:proofErr w:type="gramStart"/>
      <w:r w:rsidRPr="0061142D">
        <w:rPr>
          <w:rFonts w:hAnsi="宋体"/>
          <w:color w:val="000000"/>
          <w:sz w:val="28"/>
        </w:rPr>
        <w:t>规</w:t>
      </w:r>
      <w:proofErr w:type="gramEnd"/>
      <w:r w:rsidRPr="0061142D">
        <w:rPr>
          <w:rFonts w:hAnsi="宋体"/>
          <w:color w:val="000000"/>
          <w:sz w:val="28"/>
        </w:rPr>
        <w:t>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w:t>
      </w:r>
      <w:r w:rsidRPr="0061142D">
        <w:rPr>
          <w:rFonts w:hAnsi="宋体"/>
          <w:color w:val="000000"/>
          <w:sz w:val="28"/>
        </w:rPr>
        <w:lastRenderedPageBreak/>
        <w:t>的任何证券账户，亦不得使用基金的任何账户进行本基金业务以外的活动。</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托管人以自身法人名义在中国证券登记结算有限责任公司开立结算备付金账户，并代表所托管的基金完成与中国证券登记结算有限责任公司的一级法人清算工作，基金管理人应予以积极协助。结算</w:t>
      </w:r>
      <w:r w:rsidRPr="0061142D">
        <w:rPr>
          <w:rFonts w:hAnsi="宋体"/>
          <w:sz w:val="28"/>
        </w:rPr>
        <w:t>备付金的收取按照中国证券登记结算有限责任公司的规定执行。</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w:t>
      </w:r>
      <w:proofErr w:type="gramStart"/>
      <w:r w:rsidRPr="0061142D">
        <w:rPr>
          <w:rFonts w:hAnsi="宋体"/>
          <w:color w:val="000000"/>
          <w:sz w:val="28"/>
        </w:rPr>
        <w:t>则基金</w:t>
      </w:r>
      <w:proofErr w:type="gramEnd"/>
      <w:r w:rsidRPr="0061142D">
        <w:rPr>
          <w:rFonts w:hAnsi="宋体"/>
          <w:color w:val="000000"/>
          <w:sz w:val="28"/>
        </w:rPr>
        <w:t>托管人应当比照并遵守上述关于账户开设、使用的规定。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rsidR="009C2EF9" w:rsidRPr="0061142D" w:rsidRDefault="009C2EF9">
      <w:pPr>
        <w:adjustRightInd w:val="0"/>
        <w:snapToGrid w:val="0"/>
        <w:spacing w:line="360" w:lineRule="auto"/>
        <w:ind w:firstLine="48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rsidR="009C2EF9" w:rsidRPr="0061142D" w:rsidRDefault="009C2EF9" w:rsidP="00EE5132">
      <w:pPr>
        <w:adjustRightInd w:val="0"/>
        <w:snapToGrid w:val="0"/>
        <w:spacing w:line="360" w:lineRule="auto"/>
        <w:ind w:firstLineChars="200" w:firstLine="560"/>
        <w:rPr>
          <w:sz w:val="28"/>
        </w:rPr>
      </w:pPr>
      <w:r w:rsidRPr="0061142D">
        <w:rPr>
          <w:sz w:val="28"/>
        </w:rPr>
        <w:lastRenderedPageBreak/>
        <w:t>3</w:t>
      </w:r>
      <w:r w:rsidRPr="0061142D">
        <w:rPr>
          <w:rFonts w:hAnsi="宋体"/>
          <w:sz w:val="28"/>
        </w:rPr>
        <w:t>、基金托管人收到授权文件后并经确认后，授权文件即生效。</w:t>
      </w:r>
    </w:p>
    <w:p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含赎回、分红付款指令、银行间业务划款指令）以及其他资金划拨指令等。</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w:t>
      </w:r>
      <w:proofErr w:type="gramStart"/>
      <w:r w:rsidRPr="0061142D">
        <w:rPr>
          <w:rFonts w:hAnsi="宋体"/>
          <w:sz w:val="28"/>
        </w:rPr>
        <w:t>且基金</w:t>
      </w:r>
      <w:proofErr w:type="gramEnd"/>
      <w:r w:rsidRPr="0061142D">
        <w:rPr>
          <w:rFonts w:hAnsi="宋体"/>
          <w:sz w:val="28"/>
        </w:rPr>
        <w:t>托管人根据本协议确认后，则对于此后该交易指令发送人员无权发送的指令，或超权限发送的指令，基金管理人不承担责任，授权已更改但未通知基金托管人的情况除外。</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w:t>
      </w:r>
      <w:r w:rsidRPr="0061142D">
        <w:rPr>
          <w:rFonts w:hAnsi="宋体"/>
          <w:sz w:val="28"/>
        </w:rPr>
        <w:lastRenderedPageBreak/>
        <w:t>足够的划款时间，未准备足够资金，致使资金未能及时到账所造成的损失由基金管理人承担。</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w:t>
      </w:r>
      <w:r w:rsidR="00302D6E" w:rsidRPr="0061142D">
        <w:rPr>
          <w:sz w:val="27"/>
          <w:szCs w:val="27"/>
        </w:rPr>
        <w:lastRenderedPageBreak/>
        <w:t>时提示基金管理人改正后再予以执行，基金托管人不承担因延迟执行该指令造成损失的责任。</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rsidR="009C2EF9" w:rsidRPr="0061142D" w:rsidRDefault="009C2EF9" w:rsidP="00EE5132">
      <w:pPr>
        <w:adjustRightInd w:val="0"/>
        <w:snapToGrid w:val="0"/>
        <w:spacing w:line="360" w:lineRule="auto"/>
        <w:ind w:firstLineChars="200" w:firstLine="560"/>
        <w:rPr>
          <w:sz w:val="28"/>
        </w:rPr>
      </w:pPr>
      <w:proofErr w:type="gramStart"/>
      <w:r w:rsidRPr="0061142D">
        <w:rPr>
          <w:rFonts w:hAnsi="宋体"/>
          <w:sz w:val="28"/>
        </w:rPr>
        <w:t>若基金</w:t>
      </w:r>
      <w:proofErr w:type="gramEnd"/>
      <w:r w:rsidRPr="0061142D">
        <w:rPr>
          <w:rFonts w:hAnsi="宋体"/>
          <w:sz w:val="28"/>
        </w:rPr>
        <w:t>托管人发现基金管理人的指令违反法律、行政法规和其他有关规定，或者违反基金合同约定的，应当拒绝执行，及时通知基金管理人。</w:t>
      </w:r>
    </w:p>
    <w:p w:rsidR="009C2EF9" w:rsidRPr="0061142D" w:rsidRDefault="009C2EF9" w:rsidP="00EE5132">
      <w:pPr>
        <w:adjustRightInd w:val="0"/>
        <w:snapToGrid w:val="0"/>
        <w:spacing w:line="360" w:lineRule="auto"/>
        <w:ind w:firstLineChars="200" w:firstLine="560"/>
        <w:rPr>
          <w:sz w:val="28"/>
        </w:rPr>
      </w:pPr>
      <w:proofErr w:type="gramStart"/>
      <w:r w:rsidRPr="0061142D">
        <w:rPr>
          <w:rFonts w:hAnsi="宋体"/>
          <w:sz w:val="28"/>
        </w:rPr>
        <w:t>若基金</w:t>
      </w:r>
      <w:proofErr w:type="gramEnd"/>
      <w:r w:rsidRPr="0061142D">
        <w:rPr>
          <w:rFonts w:hAnsi="宋体"/>
          <w:sz w:val="28"/>
        </w:rPr>
        <w:t>托管人发现基金管理人依据交易程序已经生效的指令违反法律、行政法规和其他有关规定，或者违反基金合同约定的，应当及时通知基金管理人，由此造成的损失由基金管理人承担。</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rsidR="009C2EF9" w:rsidRPr="0061142D" w:rsidRDefault="009C2EF9" w:rsidP="00EE5132">
      <w:pPr>
        <w:adjustRightInd w:val="0"/>
        <w:snapToGrid w:val="0"/>
        <w:spacing w:line="360" w:lineRule="auto"/>
        <w:ind w:firstLineChars="200" w:firstLine="560"/>
        <w:rPr>
          <w:sz w:val="28"/>
        </w:rPr>
      </w:pPr>
      <w:r w:rsidRPr="0061142D">
        <w:rPr>
          <w:sz w:val="28"/>
        </w:rPr>
        <w:lastRenderedPageBreak/>
        <w:t>1</w:t>
      </w:r>
      <w:r w:rsidRPr="0061142D">
        <w:rPr>
          <w:rFonts w:hAnsi="宋体"/>
          <w:sz w:val="28"/>
        </w:rPr>
        <w:t>、基金托管人在接收指令时，应对指令的要素是否齐全、印鉴与被授权人是否与预留的授权文件内容相符进行检查，如发现问题，应及时通知基金管理人。</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期后该指令发送人员无权发送的指令，或超权限发送的指令，基金管理人不承担责任。</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rsidR="00EE5132" w:rsidRPr="0061142D" w:rsidRDefault="00EE5132" w:rsidP="00EE5132">
      <w:pPr>
        <w:adjustRightInd w:val="0"/>
        <w:snapToGrid w:val="0"/>
        <w:spacing w:line="360" w:lineRule="auto"/>
        <w:ind w:firstLineChars="200" w:firstLine="560"/>
        <w:rPr>
          <w:sz w:val="28"/>
        </w:rPr>
      </w:pPr>
    </w:p>
    <w:p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（二）基金投资证券后的清算交收安排</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lastRenderedPageBreak/>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）资金账目的核对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w:t>
      </w:r>
      <w:proofErr w:type="gramStart"/>
      <w:r w:rsidRPr="0061142D">
        <w:rPr>
          <w:rFonts w:hAnsi="宋体"/>
          <w:color w:val="000000"/>
          <w:sz w:val="28"/>
        </w:rPr>
        <w:t>中证券</w:t>
      </w:r>
      <w:proofErr w:type="gramEnd"/>
      <w:r w:rsidRPr="0061142D">
        <w:rPr>
          <w:rFonts w:hAnsi="宋体"/>
          <w:color w:val="000000"/>
          <w:sz w:val="28"/>
        </w:rPr>
        <w:t>的种类和数量与基金会计账簿中的记载一致。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w:t>
      </w:r>
      <w:proofErr w:type="gramStart"/>
      <w:r w:rsidRPr="0061142D">
        <w:rPr>
          <w:rFonts w:hAnsi="宋体"/>
          <w:color w:val="000000"/>
          <w:sz w:val="28"/>
        </w:rPr>
        <w:t>券</w:t>
      </w:r>
      <w:proofErr w:type="gramEnd"/>
      <w:r w:rsidRPr="0061142D">
        <w:rPr>
          <w:rFonts w:hAnsi="宋体"/>
          <w:color w:val="000000"/>
          <w:sz w:val="28"/>
        </w:rPr>
        <w:t>账目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w:t>
      </w:r>
      <w:proofErr w:type="gramStart"/>
      <w:r w:rsidRPr="0061142D">
        <w:rPr>
          <w:rFonts w:hAnsi="宋体"/>
          <w:color w:val="000000"/>
          <w:sz w:val="28"/>
        </w:rPr>
        <w:t>券</w:t>
      </w:r>
      <w:proofErr w:type="gramEnd"/>
      <w:r w:rsidRPr="0061142D">
        <w:rPr>
          <w:rFonts w:hAnsi="宋体"/>
          <w:color w:val="000000"/>
          <w:sz w:val="28"/>
        </w:rPr>
        <w:t>账目，每月月</w:t>
      </w:r>
      <w:proofErr w:type="gramStart"/>
      <w:r w:rsidRPr="0061142D">
        <w:rPr>
          <w:rFonts w:hAnsi="宋体"/>
          <w:color w:val="000000"/>
          <w:sz w:val="28"/>
        </w:rPr>
        <w:t>末相关</w:t>
      </w:r>
      <w:proofErr w:type="gramEnd"/>
      <w:r w:rsidRPr="0061142D">
        <w:rPr>
          <w:rFonts w:hAnsi="宋体"/>
          <w:color w:val="000000"/>
          <w:sz w:val="28"/>
        </w:rPr>
        <w:t>各方进行账实核对。</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w:t>
      </w:r>
      <w:proofErr w:type="gramStart"/>
      <w:r w:rsidRPr="0061142D">
        <w:rPr>
          <w:rFonts w:hAnsi="宋体"/>
          <w:color w:val="000000"/>
          <w:sz w:val="28"/>
        </w:rPr>
        <w:t>日上述</w:t>
      </w:r>
      <w:proofErr w:type="gramEnd"/>
      <w:r w:rsidRPr="0061142D">
        <w:rPr>
          <w:rFonts w:hAnsi="宋体"/>
          <w:color w:val="000000"/>
          <w:sz w:val="28"/>
        </w:rPr>
        <w:t>有关数据，并保证相关数据的准确、完整。</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5</w:t>
      </w:r>
      <w:r w:rsidRPr="0061142D">
        <w:rPr>
          <w:rFonts w:hAnsi="宋体"/>
          <w:color w:val="000000"/>
          <w:sz w:val="28"/>
        </w:rPr>
        <w:t>、如基金管理人委托其他机构办理本基金的注册登记业务，上述事宜由基金管理人负责。</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w:t>
      </w:r>
      <w:r w:rsidRPr="0061142D">
        <w:rPr>
          <w:rFonts w:hAnsi="宋体"/>
          <w:sz w:val="28"/>
        </w:rPr>
        <w:t>开放式基金申购、赎回和基金转换的资金清算</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w:t>
      </w:r>
      <w:proofErr w:type="gramStart"/>
      <w:r w:rsidRPr="0061142D">
        <w:rPr>
          <w:rFonts w:hAnsi="宋体"/>
          <w:sz w:val="28"/>
        </w:rPr>
        <w:t>轧差交收</w:t>
      </w:r>
      <w:proofErr w:type="gramEnd"/>
      <w:r w:rsidRPr="0061142D">
        <w:rPr>
          <w:rFonts w:hAnsi="宋体"/>
          <w:sz w:val="28"/>
        </w:rPr>
        <w:t>的结算方式，净额在最晚不迟于</w:t>
      </w:r>
      <w:r w:rsidRPr="0061142D">
        <w:rPr>
          <w:sz w:val="28"/>
        </w:rPr>
        <w:t>T+2</w:t>
      </w:r>
      <w:r w:rsidRPr="0061142D">
        <w:rPr>
          <w:rFonts w:hAnsi="宋体"/>
          <w:sz w:val="28"/>
        </w:rPr>
        <w:t>日下午</w:t>
      </w:r>
      <w:r w:rsidRPr="0061142D">
        <w:rPr>
          <w:sz w:val="28"/>
        </w:rPr>
        <w:t>15</w:t>
      </w:r>
      <w:r w:rsidRPr="0061142D">
        <w:rPr>
          <w:rFonts w:hAnsi="宋体"/>
          <w:sz w:val="28"/>
        </w:rPr>
        <w:t>：</w:t>
      </w:r>
      <w:r w:rsidRPr="0061142D">
        <w:rPr>
          <w:sz w:val="28"/>
        </w:rPr>
        <w:t>00</w:t>
      </w:r>
      <w:r w:rsidRPr="0061142D">
        <w:rPr>
          <w:rFonts w:hAnsi="宋体"/>
          <w:sz w:val="28"/>
        </w:rPr>
        <w:t>前在基金管理人指定的</w:t>
      </w:r>
      <w:r w:rsidRPr="0061142D">
        <w:rPr>
          <w:sz w:val="28"/>
        </w:rPr>
        <w:t>TA</w:t>
      </w:r>
      <w:r w:rsidRPr="0061142D">
        <w:rPr>
          <w:rFonts w:hAnsi="宋体"/>
          <w:sz w:val="28"/>
        </w:rPr>
        <w:t>专用账户和资产托管资金账户之间交收。发生巨额赎回以及保本周期到期赎回的情形，款项的交收参照本</w:t>
      </w:r>
      <w:proofErr w:type="gramStart"/>
      <w:r w:rsidRPr="0061142D">
        <w:rPr>
          <w:rFonts w:hAnsi="宋体"/>
          <w:sz w:val="28"/>
        </w:rPr>
        <w:t>基金基金</w:t>
      </w:r>
      <w:proofErr w:type="gramEnd"/>
      <w:r w:rsidRPr="0061142D">
        <w:rPr>
          <w:rFonts w:hAnsi="宋体"/>
          <w:sz w:val="28"/>
        </w:rPr>
        <w:t>合同有关条款处理。</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w:t>
      </w:r>
      <w:proofErr w:type="gramStart"/>
      <w:r w:rsidRPr="0061142D">
        <w:rPr>
          <w:rFonts w:hAnsi="宋体"/>
          <w:color w:val="000000"/>
          <w:sz w:val="28"/>
        </w:rPr>
        <w:t>系基金</w:t>
      </w:r>
      <w:proofErr w:type="gramEnd"/>
      <w:r w:rsidRPr="0061142D">
        <w:rPr>
          <w:rFonts w:hAnsi="宋体"/>
          <w:color w:val="000000"/>
          <w:sz w:val="28"/>
        </w:rPr>
        <w:t>管理人的原因造成，责任由基金管理人承担，基金托管人不承担垫款义务。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、基金管理人确定分红方案通知基金托管人，双方核定后依照《信息披露办法》的有关规定在中国证监会指定媒体上公告并报中国证监会备案。</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w:t>
      </w:r>
      <w:r w:rsidRPr="0061142D">
        <w:rPr>
          <w:rFonts w:hAnsi="宋体"/>
          <w:color w:val="000000"/>
          <w:sz w:val="28"/>
        </w:rPr>
        <w:lastRenderedPageBreak/>
        <w:t>留出必需的划款时间。基金托管人未按约定时间拨付，给投资人造成损失的，基金托管人应承担赔偿责任；因基金托管资金账户没有足够的资金，导致基金托管人不能按时拨付，如</w:t>
      </w:r>
      <w:proofErr w:type="gramStart"/>
      <w:r w:rsidRPr="0061142D">
        <w:rPr>
          <w:rFonts w:hAnsi="宋体"/>
          <w:color w:val="000000"/>
          <w:sz w:val="28"/>
        </w:rPr>
        <w:t>系基金</w:t>
      </w:r>
      <w:proofErr w:type="gramEnd"/>
      <w:r w:rsidRPr="0061142D">
        <w:rPr>
          <w:rFonts w:hAnsi="宋体"/>
          <w:color w:val="000000"/>
          <w:sz w:val="28"/>
        </w:rPr>
        <w:t>管理人的原因造成，责任由基金管理人承担，基金托管人不承担垫款义务。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rsidR="009C2EF9" w:rsidRPr="0061142D" w:rsidRDefault="009C2EF9" w:rsidP="00EE5132">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t>八、基金资产净值计算和会计核算</w:t>
      </w:r>
      <w:bookmarkEnd w:id="88"/>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基金份额净值是指计算日基金资产净值除以计算日基金份额总数后得到的数值。基金份额净值的计算，精确到</w:t>
      </w:r>
      <w:r w:rsidRPr="0061142D">
        <w:rPr>
          <w:color w:val="000000"/>
          <w:sz w:val="28"/>
        </w:rPr>
        <w:t>0.001</w:t>
      </w:r>
      <w:r w:rsidRPr="0061142D">
        <w:rPr>
          <w:rFonts w:hAnsi="宋体"/>
          <w:color w:val="000000"/>
          <w:sz w:val="28"/>
        </w:rPr>
        <w:t>元，小数点后第四位四舍五入，由此产生的误差计入基金财产。国家另有规定的，从其规定。</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每工作日计算基金资产净值及基金份额净值，并按规定公告。</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基金所拥有的股票、权证、债券、股指期货和银行存款本息、应收款项、其它投资等资产及负债。</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或证券发行机构发生影响证券价格的重大事件</w:t>
      </w:r>
      <w:r w:rsidRPr="0061142D">
        <w:rPr>
          <w:rFonts w:ascii="Times New Roman" w:eastAsia="宋体"/>
          <w:sz w:val="28"/>
        </w:rPr>
        <w:t>的，可参考类似投资品种的现行市价及重大变化因素，调整最近交易市价，确定公允价格；</w:t>
      </w:r>
    </w:p>
    <w:p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lastRenderedPageBreak/>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首次公开发行有明确锁定期的股票，同一股票在交易所上市后，按交易所上市的同一股票的估值方法估值；非公开发行有明确锁定期的股票，按监管机构或行业协会有关规定确定公允价值。</w:t>
      </w:r>
    </w:p>
    <w:p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5</w:t>
      </w:r>
      <w:r w:rsidRPr="0061142D">
        <w:rPr>
          <w:rFonts w:hAnsi="宋体"/>
          <w:sz w:val="28"/>
        </w:rPr>
        <w:t>）股票指数期货合约估值方法：本基金投资股指期货合约，一般以估值当日结算价进行估值，估值当日无结算价的，且最近交易日后经济环境未发生重大变化的，采用最近交易日结算价估值。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6</w:t>
      </w:r>
      <w:r w:rsidRPr="0061142D">
        <w:rPr>
          <w:rFonts w:hAnsi="宋体"/>
          <w:sz w:val="28"/>
        </w:rPr>
        <w:t>）如有确凿证据表明按上述方法进行估值不能客观反映其公允价值的，基金管理人可根据具体情况与基金托管人商定后，按最能反映公允价值的价格估值。</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7</w:t>
      </w:r>
      <w:r w:rsidRPr="0061142D">
        <w:rPr>
          <w:rFonts w:hAnsi="宋体"/>
          <w:sz w:val="28"/>
        </w:rPr>
        <w:t>）相关法律法规以及监管部门有强制规定的，从其规定。如有新增事项，按国家最新规定估值。</w:t>
      </w:r>
    </w:p>
    <w:p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w:t>
      </w:r>
      <w:r w:rsidRPr="0061142D">
        <w:rPr>
          <w:rStyle w:val="read"/>
          <w:rFonts w:hAnsi="宋体"/>
          <w:sz w:val="28"/>
        </w:rPr>
        <w:lastRenderedPageBreak/>
        <w:t>定的方法、程序和相关法律法规的规定进行估值，以维护基金份额持有人的利益。</w:t>
      </w:r>
    </w:p>
    <w:p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Pr="0061142D">
        <w:rPr>
          <w:rStyle w:val="read"/>
          <w:color w:val="000000"/>
          <w:sz w:val="28"/>
        </w:rPr>
        <w:t>6</w:t>
      </w:r>
      <w:r w:rsidRPr="0061142D">
        <w:rPr>
          <w:rStyle w:val="read"/>
          <w:rFonts w:hAnsi="宋体"/>
          <w:color w:val="000000"/>
          <w:sz w:val="28"/>
        </w:rPr>
        <w:t>）项进行估值时，所造成的误差不作为基金份额净值错误处理。</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期货公司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Pr="0061142D">
        <w:rPr>
          <w:rStyle w:val="read"/>
          <w:color w:val="000000"/>
          <w:sz w:val="28"/>
        </w:rPr>
        <w:t>3</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Pr="0061142D">
        <w:rPr>
          <w:rStyle w:val="read"/>
          <w:color w:val="000000"/>
          <w:sz w:val="28"/>
        </w:rPr>
        <w:t>3</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w:t>
      </w:r>
      <w:r w:rsidRPr="0061142D">
        <w:rPr>
          <w:rStyle w:val="read"/>
          <w:rFonts w:hAnsi="宋体"/>
          <w:color w:val="000000"/>
          <w:sz w:val="28"/>
        </w:rPr>
        <w:lastRenderedPageBreak/>
        <w:t>基金管理人按差错情形，有权向其他当事人追偿。</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proofErr w:type="gramStart"/>
      <w:r w:rsidRPr="0061142D">
        <w:rPr>
          <w:rFonts w:hAnsi="宋体"/>
          <w:color w:val="000000"/>
          <w:kern w:val="0"/>
          <w:sz w:val="28"/>
        </w:rPr>
        <w:t>若基金</w:t>
      </w:r>
      <w:proofErr w:type="gramEnd"/>
      <w:r w:rsidRPr="0061142D">
        <w:rPr>
          <w:rFonts w:hAnsi="宋体"/>
          <w:color w:val="000000"/>
          <w:kern w:val="0"/>
          <w:sz w:val="28"/>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，基金托管人承担</w:t>
      </w:r>
      <w:r w:rsidRPr="0061142D">
        <w:rPr>
          <w:rStyle w:val="read"/>
          <w:color w:val="000000"/>
          <w:sz w:val="28"/>
        </w:rPr>
        <w:t>50%</w:t>
      </w:r>
      <w:r w:rsidRPr="0061142D">
        <w:rPr>
          <w:rStyle w:val="read"/>
          <w:rFonts w:hAnsi="宋体"/>
          <w:color w:val="000000"/>
          <w:sz w:val="28"/>
        </w:rPr>
        <w:t>。</w:t>
      </w:r>
    </w:p>
    <w:p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w:t>
      </w:r>
      <w:r w:rsidRPr="0061142D">
        <w:rPr>
          <w:rFonts w:hAnsi="宋体"/>
          <w:color w:val="000000"/>
          <w:sz w:val="28"/>
        </w:rPr>
        <w:lastRenderedPageBreak/>
        <w:t>如果行业有通行做法，双方当事人应本着平等和保护基金份额持有人利益的原则进行协商。</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280227" w:rsidRPr="00280227">
        <w:rPr>
          <w:rFonts w:hAnsi="宋体" w:hint="eastAsia"/>
          <w:bCs/>
          <w:color w:val="000000"/>
          <w:sz w:val="28"/>
        </w:rPr>
        <w:t>当前一估值日基金资产净值</w:t>
      </w:r>
      <w:r w:rsidR="00280227" w:rsidRPr="00280227">
        <w:rPr>
          <w:rFonts w:hAnsi="宋体" w:hint="eastAsia"/>
          <w:bCs/>
          <w:color w:val="000000"/>
          <w:sz w:val="28"/>
        </w:rPr>
        <w:t>50%</w:t>
      </w:r>
      <w:r w:rsidR="00280227" w:rsidRPr="00280227">
        <w:rPr>
          <w:rFonts w:hAnsi="宋体" w:hint="eastAsia"/>
          <w:bCs/>
          <w:color w:val="000000"/>
          <w:sz w:val="28"/>
        </w:rPr>
        <w:t>以上的资产出现无可参考的活跃市场价格且采用估值技术</w:t>
      </w:r>
      <w:proofErr w:type="gramStart"/>
      <w:r w:rsidR="00280227" w:rsidRPr="00280227">
        <w:rPr>
          <w:rFonts w:hAnsi="宋体" w:hint="eastAsia"/>
          <w:bCs/>
          <w:color w:val="000000"/>
          <w:sz w:val="28"/>
        </w:rPr>
        <w:t>仍导致</w:t>
      </w:r>
      <w:proofErr w:type="gramEnd"/>
      <w:r w:rsidR="00280227" w:rsidRPr="00280227">
        <w:rPr>
          <w:rFonts w:hAnsi="宋体" w:hint="eastAsia"/>
          <w:bCs/>
          <w:color w:val="000000"/>
          <w:sz w:val="28"/>
        </w:rPr>
        <w:t>公允价值存在重大不确定性时，经与基金托管人协商</w:t>
      </w:r>
      <w:r w:rsidR="004D7CF4">
        <w:rPr>
          <w:rFonts w:hAnsi="宋体" w:hint="eastAsia"/>
          <w:bCs/>
          <w:color w:val="000000"/>
          <w:sz w:val="28"/>
        </w:rPr>
        <w:t>确认后</w:t>
      </w:r>
      <w:r w:rsidR="00280227" w:rsidRPr="00280227">
        <w:rPr>
          <w:rFonts w:hAnsi="宋体" w:hint="eastAsia"/>
          <w:bCs/>
          <w:color w:val="000000"/>
          <w:sz w:val="28"/>
        </w:rPr>
        <w:t>，基金管理人应当暂停估值；</w:t>
      </w:r>
    </w:p>
    <w:p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t>4</w:t>
      </w:r>
      <w:r>
        <w:rPr>
          <w:rFonts w:hAnsi="宋体" w:hint="eastAsia"/>
          <w:color w:val="000000"/>
          <w:sz w:val="28"/>
        </w:rPr>
        <w:t>、</w:t>
      </w:r>
      <w:r w:rsidR="009C2EF9" w:rsidRPr="0061142D">
        <w:rPr>
          <w:rFonts w:hAnsi="宋体"/>
          <w:color w:val="000000"/>
          <w:sz w:val="28"/>
        </w:rPr>
        <w:t>中国证监会和基金合同认定的其他情形。</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（六）基金账册的建立</w:t>
      </w:r>
    </w:p>
    <w:p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w:t>
      </w:r>
      <w:proofErr w:type="gramStart"/>
      <w:r w:rsidRPr="0061142D">
        <w:rPr>
          <w:rFonts w:hAnsi="宋体"/>
          <w:sz w:val="28"/>
        </w:rPr>
        <w:t>若基金</w:t>
      </w:r>
      <w:proofErr w:type="gramEnd"/>
      <w:r w:rsidRPr="0061142D">
        <w:rPr>
          <w:rFonts w:hAnsi="宋体"/>
          <w:sz w:val="28"/>
        </w:rPr>
        <w:t>管理人和基金托管人对会计处理方法存在分歧，应以基金管理人的处理方法为准。若当日核对不符，暂时无法查找到错账的原因而影响到基金资产净值的计算和公告的，以基金管理人的账册为准。</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个工作日内完成；季度报告应在每个季度结束之日起</w:t>
      </w:r>
      <w:r w:rsidRPr="0061142D">
        <w:rPr>
          <w:color w:val="000000"/>
          <w:sz w:val="28"/>
        </w:rPr>
        <w:t>15</w:t>
      </w:r>
      <w:r w:rsidRPr="0061142D">
        <w:rPr>
          <w:rFonts w:hAnsi="宋体"/>
          <w:color w:val="000000"/>
          <w:sz w:val="28"/>
        </w:rPr>
        <w:t>个工作日内编制完毕并予</w:t>
      </w:r>
      <w:r w:rsidRPr="0061142D">
        <w:rPr>
          <w:rFonts w:hAnsi="宋体"/>
          <w:color w:val="000000"/>
          <w:sz w:val="28"/>
        </w:rPr>
        <w:lastRenderedPageBreak/>
        <w:t>以公告；半年度报告在会计年度半年终了后</w:t>
      </w:r>
      <w:r w:rsidRPr="0061142D">
        <w:rPr>
          <w:color w:val="000000"/>
          <w:sz w:val="28"/>
        </w:rPr>
        <w:t>60</w:t>
      </w:r>
      <w:r w:rsidRPr="0061142D">
        <w:rPr>
          <w:rFonts w:hAnsi="宋体"/>
          <w:color w:val="000000"/>
          <w:sz w:val="28"/>
        </w:rPr>
        <w:t>日内编制完毕并予以公告；年度报告在会计年度结束后</w:t>
      </w:r>
      <w:r w:rsidRPr="0061142D">
        <w:rPr>
          <w:color w:val="000000"/>
          <w:sz w:val="28"/>
        </w:rPr>
        <w:t>90</w:t>
      </w:r>
      <w:r w:rsidRPr="0061142D">
        <w:rPr>
          <w:rFonts w:hAnsi="宋体"/>
          <w:color w:val="000000"/>
          <w:sz w:val="28"/>
        </w:rPr>
        <w:t>日内编制完毕并予以公告。基金合同生效不足</w:t>
      </w:r>
      <w:r w:rsidRPr="0061142D">
        <w:rPr>
          <w:color w:val="000000"/>
          <w:sz w:val="28"/>
        </w:rPr>
        <w:t>2</w:t>
      </w:r>
      <w:r w:rsidRPr="0061142D">
        <w:rPr>
          <w:rFonts w:hAnsi="宋体"/>
          <w:color w:val="000000"/>
          <w:sz w:val="28"/>
        </w:rPr>
        <w:t>个月的，基金管理人可以不编制当期季度报告、半年度报告或者年度报告。</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个工作日内完成复核，并将复核结果书面通知基金管理人。基金管理人在半年度报告完成当日，将有关报告提供给基金托管人复核，基金托管人应在收到后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日内完成复核，并将复核结果书面通知基金管理人。基金管理人和基金托管人之间的上述文件往来均以加密传真的方式或双方商定的其他方式进行。</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sidRPr="0061142D">
        <w:rPr>
          <w:rFonts w:hAnsi="宋体"/>
          <w:color w:val="000000"/>
          <w:sz w:val="28"/>
        </w:rPr>
        <w:t>于应当</w:t>
      </w:r>
      <w:proofErr w:type="gramEnd"/>
      <w:r w:rsidRPr="0061142D">
        <w:rPr>
          <w:rFonts w:hAnsi="宋体"/>
          <w:color w:val="000000"/>
          <w:sz w:val="28"/>
        </w:rPr>
        <w:t>发布公告之日之前就相关报表达成一致，基金管理人有权按照其编制的报表对外发布公告，基金托管人有权就相关情况报中国证监会备案。</w:t>
      </w:r>
    </w:p>
    <w:p w:rsidR="00EE5132" w:rsidRPr="0061142D" w:rsidRDefault="00EE5132" w:rsidP="00EE5132">
      <w:pPr>
        <w:adjustRightInd w:val="0"/>
        <w:snapToGrid w:val="0"/>
        <w:spacing w:line="360" w:lineRule="auto"/>
        <w:ind w:firstLineChars="200" w:firstLine="560"/>
        <w:outlineLvl w:val="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lastRenderedPageBreak/>
        <w:t>九、基金收益分配</w:t>
      </w:r>
      <w:bookmarkEnd w:id="89"/>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、保本周期内的收益分配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）在符合有关基金分红条件的前提下，本基金每年收益分配次数最多为</w:t>
      </w:r>
      <w:r w:rsidRPr="0061142D">
        <w:rPr>
          <w:color w:val="000000"/>
          <w:sz w:val="28"/>
        </w:rPr>
        <w:t>12</w:t>
      </w:r>
      <w:r w:rsidRPr="0061142D">
        <w:rPr>
          <w:rFonts w:hAnsi="宋体"/>
          <w:color w:val="000000"/>
          <w:sz w:val="28"/>
        </w:rPr>
        <w:t>次，每次收益分配比例不得低于该次可供分配利润的</w:t>
      </w:r>
      <w:r w:rsidRPr="0061142D">
        <w:rPr>
          <w:color w:val="000000"/>
          <w:sz w:val="28"/>
        </w:rPr>
        <w:t>60%</w:t>
      </w:r>
      <w:r w:rsidRPr="0061142D">
        <w:rPr>
          <w:rFonts w:hAnsi="宋体"/>
          <w:color w:val="000000"/>
          <w:sz w:val="28"/>
        </w:rPr>
        <w:t>，</w:t>
      </w:r>
      <w:proofErr w:type="gramStart"/>
      <w:r w:rsidRPr="0061142D">
        <w:rPr>
          <w:rFonts w:hAnsi="宋体"/>
          <w:color w:val="000000"/>
          <w:sz w:val="28"/>
        </w:rPr>
        <w:t>若基金</w:t>
      </w:r>
      <w:proofErr w:type="gramEnd"/>
      <w:r w:rsidRPr="0061142D">
        <w:rPr>
          <w:rFonts w:hAnsi="宋体"/>
          <w:color w:val="000000"/>
          <w:sz w:val="28"/>
        </w:rPr>
        <w:t>合同生效不满</w:t>
      </w:r>
      <w:r w:rsidRPr="0061142D">
        <w:rPr>
          <w:color w:val="000000"/>
          <w:sz w:val="28"/>
        </w:rPr>
        <w:t>3</w:t>
      </w:r>
      <w:r w:rsidRPr="0061142D">
        <w:rPr>
          <w:rFonts w:hAnsi="宋体"/>
          <w:color w:val="000000"/>
          <w:sz w:val="28"/>
        </w:rPr>
        <w:t>个月可不进行收益分配；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）在符合上述第（</w:t>
      </w:r>
      <w:r w:rsidRPr="0061142D">
        <w:rPr>
          <w:color w:val="000000"/>
          <w:sz w:val="28"/>
        </w:rPr>
        <w:t>1</w:t>
      </w:r>
      <w:r w:rsidRPr="0061142D">
        <w:rPr>
          <w:rFonts w:hAnsi="宋体"/>
          <w:color w:val="000000"/>
          <w:sz w:val="28"/>
        </w:rPr>
        <w:t>）项约定收益分配次数和比例的前提下，当本基金自最近一次分红除息日以来（若尚未分红，则自基金合同生效日以来）的份额累计净值增长率达到或超过</w:t>
      </w:r>
      <w:r w:rsidRPr="0061142D">
        <w:rPr>
          <w:color w:val="000000"/>
          <w:sz w:val="28"/>
        </w:rPr>
        <w:t>5%</w:t>
      </w:r>
      <w:r w:rsidRPr="0061142D">
        <w:rPr>
          <w:rFonts w:hAnsi="宋体"/>
          <w:color w:val="000000"/>
          <w:sz w:val="28"/>
        </w:rPr>
        <w:t>，或者每份基金份额可供分配利润达到或超过</w:t>
      </w:r>
      <w:r w:rsidRPr="0061142D">
        <w:rPr>
          <w:color w:val="000000"/>
          <w:sz w:val="28"/>
        </w:rPr>
        <w:t>0.03</w:t>
      </w:r>
      <w:r w:rsidRPr="0061142D">
        <w:rPr>
          <w:rFonts w:hAnsi="宋体"/>
          <w:color w:val="000000"/>
          <w:sz w:val="28"/>
        </w:rPr>
        <w:t>元时，本基金管理人应在接下来的</w:t>
      </w:r>
      <w:r w:rsidRPr="0061142D">
        <w:rPr>
          <w:color w:val="000000"/>
          <w:sz w:val="28"/>
        </w:rPr>
        <w:t>15</w:t>
      </w:r>
      <w:r w:rsidRPr="0061142D">
        <w:rPr>
          <w:rFonts w:hAnsi="宋体"/>
          <w:color w:val="000000"/>
          <w:sz w:val="28"/>
        </w:rPr>
        <w:t>个工作日内进行收益分配；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）基金收益分配方式仅采取现金分红一种收益分配方式，不进行红利再投资；</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、转型为非保本的债券型基金后的收益分配</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）在符合有关基金分红条件的前提下，基金每年收益分配次数最多为</w:t>
      </w:r>
      <w:r w:rsidRPr="0061142D">
        <w:rPr>
          <w:color w:val="000000"/>
          <w:sz w:val="28"/>
        </w:rPr>
        <w:t>12</w:t>
      </w:r>
      <w:r w:rsidRPr="0061142D">
        <w:rPr>
          <w:rFonts w:hAnsi="宋体"/>
          <w:color w:val="000000"/>
          <w:sz w:val="28"/>
        </w:rPr>
        <w:t>次，每次收益分配比例不得低于该次可供分配利润的</w:t>
      </w:r>
      <w:r w:rsidRPr="0061142D">
        <w:rPr>
          <w:color w:val="000000"/>
          <w:sz w:val="28"/>
        </w:rPr>
        <w:t>60%</w:t>
      </w:r>
      <w:r w:rsidRPr="0061142D">
        <w:rPr>
          <w:rFonts w:hAnsi="宋体"/>
          <w:color w:val="000000"/>
          <w:sz w:val="28"/>
        </w:rPr>
        <w:t>；</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）基金收益分配方式分为现金分红与红利再投资，投资人可选择现金红利或将现金红利按除权日的单位净值自动转为基金份额进行再投资；若投资人不选择，本基金默认的收益分配方式是现金分红；</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3</w:t>
      </w:r>
      <w:r w:rsidRPr="0061142D">
        <w:rPr>
          <w:rFonts w:hAnsi="宋体"/>
          <w:color w:val="000000"/>
          <w:sz w:val="28"/>
        </w:rPr>
        <w:t>、基金收益分配后基金份额净值不能低于面值；即基金收益分</w:t>
      </w:r>
      <w:r w:rsidRPr="0061142D">
        <w:rPr>
          <w:rFonts w:hAnsi="宋体"/>
          <w:color w:val="000000"/>
          <w:sz w:val="28"/>
        </w:rPr>
        <w:lastRenderedPageBreak/>
        <w:t>配基准日的基金份额净值减去每单位基金份额收益分配金额后不能低于面值；</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4</w:t>
      </w:r>
      <w:r w:rsidRPr="0061142D">
        <w:rPr>
          <w:rFonts w:hAnsi="宋体"/>
          <w:color w:val="000000"/>
          <w:sz w:val="28"/>
        </w:rPr>
        <w:t>、每一基金份额享有同等的收益分配权；</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sz w:val="28"/>
        </w:rPr>
        <w:t>5</w:t>
      </w:r>
      <w:r w:rsidRPr="0061142D">
        <w:rPr>
          <w:rFonts w:hAnsi="宋体"/>
          <w:sz w:val="28"/>
        </w:rPr>
        <w:t>、法律法规或监管机构另有规定的从</w:t>
      </w:r>
      <w:r w:rsidRPr="0061142D">
        <w:rPr>
          <w:rFonts w:hAnsi="宋体"/>
          <w:color w:val="000000"/>
          <w:sz w:val="28"/>
        </w:rPr>
        <w:t>其规定。</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（二）基金收益分配方案的</w:t>
      </w:r>
      <w:r w:rsidRPr="0061142D">
        <w:rPr>
          <w:rFonts w:hAnsi="宋体"/>
          <w:sz w:val="28"/>
        </w:rPr>
        <w:t>确定、公告与实施</w:t>
      </w:r>
    </w:p>
    <w:p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、本基金收益分配方案由基金管理人拟定、由基金托管人复核，在</w:t>
      </w:r>
      <w:r w:rsidRPr="0061142D">
        <w:rPr>
          <w:sz w:val="28"/>
        </w:rPr>
        <w:t>2</w:t>
      </w:r>
      <w:r w:rsidRPr="0061142D">
        <w:rPr>
          <w:rFonts w:hAnsi="宋体"/>
          <w:sz w:val="28"/>
        </w:rPr>
        <w:t>个工作日内在指定媒体公告并向中国证监会备案。</w:t>
      </w:r>
    </w:p>
    <w:p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、本基金收益分配的发放</w:t>
      </w:r>
      <w:proofErr w:type="gramStart"/>
      <w:r w:rsidRPr="0061142D">
        <w:rPr>
          <w:rFonts w:hAnsi="宋体"/>
          <w:sz w:val="28"/>
        </w:rPr>
        <w:t>日距离</w:t>
      </w:r>
      <w:proofErr w:type="gramEnd"/>
      <w:r w:rsidRPr="0061142D">
        <w:rPr>
          <w:rFonts w:hAnsi="宋体"/>
          <w:sz w:val="28"/>
        </w:rPr>
        <w:t>收益分配基准日的时间不超过</w:t>
      </w:r>
      <w:r w:rsidRPr="0061142D">
        <w:rPr>
          <w:sz w:val="28"/>
        </w:rPr>
        <w:t>15</w:t>
      </w:r>
      <w:r w:rsidRPr="0061142D">
        <w:rPr>
          <w:rFonts w:hAnsi="宋体"/>
          <w:sz w:val="28"/>
        </w:rPr>
        <w:t>个工作日。</w:t>
      </w:r>
    </w:p>
    <w:p w:rsidR="009C2EF9" w:rsidRPr="0061142D" w:rsidRDefault="009C2EF9" w:rsidP="00EE5132">
      <w:pPr>
        <w:adjustRightInd w:val="0"/>
        <w:snapToGrid w:val="0"/>
        <w:spacing w:line="360" w:lineRule="auto"/>
        <w:ind w:firstLineChars="200" w:firstLine="560"/>
        <w:rPr>
          <w:color w:val="000000"/>
          <w:sz w:val="28"/>
        </w:rPr>
      </w:pPr>
    </w:p>
    <w:p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w:t>
      </w:r>
      <w:proofErr w:type="gramStart"/>
      <w:r w:rsidRPr="0061142D">
        <w:rPr>
          <w:rFonts w:hAnsi="宋体"/>
          <w:color w:val="000000"/>
          <w:sz w:val="28"/>
        </w:rPr>
        <w:t>合法履行</w:t>
      </w:r>
      <w:proofErr w:type="gramEnd"/>
      <w:r w:rsidRPr="0061142D">
        <w:rPr>
          <w:rFonts w:hAnsi="宋体"/>
          <w:color w:val="000000"/>
          <w:sz w:val="28"/>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（二）信息披露的内容</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的信息披露主要包括基金招募说明书、基金合同、托管协议、基金份额发售公告、基金募集情况、基金合同生效公告、基金资产净值、基金份额净值、基金份额累计净值公告、基金份额申购赎回价格、基金定期报告（包括基金年度报告、基金半年度报告和基金季度报告），以及临时报告、澄清公告、基金份额持有人大会决议、中国证监会规定的其他信息。基金年度报告需经具有从事证券相关业务资格的会计师事务所审计后，方可披露。</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）和基金管理人的互联网网站等媒介披露。根据法律法规应由基金托管人公开披露的信息，基金托管人将通过指定报刊和基金托管人的互联网网站公开披露。</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(1)</w:t>
      </w:r>
      <w:r w:rsidRPr="0061142D">
        <w:rPr>
          <w:rFonts w:hAnsi="宋体"/>
          <w:color w:val="000000"/>
          <w:sz w:val="28"/>
        </w:rPr>
        <w:t>不可抗力；</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rsidR="00EE5132" w:rsidRPr="0061142D" w:rsidRDefault="00EE5132" w:rsidP="00EE5132">
      <w:pPr>
        <w:pStyle w:val="a0"/>
        <w:adjustRightInd w:val="0"/>
        <w:snapToGrid w:val="0"/>
        <w:spacing w:line="360" w:lineRule="auto"/>
        <w:ind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Pr="0061142D">
        <w:rPr>
          <w:color w:val="000000"/>
          <w:sz w:val="28"/>
        </w:rPr>
        <w:t>1.2%</w:t>
      </w:r>
      <w:r w:rsidRPr="0061142D">
        <w:rPr>
          <w:rFonts w:hAnsi="宋体"/>
          <w:color w:val="000000"/>
          <w:sz w:val="28"/>
        </w:rPr>
        <w:t>年费率计提。计算方法如下：</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在保本周期内，本基金的保证费用或风险买断费用从基金管理人的管理费收入中列支，向担保人或保本义务人支付。</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w:t>
      </w:r>
      <w:r w:rsidRPr="0061142D">
        <w:rPr>
          <w:rFonts w:hAnsi="宋体"/>
          <w:color w:val="000000"/>
          <w:sz w:val="28"/>
        </w:rPr>
        <w:lastRenderedPageBreak/>
        <w:t>率计提。计算方法如下：</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（三）本基金在到期期间（除保本周期到期日）和过渡期内，基金管理人和基金托管人免收基金管理费和基金托管费。</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（四）若保本周期到期后，本基金不符合保本基金存续条件但符合法律法规和基金合同对基金的存续要求，本基金根据基金合同约定变更为</w:t>
      </w:r>
      <w:r w:rsidRPr="0061142D">
        <w:rPr>
          <w:color w:val="000000"/>
          <w:sz w:val="28"/>
        </w:rPr>
        <w:t>“</w:t>
      </w:r>
      <w:r w:rsidRPr="0061142D">
        <w:rPr>
          <w:rFonts w:hAnsi="宋体"/>
          <w:color w:val="000000"/>
          <w:sz w:val="28"/>
        </w:rPr>
        <w:t>交银施罗德稳固收益债券型证券投资基金</w:t>
      </w:r>
      <w:r w:rsidRPr="0061142D">
        <w:rPr>
          <w:color w:val="000000"/>
          <w:sz w:val="28"/>
        </w:rPr>
        <w:t>”</w:t>
      </w:r>
      <w:r w:rsidRPr="0061142D">
        <w:rPr>
          <w:rFonts w:hAnsi="宋体"/>
          <w:color w:val="000000"/>
          <w:sz w:val="28"/>
        </w:rPr>
        <w:t>后，基金管理费按前一日基金资产净值的</w:t>
      </w:r>
      <w:r w:rsidRPr="0061142D">
        <w:rPr>
          <w:color w:val="000000"/>
          <w:sz w:val="28"/>
        </w:rPr>
        <w:t>0.7%</w:t>
      </w:r>
      <w:r w:rsidRPr="0061142D">
        <w:rPr>
          <w:rFonts w:hAnsi="宋体"/>
          <w:color w:val="000000"/>
          <w:sz w:val="28"/>
        </w:rPr>
        <w:t>的年费率计提，基金托管费仍按前一日基金资产净值的</w:t>
      </w:r>
      <w:r w:rsidRPr="0061142D">
        <w:rPr>
          <w:color w:val="000000"/>
          <w:sz w:val="28"/>
        </w:rPr>
        <w:t>0.2%</w:t>
      </w:r>
      <w:r w:rsidRPr="0061142D">
        <w:rPr>
          <w:rFonts w:hAnsi="宋体"/>
          <w:color w:val="000000"/>
          <w:sz w:val="28"/>
        </w:rPr>
        <w:t>的年费率计提。计算方法同上。</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银行汇划费用、基金的证券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（六）不列入基金费用的项目</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基金管理人与基金托管人因未履行或未完全履行义务导致的费用支出或基金资产的损失，以及处理与基金运作无关的事项发生的费用等不列入基金费用。基金合同生效前的相关费用，包括但不限于</w:t>
      </w:r>
      <w:proofErr w:type="gramStart"/>
      <w:r w:rsidRPr="0061142D">
        <w:rPr>
          <w:rFonts w:hAnsi="宋体"/>
          <w:color w:val="000000"/>
          <w:sz w:val="28"/>
        </w:rPr>
        <w:t>验</w:t>
      </w:r>
      <w:proofErr w:type="gramEnd"/>
      <w:r w:rsidRPr="0061142D">
        <w:rPr>
          <w:rFonts w:hAnsi="宋体"/>
          <w:color w:val="000000"/>
          <w:sz w:val="28"/>
        </w:rPr>
        <w:t>资费、会计师和律师费、信息披露费等费用不列入基金费用。</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（七）本基金运作前产生的可以从基金财产中列支的相关费用由基金管理人垫付，运作后由基金管理人向基金托管人发送划付指令</w:t>
      </w:r>
      <w:r w:rsidR="0087516D">
        <w:rPr>
          <w:color w:val="000000"/>
          <w:sz w:val="28"/>
        </w:rPr>
        <w:t>，</w:t>
      </w:r>
      <w:r w:rsidRPr="0061142D">
        <w:rPr>
          <w:rFonts w:hAnsi="宋体"/>
          <w:color w:val="000000"/>
          <w:sz w:val="28"/>
        </w:rPr>
        <w:t>经基金托管人复核后于次日起</w:t>
      </w:r>
      <w:r w:rsidRPr="0061142D">
        <w:rPr>
          <w:color w:val="000000"/>
          <w:sz w:val="28"/>
        </w:rPr>
        <w:t>3</w:t>
      </w:r>
      <w:r w:rsidRPr="0061142D">
        <w:rPr>
          <w:rFonts w:hAnsi="宋体"/>
          <w:color w:val="000000"/>
          <w:sz w:val="28"/>
        </w:rPr>
        <w:t>个工作日内从基金资产中一次性支</w:t>
      </w:r>
      <w:r w:rsidRPr="0061142D">
        <w:rPr>
          <w:rFonts w:hAnsi="宋体"/>
          <w:color w:val="000000"/>
          <w:sz w:val="28"/>
        </w:rPr>
        <w:lastRenderedPageBreak/>
        <w:t>付给基金管理人。</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（八）基金管理费和基金托管费的调整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基金管理人和基金托管人可协商酌情降低基金管理费和基金托管费，此项调整不需要基金份额持有人大会决议通过。基金管理人必须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指定媒体和基金管理人网站</w:t>
      </w:r>
      <w:r w:rsidRPr="0061142D">
        <w:rPr>
          <w:rFonts w:hAnsi="宋体"/>
          <w:color w:val="000000"/>
          <w:sz w:val="28"/>
        </w:rPr>
        <w:t>上刊登公告。</w:t>
      </w:r>
    </w:p>
    <w:p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（九）基金管理费和基金托管费的复核程序、支付方式和时间</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基金托管人对基金管理人计提的基金管理费和基金托管费等，根据本托管协议和基金合同的有关规定进行复核。</w:t>
      </w:r>
    </w:p>
    <w:p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（十）违规处理方式</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9C2EF9" w:rsidRPr="0061142D" w:rsidRDefault="009C2EF9" w:rsidP="00EE5132">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w:t>
      </w:r>
      <w:proofErr w:type="gramStart"/>
      <w:r w:rsidRPr="0061142D">
        <w:rPr>
          <w:rFonts w:ascii="Times New Roman" w:eastAsia="宋体" w:hAnsi="宋体"/>
          <w:color w:val="000000"/>
          <w:sz w:val="28"/>
        </w:rPr>
        <w:t>的</w:t>
      </w:r>
      <w:proofErr w:type="gramEnd"/>
      <w:r w:rsidRPr="0061142D">
        <w:rPr>
          <w:rFonts w:ascii="Times New Roman" w:eastAsia="宋体" w:hAnsi="宋体"/>
          <w:color w:val="000000"/>
          <w:sz w:val="28"/>
        </w:rPr>
        <w:t>登记与保管</w:t>
      </w:r>
      <w:bookmarkEnd w:id="92"/>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w:t>
      </w:r>
      <w:r w:rsidRPr="0061142D">
        <w:rPr>
          <w:rFonts w:hAnsi="宋体"/>
          <w:color w:val="000000"/>
          <w:sz w:val="28"/>
        </w:rPr>
        <w:lastRenderedPageBreak/>
        <w:t>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w:t>
      </w:r>
      <w:proofErr w:type="gramStart"/>
      <w:r w:rsidRPr="0061142D">
        <w:rPr>
          <w:rFonts w:hAnsi="宋体"/>
          <w:color w:val="000000"/>
          <w:sz w:val="28"/>
        </w:rPr>
        <w:t>若基金</w:t>
      </w:r>
      <w:proofErr w:type="gramEnd"/>
      <w:r w:rsidRPr="0061142D">
        <w:rPr>
          <w:rFonts w:hAnsi="宋体"/>
          <w:color w:val="000000"/>
          <w:sz w:val="28"/>
        </w:rPr>
        <w:t>管理人或基金托管人由于自身原因无法妥善保管基金份额持有人名册，应按有关法规规定各自承担相应的责任。</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（二）合同档案的建立</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rsidR="009C2EF9" w:rsidRPr="0061142D" w:rsidRDefault="009C2EF9" w:rsidP="0061142D">
      <w:pPr>
        <w:adjustRightInd w:val="0"/>
        <w:snapToGrid w:val="0"/>
        <w:spacing w:line="360" w:lineRule="auto"/>
        <w:ind w:firstLineChars="200" w:firstLine="560"/>
        <w:rPr>
          <w:b/>
          <w:color w:val="000000"/>
          <w:sz w:val="28"/>
        </w:rPr>
      </w:pPr>
      <w:proofErr w:type="gramStart"/>
      <w:r w:rsidRPr="0061142D">
        <w:rPr>
          <w:rFonts w:hAnsi="宋体"/>
          <w:color w:val="000000"/>
          <w:sz w:val="28"/>
        </w:rPr>
        <w:t>若基金</w:t>
      </w:r>
      <w:proofErr w:type="gramEnd"/>
      <w:r w:rsidRPr="0061142D">
        <w:rPr>
          <w:rFonts w:hAnsi="宋体"/>
          <w:color w:val="000000"/>
          <w:sz w:val="28"/>
        </w:rPr>
        <w:t>管理人</w:t>
      </w:r>
      <w:r w:rsidRPr="0061142D">
        <w:rPr>
          <w:color w:val="000000"/>
          <w:sz w:val="28"/>
        </w:rPr>
        <w:t>/</w:t>
      </w:r>
      <w:r w:rsidRPr="0061142D">
        <w:rPr>
          <w:rFonts w:hAnsi="宋体"/>
          <w:color w:val="000000"/>
          <w:sz w:val="28"/>
        </w:rPr>
        <w:t>基金托管人发生变更，未变更的一方有义务协助变更后的接任人接收相应文件。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t>十四、基金管理人和基金托管人的更换</w:t>
      </w:r>
      <w:bookmarkEnd w:id="94"/>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w:t>
      </w:r>
      <w:proofErr w:type="gramStart"/>
      <w:r w:rsidRPr="0061142D">
        <w:rPr>
          <w:rFonts w:hAnsi="宋体"/>
          <w:color w:val="000000"/>
          <w:sz w:val="28"/>
        </w:rPr>
        <w:t>新任基金</w:t>
      </w:r>
      <w:proofErr w:type="gramEnd"/>
      <w:r w:rsidRPr="0061142D">
        <w:rPr>
          <w:rFonts w:hAnsi="宋体"/>
          <w:color w:val="000000"/>
          <w:sz w:val="28"/>
        </w:rPr>
        <w:t>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w:t>
      </w:r>
      <w:r w:rsidRPr="0061142D">
        <w:rPr>
          <w:rFonts w:hAnsi="宋体"/>
          <w:color w:val="000000"/>
          <w:sz w:val="28"/>
        </w:rPr>
        <w:lastRenderedPageBreak/>
        <w:t>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w:t>
      </w:r>
      <w:proofErr w:type="gramStart"/>
      <w:r w:rsidRPr="0061142D">
        <w:rPr>
          <w:rFonts w:hAnsi="宋体"/>
          <w:color w:val="000000"/>
          <w:sz w:val="28"/>
        </w:rPr>
        <w:t>新任基金</w:t>
      </w:r>
      <w:proofErr w:type="gramEnd"/>
      <w:r w:rsidRPr="0061142D">
        <w:rPr>
          <w:rFonts w:hAnsi="宋体"/>
          <w:color w:val="000000"/>
          <w:sz w:val="28"/>
        </w:rPr>
        <w:t>管理人应当符合法律法规及中国证监会规定的资格条件；</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w:t>
      </w:r>
      <w:proofErr w:type="gramStart"/>
      <w:r w:rsidRPr="0061142D">
        <w:rPr>
          <w:rFonts w:hAnsi="宋体"/>
          <w:color w:val="000000"/>
          <w:sz w:val="28"/>
        </w:rPr>
        <w:t>新任基金</w:t>
      </w:r>
      <w:proofErr w:type="gramEnd"/>
      <w:r w:rsidRPr="0061142D">
        <w:rPr>
          <w:rFonts w:hAnsi="宋体"/>
          <w:color w:val="000000"/>
          <w:sz w:val="28"/>
        </w:rPr>
        <w:t>管理人产生之前，由中国证监会指定临时基金管理人；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核准：基金份额持有人大会更换基金管理人的决议须经中国证监会核准生效后方可执行；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公告：基金管理人更换后，由基金托管人在中国证监会核准后</w:t>
      </w:r>
      <w:r w:rsidRPr="0061142D">
        <w:rPr>
          <w:color w:val="000000"/>
          <w:sz w:val="28"/>
        </w:rPr>
        <w:t>2</w:t>
      </w:r>
      <w:r w:rsidRPr="0061142D">
        <w:rPr>
          <w:rFonts w:hAnsi="宋体"/>
          <w:color w:val="000000"/>
          <w:sz w:val="28"/>
        </w:rPr>
        <w:t>日内在指定媒体公告；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w:t>
      </w:r>
      <w:proofErr w:type="gramStart"/>
      <w:r w:rsidRPr="0061142D">
        <w:rPr>
          <w:rFonts w:hAnsi="宋体"/>
          <w:color w:val="000000"/>
          <w:sz w:val="28"/>
        </w:rPr>
        <w:t>新任基金</w:t>
      </w:r>
      <w:proofErr w:type="gramEnd"/>
      <w:r w:rsidRPr="0061142D">
        <w:rPr>
          <w:rFonts w:hAnsi="宋体"/>
          <w:color w:val="000000"/>
          <w:sz w:val="28"/>
        </w:rPr>
        <w:t>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并与基金托管人核对基金资产总值和净值</w:t>
      </w:r>
      <w:r w:rsidRPr="0061142D">
        <w:rPr>
          <w:rFonts w:hAnsi="宋体"/>
          <w:color w:val="000000"/>
          <w:sz w:val="28"/>
        </w:rPr>
        <w:t>；</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w:t>
      </w:r>
      <w:proofErr w:type="gramStart"/>
      <w:r w:rsidRPr="0061142D">
        <w:rPr>
          <w:rFonts w:hAnsi="宋体"/>
          <w:color w:val="000000"/>
          <w:sz w:val="28"/>
        </w:rPr>
        <w:t>新任基金</w:t>
      </w:r>
      <w:proofErr w:type="gramEnd"/>
      <w:r w:rsidRPr="0061142D">
        <w:rPr>
          <w:rFonts w:hAnsi="宋体"/>
          <w:color w:val="000000"/>
          <w:sz w:val="28"/>
        </w:rPr>
        <w:t>管理人要求，应按其要求替换或删除基金名称中与</w:t>
      </w:r>
      <w:proofErr w:type="gramStart"/>
      <w:r w:rsidRPr="0061142D">
        <w:rPr>
          <w:rFonts w:hAnsi="宋体"/>
          <w:color w:val="000000"/>
          <w:sz w:val="28"/>
        </w:rPr>
        <w:t>原基金</w:t>
      </w:r>
      <w:proofErr w:type="gramEnd"/>
      <w:r w:rsidRPr="0061142D">
        <w:rPr>
          <w:rFonts w:hAnsi="宋体"/>
          <w:color w:val="000000"/>
          <w:sz w:val="28"/>
        </w:rPr>
        <w:t>管理人有关的名称字样。</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有下列情形之一的，经中国证监会核准，基金托管人职责终止：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(4)</w:t>
      </w:r>
      <w:r w:rsidRPr="0061142D">
        <w:rPr>
          <w:rFonts w:hAnsi="宋体"/>
          <w:color w:val="000000"/>
          <w:sz w:val="28"/>
        </w:rPr>
        <w:t>法律法规和基金合同规定的其他情形。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w:t>
      </w:r>
      <w:proofErr w:type="gramStart"/>
      <w:r w:rsidRPr="0061142D">
        <w:rPr>
          <w:rFonts w:hAnsi="宋体"/>
          <w:color w:val="000000"/>
          <w:sz w:val="28"/>
        </w:rPr>
        <w:t>新任基金</w:t>
      </w:r>
      <w:proofErr w:type="gramEnd"/>
      <w:r w:rsidRPr="0061142D">
        <w:rPr>
          <w:rFonts w:hAnsi="宋体"/>
          <w:color w:val="000000"/>
          <w:sz w:val="28"/>
        </w:rPr>
        <w:t>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w:t>
      </w:r>
      <w:proofErr w:type="gramStart"/>
      <w:r w:rsidRPr="0061142D">
        <w:rPr>
          <w:rFonts w:hAnsi="宋体"/>
          <w:color w:val="000000"/>
          <w:sz w:val="28"/>
        </w:rPr>
        <w:t>新任基金</w:t>
      </w:r>
      <w:proofErr w:type="gramEnd"/>
      <w:r w:rsidRPr="0061142D">
        <w:rPr>
          <w:rFonts w:hAnsi="宋体"/>
          <w:color w:val="000000"/>
          <w:sz w:val="28"/>
        </w:rPr>
        <w:t>托管人应当符合法律法规及中国证监会规定的资格条件；</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w:t>
      </w:r>
      <w:proofErr w:type="gramStart"/>
      <w:r w:rsidRPr="0061142D">
        <w:rPr>
          <w:rFonts w:hAnsi="宋体"/>
          <w:color w:val="000000"/>
          <w:sz w:val="28"/>
        </w:rPr>
        <w:t>新任基金</w:t>
      </w:r>
      <w:proofErr w:type="gramEnd"/>
      <w:r w:rsidRPr="0061142D">
        <w:rPr>
          <w:rFonts w:hAnsi="宋体"/>
          <w:color w:val="000000"/>
          <w:sz w:val="28"/>
        </w:rPr>
        <w:t>托管人产生之前，由中国证监会指定临时基金托管人；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核准：基金份额持有人大会更换基金托管人的决议须经中国证监会核准生效后方可执行；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公告：基金托管人更换后，由基金管理人在中国证监会核准后</w:t>
      </w:r>
      <w:r w:rsidRPr="0061142D">
        <w:rPr>
          <w:color w:val="000000"/>
          <w:sz w:val="28"/>
        </w:rPr>
        <w:t>2</w:t>
      </w:r>
      <w:r w:rsidRPr="0061142D">
        <w:rPr>
          <w:rFonts w:hAnsi="宋体"/>
          <w:color w:val="000000"/>
          <w:sz w:val="28"/>
        </w:rPr>
        <w:t>日内在指定媒体公告；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w:t>
      </w:r>
      <w:proofErr w:type="gramStart"/>
      <w:r w:rsidRPr="0061142D">
        <w:rPr>
          <w:rFonts w:hAnsi="宋体"/>
          <w:color w:val="000000"/>
          <w:sz w:val="28"/>
        </w:rPr>
        <w:t>新任基金</w:t>
      </w:r>
      <w:proofErr w:type="gramEnd"/>
      <w:r w:rsidRPr="0061142D">
        <w:rPr>
          <w:rFonts w:hAnsi="宋体"/>
          <w:color w:val="000000"/>
          <w:sz w:val="28"/>
        </w:rPr>
        <w:t>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审计：基金托管人职责终止的，应当按照法律法规规定聘请会计师事务所对基金财产进行审计，并将审计结果予以公告，同时报中国证监会备案，审计费用从基金财产中列支。</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、基金管理人和基金托管人的更换分别按上述程序进行；</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w:t>
      </w:r>
      <w:proofErr w:type="gramStart"/>
      <w:r w:rsidRPr="0061142D">
        <w:rPr>
          <w:rFonts w:hAnsi="宋体"/>
          <w:color w:val="000000"/>
          <w:sz w:val="28"/>
        </w:rPr>
        <w:t>新任基金</w:t>
      </w:r>
      <w:proofErr w:type="gramEnd"/>
      <w:r w:rsidRPr="0061142D">
        <w:rPr>
          <w:rFonts w:hAnsi="宋体"/>
          <w:color w:val="000000"/>
          <w:sz w:val="28"/>
        </w:rPr>
        <w:t>管理人和</w:t>
      </w:r>
      <w:proofErr w:type="gramStart"/>
      <w:r w:rsidRPr="0061142D">
        <w:rPr>
          <w:rFonts w:hAnsi="宋体"/>
          <w:color w:val="000000"/>
          <w:sz w:val="28"/>
        </w:rPr>
        <w:t>新任基金</w:t>
      </w:r>
      <w:proofErr w:type="gramEnd"/>
      <w:r w:rsidRPr="0061142D">
        <w:rPr>
          <w:rFonts w:hAnsi="宋体"/>
          <w:color w:val="000000"/>
          <w:sz w:val="28"/>
        </w:rPr>
        <w:t>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Pr="0061142D">
        <w:rPr>
          <w:rFonts w:hAnsi="宋体"/>
          <w:color w:val="000000"/>
          <w:sz w:val="28"/>
        </w:rPr>
        <w:t>获得中国证监会核准后</w:t>
      </w:r>
      <w:r w:rsidRPr="0061142D">
        <w:rPr>
          <w:color w:val="000000"/>
          <w:sz w:val="28"/>
        </w:rPr>
        <w:t>2</w:t>
      </w:r>
      <w:r w:rsidRPr="0061142D">
        <w:rPr>
          <w:rFonts w:hAnsi="宋体"/>
          <w:color w:val="000000"/>
          <w:sz w:val="28"/>
        </w:rPr>
        <w:t>日内依照有关规定在指定媒体上联合公告。</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w:t>
      </w:r>
      <w:proofErr w:type="gramStart"/>
      <w:r w:rsidRPr="0061142D">
        <w:rPr>
          <w:rFonts w:hAnsi="宋体"/>
          <w:color w:val="000000"/>
          <w:sz w:val="28"/>
        </w:rPr>
        <w:t>原基金</w:t>
      </w:r>
      <w:proofErr w:type="gramEnd"/>
      <w:r w:rsidRPr="0061142D">
        <w:rPr>
          <w:rFonts w:hAnsi="宋体"/>
          <w:color w:val="000000"/>
          <w:sz w:val="28"/>
        </w:rPr>
        <w:t>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（一）基金管理人、基金托管人将其固有财产或者他人财产混同于基金财产从事证券投资。</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w:t>
      </w:r>
      <w:r w:rsidRPr="0061142D">
        <w:rPr>
          <w:rFonts w:hAnsi="宋体"/>
          <w:color w:val="000000"/>
          <w:sz w:val="28"/>
        </w:rPr>
        <w:lastRenderedPageBreak/>
        <w:t>级管理人员和</w:t>
      </w:r>
      <w:r w:rsidRPr="0061142D">
        <w:rPr>
          <w:rFonts w:hAnsi="宋体"/>
          <w:sz w:val="28"/>
        </w:rPr>
        <w:t>其他从业人员相互</w:t>
      </w:r>
      <w:r w:rsidRPr="0061142D">
        <w:rPr>
          <w:rFonts w:hAnsi="宋体"/>
          <w:color w:val="000000"/>
          <w:sz w:val="28"/>
        </w:rPr>
        <w:t>兼职。</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、向他人贷款或者提供担保；</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、向其基金管理人、基金托管人出资或者买卖其基金管理人、基金托管人发行的股票或者债券；</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、买卖与其基金管理人、基金托管人有控股关系的股东或者与其基金管理人、基金托管人有其他重大利害关系的公司发行的证券或者承销期内承销的证券；</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、从事内幕交易、操纵证券交易价格及其他不正当的证券交易活动；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、依照法律法规有关规定，由中国证监会规定禁止的其他活动。</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本协议双方当事人经协商一致，可以对协议进行修改。修改后的新协议，其内容不得与基金合同的规定有任何冲突。基金托管协议的变更报中国证监会核准或备案后生效。</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对基金财产和债权债务进行清理和确认；</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w:t>
      </w:r>
      <w:proofErr w:type="gramStart"/>
      <w:r w:rsidRPr="0061142D">
        <w:rPr>
          <w:rFonts w:hAnsi="宋体"/>
          <w:color w:val="000000"/>
          <w:sz w:val="28"/>
        </w:rPr>
        <w:t>遇基金</w:t>
      </w:r>
      <w:proofErr w:type="gramEnd"/>
      <w:r w:rsidRPr="0061142D">
        <w:rPr>
          <w:rFonts w:hAnsi="宋体"/>
          <w:color w:val="000000"/>
          <w:sz w:val="28"/>
        </w:rPr>
        <w:t>持有的股票或其他有价证券出现长期休市、停牌或其他流通受限的情形除外。</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交纳所欠税款；</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6</w:t>
      </w:r>
      <w:r w:rsidRPr="0061142D">
        <w:rPr>
          <w:rFonts w:hAnsi="宋体"/>
          <w:color w:val="000000"/>
          <w:sz w:val="28"/>
        </w:rPr>
        <w:t>、基金财产清算账册及文件的保存</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（五）违约行为虽已发生，但本托管协议能够继续履行的，在最大限度地保护基金份额持有人利益的前提下，基金管理人和基金托管人应当继续履行本协议。</w:t>
      </w:r>
      <w:proofErr w:type="gramStart"/>
      <w:r w:rsidRPr="0061142D">
        <w:rPr>
          <w:rFonts w:hAnsi="宋体"/>
          <w:color w:val="000000"/>
          <w:sz w:val="28"/>
        </w:rPr>
        <w:t>若基金</w:t>
      </w:r>
      <w:proofErr w:type="gramEnd"/>
      <w:r w:rsidRPr="0061142D">
        <w:rPr>
          <w:rFonts w:hAnsi="宋体"/>
          <w:color w:val="000000"/>
          <w:sz w:val="28"/>
        </w:rPr>
        <w:t>管理人或基金托管人因履行本协议而被起诉，另一方应提供合理的必要支持。</w:t>
      </w:r>
    </w:p>
    <w:p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rsidR="009C2EF9" w:rsidRPr="0061142D" w:rsidRDefault="009C2EF9" w:rsidP="0061142D">
      <w:pPr>
        <w:adjustRightInd w:val="0"/>
        <w:snapToGrid w:val="0"/>
        <w:spacing w:line="360" w:lineRule="auto"/>
        <w:ind w:firstLineChars="200" w:firstLine="560"/>
        <w:outlineLvl w:val="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rsidR="0061142D" w:rsidRPr="0061142D" w:rsidRDefault="0061142D" w:rsidP="0061142D">
      <w:pPr>
        <w:adjustRightInd w:val="0"/>
        <w:snapToGrid w:val="0"/>
        <w:spacing w:line="360" w:lineRule="auto"/>
        <w:ind w:firstLineChars="225" w:firstLine="63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核准的文本为正式文本。</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（二）托管协议自基金合同成立之日起成立，自基金合同生效之日起生效。托管协议的有效期自其生效之日起至该基金财产清算结果报中国证监会备案并公告之日止。</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除本协议有明确定义外，本协议的用语定义适用基金合同的约定。本协议未尽事宜，当事人依据基金合同、有关法律法规等规定协商办理。</w:t>
      </w:r>
    </w:p>
    <w:p w:rsidR="009C2EF9" w:rsidRPr="0061142D" w:rsidRDefault="009C2EF9" w:rsidP="0061142D">
      <w:pPr>
        <w:adjustRightInd w:val="0"/>
        <w:snapToGrid w:val="0"/>
        <w:spacing w:line="360" w:lineRule="auto"/>
        <w:ind w:firstLineChars="200" w:firstLine="562"/>
        <w:rPr>
          <w:b/>
          <w:color w:val="000000"/>
          <w:sz w:val="28"/>
        </w:rPr>
      </w:pPr>
    </w:p>
    <w:p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rsidR="009C2EF9" w:rsidRPr="0061142D" w:rsidRDefault="009C2EF9" w:rsidP="0061142D">
      <w:pPr>
        <w:adjustRightInd w:val="0"/>
        <w:snapToGrid w:val="0"/>
        <w:spacing w:line="360" w:lineRule="auto"/>
        <w:ind w:firstLineChars="200" w:firstLine="560"/>
        <w:rPr>
          <w:color w:val="000000"/>
          <w:sz w:val="28"/>
        </w:rPr>
      </w:pPr>
    </w:p>
    <w:p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2"/>
          <w:headerReference w:type="first" r:id="rId13"/>
          <w:pgSz w:w="11906" w:h="16838"/>
          <w:pgMar w:top="1440" w:right="1797" w:bottom="1440" w:left="1797" w:header="851" w:footer="992" w:gutter="0"/>
          <w:pgNumType w:start="2"/>
          <w:cols w:space="720"/>
          <w:titlePg/>
          <w:docGrid w:type="lines" w:linePitch="312"/>
        </w:sectPr>
      </w:pPr>
      <w:bookmarkStart w:id="102" w:name="_Hlt89590562"/>
      <w:bookmarkEnd w:id="102"/>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（本页无正文，为《交银施罗德荣祥保本混合型证券投资基金托管协议》的签字盖章页）</w:t>
      </w:r>
    </w:p>
    <w:p w:rsidR="009C2EF9" w:rsidRPr="0061142D" w:rsidRDefault="009C2EF9" w:rsidP="0061142D">
      <w:pPr>
        <w:adjustRightInd w:val="0"/>
        <w:snapToGrid w:val="0"/>
        <w:spacing w:line="360" w:lineRule="auto"/>
        <w:ind w:firstLineChars="200" w:firstLine="560"/>
        <w:rPr>
          <w:sz w:val="28"/>
        </w:rPr>
      </w:pPr>
    </w:p>
    <w:p w:rsidR="009C2EF9" w:rsidRPr="0061142D" w:rsidRDefault="009C2EF9" w:rsidP="0061142D">
      <w:pPr>
        <w:adjustRightInd w:val="0"/>
        <w:snapToGrid w:val="0"/>
        <w:spacing w:line="360" w:lineRule="auto"/>
        <w:ind w:firstLineChars="200" w:firstLine="560"/>
        <w:rPr>
          <w:sz w:val="28"/>
        </w:rPr>
      </w:pPr>
    </w:p>
    <w:p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法定代表人或授权代表（签字）：</w:t>
      </w:r>
      <w:r w:rsidRPr="0061142D">
        <w:rPr>
          <w:rFonts w:ascii="Times New Roman" w:eastAsia="宋体" w:hAnsi="Times New Roman"/>
          <w:sz w:val="28"/>
        </w:rPr>
        <w:t xml:space="preserve"> </w:t>
      </w:r>
    </w:p>
    <w:p w:rsidR="0061142D" w:rsidRPr="0061142D" w:rsidRDefault="0061142D" w:rsidP="0061142D">
      <w:pPr>
        <w:pStyle w:val="Style6"/>
        <w:spacing w:line="360" w:lineRule="auto"/>
        <w:ind w:firstLine="560"/>
        <w:rPr>
          <w:rFonts w:ascii="Times New Roman" w:eastAsia="宋体" w:hAnsi="Times New Roman"/>
          <w:sz w:val="28"/>
        </w:rPr>
      </w:pPr>
    </w:p>
    <w:p w:rsid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61142D" w:rsidRPr="0061142D" w:rsidRDefault="0061142D"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法定代表人或授权代表（签字）：</w:t>
      </w: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61142D" w:rsidRPr="0061142D" w:rsidRDefault="0061142D" w:rsidP="0061142D">
      <w:pPr>
        <w:adjustRightInd w:val="0"/>
        <w:snapToGrid w:val="0"/>
        <w:spacing w:line="360" w:lineRule="auto"/>
        <w:ind w:firstLineChars="200" w:firstLine="560"/>
        <w:rPr>
          <w:sz w:val="28"/>
        </w:rPr>
      </w:pPr>
    </w:p>
    <w:p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rsidR="009C2EF9" w:rsidRPr="0061142D" w:rsidRDefault="009C2EF9" w:rsidP="0061142D">
      <w:pPr>
        <w:pStyle w:val="Style6"/>
        <w:spacing w:line="360" w:lineRule="auto"/>
        <w:ind w:firstLine="560"/>
        <w:rPr>
          <w:rFonts w:ascii="Times New Roman" w:eastAsia="宋体" w:hAnsi="Times New Roman"/>
          <w:sz w:val="28"/>
        </w:rPr>
      </w:pPr>
    </w:p>
    <w:p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4"/>
      <w:footerReference w:type="default" r:id="rId15"/>
      <w:headerReference w:type="first" r:id="rId16"/>
      <w:footerReference w:type="first" r:id="rId17"/>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E8B" w:rsidRDefault="00FF0E8B">
      <w:r>
        <w:separator/>
      </w:r>
    </w:p>
  </w:endnote>
  <w:endnote w:type="continuationSeparator" w:id="0">
    <w:p w:rsidR="00FF0E8B" w:rsidRDefault="00FF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942CAD">
    <w:pPr>
      <w:pStyle w:val="a9"/>
      <w:framePr w:h="0" w:wrap="around" w:vAnchor="text" w:hAnchor="margin" w:xAlign="center" w:y="1"/>
      <w:rPr>
        <w:rStyle w:val="a4"/>
      </w:rPr>
    </w:pPr>
    <w:r>
      <w:fldChar w:fldCharType="begin"/>
    </w:r>
    <w:r w:rsidR="00B138D3">
      <w:rPr>
        <w:rStyle w:val="a4"/>
      </w:rPr>
      <w:instrText xml:space="preserve">PAGE  </w:instrText>
    </w:r>
    <w:r>
      <w:fldChar w:fldCharType="end"/>
    </w:r>
  </w:p>
  <w:p w:rsidR="00B138D3" w:rsidRDefault="00B138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942CAD">
    <w:pPr>
      <w:pStyle w:val="a9"/>
      <w:framePr w:h="0" w:wrap="around" w:vAnchor="text" w:hAnchor="margin" w:xAlign="center" w:y="1"/>
      <w:rPr>
        <w:rStyle w:val="a4"/>
      </w:rPr>
    </w:pPr>
    <w:r>
      <w:fldChar w:fldCharType="begin"/>
    </w:r>
    <w:r w:rsidR="00B138D3">
      <w:rPr>
        <w:rStyle w:val="a4"/>
      </w:rPr>
      <w:instrText xml:space="preserve">PAGE  </w:instrText>
    </w:r>
    <w:r>
      <w:fldChar w:fldCharType="separate"/>
    </w:r>
    <w:r w:rsidR="003A4711">
      <w:rPr>
        <w:rStyle w:val="a4"/>
        <w:noProof/>
      </w:rPr>
      <w:t>18</w:t>
    </w:r>
    <w:r>
      <w:fldChar w:fldCharType="end"/>
    </w:r>
  </w:p>
  <w:p w:rsidR="00B138D3" w:rsidRDefault="00B138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E8B" w:rsidRDefault="00FF0E8B">
      <w:r>
        <w:separator/>
      </w:r>
    </w:p>
  </w:footnote>
  <w:footnote w:type="continuationSeparator" w:id="0">
    <w:p w:rsidR="00FF0E8B" w:rsidRDefault="00FF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a"/>
      <w:jc w:val="right"/>
    </w:pPr>
    <w:r>
      <w:rPr>
        <w:rFonts w:hint="eastAsia"/>
      </w:rPr>
      <w:t>交银施罗德荣祥保本混合型证券投资基金托管协议（草案）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a"/>
      <w:jc w:val="right"/>
    </w:pPr>
    <w:r>
      <w:rPr>
        <w:noProof/>
      </w:rPr>
      <w:drawing>
        <wp:anchor distT="0" distB="0" distL="114300" distR="114300" simplePos="0" relativeHeight="251657728" behindDoc="0" locked="0" layoutInCell="1" allowOverlap="1">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交银施罗德荣祥保本混合型证券投资基金托管协议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4F1BCF">
    <w:pPr>
      <w:pStyle w:val="aa"/>
      <w:jc w:val="right"/>
    </w:pPr>
    <w:r>
      <w:rPr>
        <w:noProof/>
      </w:rPr>
      <w:drawing>
        <wp:anchor distT="0" distB="0" distL="114300" distR="114300" simplePos="0" relativeHeight="251659776" behindDoc="0" locked="0" layoutInCell="1" allowOverlap="1">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B138D3">
      <w:rPr>
        <w:rFonts w:hint="eastAsia"/>
      </w:rPr>
      <w:t>交银施罗德荣祥保本混合型证券投资基金托管协议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D3" w:rsidRDefault="00B138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E31"/>
    <w:rsid w:val="00070D64"/>
    <w:rsid w:val="000A55DB"/>
    <w:rsid w:val="000F1E22"/>
    <w:rsid w:val="00103F74"/>
    <w:rsid w:val="00122975"/>
    <w:rsid w:val="00157615"/>
    <w:rsid w:val="00172A27"/>
    <w:rsid w:val="002007A0"/>
    <w:rsid w:val="00253010"/>
    <w:rsid w:val="00275681"/>
    <w:rsid w:val="00280227"/>
    <w:rsid w:val="002811AD"/>
    <w:rsid w:val="002A5AF6"/>
    <w:rsid w:val="002A6D1F"/>
    <w:rsid w:val="002D0D47"/>
    <w:rsid w:val="002F0573"/>
    <w:rsid w:val="00302D6E"/>
    <w:rsid w:val="00305D75"/>
    <w:rsid w:val="003118E4"/>
    <w:rsid w:val="00320024"/>
    <w:rsid w:val="003479B9"/>
    <w:rsid w:val="00351841"/>
    <w:rsid w:val="003A4711"/>
    <w:rsid w:val="003B7471"/>
    <w:rsid w:val="004215AC"/>
    <w:rsid w:val="004878FF"/>
    <w:rsid w:val="004D7CF4"/>
    <w:rsid w:val="004F1BCF"/>
    <w:rsid w:val="0058649D"/>
    <w:rsid w:val="005A523D"/>
    <w:rsid w:val="005A68C4"/>
    <w:rsid w:val="005E0E67"/>
    <w:rsid w:val="0061142D"/>
    <w:rsid w:val="006664A7"/>
    <w:rsid w:val="006979C6"/>
    <w:rsid w:val="006C0518"/>
    <w:rsid w:val="006E67CA"/>
    <w:rsid w:val="00710DA0"/>
    <w:rsid w:val="00732ACD"/>
    <w:rsid w:val="007779F6"/>
    <w:rsid w:val="00797168"/>
    <w:rsid w:val="007A34BF"/>
    <w:rsid w:val="00813D86"/>
    <w:rsid w:val="00852EFC"/>
    <w:rsid w:val="0087516D"/>
    <w:rsid w:val="0088706B"/>
    <w:rsid w:val="00900526"/>
    <w:rsid w:val="00922581"/>
    <w:rsid w:val="00942CAD"/>
    <w:rsid w:val="009B4C35"/>
    <w:rsid w:val="009C2EF9"/>
    <w:rsid w:val="009E077C"/>
    <w:rsid w:val="00A11926"/>
    <w:rsid w:val="00A528E5"/>
    <w:rsid w:val="00B138D3"/>
    <w:rsid w:val="00B13C8A"/>
    <w:rsid w:val="00B33E31"/>
    <w:rsid w:val="00B70193"/>
    <w:rsid w:val="00B71149"/>
    <w:rsid w:val="00B86B58"/>
    <w:rsid w:val="00BE3B78"/>
    <w:rsid w:val="00BF44A5"/>
    <w:rsid w:val="00C87D29"/>
    <w:rsid w:val="00C91C80"/>
    <w:rsid w:val="00CA3024"/>
    <w:rsid w:val="00CA7F9D"/>
    <w:rsid w:val="00CE1EE3"/>
    <w:rsid w:val="00D43E83"/>
    <w:rsid w:val="00D6705E"/>
    <w:rsid w:val="00D75CCB"/>
    <w:rsid w:val="00DA03D3"/>
    <w:rsid w:val="00DC401D"/>
    <w:rsid w:val="00DD0202"/>
    <w:rsid w:val="00DD4F6B"/>
    <w:rsid w:val="00DE0DDB"/>
    <w:rsid w:val="00DF2701"/>
    <w:rsid w:val="00E21427"/>
    <w:rsid w:val="00E216FA"/>
    <w:rsid w:val="00E346F9"/>
    <w:rsid w:val="00E66D34"/>
    <w:rsid w:val="00E77CBB"/>
    <w:rsid w:val="00ED22AD"/>
    <w:rsid w:val="00EE4EE8"/>
    <w:rsid w:val="00EE5132"/>
    <w:rsid w:val="00F404E2"/>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1085B4-2DE8-4086-B3A2-52254008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Char"/>
    <w:rsid w:val="00E216FA"/>
    <w:pPr>
      <w:tabs>
        <w:tab w:val="center" w:pos="4153"/>
        <w:tab w:val="right" w:pos="8306"/>
      </w:tabs>
      <w:snapToGrid w:val="0"/>
    </w:pPr>
    <w:rPr>
      <w:sz w:val="18"/>
    </w:rPr>
  </w:style>
  <w:style w:type="paragraph" w:styleId="aa">
    <w:name w:val="header"/>
    <w:basedOn w:val="a"/>
    <w:link w:val="Char0"/>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b">
    <w:name w:val="annotation subject"/>
    <w:basedOn w:val="ac"/>
    <w:next w:val="ac"/>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d">
    <w:name w:val="Balloon Text"/>
    <w:basedOn w:val="a"/>
    <w:rsid w:val="00E216FA"/>
    <w:rPr>
      <w:sz w:val="18"/>
    </w:rPr>
  </w:style>
  <w:style w:type="paragraph" w:customStyle="1" w:styleId="Char1">
    <w:name w:val="Char"/>
    <w:basedOn w:val="a"/>
    <w:rsid w:val="00E216FA"/>
  </w:style>
  <w:style w:type="paragraph" w:styleId="3">
    <w:name w:val="Body Text Indent 3"/>
    <w:basedOn w:val="a"/>
    <w:rsid w:val="00E216FA"/>
    <w:pPr>
      <w:spacing w:after="120"/>
      <w:ind w:leftChars="200" w:left="420"/>
    </w:pPr>
    <w:rPr>
      <w:sz w:val="16"/>
    </w:rPr>
  </w:style>
  <w:style w:type="paragraph" w:styleId="ae">
    <w:name w:val="Normal (Web)"/>
    <w:basedOn w:val="a"/>
    <w:rsid w:val="00E216FA"/>
    <w:rPr>
      <w:sz w:val="24"/>
    </w:rPr>
  </w:style>
  <w:style w:type="paragraph" w:styleId="af">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0">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c">
    <w:name w:val="annotation text"/>
    <w:basedOn w:val="a"/>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1">
    <w:name w:val="Body Text Indent"/>
    <w:basedOn w:val="a"/>
    <w:rsid w:val="00E216FA"/>
    <w:pPr>
      <w:spacing w:after="120"/>
      <w:ind w:leftChars="200" w:left="420"/>
    </w:pPr>
  </w:style>
  <w:style w:type="character" w:customStyle="1" w:styleId="Char0">
    <w:name w:val="页眉 Char"/>
    <w:link w:val="aa"/>
    <w:rsid w:val="00B13C8A"/>
    <w:rPr>
      <w:kern w:val="2"/>
      <w:sz w:val="18"/>
    </w:rPr>
  </w:style>
  <w:style w:type="character" w:customStyle="1" w:styleId="Char">
    <w:name w:val="页脚 Char"/>
    <w:link w:val="a9"/>
    <w:rsid w:val="00B13C8A"/>
    <w:rPr>
      <w:kern w:val="2"/>
      <w:sz w:val="18"/>
    </w:rPr>
  </w:style>
  <w:style w:type="character" w:customStyle="1" w:styleId="10">
    <w:name w:val="页码1"/>
    <w:basedOn w:val="a1"/>
    <w:rsid w:val="00B13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54</Pages>
  <Words>4727</Words>
  <Characters>26946</Characters>
  <Application>Microsoft Office Word</Application>
  <DocSecurity>0</DocSecurity>
  <PresentationFormat/>
  <Lines>224</Lines>
  <Paragraphs>63</Paragraphs>
  <Slides>0</Slides>
  <Notes>0</Notes>
  <HiddenSlides>0</HiddenSlides>
  <MMClips>0</MMClips>
  <ScaleCrop>false</ScaleCrop>
  <Company>JJTG</Company>
  <LinksUpToDate>false</LinksUpToDate>
  <CharactersWithSpaces>31610</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喻秋燕</cp:lastModifiedBy>
  <cp:revision>6</cp:revision>
  <cp:lastPrinted>2013-01-31T09:51:00Z</cp:lastPrinted>
  <dcterms:created xsi:type="dcterms:W3CDTF">2017-12-22T02:47:00Z</dcterms:created>
  <dcterms:modified xsi:type="dcterms:W3CDTF">2018-03-16T02:06:00Z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